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BD750">
      <w:pPr>
        <w:pStyle w:val="13"/>
        <w:spacing w:after="308"/>
        <w:rPr>
          <w:rFonts w:hint="default" w:hAnsi="黑体" w:eastAsia="黑体" w:cs="Times New Roman"/>
          <w:color w:val="auto"/>
          <w:sz w:val="21"/>
          <w:szCs w:val="21"/>
          <w:lang w:val="en-US" w:eastAsia="zh-CN"/>
        </w:rPr>
      </w:pPr>
      <w:r>
        <w:rPr>
          <w:rFonts w:hAnsi="黑体" w:cs="Times New Roman"/>
          <w:color w:val="auto"/>
          <w:sz w:val="21"/>
          <w:szCs w:val="21"/>
        </w:rPr>
        <w:t xml:space="preserve">证券代码：002042     </w:t>
      </w:r>
      <w:r>
        <w:rPr>
          <w:rFonts w:hint="eastAsia" w:hAnsi="黑体" w:cs="Times New Roman"/>
          <w:color w:val="auto"/>
          <w:sz w:val="21"/>
          <w:szCs w:val="21"/>
        </w:rPr>
        <w:t xml:space="preserve"> </w:t>
      </w:r>
      <w:r>
        <w:rPr>
          <w:rFonts w:hAnsi="黑体" w:cs="Times New Roman"/>
          <w:color w:val="auto"/>
          <w:sz w:val="21"/>
          <w:szCs w:val="21"/>
        </w:rPr>
        <w:t xml:space="preserve">      证券简称：华孚时尚         </w:t>
      </w:r>
      <w:r>
        <w:rPr>
          <w:rFonts w:hint="eastAsia" w:hAnsi="黑体" w:cs="Times New Roman"/>
          <w:color w:val="auto"/>
          <w:sz w:val="21"/>
          <w:szCs w:val="21"/>
        </w:rPr>
        <w:t xml:space="preserve"> </w:t>
      </w:r>
      <w:r>
        <w:rPr>
          <w:rFonts w:hAnsi="黑体" w:cs="Times New Roman"/>
          <w:color w:val="auto"/>
          <w:sz w:val="21"/>
          <w:szCs w:val="21"/>
        </w:rPr>
        <w:t xml:space="preserve">     公告编号：20</w:t>
      </w:r>
      <w:r>
        <w:rPr>
          <w:rFonts w:hint="eastAsia" w:hAnsi="黑体" w:cs="Times New Roman"/>
          <w:color w:val="auto"/>
          <w:sz w:val="21"/>
          <w:szCs w:val="21"/>
        </w:rPr>
        <w:t>2</w:t>
      </w:r>
      <w:r>
        <w:rPr>
          <w:rFonts w:hint="eastAsia" w:hAnsi="黑体" w:cs="Times New Roman"/>
          <w:color w:val="auto"/>
          <w:sz w:val="21"/>
          <w:szCs w:val="21"/>
          <w:lang w:val="en-US" w:eastAsia="zh-CN"/>
        </w:rPr>
        <w:t>6</w:t>
      </w:r>
      <w:r>
        <w:rPr>
          <w:rFonts w:hAnsi="黑体" w:cs="Times New Roman"/>
          <w:color w:val="auto"/>
          <w:sz w:val="21"/>
          <w:szCs w:val="21"/>
        </w:rPr>
        <w:t>-</w:t>
      </w:r>
      <w:r>
        <w:rPr>
          <w:rFonts w:hint="eastAsia" w:hAnsi="黑体" w:cs="Times New Roman"/>
          <w:color w:val="auto"/>
          <w:sz w:val="21"/>
          <w:szCs w:val="21"/>
          <w:lang w:val="en-US" w:eastAsia="zh-CN"/>
        </w:rPr>
        <w:t>20</w:t>
      </w:r>
    </w:p>
    <w:p w14:paraId="5F8F4608">
      <w:pPr>
        <w:autoSpaceDE w:val="0"/>
        <w:autoSpaceDN w:val="0"/>
        <w:adjustRightInd w:val="0"/>
        <w:spacing w:line="360" w:lineRule="auto"/>
        <w:jc w:val="center"/>
        <w:rPr>
          <w:rFonts w:eastAsiaTheme="minorEastAsia"/>
          <w:b/>
          <w:sz w:val="36"/>
          <w:szCs w:val="36"/>
        </w:rPr>
      </w:pPr>
      <w:r>
        <w:rPr>
          <w:rFonts w:eastAsiaTheme="minorEastAsia"/>
          <w:b/>
          <w:sz w:val="36"/>
          <w:szCs w:val="36"/>
        </w:rPr>
        <w:t>华孚时尚股份有限公司</w:t>
      </w:r>
    </w:p>
    <w:p w14:paraId="5D6D0E89">
      <w:pPr>
        <w:autoSpaceDE w:val="0"/>
        <w:autoSpaceDN w:val="0"/>
        <w:adjustRightInd w:val="0"/>
        <w:spacing w:line="360" w:lineRule="auto"/>
        <w:jc w:val="center"/>
        <w:rPr>
          <w:rFonts w:hint="default" w:eastAsiaTheme="minorEastAsia"/>
          <w:b/>
          <w:sz w:val="36"/>
          <w:szCs w:val="36"/>
          <w:lang w:val="en-US" w:eastAsia="zh-CN"/>
        </w:rPr>
      </w:pPr>
      <w:r>
        <w:rPr>
          <w:rFonts w:eastAsiaTheme="minorEastAsia"/>
          <w:b/>
          <w:sz w:val="36"/>
          <w:szCs w:val="36"/>
        </w:rPr>
        <w:t>关于</w:t>
      </w:r>
      <w:r>
        <w:rPr>
          <w:rFonts w:hint="eastAsia" w:eastAsiaTheme="minorEastAsia"/>
          <w:b/>
          <w:sz w:val="36"/>
          <w:szCs w:val="36"/>
          <w:lang w:val="en-US" w:eastAsia="zh-CN"/>
        </w:rPr>
        <w:t>前期会计差错更正的公告</w:t>
      </w:r>
    </w:p>
    <w:p w14:paraId="7B29CE48">
      <w:pPr>
        <w:autoSpaceDE w:val="0"/>
        <w:autoSpaceDN w:val="0"/>
        <w:adjustRightInd w:val="0"/>
        <w:ind w:firstLine="480" w:firstLineChars="200"/>
        <w:jc w:val="left"/>
        <w:rPr>
          <w:rFonts w:eastAsiaTheme="minorEastAsia"/>
          <w:kern w:val="0"/>
          <w:sz w:val="24"/>
          <w:szCs w:val="24"/>
        </w:rPr>
      </w:pPr>
    </w:p>
    <w:p w14:paraId="1C6C7CFB">
      <w:pPr>
        <w:autoSpaceDE w:val="0"/>
        <w:autoSpaceDN w:val="0"/>
        <w:adjustRightInd w:val="0"/>
        <w:ind w:firstLine="480" w:firstLineChars="200"/>
        <w:jc w:val="left"/>
        <w:rPr>
          <w:rFonts w:eastAsia="楷体"/>
          <w:kern w:val="0"/>
          <w:sz w:val="24"/>
          <w:szCs w:val="24"/>
        </w:rPr>
      </w:pPr>
      <w:r>
        <w:rPr>
          <w:rFonts w:eastAsia="楷体"/>
          <w:kern w:val="0"/>
          <w:sz w:val="24"/>
          <w:szCs w:val="24"/>
        </w:rPr>
        <w:t>本公司及董事会全体成员保证信息披露的内容真实、准确、完整，没有虚假记载、误导性陈述或重大遗漏。</w:t>
      </w:r>
    </w:p>
    <w:p w14:paraId="733C3E17">
      <w:pPr>
        <w:autoSpaceDE w:val="0"/>
        <w:autoSpaceDN w:val="0"/>
        <w:adjustRightInd w:val="0"/>
        <w:rPr>
          <w:rFonts w:eastAsiaTheme="minorEastAsia"/>
          <w:sz w:val="24"/>
          <w:szCs w:val="24"/>
        </w:rPr>
      </w:pPr>
    </w:p>
    <w:p w14:paraId="5223A0C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eastAsiaTheme="minorEastAsia"/>
          <w:b/>
          <w:bCs/>
          <w:sz w:val="24"/>
          <w:szCs w:val="24"/>
          <w:lang w:val="en-US" w:eastAsia="zh-CN"/>
        </w:rPr>
      </w:pPr>
      <w:r>
        <w:rPr>
          <w:rFonts w:hint="eastAsia" w:eastAsiaTheme="minorEastAsia"/>
          <w:b/>
          <w:bCs/>
          <w:sz w:val="24"/>
          <w:szCs w:val="24"/>
          <w:lang w:val="en-US" w:eastAsia="zh-CN"/>
        </w:rPr>
        <w:t>重要内容提示：</w:t>
      </w:r>
    </w:p>
    <w:p w14:paraId="110F16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24"/>
          <w:lang w:val="en-US" w:eastAsia="zh-CN"/>
        </w:rPr>
      </w:pPr>
      <w:r>
        <w:rPr>
          <w:rFonts w:hint="eastAsia" w:eastAsiaTheme="minorEastAsia"/>
          <w:sz w:val="24"/>
          <w:szCs w:val="24"/>
          <w:lang w:val="en-US" w:eastAsia="zh-CN"/>
        </w:rPr>
        <w:t>本次前期会计差错更正</w:t>
      </w:r>
      <w:r>
        <w:rPr>
          <w:rFonts w:hint="eastAsia" w:ascii="宋体" w:hAnsi="宋体" w:eastAsia="宋体" w:cs="宋体"/>
          <w:sz w:val="24"/>
        </w:rPr>
        <w:t>主要是对公司2025年第一季度报告、</w:t>
      </w:r>
      <w:r>
        <w:rPr>
          <w:rFonts w:hint="eastAsia" w:ascii="宋体" w:hAnsi="宋体" w:cs="宋体"/>
          <w:sz w:val="24"/>
          <w:lang w:val="en-US" w:eastAsia="zh-CN"/>
        </w:rPr>
        <w:t>2025年</w:t>
      </w:r>
      <w:r>
        <w:rPr>
          <w:rFonts w:hint="eastAsia" w:ascii="宋体" w:hAnsi="宋体" w:eastAsia="宋体" w:cs="宋体"/>
          <w:sz w:val="24"/>
        </w:rPr>
        <w:t>半年度报告及</w:t>
      </w:r>
      <w:r>
        <w:rPr>
          <w:rFonts w:hint="eastAsia" w:ascii="宋体" w:hAnsi="宋体" w:cs="宋体"/>
          <w:sz w:val="24"/>
          <w:lang w:val="en-US" w:eastAsia="zh-CN"/>
        </w:rPr>
        <w:t>2025年</w:t>
      </w:r>
      <w:r>
        <w:rPr>
          <w:rFonts w:hint="eastAsia" w:ascii="宋体" w:hAnsi="宋体" w:eastAsia="宋体" w:cs="宋体"/>
          <w:sz w:val="24"/>
        </w:rPr>
        <w:t>第三季度报告的营业收入和营业成本进行调减，不影响公司总资产、净资产、归属于上市公司股东的净利润及经营活动现金流量净额等财务信息。本次前期会计差错更正不涉及公司核心业务、经营模式的重大变化，更正后公司财务信息将更加真实准确，不会对公司持续经营能力产生重大不利影响。</w:t>
      </w:r>
    </w:p>
    <w:p w14:paraId="1D3C08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Theme="minorEastAsia"/>
          <w:sz w:val="24"/>
          <w:szCs w:val="24"/>
          <w:lang w:val="en-US" w:eastAsia="zh-CN"/>
        </w:rPr>
      </w:pPr>
    </w:p>
    <w:p w14:paraId="259F4F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eastAsiaTheme="minorEastAsia"/>
          <w:sz w:val="24"/>
          <w:szCs w:val="24"/>
          <w:lang w:val="en-US" w:eastAsia="zh-CN"/>
        </w:rPr>
        <w:t>华孚时尚股份有限公司（以下简称“公司”）于2026年4月28日以现场结合通讯方式召开了第九届董事会第四次会议，审议通过了《关于前期会计差错更正的议案》。</w:t>
      </w:r>
      <w:r>
        <w:rPr>
          <w:rFonts w:hint="eastAsia" w:ascii="宋体" w:hAnsi="宋体" w:eastAsia="宋体" w:cs="宋体"/>
          <w:sz w:val="24"/>
        </w:rPr>
        <w:t>为确保财务信息的真实性、准确性和完整性，维护投资者合法权益，根据《公开发行证券的公司信息披露编报规则第19号——财务信息的更正及相关披露》《上市公司信息披露管理办法》等法律法规及规范性文件相关规定，</w:t>
      </w:r>
      <w:r>
        <w:rPr>
          <w:rFonts w:hint="eastAsia" w:ascii="宋体" w:hAnsi="宋体" w:cs="宋体"/>
          <w:sz w:val="24"/>
          <w:lang w:val="en-US" w:eastAsia="zh-CN"/>
        </w:rPr>
        <w:t>公司</w:t>
      </w:r>
      <w:r>
        <w:rPr>
          <w:rFonts w:hint="eastAsia" w:ascii="宋体" w:hAnsi="宋体" w:eastAsia="宋体" w:cs="宋体"/>
          <w:sz w:val="24"/>
        </w:rPr>
        <w:t>在近期财务自查及2025年度审计过程中，基于谨慎性原则，将公司部分贸易业务收入确认方法由总额法调整为净额法，对2025年第一季度报告、</w:t>
      </w:r>
      <w:r>
        <w:rPr>
          <w:rFonts w:hint="eastAsia" w:ascii="宋体" w:hAnsi="宋体" w:cs="宋体"/>
          <w:sz w:val="24"/>
          <w:lang w:val="en-US" w:eastAsia="zh-CN"/>
        </w:rPr>
        <w:t>2025年</w:t>
      </w:r>
      <w:r>
        <w:rPr>
          <w:rFonts w:hint="eastAsia" w:ascii="宋体" w:hAnsi="宋体" w:eastAsia="宋体" w:cs="宋体"/>
          <w:sz w:val="24"/>
        </w:rPr>
        <w:t>半年度报告及</w:t>
      </w:r>
      <w:r>
        <w:rPr>
          <w:rFonts w:hint="eastAsia" w:ascii="宋体" w:hAnsi="宋体" w:cs="宋体"/>
          <w:sz w:val="24"/>
          <w:lang w:val="en-US" w:eastAsia="zh-CN"/>
        </w:rPr>
        <w:t>2025年</w:t>
      </w:r>
      <w:r>
        <w:rPr>
          <w:rFonts w:hint="eastAsia" w:ascii="宋体" w:hAnsi="宋体" w:eastAsia="宋体" w:cs="宋体"/>
          <w:sz w:val="24"/>
        </w:rPr>
        <w:t>第三季度报告会计差错进行更正。</w:t>
      </w:r>
    </w:p>
    <w:p w14:paraId="310B491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eastAsiaTheme="minorEastAsia"/>
          <w:b/>
          <w:bCs/>
          <w:sz w:val="24"/>
          <w:szCs w:val="24"/>
          <w:lang w:val="en-US" w:eastAsia="zh-CN"/>
        </w:rPr>
      </w:pPr>
      <w:r>
        <w:rPr>
          <w:rFonts w:hint="eastAsia" w:eastAsiaTheme="minorEastAsia"/>
          <w:b/>
          <w:bCs/>
          <w:sz w:val="24"/>
          <w:szCs w:val="24"/>
          <w:lang w:val="en-US" w:eastAsia="zh-CN"/>
        </w:rPr>
        <w:t>一、前期会计差错更正概述</w:t>
      </w:r>
    </w:p>
    <w:p w14:paraId="427BA055">
      <w:pPr>
        <w:spacing w:line="360" w:lineRule="auto"/>
        <w:jc w:val="right"/>
        <w:rPr>
          <w:szCs w:val="21"/>
        </w:rPr>
      </w:pPr>
      <w:r>
        <w:rPr>
          <w:rFonts w:hint="eastAsia"/>
          <w:szCs w:val="21"/>
        </w:rPr>
        <w:t>单位：元</w:t>
      </w:r>
    </w:p>
    <w:tbl>
      <w:tblPr>
        <w:tblStyle w:val="8"/>
        <w:tblW w:w="0" w:type="auto"/>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1445"/>
        <w:gridCol w:w="1896"/>
        <w:gridCol w:w="2001"/>
        <w:gridCol w:w="1896"/>
      </w:tblGrid>
      <w:tr w14:paraId="3FA7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Align w:val="center"/>
          </w:tcPr>
          <w:p w14:paraId="504B7E0C">
            <w:pPr>
              <w:spacing w:line="360" w:lineRule="auto"/>
              <w:jc w:val="center"/>
              <w:rPr>
                <w:b/>
                <w:bCs/>
                <w:szCs w:val="21"/>
              </w:rPr>
            </w:pPr>
            <w:r>
              <w:rPr>
                <w:rFonts w:hint="eastAsia"/>
                <w:b/>
                <w:bCs/>
              </w:rPr>
              <w:t>会计期间</w:t>
            </w:r>
          </w:p>
        </w:tc>
        <w:tc>
          <w:tcPr>
            <w:tcW w:w="1445" w:type="dxa"/>
            <w:vAlign w:val="center"/>
          </w:tcPr>
          <w:p w14:paraId="4E3963E4">
            <w:pPr>
              <w:spacing w:line="360" w:lineRule="auto"/>
              <w:jc w:val="center"/>
              <w:rPr>
                <w:b/>
                <w:bCs/>
                <w:szCs w:val="21"/>
              </w:rPr>
            </w:pPr>
            <w:r>
              <w:rPr>
                <w:rFonts w:hint="eastAsia"/>
                <w:b/>
                <w:bCs/>
              </w:rPr>
              <w:t>报表项目</w:t>
            </w:r>
          </w:p>
        </w:tc>
        <w:tc>
          <w:tcPr>
            <w:tcW w:w="1896" w:type="dxa"/>
            <w:vAlign w:val="center"/>
          </w:tcPr>
          <w:p w14:paraId="74CE8710">
            <w:pPr>
              <w:spacing w:line="360" w:lineRule="auto"/>
              <w:jc w:val="center"/>
              <w:rPr>
                <w:b/>
                <w:bCs/>
                <w:szCs w:val="21"/>
              </w:rPr>
            </w:pPr>
            <w:r>
              <w:rPr>
                <w:rFonts w:hint="eastAsia"/>
                <w:b/>
                <w:bCs/>
              </w:rPr>
              <w:t>调整前金额</w:t>
            </w:r>
          </w:p>
        </w:tc>
        <w:tc>
          <w:tcPr>
            <w:tcW w:w="1896" w:type="dxa"/>
            <w:vAlign w:val="center"/>
          </w:tcPr>
          <w:p w14:paraId="216158C1">
            <w:pPr>
              <w:spacing w:line="360" w:lineRule="auto"/>
              <w:jc w:val="center"/>
              <w:rPr>
                <w:b/>
                <w:bCs/>
                <w:szCs w:val="21"/>
              </w:rPr>
            </w:pPr>
            <w:r>
              <w:rPr>
                <w:rFonts w:hint="eastAsia"/>
                <w:b/>
                <w:bCs/>
              </w:rPr>
              <w:t>调整金额</w:t>
            </w:r>
          </w:p>
        </w:tc>
        <w:tc>
          <w:tcPr>
            <w:tcW w:w="1896" w:type="dxa"/>
            <w:vAlign w:val="center"/>
          </w:tcPr>
          <w:p w14:paraId="6B06E9BC">
            <w:pPr>
              <w:spacing w:line="360" w:lineRule="auto"/>
              <w:jc w:val="center"/>
              <w:rPr>
                <w:b/>
                <w:bCs/>
                <w:szCs w:val="21"/>
              </w:rPr>
            </w:pPr>
            <w:r>
              <w:rPr>
                <w:rFonts w:hint="eastAsia"/>
                <w:b/>
                <w:bCs/>
              </w:rPr>
              <w:t>调整后金额</w:t>
            </w:r>
          </w:p>
        </w:tc>
      </w:tr>
      <w:tr w14:paraId="5AEB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restart"/>
            <w:vAlign w:val="center"/>
          </w:tcPr>
          <w:p w14:paraId="555A39E8">
            <w:pPr>
              <w:spacing w:line="360" w:lineRule="auto"/>
              <w:jc w:val="center"/>
              <w:rPr>
                <w:rFonts w:ascii="宋体" w:hAnsi="宋体" w:eastAsia="宋体" w:cs="宋体"/>
                <w:b/>
                <w:bCs/>
              </w:rPr>
            </w:pPr>
            <w:r>
              <w:rPr>
                <w:rFonts w:hint="eastAsia" w:ascii="宋体" w:hAnsi="宋体" w:eastAsia="宋体" w:cs="宋体"/>
                <w:b/>
                <w:bCs/>
              </w:rPr>
              <w:t>2025年第一季度</w:t>
            </w:r>
          </w:p>
          <w:p w14:paraId="6F60C589">
            <w:pPr>
              <w:spacing w:line="360" w:lineRule="auto"/>
              <w:jc w:val="center"/>
              <w:rPr>
                <w:rFonts w:ascii="宋体" w:hAnsi="宋体" w:eastAsia="宋体" w:cs="宋体"/>
                <w:b/>
                <w:bCs/>
                <w:szCs w:val="21"/>
              </w:rPr>
            </w:pPr>
            <w:r>
              <w:rPr>
                <w:rFonts w:hint="eastAsia" w:ascii="宋体" w:hAnsi="宋体" w:eastAsia="宋体" w:cs="宋体"/>
                <w:b/>
                <w:bCs/>
              </w:rPr>
              <w:t>（1月-3月）</w:t>
            </w:r>
          </w:p>
        </w:tc>
        <w:tc>
          <w:tcPr>
            <w:tcW w:w="1445" w:type="dxa"/>
            <w:vAlign w:val="center"/>
          </w:tcPr>
          <w:p w14:paraId="4DDFCB11">
            <w:pPr>
              <w:spacing w:line="360" w:lineRule="auto"/>
              <w:jc w:val="center"/>
              <w:rPr>
                <w:szCs w:val="21"/>
              </w:rPr>
            </w:pPr>
            <w:r>
              <w:rPr>
                <w:rFonts w:hint="eastAsia"/>
              </w:rPr>
              <w:t>营业收入</w:t>
            </w:r>
          </w:p>
        </w:tc>
        <w:tc>
          <w:tcPr>
            <w:tcW w:w="1896" w:type="dxa"/>
            <w:vAlign w:val="center"/>
          </w:tcPr>
          <w:p w14:paraId="7B099D81">
            <w:pPr>
              <w:spacing w:line="360" w:lineRule="auto"/>
              <w:jc w:val="center"/>
              <w:rPr>
                <w:rFonts w:ascii="宋体" w:hAnsi="宋体" w:eastAsia="宋体" w:cs="宋体"/>
                <w:szCs w:val="21"/>
              </w:rPr>
            </w:pPr>
            <w:r>
              <w:rPr>
                <w:rFonts w:hint="eastAsia" w:ascii="宋体" w:hAnsi="宋体" w:eastAsia="宋体" w:cs="宋体"/>
              </w:rPr>
              <w:t>3,146,972,016.00</w:t>
            </w:r>
          </w:p>
        </w:tc>
        <w:tc>
          <w:tcPr>
            <w:tcW w:w="1896" w:type="dxa"/>
            <w:vAlign w:val="center"/>
          </w:tcPr>
          <w:p w14:paraId="0BC0EE73">
            <w:pPr>
              <w:spacing w:line="360" w:lineRule="auto"/>
              <w:jc w:val="center"/>
              <w:rPr>
                <w:rFonts w:ascii="宋体" w:hAnsi="宋体" w:eastAsia="宋体" w:cs="宋体"/>
                <w:szCs w:val="21"/>
                <w:highlight w:val="yellow"/>
              </w:rPr>
            </w:pPr>
            <w:r>
              <w:rPr>
                <w:rFonts w:hint="eastAsia" w:ascii="宋体" w:hAnsi="宋体" w:eastAsia="宋体" w:cs="宋体"/>
              </w:rPr>
              <w:t>-963,429,979.64</w:t>
            </w:r>
          </w:p>
        </w:tc>
        <w:tc>
          <w:tcPr>
            <w:tcW w:w="1896" w:type="dxa"/>
            <w:vAlign w:val="center"/>
          </w:tcPr>
          <w:p w14:paraId="1F1001E4">
            <w:pPr>
              <w:spacing w:line="360" w:lineRule="auto"/>
              <w:jc w:val="center"/>
              <w:rPr>
                <w:rFonts w:ascii="宋体" w:hAnsi="宋体" w:eastAsia="宋体" w:cs="宋体"/>
                <w:szCs w:val="21"/>
                <w:highlight w:val="yellow"/>
              </w:rPr>
            </w:pPr>
            <w:r>
              <w:rPr>
                <w:rFonts w:hint="eastAsia" w:ascii="宋体" w:hAnsi="宋体" w:eastAsia="宋体" w:cs="宋体"/>
              </w:rPr>
              <w:t>2,183,542,036.36</w:t>
            </w:r>
          </w:p>
        </w:tc>
      </w:tr>
      <w:tr w14:paraId="6F2E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continue"/>
            <w:vAlign w:val="center"/>
          </w:tcPr>
          <w:p w14:paraId="6B9D4BE7">
            <w:pPr>
              <w:spacing w:line="360" w:lineRule="auto"/>
              <w:jc w:val="center"/>
              <w:rPr>
                <w:rFonts w:ascii="宋体" w:hAnsi="宋体" w:eastAsia="宋体" w:cs="宋体"/>
                <w:b/>
                <w:bCs/>
              </w:rPr>
            </w:pPr>
          </w:p>
        </w:tc>
        <w:tc>
          <w:tcPr>
            <w:tcW w:w="1445" w:type="dxa"/>
            <w:vAlign w:val="center"/>
          </w:tcPr>
          <w:p w14:paraId="6074EFFE">
            <w:pPr>
              <w:spacing w:line="360" w:lineRule="auto"/>
              <w:jc w:val="center"/>
            </w:pPr>
            <w:r>
              <w:rPr>
                <w:rFonts w:hint="eastAsia"/>
              </w:rPr>
              <w:t>营业成本</w:t>
            </w:r>
          </w:p>
        </w:tc>
        <w:tc>
          <w:tcPr>
            <w:tcW w:w="1896" w:type="dxa"/>
            <w:vAlign w:val="center"/>
          </w:tcPr>
          <w:p w14:paraId="71C9B7BC">
            <w:pPr>
              <w:spacing w:line="360" w:lineRule="auto"/>
              <w:jc w:val="center"/>
              <w:rPr>
                <w:rFonts w:ascii="宋体" w:hAnsi="宋体" w:eastAsia="宋体" w:cs="宋体"/>
              </w:rPr>
            </w:pPr>
            <w:r>
              <w:rPr>
                <w:rFonts w:ascii="宋体" w:hAnsi="宋体" w:eastAsia="宋体" w:cs="宋体"/>
              </w:rPr>
              <w:t>2,965,640,611.41</w:t>
            </w:r>
          </w:p>
        </w:tc>
        <w:tc>
          <w:tcPr>
            <w:tcW w:w="1896" w:type="dxa"/>
            <w:vAlign w:val="center"/>
          </w:tcPr>
          <w:p w14:paraId="6E34AD11">
            <w:pPr>
              <w:spacing w:line="360" w:lineRule="auto"/>
              <w:jc w:val="center"/>
              <w:rPr>
                <w:rFonts w:ascii="宋体" w:hAnsi="宋体" w:eastAsia="宋体" w:cs="宋体"/>
              </w:rPr>
            </w:pPr>
            <w:r>
              <w:rPr>
                <w:rFonts w:hint="eastAsia" w:ascii="宋体" w:hAnsi="宋体" w:eastAsia="宋体" w:cs="宋体"/>
              </w:rPr>
              <w:t>-963,429,979.64</w:t>
            </w:r>
          </w:p>
        </w:tc>
        <w:tc>
          <w:tcPr>
            <w:tcW w:w="1896" w:type="dxa"/>
            <w:vAlign w:val="center"/>
          </w:tcPr>
          <w:p w14:paraId="40AE962B">
            <w:pPr>
              <w:spacing w:line="360" w:lineRule="auto"/>
              <w:jc w:val="center"/>
              <w:rPr>
                <w:rFonts w:ascii="宋体" w:hAnsi="宋体" w:eastAsia="宋体" w:cs="宋体"/>
              </w:rPr>
            </w:pPr>
            <w:r>
              <w:rPr>
                <w:rFonts w:ascii="宋体" w:hAnsi="宋体" w:eastAsia="宋体" w:cs="宋体"/>
              </w:rPr>
              <w:t>2,002,210,631.77</w:t>
            </w:r>
          </w:p>
        </w:tc>
      </w:tr>
      <w:tr w14:paraId="58D4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restart"/>
            <w:vAlign w:val="center"/>
          </w:tcPr>
          <w:p w14:paraId="4E1DC2BD">
            <w:pPr>
              <w:spacing w:line="360" w:lineRule="auto"/>
              <w:jc w:val="center"/>
              <w:rPr>
                <w:rFonts w:ascii="宋体" w:hAnsi="宋体" w:eastAsia="宋体" w:cs="宋体"/>
                <w:b/>
                <w:bCs/>
              </w:rPr>
            </w:pPr>
            <w:r>
              <w:rPr>
                <w:rFonts w:hint="eastAsia" w:ascii="宋体" w:hAnsi="宋体" w:eastAsia="宋体" w:cs="宋体"/>
                <w:b/>
                <w:bCs/>
              </w:rPr>
              <w:t>2025年半年度</w:t>
            </w:r>
          </w:p>
          <w:p w14:paraId="29136D6B">
            <w:pPr>
              <w:spacing w:line="360" w:lineRule="auto"/>
              <w:jc w:val="center"/>
              <w:rPr>
                <w:rFonts w:ascii="宋体" w:hAnsi="宋体" w:eastAsia="宋体" w:cs="宋体"/>
                <w:b/>
                <w:bCs/>
              </w:rPr>
            </w:pPr>
            <w:r>
              <w:rPr>
                <w:rFonts w:hint="eastAsia" w:ascii="宋体" w:hAnsi="宋体" w:eastAsia="宋体" w:cs="宋体"/>
                <w:b/>
                <w:bCs/>
              </w:rPr>
              <w:t>（1月-6月）</w:t>
            </w:r>
          </w:p>
        </w:tc>
        <w:tc>
          <w:tcPr>
            <w:tcW w:w="1445" w:type="dxa"/>
            <w:vAlign w:val="center"/>
          </w:tcPr>
          <w:p w14:paraId="02B2DA07">
            <w:pPr>
              <w:spacing w:line="360" w:lineRule="auto"/>
              <w:jc w:val="center"/>
              <w:rPr>
                <w:szCs w:val="21"/>
              </w:rPr>
            </w:pPr>
            <w:r>
              <w:rPr>
                <w:rFonts w:hint="eastAsia"/>
              </w:rPr>
              <w:t>营业收入</w:t>
            </w:r>
          </w:p>
        </w:tc>
        <w:tc>
          <w:tcPr>
            <w:tcW w:w="1896" w:type="dxa"/>
            <w:vAlign w:val="center"/>
          </w:tcPr>
          <w:p w14:paraId="5DDF1D81">
            <w:pPr>
              <w:spacing w:line="360" w:lineRule="auto"/>
              <w:jc w:val="center"/>
              <w:rPr>
                <w:rFonts w:ascii="宋体" w:hAnsi="宋体" w:eastAsia="宋体" w:cs="宋体"/>
                <w:szCs w:val="21"/>
              </w:rPr>
            </w:pPr>
            <w:r>
              <w:rPr>
                <w:rFonts w:hint="eastAsia" w:ascii="宋体" w:hAnsi="宋体" w:eastAsia="宋体" w:cs="宋体"/>
              </w:rPr>
              <w:t>5,953,890,054.62</w:t>
            </w:r>
          </w:p>
        </w:tc>
        <w:tc>
          <w:tcPr>
            <w:tcW w:w="1896" w:type="dxa"/>
            <w:vAlign w:val="center"/>
          </w:tcPr>
          <w:p w14:paraId="528ECF8D">
            <w:pPr>
              <w:spacing w:line="360" w:lineRule="auto"/>
              <w:jc w:val="center"/>
              <w:rPr>
                <w:rFonts w:ascii="宋体" w:hAnsi="宋体" w:eastAsia="宋体" w:cs="宋体"/>
                <w:szCs w:val="21"/>
                <w:highlight w:val="yellow"/>
              </w:rPr>
            </w:pPr>
            <w:r>
              <w:rPr>
                <w:rFonts w:hint="eastAsia" w:ascii="宋体" w:hAnsi="宋体" w:eastAsia="宋体" w:cs="宋体"/>
              </w:rPr>
              <w:t>-1,854,374,214.77</w:t>
            </w:r>
          </w:p>
        </w:tc>
        <w:tc>
          <w:tcPr>
            <w:tcW w:w="1896" w:type="dxa"/>
            <w:vAlign w:val="center"/>
          </w:tcPr>
          <w:p w14:paraId="1868447A">
            <w:pPr>
              <w:spacing w:line="360" w:lineRule="auto"/>
              <w:jc w:val="center"/>
              <w:rPr>
                <w:rFonts w:ascii="宋体" w:hAnsi="宋体" w:eastAsia="宋体" w:cs="宋体"/>
                <w:szCs w:val="21"/>
                <w:highlight w:val="yellow"/>
              </w:rPr>
            </w:pPr>
            <w:r>
              <w:rPr>
                <w:rFonts w:hint="eastAsia" w:ascii="宋体" w:hAnsi="宋体" w:eastAsia="宋体" w:cs="宋体"/>
              </w:rPr>
              <w:t>4,099,515,839.85</w:t>
            </w:r>
          </w:p>
        </w:tc>
      </w:tr>
      <w:tr w14:paraId="0D05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continue"/>
            <w:vAlign w:val="center"/>
          </w:tcPr>
          <w:p w14:paraId="7F00AA05">
            <w:pPr>
              <w:spacing w:line="360" w:lineRule="auto"/>
              <w:jc w:val="center"/>
              <w:rPr>
                <w:rFonts w:ascii="宋体" w:hAnsi="宋体" w:eastAsia="宋体" w:cs="宋体"/>
                <w:b/>
                <w:bCs/>
              </w:rPr>
            </w:pPr>
          </w:p>
        </w:tc>
        <w:tc>
          <w:tcPr>
            <w:tcW w:w="1445" w:type="dxa"/>
            <w:vAlign w:val="center"/>
          </w:tcPr>
          <w:p w14:paraId="68234120">
            <w:pPr>
              <w:spacing w:line="360" w:lineRule="auto"/>
              <w:jc w:val="center"/>
            </w:pPr>
            <w:r>
              <w:rPr>
                <w:rFonts w:hint="eastAsia"/>
              </w:rPr>
              <w:t>营业成本</w:t>
            </w:r>
          </w:p>
        </w:tc>
        <w:tc>
          <w:tcPr>
            <w:tcW w:w="1896" w:type="dxa"/>
            <w:vAlign w:val="center"/>
          </w:tcPr>
          <w:p w14:paraId="6EC9BBCF">
            <w:pPr>
              <w:spacing w:line="360" w:lineRule="auto"/>
              <w:jc w:val="center"/>
              <w:rPr>
                <w:rFonts w:ascii="宋体" w:hAnsi="宋体" w:eastAsia="宋体" w:cs="宋体"/>
              </w:rPr>
            </w:pPr>
            <w:r>
              <w:rPr>
                <w:rFonts w:ascii="宋体" w:hAnsi="宋体" w:eastAsia="宋体" w:cs="宋体"/>
              </w:rPr>
              <w:t>5,604,797,098.06</w:t>
            </w:r>
          </w:p>
        </w:tc>
        <w:tc>
          <w:tcPr>
            <w:tcW w:w="1896" w:type="dxa"/>
            <w:vAlign w:val="center"/>
          </w:tcPr>
          <w:p w14:paraId="286823B5">
            <w:pPr>
              <w:spacing w:line="360" w:lineRule="auto"/>
              <w:jc w:val="center"/>
              <w:rPr>
                <w:rFonts w:ascii="宋体" w:hAnsi="宋体" w:eastAsia="宋体" w:cs="宋体"/>
              </w:rPr>
            </w:pPr>
            <w:r>
              <w:rPr>
                <w:rFonts w:hint="eastAsia" w:ascii="宋体" w:hAnsi="宋体" w:eastAsia="宋体" w:cs="宋体"/>
              </w:rPr>
              <w:t>-1,854,374,214.77</w:t>
            </w:r>
          </w:p>
        </w:tc>
        <w:tc>
          <w:tcPr>
            <w:tcW w:w="1896" w:type="dxa"/>
            <w:vAlign w:val="center"/>
          </w:tcPr>
          <w:p w14:paraId="6069474F">
            <w:pPr>
              <w:spacing w:line="360" w:lineRule="auto"/>
              <w:jc w:val="center"/>
              <w:rPr>
                <w:rFonts w:ascii="宋体" w:hAnsi="宋体" w:eastAsia="宋体" w:cs="宋体"/>
              </w:rPr>
            </w:pPr>
            <w:r>
              <w:rPr>
                <w:rFonts w:ascii="宋体" w:hAnsi="宋体" w:eastAsia="宋体" w:cs="宋体"/>
              </w:rPr>
              <w:t>3,750,422,883.29</w:t>
            </w:r>
          </w:p>
        </w:tc>
      </w:tr>
      <w:tr w14:paraId="4D84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restart"/>
            <w:vAlign w:val="center"/>
          </w:tcPr>
          <w:p w14:paraId="43459365">
            <w:pPr>
              <w:spacing w:line="360" w:lineRule="auto"/>
              <w:jc w:val="center"/>
              <w:rPr>
                <w:rFonts w:ascii="宋体" w:hAnsi="宋体" w:eastAsia="宋体" w:cs="宋体"/>
                <w:b/>
                <w:bCs/>
              </w:rPr>
            </w:pPr>
            <w:r>
              <w:rPr>
                <w:rFonts w:hint="eastAsia" w:ascii="宋体" w:hAnsi="宋体" w:eastAsia="宋体" w:cs="宋体"/>
                <w:b/>
                <w:bCs/>
              </w:rPr>
              <w:t>2025年第三季度</w:t>
            </w:r>
          </w:p>
          <w:p w14:paraId="274A1C84">
            <w:pPr>
              <w:spacing w:line="360" w:lineRule="auto"/>
              <w:jc w:val="center"/>
              <w:rPr>
                <w:rFonts w:ascii="宋体" w:hAnsi="宋体" w:eastAsia="宋体" w:cs="宋体"/>
                <w:b/>
                <w:bCs/>
              </w:rPr>
            </w:pPr>
            <w:r>
              <w:rPr>
                <w:rFonts w:hint="eastAsia" w:ascii="宋体" w:hAnsi="宋体" w:eastAsia="宋体" w:cs="宋体"/>
                <w:b/>
                <w:bCs/>
              </w:rPr>
              <w:t>（1月-9月）</w:t>
            </w:r>
          </w:p>
        </w:tc>
        <w:tc>
          <w:tcPr>
            <w:tcW w:w="1445" w:type="dxa"/>
            <w:vAlign w:val="center"/>
          </w:tcPr>
          <w:p w14:paraId="24ED021D">
            <w:pPr>
              <w:spacing w:line="360" w:lineRule="auto"/>
              <w:jc w:val="center"/>
              <w:rPr>
                <w:szCs w:val="21"/>
              </w:rPr>
            </w:pPr>
            <w:r>
              <w:rPr>
                <w:rFonts w:hint="eastAsia"/>
              </w:rPr>
              <w:t>营业收入</w:t>
            </w:r>
          </w:p>
        </w:tc>
        <w:tc>
          <w:tcPr>
            <w:tcW w:w="1896" w:type="dxa"/>
            <w:vAlign w:val="center"/>
          </w:tcPr>
          <w:p w14:paraId="100B4A8C">
            <w:pPr>
              <w:spacing w:line="360" w:lineRule="auto"/>
              <w:jc w:val="center"/>
              <w:rPr>
                <w:rFonts w:ascii="宋体" w:hAnsi="宋体" w:eastAsia="宋体" w:cs="宋体"/>
                <w:szCs w:val="21"/>
              </w:rPr>
            </w:pPr>
            <w:r>
              <w:rPr>
                <w:rFonts w:hint="eastAsia" w:ascii="宋体" w:hAnsi="宋体" w:eastAsia="宋体" w:cs="宋体"/>
              </w:rPr>
              <w:t>8,873,354,167.25</w:t>
            </w:r>
          </w:p>
        </w:tc>
        <w:tc>
          <w:tcPr>
            <w:tcW w:w="1896" w:type="dxa"/>
            <w:vAlign w:val="center"/>
          </w:tcPr>
          <w:p w14:paraId="51B681E5">
            <w:pPr>
              <w:spacing w:line="360" w:lineRule="auto"/>
              <w:jc w:val="center"/>
              <w:rPr>
                <w:rFonts w:ascii="宋体" w:hAnsi="宋体" w:eastAsia="宋体" w:cs="宋体"/>
                <w:szCs w:val="21"/>
                <w:highlight w:val="yellow"/>
              </w:rPr>
            </w:pPr>
            <w:r>
              <w:rPr>
                <w:rFonts w:hint="eastAsia" w:ascii="宋体" w:hAnsi="宋体" w:eastAsia="宋体" w:cs="宋体"/>
              </w:rPr>
              <w:t>-3,109,027,995.99</w:t>
            </w:r>
          </w:p>
        </w:tc>
        <w:tc>
          <w:tcPr>
            <w:tcW w:w="1896" w:type="dxa"/>
            <w:vAlign w:val="center"/>
          </w:tcPr>
          <w:p w14:paraId="58E9ADE4">
            <w:pPr>
              <w:spacing w:line="360" w:lineRule="auto"/>
              <w:jc w:val="center"/>
              <w:rPr>
                <w:rFonts w:ascii="宋体" w:hAnsi="宋体" w:eastAsia="宋体" w:cs="宋体"/>
                <w:szCs w:val="21"/>
                <w:highlight w:val="yellow"/>
              </w:rPr>
            </w:pPr>
            <w:r>
              <w:rPr>
                <w:rFonts w:hint="eastAsia" w:ascii="宋体" w:hAnsi="宋体" w:eastAsia="宋体" w:cs="宋体"/>
              </w:rPr>
              <w:t>5,764,326,171.26</w:t>
            </w:r>
          </w:p>
        </w:tc>
      </w:tr>
      <w:tr w14:paraId="270E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vMerge w:val="continue"/>
            <w:vAlign w:val="center"/>
          </w:tcPr>
          <w:p w14:paraId="06330DCB">
            <w:pPr>
              <w:spacing w:line="360" w:lineRule="auto"/>
              <w:jc w:val="center"/>
              <w:rPr>
                <w:rFonts w:ascii="宋体" w:hAnsi="宋体" w:eastAsia="宋体" w:cs="宋体"/>
              </w:rPr>
            </w:pPr>
          </w:p>
        </w:tc>
        <w:tc>
          <w:tcPr>
            <w:tcW w:w="1445" w:type="dxa"/>
            <w:vAlign w:val="center"/>
          </w:tcPr>
          <w:p w14:paraId="3DCAC29A">
            <w:pPr>
              <w:spacing w:line="360" w:lineRule="auto"/>
              <w:jc w:val="center"/>
            </w:pPr>
            <w:r>
              <w:rPr>
                <w:rFonts w:hint="eastAsia"/>
              </w:rPr>
              <w:t>营业成本</w:t>
            </w:r>
          </w:p>
        </w:tc>
        <w:tc>
          <w:tcPr>
            <w:tcW w:w="1896" w:type="dxa"/>
            <w:vAlign w:val="center"/>
          </w:tcPr>
          <w:p w14:paraId="5077A84B">
            <w:pPr>
              <w:spacing w:line="360" w:lineRule="auto"/>
              <w:jc w:val="center"/>
              <w:rPr>
                <w:rFonts w:ascii="宋体" w:hAnsi="宋体" w:eastAsia="宋体" w:cs="宋体"/>
              </w:rPr>
            </w:pPr>
            <w:r>
              <w:rPr>
                <w:rFonts w:ascii="宋体" w:hAnsi="宋体" w:eastAsia="宋体" w:cs="宋体"/>
              </w:rPr>
              <w:t>8,372,604,504.72</w:t>
            </w:r>
          </w:p>
        </w:tc>
        <w:tc>
          <w:tcPr>
            <w:tcW w:w="1896" w:type="dxa"/>
            <w:vAlign w:val="center"/>
          </w:tcPr>
          <w:p w14:paraId="13CFAF7C">
            <w:pPr>
              <w:spacing w:line="360" w:lineRule="auto"/>
              <w:jc w:val="center"/>
              <w:rPr>
                <w:rFonts w:ascii="宋体" w:hAnsi="宋体" w:eastAsia="宋体" w:cs="宋体"/>
              </w:rPr>
            </w:pPr>
            <w:r>
              <w:rPr>
                <w:rFonts w:hint="eastAsia" w:ascii="宋体" w:hAnsi="宋体" w:eastAsia="宋体" w:cs="宋体"/>
              </w:rPr>
              <w:t>-3,109,027,995.99</w:t>
            </w:r>
          </w:p>
        </w:tc>
        <w:tc>
          <w:tcPr>
            <w:tcW w:w="1896" w:type="dxa"/>
            <w:vAlign w:val="center"/>
          </w:tcPr>
          <w:p w14:paraId="076299F3">
            <w:pPr>
              <w:spacing w:line="360" w:lineRule="auto"/>
              <w:jc w:val="center"/>
              <w:rPr>
                <w:rFonts w:ascii="宋体" w:hAnsi="宋体" w:eastAsia="宋体" w:cs="宋体"/>
              </w:rPr>
            </w:pPr>
            <w:r>
              <w:rPr>
                <w:rFonts w:ascii="宋体" w:hAnsi="宋体" w:eastAsia="宋体" w:cs="宋体"/>
              </w:rPr>
              <w:t>5,263,576,508.73</w:t>
            </w:r>
          </w:p>
        </w:tc>
      </w:tr>
    </w:tbl>
    <w:p w14:paraId="548D50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b/>
          <w:bCs/>
          <w:sz w:val="24"/>
        </w:rPr>
      </w:pPr>
      <w:r>
        <w:rPr>
          <w:rFonts w:hint="eastAsia"/>
          <w:b/>
          <w:bCs/>
          <w:sz w:val="24"/>
          <w:lang w:val="en-US" w:eastAsia="zh-CN"/>
        </w:rPr>
        <w:t>二、</w:t>
      </w:r>
      <w:r>
        <w:rPr>
          <w:rFonts w:hint="eastAsia"/>
          <w:b/>
          <w:bCs/>
          <w:sz w:val="24"/>
        </w:rPr>
        <w:t>前期差错更正对公司的影响</w:t>
      </w:r>
    </w:p>
    <w:p w14:paraId="036E95F8">
      <w:pPr>
        <w:numPr>
          <w:ilvl w:val="0"/>
          <w:numId w:val="1"/>
        </w:numPr>
        <w:spacing w:line="360" w:lineRule="auto"/>
        <w:ind w:firstLine="480" w:firstLineChars="200"/>
        <w:rPr>
          <w:rFonts w:ascii="宋体" w:hAnsi="宋体" w:eastAsia="宋体" w:cs="宋体"/>
          <w:sz w:val="24"/>
        </w:rPr>
      </w:pPr>
      <w:r>
        <w:rPr>
          <w:rFonts w:hint="eastAsia" w:ascii="宋体" w:hAnsi="宋体" w:eastAsia="宋体" w:cs="宋体"/>
          <w:sz w:val="24"/>
        </w:rPr>
        <w:t>本次前期会计差错更正主要是对公司2025年第一季度报告、</w:t>
      </w:r>
      <w:r>
        <w:rPr>
          <w:rFonts w:hint="eastAsia" w:ascii="宋体" w:hAnsi="宋体" w:cs="宋体"/>
          <w:sz w:val="24"/>
          <w:lang w:val="en-US" w:eastAsia="zh-CN"/>
        </w:rPr>
        <w:t>2025年</w:t>
      </w:r>
      <w:r>
        <w:rPr>
          <w:rFonts w:hint="eastAsia" w:ascii="宋体" w:hAnsi="宋体" w:eastAsia="宋体" w:cs="宋体"/>
          <w:sz w:val="24"/>
        </w:rPr>
        <w:t>半年度报告及</w:t>
      </w:r>
      <w:r>
        <w:rPr>
          <w:rFonts w:hint="eastAsia" w:ascii="宋体" w:hAnsi="宋体" w:cs="宋体"/>
          <w:sz w:val="24"/>
          <w:lang w:val="en-US" w:eastAsia="zh-CN"/>
        </w:rPr>
        <w:t>2025年</w:t>
      </w:r>
      <w:bookmarkStart w:id="0" w:name="_GoBack"/>
      <w:bookmarkEnd w:id="0"/>
      <w:r>
        <w:rPr>
          <w:rFonts w:hint="eastAsia" w:ascii="宋体" w:hAnsi="宋体" w:eastAsia="宋体" w:cs="宋体"/>
          <w:sz w:val="24"/>
        </w:rPr>
        <w:t>第三季度报告的营业收入和营业成本进行调减，不影响公司总资产、净资产、归属于上市公司股东的净利润及经营活动现金流量净额等财务信息。</w:t>
      </w:r>
    </w:p>
    <w:p w14:paraId="3363538C">
      <w:pPr>
        <w:numPr>
          <w:ilvl w:val="0"/>
          <w:numId w:val="1"/>
        </w:numPr>
        <w:spacing w:line="360" w:lineRule="auto"/>
        <w:ind w:firstLine="480" w:firstLineChars="200"/>
        <w:rPr>
          <w:rFonts w:ascii="宋体" w:hAnsi="宋体" w:eastAsia="宋体" w:cs="宋体"/>
          <w:sz w:val="24"/>
        </w:rPr>
      </w:pPr>
      <w:r>
        <w:rPr>
          <w:rFonts w:hint="eastAsia" w:ascii="宋体" w:hAnsi="宋体" w:eastAsia="宋体" w:cs="宋体"/>
          <w:sz w:val="24"/>
        </w:rPr>
        <w:t>本次前期会计差错更正不涉及公司核心业务、经营模式的重大变化，更正后公司财务信息将更加真实准确，不会对公司持续经营能力产生重大不利影响。</w:t>
      </w:r>
    </w:p>
    <w:p w14:paraId="792A535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b/>
          <w:bCs/>
          <w:sz w:val="24"/>
          <w:lang w:val="en-US" w:eastAsia="zh-CN"/>
        </w:rPr>
      </w:pPr>
      <w:r>
        <w:rPr>
          <w:rFonts w:hint="eastAsia"/>
          <w:b/>
          <w:bCs/>
          <w:sz w:val="24"/>
          <w:lang w:val="en-US" w:eastAsia="zh-CN"/>
        </w:rPr>
        <w:t>审计委员会审议意见</w:t>
      </w:r>
    </w:p>
    <w:p w14:paraId="38E7E7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lang w:val="en-US" w:eastAsia="zh-CN"/>
        </w:rPr>
      </w:pPr>
      <w:r>
        <w:rPr>
          <w:rFonts w:hint="eastAsia"/>
          <w:b w:val="0"/>
          <w:bCs w:val="0"/>
          <w:sz w:val="24"/>
          <w:lang w:val="en-US" w:eastAsia="zh-CN"/>
        </w:rPr>
        <w:t>公司第九届董事会审计委员会于2026年4月24日召开了第九届董事会审计委员会2026年第一次临时会议，审议通过了《关于前期会计差错更正的议案》，并同意提交公司董事会审议。审计委员会认为：此次前期会计差错更正是公司基于谨慎性原则对公司部分贸易业务收入由总额法调整为净额法，本次会计差错更正符合《企业会计准则第28号——会计政策、会计估计变更和差错更正》及《公开发行证券的公司信息披露编报规则第19号——财务信息的更正及相关披露》的有关规定。更正后的财务数据及财务报表能够客观、准确地反映公司财务状况和经营成果。本次会计差错更正不存在损害公司及全体股东，特别是中小股东利益的情形。</w:t>
      </w:r>
    </w:p>
    <w:p w14:paraId="3735C79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rPr>
          <w:rFonts w:hint="default"/>
          <w:b/>
          <w:bCs/>
          <w:sz w:val="24"/>
          <w:lang w:val="en-US" w:eastAsia="zh-CN"/>
        </w:rPr>
      </w:pPr>
      <w:r>
        <w:rPr>
          <w:rFonts w:hint="eastAsia"/>
          <w:b/>
          <w:bCs/>
          <w:sz w:val="24"/>
          <w:lang w:val="en-US" w:eastAsia="zh-CN"/>
        </w:rPr>
        <w:t>董事会审议意见</w:t>
      </w:r>
    </w:p>
    <w:p w14:paraId="7FC3B5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sz w:val="24"/>
          <w:lang w:val="en-US" w:eastAsia="zh-CN"/>
        </w:rPr>
      </w:pPr>
      <w:r>
        <w:rPr>
          <w:rFonts w:hint="eastAsia"/>
          <w:b w:val="0"/>
          <w:bCs w:val="0"/>
          <w:sz w:val="24"/>
          <w:lang w:val="en-US" w:eastAsia="zh-CN"/>
        </w:rPr>
        <w:t>公司于2026年4月28日召开了第九届董事会第四次会议，审议通过了《关于前期会计差错更正的议案》。董事会认为：本次前期会计差错更正涉及公司2025年第一季度报告、2025年半年度报告及2025年第三季度报告的营业收入和营业成本的调减，不涉及公司资产负债表及现金流量表的调整。本次前期会计差错更正符合《企业会计准则第28号——会计政策、会计估计变更和差错更正》和《公开发行证券的公司信息披露编报规则第19号——财务信息的更正及相关披露》等相关规定，更正后的财务数据及财务报表能够更加客观、准确、真实地反映公司财务状况、经营成果，本次会计差错更正是必要的、合理的。</w:t>
      </w:r>
    </w:p>
    <w:p w14:paraId="052BDBD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rPr>
          <w:rFonts w:hint="default"/>
          <w:b/>
          <w:bCs/>
          <w:sz w:val="24"/>
          <w:lang w:val="en-US" w:eastAsia="zh-CN"/>
        </w:rPr>
      </w:pPr>
      <w:r>
        <w:rPr>
          <w:rFonts w:hint="eastAsia"/>
          <w:b/>
          <w:bCs/>
          <w:sz w:val="24"/>
          <w:lang w:val="en-US" w:eastAsia="zh-CN"/>
        </w:rPr>
        <w:t>备查文件</w:t>
      </w:r>
    </w:p>
    <w:p w14:paraId="5353BE9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lang w:val="en-US" w:eastAsia="zh-CN"/>
        </w:rPr>
      </w:pPr>
      <w:r>
        <w:rPr>
          <w:rFonts w:hint="eastAsia" w:ascii="宋体" w:hAnsi="宋体" w:eastAsia="宋体" w:cs="宋体"/>
          <w:b w:val="0"/>
          <w:bCs w:val="0"/>
          <w:sz w:val="24"/>
          <w:lang w:val="en-US" w:eastAsia="zh-CN"/>
        </w:rPr>
        <w:t>第九届董事会审计委员会</w:t>
      </w:r>
      <w:r>
        <w:rPr>
          <w:rFonts w:hint="eastAsia" w:ascii="宋体" w:hAnsi="宋体" w:cs="宋体"/>
          <w:b w:val="0"/>
          <w:bCs w:val="0"/>
          <w:sz w:val="24"/>
          <w:lang w:val="en-US" w:eastAsia="zh-CN"/>
        </w:rPr>
        <w:t>2026年第一次临时会议决议；</w:t>
      </w:r>
    </w:p>
    <w:p w14:paraId="5140A35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lang w:val="en-US" w:eastAsia="zh-CN"/>
        </w:rPr>
      </w:pPr>
      <w:r>
        <w:rPr>
          <w:rFonts w:hint="eastAsia" w:ascii="宋体" w:hAnsi="宋体" w:cs="宋体"/>
          <w:b w:val="0"/>
          <w:bCs w:val="0"/>
          <w:sz w:val="24"/>
          <w:lang w:val="en-US" w:eastAsia="zh-CN"/>
        </w:rPr>
        <w:t>第九届董事会第四次会议决议。</w:t>
      </w:r>
    </w:p>
    <w:p w14:paraId="2E26F6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华孚时尚股份有限公司董事会</w:t>
      </w:r>
    </w:p>
    <w:p w14:paraId="2F9D21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宋体" w:hAnsi="宋体" w:eastAsia="宋体" w:cs="宋体"/>
          <w:sz w:val="24"/>
          <w:lang w:val="en-US" w:eastAsia="zh-CN"/>
        </w:rPr>
      </w:pPr>
      <w:r>
        <w:rPr>
          <w:rFonts w:hint="eastAsia" w:ascii="宋体" w:hAnsi="宋体" w:cs="宋体"/>
          <w:sz w:val="24"/>
          <w:lang w:val="en-US" w:eastAsia="zh-CN"/>
        </w:rPr>
        <w:t>二〇二六年四月二十九日</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BEA67"/>
    <w:multiLevelType w:val="singleLevel"/>
    <w:tmpl w:val="1B0BEA67"/>
    <w:lvl w:ilvl="0" w:tentative="0">
      <w:start w:val="1"/>
      <w:numFmt w:val="decimal"/>
      <w:suff w:val="nothing"/>
      <w:lvlText w:val="%1、"/>
      <w:lvlJc w:val="left"/>
    </w:lvl>
  </w:abstractNum>
  <w:abstractNum w:abstractNumId="1">
    <w:nsid w:val="382C619D"/>
    <w:multiLevelType w:val="singleLevel"/>
    <w:tmpl w:val="382C619D"/>
    <w:lvl w:ilvl="0" w:tentative="0">
      <w:start w:val="1"/>
      <w:numFmt w:val="decimal"/>
      <w:suff w:val="nothing"/>
      <w:lvlText w:val="%1、"/>
      <w:lvlJc w:val="left"/>
    </w:lvl>
  </w:abstractNum>
  <w:abstractNum w:abstractNumId="2">
    <w:nsid w:val="4C1DEEBB"/>
    <w:multiLevelType w:val="singleLevel"/>
    <w:tmpl w:val="4C1DEEBB"/>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D626A2"/>
    <w:rsid w:val="00000A31"/>
    <w:rsid w:val="00002F6F"/>
    <w:rsid w:val="0001275F"/>
    <w:rsid w:val="00013129"/>
    <w:rsid w:val="00021351"/>
    <w:rsid w:val="000256E5"/>
    <w:rsid w:val="0004135D"/>
    <w:rsid w:val="00052319"/>
    <w:rsid w:val="00060B43"/>
    <w:rsid w:val="000657CF"/>
    <w:rsid w:val="00070039"/>
    <w:rsid w:val="00070BEB"/>
    <w:rsid w:val="00083A1E"/>
    <w:rsid w:val="000A3A45"/>
    <w:rsid w:val="000D1EBD"/>
    <w:rsid w:val="000D22DF"/>
    <w:rsid w:val="000D2A73"/>
    <w:rsid w:val="000D64BC"/>
    <w:rsid w:val="000D7B4A"/>
    <w:rsid w:val="000D7B90"/>
    <w:rsid w:val="000E01C9"/>
    <w:rsid w:val="000E234A"/>
    <w:rsid w:val="000E43C3"/>
    <w:rsid w:val="00110CA2"/>
    <w:rsid w:val="0012338C"/>
    <w:rsid w:val="00126789"/>
    <w:rsid w:val="00137029"/>
    <w:rsid w:val="0015182F"/>
    <w:rsid w:val="001530AB"/>
    <w:rsid w:val="0015420D"/>
    <w:rsid w:val="00160828"/>
    <w:rsid w:val="001632C2"/>
    <w:rsid w:val="00165D54"/>
    <w:rsid w:val="00171561"/>
    <w:rsid w:val="001715A7"/>
    <w:rsid w:val="00180B0E"/>
    <w:rsid w:val="001834CB"/>
    <w:rsid w:val="00184703"/>
    <w:rsid w:val="00184D22"/>
    <w:rsid w:val="00185277"/>
    <w:rsid w:val="00186F56"/>
    <w:rsid w:val="00187E23"/>
    <w:rsid w:val="001A3815"/>
    <w:rsid w:val="001A66E3"/>
    <w:rsid w:val="001B3E7E"/>
    <w:rsid w:val="001C31F8"/>
    <w:rsid w:val="001C7578"/>
    <w:rsid w:val="001D0876"/>
    <w:rsid w:val="001D0B3F"/>
    <w:rsid w:val="001D4F3D"/>
    <w:rsid w:val="001F4856"/>
    <w:rsid w:val="001F5F6F"/>
    <w:rsid w:val="00200021"/>
    <w:rsid w:val="00210ADD"/>
    <w:rsid w:val="0021630B"/>
    <w:rsid w:val="00243B81"/>
    <w:rsid w:val="002459E5"/>
    <w:rsid w:val="00252B74"/>
    <w:rsid w:val="00266D36"/>
    <w:rsid w:val="00284894"/>
    <w:rsid w:val="00287EF9"/>
    <w:rsid w:val="002975E8"/>
    <w:rsid w:val="002A72AE"/>
    <w:rsid w:val="002B30D0"/>
    <w:rsid w:val="002C0F18"/>
    <w:rsid w:val="002C2EB7"/>
    <w:rsid w:val="002C72BA"/>
    <w:rsid w:val="002C757E"/>
    <w:rsid w:val="002D219D"/>
    <w:rsid w:val="002D5DC7"/>
    <w:rsid w:val="002E45F8"/>
    <w:rsid w:val="002F40BD"/>
    <w:rsid w:val="002F723E"/>
    <w:rsid w:val="00305ED9"/>
    <w:rsid w:val="00313C1F"/>
    <w:rsid w:val="00316E3A"/>
    <w:rsid w:val="003237AD"/>
    <w:rsid w:val="00331AF2"/>
    <w:rsid w:val="00335F4F"/>
    <w:rsid w:val="003450FD"/>
    <w:rsid w:val="0035055D"/>
    <w:rsid w:val="00350B56"/>
    <w:rsid w:val="00351712"/>
    <w:rsid w:val="00352723"/>
    <w:rsid w:val="003616B8"/>
    <w:rsid w:val="00372A5A"/>
    <w:rsid w:val="003754C2"/>
    <w:rsid w:val="003A59CA"/>
    <w:rsid w:val="003C4B22"/>
    <w:rsid w:val="003D4111"/>
    <w:rsid w:val="003E0AF0"/>
    <w:rsid w:val="003E3AAF"/>
    <w:rsid w:val="00402A1B"/>
    <w:rsid w:val="00411F64"/>
    <w:rsid w:val="00413E86"/>
    <w:rsid w:val="00416918"/>
    <w:rsid w:val="00424E52"/>
    <w:rsid w:val="004311AF"/>
    <w:rsid w:val="0043190C"/>
    <w:rsid w:val="00436A73"/>
    <w:rsid w:val="00440A16"/>
    <w:rsid w:val="00441B6B"/>
    <w:rsid w:val="004523F3"/>
    <w:rsid w:val="004777FD"/>
    <w:rsid w:val="004802C7"/>
    <w:rsid w:val="004803DF"/>
    <w:rsid w:val="004924BE"/>
    <w:rsid w:val="004926D8"/>
    <w:rsid w:val="0049507A"/>
    <w:rsid w:val="004A4ADE"/>
    <w:rsid w:val="004C37CA"/>
    <w:rsid w:val="004E58E3"/>
    <w:rsid w:val="004E7761"/>
    <w:rsid w:val="004F2E82"/>
    <w:rsid w:val="004F4E32"/>
    <w:rsid w:val="00501F03"/>
    <w:rsid w:val="00505F4A"/>
    <w:rsid w:val="005328F1"/>
    <w:rsid w:val="0053493B"/>
    <w:rsid w:val="005413A0"/>
    <w:rsid w:val="00546638"/>
    <w:rsid w:val="00551876"/>
    <w:rsid w:val="005537E3"/>
    <w:rsid w:val="005757EA"/>
    <w:rsid w:val="00583371"/>
    <w:rsid w:val="00590A6A"/>
    <w:rsid w:val="005945C8"/>
    <w:rsid w:val="005B0710"/>
    <w:rsid w:val="005B1AD1"/>
    <w:rsid w:val="005B1DCA"/>
    <w:rsid w:val="005B23C8"/>
    <w:rsid w:val="005B7DFA"/>
    <w:rsid w:val="005C6441"/>
    <w:rsid w:val="005C75CA"/>
    <w:rsid w:val="005D3177"/>
    <w:rsid w:val="005D40EC"/>
    <w:rsid w:val="005D52E6"/>
    <w:rsid w:val="005E5C49"/>
    <w:rsid w:val="005E7EA2"/>
    <w:rsid w:val="005F57FB"/>
    <w:rsid w:val="005F6803"/>
    <w:rsid w:val="006017EE"/>
    <w:rsid w:val="0060376C"/>
    <w:rsid w:val="006233A0"/>
    <w:rsid w:val="00627C9D"/>
    <w:rsid w:val="00630076"/>
    <w:rsid w:val="00630782"/>
    <w:rsid w:val="00631713"/>
    <w:rsid w:val="00633502"/>
    <w:rsid w:val="00635AF5"/>
    <w:rsid w:val="0063790A"/>
    <w:rsid w:val="006500B3"/>
    <w:rsid w:val="00657A24"/>
    <w:rsid w:val="00661EAC"/>
    <w:rsid w:val="00662024"/>
    <w:rsid w:val="006623F0"/>
    <w:rsid w:val="006656EE"/>
    <w:rsid w:val="00666BB4"/>
    <w:rsid w:val="006727FD"/>
    <w:rsid w:val="00677B15"/>
    <w:rsid w:val="00677C2A"/>
    <w:rsid w:val="00681C9C"/>
    <w:rsid w:val="006822AB"/>
    <w:rsid w:val="00691C84"/>
    <w:rsid w:val="006B53BC"/>
    <w:rsid w:val="006C4886"/>
    <w:rsid w:val="006C59B5"/>
    <w:rsid w:val="006D4EAB"/>
    <w:rsid w:val="006D4FF8"/>
    <w:rsid w:val="006F22DE"/>
    <w:rsid w:val="00702F2F"/>
    <w:rsid w:val="00710789"/>
    <w:rsid w:val="00720591"/>
    <w:rsid w:val="00730210"/>
    <w:rsid w:val="007307AA"/>
    <w:rsid w:val="007442EE"/>
    <w:rsid w:val="00766505"/>
    <w:rsid w:val="0077489E"/>
    <w:rsid w:val="00780D07"/>
    <w:rsid w:val="00784D37"/>
    <w:rsid w:val="00790F4F"/>
    <w:rsid w:val="00794BC0"/>
    <w:rsid w:val="007A071E"/>
    <w:rsid w:val="007A07DC"/>
    <w:rsid w:val="007A20FD"/>
    <w:rsid w:val="007B2843"/>
    <w:rsid w:val="007C65BF"/>
    <w:rsid w:val="007C6E5E"/>
    <w:rsid w:val="007D4D6E"/>
    <w:rsid w:val="007D5529"/>
    <w:rsid w:val="007E0306"/>
    <w:rsid w:val="007E3B18"/>
    <w:rsid w:val="007E4B5B"/>
    <w:rsid w:val="007F2F8E"/>
    <w:rsid w:val="007F69F6"/>
    <w:rsid w:val="00807458"/>
    <w:rsid w:val="00812DD8"/>
    <w:rsid w:val="00813681"/>
    <w:rsid w:val="0082741E"/>
    <w:rsid w:val="00832F59"/>
    <w:rsid w:val="0083454E"/>
    <w:rsid w:val="00836E12"/>
    <w:rsid w:val="00841BE8"/>
    <w:rsid w:val="00862A46"/>
    <w:rsid w:val="0086532C"/>
    <w:rsid w:val="00874E73"/>
    <w:rsid w:val="0088413B"/>
    <w:rsid w:val="008902B5"/>
    <w:rsid w:val="00896264"/>
    <w:rsid w:val="008A7663"/>
    <w:rsid w:val="008C3FCE"/>
    <w:rsid w:val="008C52B3"/>
    <w:rsid w:val="008C6660"/>
    <w:rsid w:val="008E2059"/>
    <w:rsid w:val="008E3080"/>
    <w:rsid w:val="008E730B"/>
    <w:rsid w:val="009021C8"/>
    <w:rsid w:val="009044B6"/>
    <w:rsid w:val="00911524"/>
    <w:rsid w:val="009125F3"/>
    <w:rsid w:val="009132B9"/>
    <w:rsid w:val="0091686D"/>
    <w:rsid w:val="0092188E"/>
    <w:rsid w:val="00934B40"/>
    <w:rsid w:val="00937EE2"/>
    <w:rsid w:val="009434EB"/>
    <w:rsid w:val="00954945"/>
    <w:rsid w:val="00957337"/>
    <w:rsid w:val="00966C54"/>
    <w:rsid w:val="00984674"/>
    <w:rsid w:val="0098757C"/>
    <w:rsid w:val="00987DD0"/>
    <w:rsid w:val="009C63D3"/>
    <w:rsid w:val="009D0419"/>
    <w:rsid w:val="009D1ECB"/>
    <w:rsid w:val="009E36F5"/>
    <w:rsid w:val="00A22881"/>
    <w:rsid w:val="00A25F5D"/>
    <w:rsid w:val="00A3142C"/>
    <w:rsid w:val="00A36295"/>
    <w:rsid w:val="00A501A8"/>
    <w:rsid w:val="00A711C9"/>
    <w:rsid w:val="00A7198D"/>
    <w:rsid w:val="00A73252"/>
    <w:rsid w:val="00A744E1"/>
    <w:rsid w:val="00A77DB8"/>
    <w:rsid w:val="00A91652"/>
    <w:rsid w:val="00A93DB2"/>
    <w:rsid w:val="00AA2B43"/>
    <w:rsid w:val="00AB63DB"/>
    <w:rsid w:val="00AC3FD7"/>
    <w:rsid w:val="00AC591E"/>
    <w:rsid w:val="00AC65AC"/>
    <w:rsid w:val="00AD171C"/>
    <w:rsid w:val="00AD71F9"/>
    <w:rsid w:val="00AE23CC"/>
    <w:rsid w:val="00B0350E"/>
    <w:rsid w:val="00B1095D"/>
    <w:rsid w:val="00B25138"/>
    <w:rsid w:val="00B32486"/>
    <w:rsid w:val="00B36E52"/>
    <w:rsid w:val="00B40F01"/>
    <w:rsid w:val="00B56139"/>
    <w:rsid w:val="00B56959"/>
    <w:rsid w:val="00B65E90"/>
    <w:rsid w:val="00B74508"/>
    <w:rsid w:val="00B751EC"/>
    <w:rsid w:val="00B917B7"/>
    <w:rsid w:val="00BB059C"/>
    <w:rsid w:val="00BB107D"/>
    <w:rsid w:val="00BB63B8"/>
    <w:rsid w:val="00BC0D0B"/>
    <w:rsid w:val="00BC1199"/>
    <w:rsid w:val="00BD0D56"/>
    <w:rsid w:val="00BE5913"/>
    <w:rsid w:val="00BF13AE"/>
    <w:rsid w:val="00C00B1F"/>
    <w:rsid w:val="00C0416B"/>
    <w:rsid w:val="00C16858"/>
    <w:rsid w:val="00C2259A"/>
    <w:rsid w:val="00C32301"/>
    <w:rsid w:val="00C46657"/>
    <w:rsid w:val="00C47E1A"/>
    <w:rsid w:val="00C509A6"/>
    <w:rsid w:val="00C54F8C"/>
    <w:rsid w:val="00C63C1B"/>
    <w:rsid w:val="00C810B8"/>
    <w:rsid w:val="00C90F93"/>
    <w:rsid w:val="00CA08CC"/>
    <w:rsid w:val="00CA3B24"/>
    <w:rsid w:val="00CB053E"/>
    <w:rsid w:val="00CC2E7E"/>
    <w:rsid w:val="00CD5759"/>
    <w:rsid w:val="00CD7986"/>
    <w:rsid w:val="00CE6D5D"/>
    <w:rsid w:val="00CF0030"/>
    <w:rsid w:val="00CF37A4"/>
    <w:rsid w:val="00D00526"/>
    <w:rsid w:val="00D20A26"/>
    <w:rsid w:val="00D22568"/>
    <w:rsid w:val="00D25FAA"/>
    <w:rsid w:val="00D37DF5"/>
    <w:rsid w:val="00D5016C"/>
    <w:rsid w:val="00D60687"/>
    <w:rsid w:val="00D60A9F"/>
    <w:rsid w:val="00D626A2"/>
    <w:rsid w:val="00D6448A"/>
    <w:rsid w:val="00D653DB"/>
    <w:rsid w:val="00D73F1D"/>
    <w:rsid w:val="00D75F1F"/>
    <w:rsid w:val="00D76EF2"/>
    <w:rsid w:val="00D8145B"/>
    <w:rsid w:val="00D81977"/>
    <w:rsid w:val="00D82373"/>
    <w:rsid w:val="00D851B2"/>
    <w:rsid w:val="00D863A3"/>
    <w:rsid w:val="00D935B2"/>
    <w:rsid w:val="00DA360D"/>
    <w:rsid w:val="00DB1C9D"/>
    <w:rsid w:val="00DB3F61"/>
    <w:rsid w:val="00DB5FA5"/>
    <w:rsid w:val="00DB72A8"/>
    <w:rsid w:val="00DC0489"/>
    <w:rsid w:val="00DD0930"/>
    <w:rsid w:val="00DF020B"/>
    <w:rsid w:val="00E028A0"/>
    <w:rsid w:val="00E06B1E"/>
    <w:rsid w:val="00E16723"/>
    <w:rsid w:val="00E33E06"/>
    <w:rsid w:val="00E37B93"/>
    <w:rsid w:val="00E45452"/>
    <w:rsid w:val="00E5293E"/>
    <w:rsid w:val="00E63E86"/>
    <w:rsid w:val="00E73730"/>
    <w:rsid w:val="00E915FA"/>
    <w:rsid w:val="00E9358F"/>
    <w:rsid w:val="00E96A5D"/>
    <w:rsid w:val="00EA3301"/>
    <w:rsid w:val="00EB4BE2"/>
    <w:rsid w:val="00EC4B4C"/>
    <w:rsid w:val="00EF20B7"/>
    <w:rsid w:val="00EF238D"/>
    <w:rsid w:val="00F01039"/>
    <w:rsid w:val="00F0485A"/>
    <w:rsid w:val="00F060F0"/>
    <w:rsid w:val="00F153A9"/>
    <w:rsid w:val="00F1624B"/>
    <w:rsid w:val="00F220EC"/>
    <w:rsid w:val="00F24253"/>
    <w:rsid w:val="00F300C6"/>
    <w:rsid w:val="00F342A9"/>
    <w:rsid w:val="00F54AEF"/>
    <w:rsid w:val="00F758CC"/>
    <w:rsid w:val="00F75E1E"/>
    <w:rsid w:val="00F83ECE"/>
    <w:rsid w:val="00F97DB8"/>
    <w:rsid w:val="00FA31FF"/>
    <w:rsid w:val="00FA5D26"/>
    <w:rsid w:val="00FB722A"/>
    <w:rsid w:val="00FC0025"/>
    <w:rsid w:val="00FC4753"/>
    <w:rsid w:val="00FD04CE"/>
    <w:rsid w:val="082D763D"/>
    <w:rsid w:val="12D76349"/>
    <w:rsid w:val="13DD45B2"/>
    <w:rsid w:val="18642BDE"/>
    <w:rsid w:val="254775A5"/>
    <w:rsid w:val="26887D7C"/>
    <w:rsid w:val="26F24024"/>
    <w:rsid w:val="28094EEC"/>
    <w:rsid w:val="2B585947"/>
    <w:rsid w:val="332D7CE1"/>
    <w:rsid w:val="42454C82"/>
    <w:rsid w:val="43521D1A"/>
    <w:rsid w:val="4D0F7FFF"/>
    <w:rsid w:val="4F692977"/>
    <w:rsid w:val="4FDE2856"/>
    <w:rsid w:val="56B440F1"/>
    <w:rsid w:val="579D4A3A"/>
    <w:rsid w:val="5C732359"/>
    <w:rsid w:val="61706E67"/>
    <w:rsid w:val="66482D99"/>
    <w:rsid w:val="6A4A41F6"/>
    <w:rsid w:val="6ACE38B7"/>
    <w:rsid w:val="759C7DD3"/>
    <w:rsid w:val="76FE0EC5"/>
    <w:rsid w:val="776E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5F217-C321-4C49-A7EB-C8094F7C649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1430</Words>
  <Characters>1769</Characters>
  <Lines>91</Lines>
  <Paragraphs>25</Paragraphs>
  <TotalTime>13</TotalTime>
  <ScaleCrop>false</ScaleCrop>
  <LinksUpToDate>false</LinksUpToDate>
  <CharactersWithSpaces>1796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2025-04-23T10:05:00Z</dcterms:created>
  <dc:creator>杨溶</dc:creator>
  <cp:lastModifiedBy>WSY</cp:lastModifiedBy>
  <cp:lastPrinted>2018-04-24T08:02:00Z</cp:lastPrinted>
  <dcterms:modified xsi:type="dcterms:W3CDTF">2026-04-27T03:57:05Z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B5934D0FB7B1494B89C81431E46DC643_13</vt:lpwstr>
  </property>
  <property fmtid="{D5CDD505-2E9C-101B-9397-08002B2CF9AE}" pid="4" name="KSOTemplateDocerSaveRecord">
    <vt:lpwstr>eyJoZGlkIjoiMGYyMzhhMzNmNzJhMTU4YjMxZTc1YjkyNzFjZGE5ZTciLCJ1c2VySWQiOiIyNjU0NTI1NDMifQ==</vt:lpwstr>
  </property>
</Properties>
</file>