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5C153">
      <w:pPr>
        <w:spacing w:line="360" w:lineRule="auto"/>
        <w:jc w:val="center"/>
        <w:rPr>
          <w:rFonts w:hint="eastAsia" w:ascii="黑体" w:hAnsi="黑体" w:eastAsia="黑体"/>
          <w:b/>
          <w:kern w:val="0"/>
          <w:szCs w:val="21"/>
          <w:lang w:eastAsia="zh-CN"/>
        </w:rPr>
      </w:pPr>
      <w:r>
        <w:rPr>
          <w:rFonts w:ascii="黑体" w:hAnsi="黑体" w:eastAsia="黑体"/>
          <w:bCs/>
          <w:kern w:val="0"/>
          <w:szCs w:val="21"/>
        </w:rPr>
        <w:t xml:space="preserve">证券代码：002042      </w:t>
      </w:r>
      <w:r>
        <w:rPr>
          <w:rFonts w:hint="eastAsia" w:ascii="黑体" w:hAnsi="黑体" w:eastAsia="黑体"/>
          <w:bCs/>
          <w:kern w:val="0"/>
          <w:szCs w:val="21"/>
        </w:rPr>
        <w:t xml:space="preserve">      </w:t>
      </w:r>
      <w:r>
        <w:rPr>
          <w:rFonts w:ascii="黑体" w:hAnsi="黑体" w:eastAsia="黑体"/>
          <w:bCs/>
          <w:kern w:val="0"/>
          <w:szCs w:val="21"/>
        </w:rPr>
        <w:t xml:space="preserve">   证券简称：华孚时尚    </w:t>
      </w:r>
      <w:r>
        <w:rPr>
          <w:rFonts w:hint="eastAsia" w:ascii="黑体" w:hAnsi="黑体" w:eastAsia="黑体"/>
          <w:bCs/>
          <w:kern w:val="0"/>
          <w:szCs w:val="21"/>
        </w:rPr>
        <w:t xml:space="preserve">      </w:t>
      </w:r>
      <w:r>
        <w:rPr>
          <w:rFonts w:ascii="黑体" w:hAnsi="黑体" w:eastAsia="黑体"/>
          <w:bCs/>
          <w:kern w:val="0"/>
          <w:szCs w:val="21"/>
        </w:rPr>
        <w:t xml:space="preserve">   公告编号：20</w:t>
      </w:r>
      <w:r>
        <w:rPr>
          <w:rFonts w:hint="eastAsia" w:ascii="黑体" w:hAnsi="黑体" w:eastAsia="黑体"/>
          <w:bCs/>
          <w:kern w:val="0"/>
          <w:szCs w:val="21"/>
        </w:rPr>
        <w:t>2</w:t>
      </w:r>
      <w:r>
        <w:rPr>
          <w:rFonts w:hint="eastAsia" w:ascii="黑体" w:hAnsi="黑体" w:eastAsia="黑体"/>
          <w:bCs/>
          <w:kern w:val="0"/>
          <w:szCs w:val="21"/>
          <w:lang w:val="en-US" w:eastAsia="zh-CN"/>
        </w:rPr>
        <w:t>6</w:t>
      </w:r>
      <w:r>
        <w:rPr>
          <w:rFonts w:hint="eastAsia" w:ascii="黑体" w:hAnsi="黑体" w:eastAsia="黑体"/>
          <w:bCs/>
          <w:kern w:val="0"/>
          <w:szCs w:val="21"/>
        </w:rPr>
        <w:t>-1</w:t>
      </w:r>
      <w:r>
        <w:rPr>
          <w:rFonts w:hint="eastAsia" w:ascii="黑体" w:hAnsi="黑体" w:eastAsia="黑体"/>
          <w:bCs/>
          <w:kern w:val="0"/>
          <w:szCs w:val="21"/>
          <w:lang w:val="en-US" w:eastAsia="zh-CN"/>
        </w:rPr>
        <w:t>6</w:t>
      </w:r>
    </w:p>
    <w:p w14:paraId="3AEE561E">
      <w:pPr>
        <w:widowControl/>
        <w:spacing w:line="800" w:lineRule="exact"/>
        <w:jc w:val="center"/>
        <w:rPr>
          <w:rFonts w:asciiTheme="minorEastAsia" w:hAnsiTheme="minorEastAsia" w:eastAsiaTheme="minorEastAsia"/>
          <w:b/>
          <w:kern w:val="0"/>
          <w:sz w:val="36"/>
          <w:szCs w:val="36"/>
        </w:rPr>
      </w:pPr>
      <w:r>
        <w:rPr>
          <w:rFonts w:asciiTheme="minorEastAsia" w:hAnsiTheme="minorEastAsia" w:eastAsiaTheme="minorEastAsia"/>
          <w:b/>
          <w:kern w:val="0"/>
          <w:sz w:val="36"/>
          <w:szCs w:val="36"/>
        </w:rPr>
        <w:t>华孚时尚股份有限公司</w:t>
      </w:r>
    </w:p>
    <w:p w14:paraId="6689134F">
      <w:pPr>
        <w:widowControl/>
        <w:spacing w:line="800" w:lineRule="exact"/>
        <w:jc w:val="center"/>
        <w:rPr>
          <w:rFonts w:asciiTheme="minorEastAsia" w:hAnsiTheme="minorEastAsia" w:eastAsiaTheme="minorEastAsia"/>
          <w:b/>
          <w:kern w:val="0"/>
          <w:sz w:val="36"/>
          <w:szCs w:val="36"/>
        </w:rPr>
      </w:pPr>
      <w:r>
        <w:rPr>
          <w:rFonts w:asciiTheme="minorEastAsia" w:hAnsiTheme="minorEastAsia" w:eastAsiaTheme="minorEastAsia"/>
          <w:b/>
          <w:kern w:val="0"/>
          <w:sz w:val="36"/>
          <w:szCs w:val="36"/>
        </w:rPr>
        <w:t>关于预计</w:t>
      </w:r>
      <w:r>
        <w:rPr>
          <w:rFonts w:hint="eastAsia" w:asciiTheme="minorEastAsia" w:hAnsiTheme="minorEastAsia" w:eastAsiaTheme="minorEastAsia"/>
          <w:b/>
          <w:kern w:val="0"/>
          <w:sz w:val="36"/>
          <w:szCs w:val="36"/>
          <w:lang w:val="en-US" w:eastAsia="zh-CN"/>
        </w:rPr>
        <w:t>2026</w:t>
      </w:r>
      <w:r>
        <w:rPr>
          <w:rFonts w:asciiTheme="minorEastAsia" w:hAnsiTheme="minorEastAsia" w:eastAsiaTheme="minorEastAsia"/>
          <w:b/>
          <w:kern w:val="0"/>
          <w:sz w:val="36"/>
          <w:szCs w:val="36"/>
        </w:rPr>
        <w:t>年度参与期货</w:t>
      </w:r>
      <w:r>
        <w:rPr>
          <w:rFonts w:hint="eastAsia" w:asciiTheme="minorEastAsia" w:hAnsiTheme="minorEastAsia" w:eastAsiaTheme="minorEastAsia"/>
          <w:b/>
          <w:kern w:val="0"/>
          <w:sz w:val="36"/>
          <w:szCs w:val="36"/>
        </w:rPr>
        <w:t>套期保值</w:t>
      </w:r>
      <w:r>
        <w:rPr>
          <w:rFonts w:asciiTheme="minorEastAsia" w:hAnsiTheme="minorEastAsia" w:eastAsiaTheme="minorEastAsia"/>
          <w:b/>
          <w:kern w:val="0"/>
          <w:sz w:val="36"/>
          <w:szCs w:val="36"/>
        </w:rPr>
        <w:t>交易事项</w:t>
      </w:r>
    </w:p>
    <w:p w14:paraId="52772875">
      <w:pPr>
        <w:widowControl/>
        <w:spacing w:line="800" w:lineRule="exact"/>
        <w:jc w:val="center"/>
        <w:rPr>
          <w:rFonts w:asciiTheme="minorEastAsia" w:hAnsiTheme="minorEastAsia" w:eastAsiaTheme="minorEastAsia"/>
          <w:b/>
          <w:kern w:val="0"/>
          <w:sz w:val="36"/>
          <w:szCs w:val="36"/>
        </w:rPr>
      </w:pPr>
      <w:r>
        <w:rPr>
          <w:rFonts w:asciiTheme="minorEastAsia" w:hAnsiTheme="minorEastAsia" w:eastAsiaTheme="minorEastAsia"/>
          <w:b/>
          <w:kern w:val="0"/>
          <w:sz w:val="36"/>
          <w:szCs w:val="36"/>
        </w:rPr>
        <w:t>的公告</w:t>
      </w:r>
    </w:p>
    <w:p w14:paraId="294A502E">
      <w:pPr>
        <w:spacing w:before="156" w:beforeLines="50" w:after="156" w:afterLines="50" w:line="360" w:lineRule="auto"/>
        <w:ind w:right="42" w:rightChars="20" w:firstLine="480" w:firstLineChars="200"/>
        <w:rPr>
          <w:rFonts w:ascii="Times New Roman" w:hAnsi="Times New Roman" w:eastAsia="楷体_GB2312"/>
          <w:sz w:val="24"/>
          <w:szCs w:val="24"/>
        </w:rPr>
      </w:pPr>
      <w:r>
        <w:rPr>
          <w:rFonts w:ascii="Times New Roman" w:hAnsi="Times New Roman" w:eastAsia="楷体_GB2312"/>
          <w:sz w:val="24"/>
          <w:szCs w:val="24"/>
        </w:rPr>
        <w:t>本公司及董事会全体成员保证信息披露内容的真实、准确和完整，没有虚假记载、误导性陈述或者重大遗漏。</w:t>
      </w:r>
    </w:p>
    <w:p w14:paraId="214CDA68">
      <w:pPr>
        <w:pStyle w:val="8"/>
        <w:widowControl/>
        <w:spacing w:line="360" w:lineRule="auto"/>
        <w:ind w:firstLine="482"/>
        <w:jc w:val="left"/>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t>一、公司参与期货套保交易的情况概述</w:t>
      </w:r>
    </w:p>
    <w:p w14:paraId="77C9BF38">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华孚时尚股份有限公司（以下简称“公司”）202</w:t>
      </w:r>
      <w:r>
        <w:rPr>
          <w:rFonts w:hint="eastAsia" w:asciiTheme="minorEastAsia" w:hAnsiTheme="minorEastAsia" w:eastAsiaTheme="minorEastAsia"/>
          <w:kern w:val="0"/>
          <w:sz w:val="24"/>
          <w:szCs w:val="24"/>
          <w:lang w:val="en-US" w:eastAsia="zh-CN"/>
        </w:rPr>
        <w:t>6</w:t>
      </w:r>
      <w:r>
        <w:rPr>
          <w:rFonts w:hint="eastAsia" w:asciiTheme="minorEastAsia" w:hAnsiTheme="minorEastAsia" w:eastAsiaTheme="minorEastAsia"/>
          <w:kern w:val="0"/>
          <w:sz w:val="24"/>
          <w:szCs w:val="24"/>
        </w:rPr>
        <w:t>年</w:t>
      </w:r>
      <w:r>
        <w:rPr>
          <w:rFonts w:asciiTheme="minorEastAsia" w:hAnsiTheme="minorEastAsia" w:eastAsiaTheme="minorEastAsia"/>
          <w:kern w:val="0"/>
          <w:sz w:val="24"/>
          <w:szCs w:val="24"/>
        </w:rPr>
        <w:t>拟对棉花</w:t>
      </w:r>
      <w:r>
        <w:rPr>
          <w:rFonts w:hint="eastAsia" w:asciiTheme="minorEastAsia" w:hAnsiTheme="minorEastAsia" w:eastAsiaTheme="minorEastAsia"/>
          <w:kern w:val="0"/>
          <w:sz w:val="24"/>
          <w:szCs w:val="24"/>
        </w:rPr>
        <w:t>和棉纱</w:t>
      </w:r>
      <w:r>
        <w:rPr>
          <w:rFonts w:asciiTheme="minorEastAsia" w:hAnsiTheme="minorEastAsia" w:eastAsiaTheme="minorEastAsia"/>
          <w:kern w:val="0"/>
          <w:sz w:val="24"/>
          <w:szCs w:val="24"/>
        </w:rPr>
        <w:t>期货进行交易，根据市场和公司经营情况，预计公司</w:t>
      </w:r>
      <w:r>
        <w:rPr>
          <w:rFonts w:hint="eastAsia" w:asciiTheme="minorEastAsia" w:hAnsiTheme="minorEastAsia" w:eastAsiaTheme="minorEastAsia"/>
          <w:kern w:val="0"/>
          <w:sz w:val="24"/>
          <w:szCs w:val="24"/>
        </w:rPr>
        <w:t>202</w:t>
      </w:r>
      <w:r>
        <w:rPr>
          <w:rFonts w:hint="eastAsia" w:asciiTheme="minorEastAsia" w:hAnsiTheme="minorEastAsia" w:eastAsiaTheme="minorEastAsia"/>
          <w:kern w:val="0"/>
          <w:sz w:val="24"/>
          <w:szCs w:val="24"/>
          <w:lang w:val="en-US" w:eastAsia="zh-CN"/>
        </w:rPr>
        <w:t>6</w:t>
      </w:r>
      <w:r>
        <w:rPr>
          <w:rFonts w:hint="eastAsia" w:asciiTheme="minorEastAsia" w:hAnsiTheme="minorEastAsia" w:eastAsiaTheme="minorEastAsia"/>
          <w:kern w:val="0"/>
          <w:sz w:val="24"/>
          <w:szCs w:val="24"/>
        </w:rPr>
        <w:t>年</w:t>
      </w:r>
      <w:r>
        <w:rPr>
          <w:rFonts w:asciiTheme="minorEastAsia" w:hAnsiTheme="minorEastAsia" w:eastAsiaTheme="minorEastAsia"/>
          <w:kern w:val="0"/>
          <w:sz w:val="24"/>
          <w:szCs w:val="24"/>
        </w:rPr>
        <w:t>度开展期货套保交易的保证金最高额度不超过人民币</w:t>
      </w:r>
      <w:r>
        <w:rPr>
          <w:rFonts w:hint="eastAsia" w:asciiTheme="minorEastAsia" w:hAnsiTheme="minorEastAsia" w:eastAsiaTheme="minorEastAsia"/>
          <w:kern w:val="0"/>
          <w:sz w:val="24"/>
          <w:szCs w:val="24"/>
        </w:rPr>
        <w:t>15亿</w:t>
      </w:r>
      <w:r>
        <w:rPr>
          <w:rFonts w:asciiTheme="minorEastAsia" w:hAnsiTheme="minorEastAsia" w:eastAsiaTheme="minorEastAsia"/>
          <w:kern w:val="0"/>
          <w:sz w:val="24"/>
          <w:szCs w:val="24"/>
        </w:rPr>
        <w:t>元。在该额度范围内资金可滚动使用。</w:t>
      </w:r>
    </w:p>
    <w:p w14:paraId="57C43787">
      <w:pPr>
        <w:widowControl/>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套保期货品种：</w:t>
      </w:r>
      <w:r>
        <w:rPr>
          <w:rFonts w:hint="eastAsia" w:asciiTheme="minorEastAsia" w:hAnsiTheme="minorEastAsia" w:eastAsiaTheme="minorEastAsia"/>
          <w:kern w:val="0"/>
          <w:sz w:val="24"/>
          <w:szCs w:val="24"/>
          <w:lang w:val="en-US" w:eastAsia="zh-CN"/>
        </w:rPr>
        <w:t>郑州商品</w:t>
      </w:r>
      <w:r>
        <w:rPr>
          <w:rFonts w:asciiTheme="minorEastAsia" w:hAnsiTheme="minorEastAsia" w:eastAsiaTheme="minorEastAsia"/>
          <w:kern w:val="0"/>
          <w:sz w:val="24"/>
          <w:szCs w:val="24"/>
        </w:rPr>
        <w:t>期货交易所</w:t>
      </w:r>
      <w:r>
        <w:rPr>
          <w:rFonts w:hint="eastAsia" w:asciiTheme="minorEastAsia" w:hAnsiTheme="minorEastAsia" w:eastAsiaTheme="minorEastAsia"/>
          <w:kern w:val="0"/>
          <w:sz w:val="24"/>
          <w:szCs w:val="24"/>
          <w:lang w:val="en-US" w:eastAsia="zh-CN"/>
        </w:rPr>
        <w:t>交易的</w:t>
      </w:r>
      <w:r>
        <w:rPr>
          <w:rFonts w:asciiTheme="minorEastAsia" w:hAnsiTheme="minorEastAsia" w:eastAsiaTheme="minorEastAsia"/>
          <w:kern w:val="0"/>
          <w:sz w:val="24"/>
          <w:szCs w:val="24"/>
        </w:rPr>
        <w:t>棉花合约、</w:t>
      </w:r>
      <w:r>
        <w:rPr>
          <w:rFonts w:hint="eastAsia" w:asciiTheme="minorEastAsia" w:hAnsiTheme="minorEastAsia" w:eastAsiaTheme="minorEastAsia"/>
          <w:kern w:val="0"/>
          <w:sz w:val="24"/>
          <w:szCs w:val="24"/>
          <w:lang w:val="en-US" w:eastAsia="zh-CN"/>
        </w:rPr>
        <w:t>棉纱合约及场外衍生品等与</w:t>
      </w:r>
      <w:r>
        <w:rPr>
          <w:rFonts w:hint="eastAsia" w:asciiTheme="minorEastAsia" w:hAnsiTheme="minorEastAsia" w:eastAsiaTheme="minorEastAsia"/>
          <w:kern w:val="0"/>
          <w:sz w:val="24"/>
          <w:szCs w:val="24"/>
        </w:rPr>
        <w:t>公司生产经营有关的合约</w:t>
      </w:r>
      <w:r>
        <w:rPr>
          <w:rFonts w:asciiTheme="minorEastAsia" w:hAnsiTheme="minorEastAsia" w:eastAsiaTheme="minorEastAsia"/>
          <w:kern w:val="0"/>
          <w:sz w:val="24"/>
          <w:szCs w:val="24"/>
        </w:rPr>
        <w:t>。</w:t>
      </w:r>
    </w:p>
    <w:p w14:paraId="6BE20671">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上述期货套保交易事项已经公司202</w:t>
      </w:r>
      <w:r>
        <w:rPr>
          <w:rFonts w:hint="eastAsia" w:asciiTheme="minorEastAsia" w:hAnsiTheme="minorEastAsia" w:eastAsiaTheme="minorEastAsia"/>
          <w:kern w:val="0"/>
          <w:sz w:val="24"/>
          <w:szCs w:val="24"/>
          <w:lang w:val="en-US" w:eastAsia="zh-CN"/>
        </w:rPr>
        <w:t>6</w:t>
      </w:r>
      <w:r>
        <w:rPr>
          <w:rFonts w:hint="eastAsia" w:asciiTheme="minorEastAsia" w:hAnsiTheme="minorEastAsia" w:eastAsiaTheme="minorEastAsia"/>
          <w:kern w:val="0"/>
          <w:sz w:val="24"/>
          <w:szCs w:val="24"/>
        </w:rPr>
        <w:t>年4月2</w:t>
      </w:r>
      <w:r>
        <w:rPr>
          <w:rFonts w:hint="eastAsia" w:asciiTheme="minorEastAsia" w:hAnsiTheme="minorEastAsia" w:eastAsiaTheme="minorEastAsia"/>
          <w:kern w:val="0"/>
          <w:sz w:val="24"/>
          <w:szCs w:val="24"/>
          <w:lang w:val="en-US" w:eastAsia="zh-CN"/>
        </w:rPr>
        <w:t>8</w:t>
      </w:r>
      <w:r>
        <w:rPr>
          <w:rFonts w:hint="eastAsia" w:asciiTheme="minorEastAsia" w:hAnsiTheme="minorEastAsia" w:eastAsiaTheme="minorEastAsia"/>
          <w:kern w:val="0"/>
          <w:sz w:val="24"/>
          <w:szCs w:val="24"/>
        </w:rPr>
        <w:t>日召开的第九届董事会第</w:t>
      </w:r>
      <w:r>
        <w:rPr>
          <w:rFonts w:hint="eastAsia" w:asciiTheme="minorEastAsia" w:hAnsiTheme="minorEastAsia" w:eastAsiaTheme="minorEastAsia"/>
          <w:kern w:val="0"/>
          <w:sz w:val="24"/>
          <w:szCs w:val="24"/>
          <w:lang w:val="en-US" w:eastAsia="zh-CN"/>
        </w:rPr>
        <w:t>四</w:t>
      </w:r>
      <w:r>
        <w:rPr>
          <w:rFonts w:hint="eastAsia" w:asciiTheme="minorEastAsia" w:hAnsiTheme="minorEastAsia" w:eastAsiaTheme="minorEastAsia"/>
          <w:kern w:val="0"/>
          <w:sz w:val="24"/>
          <w:szCs w:val="24"/>
        </w:rPr>
        <w:t>次会议以9票赞成，0票反对，0票弃权的表决结果审议通过，该事项尚需提交公司股东会审议。有效期为公司股东会审议通过该事项之日起12个月。</w:t>
      </w:r>
    </w:p>
    <w:p w14:paraId="042AA9CA">
      <w:pPr>
        <w:pStyle w:val="8"/>
        <w:widowControl/>
        <w:spacing w:line="360" w:lineRule="auto"/>
        <w:ind w:firstLine="482"/>
        <w:jc w:val="left"/>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t>二、公司参与期货套保交易的必要性</w:t>
      </w:r>
      <w:r>
        <w:rPr>
          <w:rFonts w:hint="eastAsia" w:asciiTheme="minorEastAsia" w:hAnsiTheme="minorEastAsia" w:eastAsiaTheme="minorEastAsia"/>
          <w:b/>
          <w:kern w:val="0"/>
          <w:sz w:val="24"/>
          <w:szCs w:val="24"/>
        </w:rPr>
        <w:t>及可行性</w:t>
      </w:r>
    </w:p>
    <w:p w14:paraId="2ADE253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eastAsiaTheme="minorEastAsia"/>
          <w:sz w:val="24"/>
          <w:szCs w:val="24"/>
        </w:rPr>
      </w:pPr>
      <w:r>
        <w:rPr>
          <w:rFonts w:asciiTheme="minorEastAsia" w:hAnsiTheme="minorEastAsia" w:eastAsiaTheme="minorEastAsia"/>
          <w:kern w:val="0"/>
          <w:sz w:val="24"/>
          <w:szCs w:val="24"/>
        </w:rPr>
        <w:t>公司拟参与期货</w:t>
      </w:r>
      <w:r>
        <w:rPr>
          <w:rFonts w:hint="eastAsia" w:asciiTheme="minorEastAsia" w:hAnsiTheme="minorEastAsia" w:eastAsiaTheme="minorEastAsia"/>
          <w:kern w:val="0"/>
          <w:sz w:val="24"/>
          <w:szCs w:val="24"/>
        </w:rPr>
        <w:t>套期保值</w:t>
      </w:r>
      <w:r>
        <w:rPr>
          <w:rFonts w:asciiTheme="minorEastAsia" w:hAnsiTheme="minorEastAsia" w:eastAsiaTheme="minorEastAsia"/>
          <w:kern w:val="0"/>
          <w:sz w:val="24"/>
          <w:szCs w:val="24"/>
        </w:rPr>
        <w:t>交易的品种为公司生产经营中主要使用的</w:t>
      </w:r>
      <w:r>
        <w:rPr>
          <w:rFonts w:hint="eastAsia" w:asciiTheme="minorEastAsia" w:hAnsiTheme="minorEastAsia" w:eastAsiaTheme="minorEastAsia"/>
          <w:kern w:val="0"/>
          <w:sz w:val="24"/>
          <w:szCs w:val="24"/>
        </w:rPr>
        <w:t>棉花</w:t>
      </w:r>
      <w:r>
        <w:rPr>
          <w:rFonts w:asciiTheme="minorEastAsia" w:hAnsiTheme="minorEastAsia" w:eastAsiaTheme="minorEastAsia"/>
          <w:kern w:val="0"/>
          <w:sz w:val="24"/>
          <w:szCs w:val="24"/>
        </w:rPr>
        <w:t>原材料</w:t>
      </w:r>
      <w:r>
        <w:rPr>
          <w:rFonts w:hint="eastAsia" w:asciiTheme="minorEastAsia" w:hAnsiTheme="minorEastAsia" w:eastAsiaTheme="minorEastAsia"/>
          <w:kern w:val="0"/>
          <w:sz w:val="24"/>
          <w:szCs w:val="24"/>
        </w:rPr>
        <w:t>和棉纱</w:t>
      </w:r>
      <w:r>
        <w:rPr>
          <w:rFonts w:hint="eastAsia" w:asciiTheme="minorEastAsia" w:hAnsiTheme="minorEastAsia" w:eastAsiaTheme="minorEastAsia"/>
          <w:kern w:val="0"/>
          <w:sz w:val="24"/>
          <w:szCs w:val="24"/>
          <w:lang w:val="en-US" w:eastAsia="zh-CN"/>
        </w:rPr>
        <w:t>成品</w:t>
      </w:r>
      <w:r>
        <w:rPr>
          <w:rFonts w:asciiTheme="minorEastAsia" w:hAnsiTheme="minorEastAsia" w:eastAsiaTheme="minorEastAsia"/>
          <w:kern w:val="0"/>
          <w:sz w:val="24"/>
          <w:szCs w:val="24"/>
        </w:rPr>
        <w:t>，参与上述品种的期货套保交易是</w:t>
      </w:r>
      <w:r>
        <w:rPr>
          <w:rFonts w:hint="eastAsia" w:asciiTheme="minorEastAsia" w:hAnsiTheme="minorEastAsia" w:eastAsiaTheme="minorEastAsia"/>
          <w:kern w:val="0"/>
          <w:sz w:val="24"/>
          <w:szCs w:val="24"/>
        </w:rPr>
        <w:t>以</w:t>
      </w:r>
      <w:r>
        <w:rPr>
          <w:rFonts w:asciiTheme="minorEastAsia" w:hAnsiTheme="minorEastAsia" w:eastAsiaTheme="minorEastAsia"/>
          <w:sz w:val="24"/>
          <w:szCs w:val="24"/>
        </w:rPr>
        <w:t>规避生产经营中原材料价格</w:t>
      </w:r>
      <w:r>
        <w:rPr>
          <w:rFonts w:hint="eastAsia" w:asciiTheme="minorEastAsia" w:hAnsiTheme="minorEastAsia" w:eastAsiaTheme="minorEastAsia"/>
          <w:sz w:val="24"/>
          <w:szCs w:val="24"/>
          <w:lang w:val="en-US" w:eastAsia="zh-CN"/>
        </w:rPr>
        <w:t>和成品</w:t>
      </w:r>
      <w:r>
        <w:rPr>
          <w:rFonts w:asciiTheme="minorEastAsia" w:hAnsiTheme="minorEastAsia" w:eastAsiaTheme="minorEastAsia"/>
          <w:sz w:val="24"/>
          <w:szCs w:val="24"/>
        </w:rPr>
        <w:t>波动所带来的风险为目的，不进行投机和套利交易</w:t>
      </w:r>
      <w:r>
        <w:rPr>
          <w:rFonts w:asciiTheme="minorEastAsia" w:hAnsiTheme="minorEastAsia" w:eastAsiaTheme="minorEastAsia"/>
          <w:kern w:val="0"/>
          <w:sz w:val="24"/>
          <w:szCs w:val="24"/>
        </w:rPr>
        <w:t>。公司参与期货市场交易，与现货市场交易相结合，将有效拓宽采购渠道，</w:t>
      </w:r>
      <w:r>
        <w:rPr>
          <w:rFonts w:asciiTheme="minorEastAsia" w:hAnsiTheme="minorEastAsia" w:eastAsiaTheme="minorEastAsia"/>
          <w:sz w:val="24"/>
          <w:szCs w:val="24"/>
        </w:rPr>
        <w:t>锁定原材料成本</w:t>
      </w:r>
      <w:r>
        <w:rPr>
          <w:rFonts w:hint="eastAsia" w:asciiTheme="minorEastAsia" w:hAnsiTheme="minorEastAsia" w:eastAsiaTheme="minorEastAsia"/>
          <w:sz w:val="24"/>
          <w:szCs w:val="24"/>
        </w:rPr>
        <w:t>,</w:t>
      </w:r>
      <w:r>
        <w:rPr>
          <w:rFonts w:asciiTheme="minorEastAsia" w:hAnsiTheme="minorEastAsia" w:eastAsiaTheme="minorEastAsia"/>
          <w:kern w:val="0"/>
          <w:sz w:val="24"/>
          <w:szCs w:val="24"/>
        </w:rPr>
        <w:t>有利于公司规避棉花价格波动的风险，保持</w:t>
      </w:r>
      <w:r>
        <w:rPr>
          <w:rFonts w:asciiTheme="minorEastAsia" w:hAnsiTheme="minorEastAsia" w:eastAsiaTheme="minorEastAsia"/>
          <w:sz w:val="24"/>
          <w:szCs w:val="24"/>
        </w:rPr>
        <w:t>公司经营业绩的稳定性和可持续性。公司将严格按照</w:t>
      </w:r>
      <w:r>
        <w:rPr>
          <w:rFonts w:hint="eastAsia" w:asciiTheme="minorEastAsia" w:hAnsiTheme="minorEastAsia" w:eastAsiaTheme="minorEastAsia"/>
          <w:kern w:val="0"/>
          <w:sz w:val="24"/>
          <w:szCs w:val="24"/>
        </w:rPr>
        <w:t>《深圳证券交易所上市公司自律监管指引第7号——交易与关联交易》</w:t>
      </w:r>
      <w:r>
        <w:rPr>
          <w:rFonts w:asciiTheme="minorEastAsia" w:hAnsiTheme="minorEastAsia" w:eastAsiaTheme="minorEastAsia"/>
          <w:sz w:val="24"/>
          <w:szCs w:val="24"/>
        </w:rPr>
        <w:t>和公司</w:t>
      </w:r>
      <w:r>
        <w:rPr>
          <w:rFonts w:hint="eastAsia" w:asciiTheme="minorEastAsia" w:hAnsiTheme="minorEastAsia" w:eastAsiaTheme="minorEastAsia"/>
          <w:sz w:val="24"/>
          <w:szCs w:val="24"/>
        </w:rPr>
        <w:t>《对外投资管理制度》</w:t>
      </w:r>
      <w:r>
        <w:rPr>
          <w:rFonts w:asciiTheme="minorEastAsia" w:hAnsiTheme="minorEastAsia" w:eastAsiaTheme="minorEastAsia"/>
          <w:sz w:val="24"/>
          <w:szCs w:val="24"/>
        </w:rPr>
        <w:t>的要求，落实风险防范措施，审慎操作。</w:t>
      </w:r>
    </w:p>
    <w:p w14:paraId="12043D58">
      <w:pPr>
        <w:pStyle w:val="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sz w:val="24"/>
          <w:szCs w:val="24"/>
        </w:rPr>
      </w:pPr>
      <w:r>
        <w:rPr>
          <w:rFonts w:asciiTheme="minorEastAsia" w:hAnsiTheme="minorEastAsia" w:eastAsiaTheme="minorEastAsia"/>
          <w:sz w:val="24"/>
          <w:szCs w:val="24"/>
        </w:rPr>
        <w:t>综上所述，公司开展商品期货套期保值业务是切实可行的，对公司的生产经营是有利的</w:t>
      </w:r>
      <w:r>
        <w:rPr>
          <w:rFonts w:hint="eastAsia" w:asciiTheme="minorEastAsia" w:hAnsiTheme="minorEastAsia" w:eastAsiaTheme="minorEastAsia"/>
          <w:sz w:val="24"/>
          <w:szCs w:val="24"/>
        </w:rPr>
        <w:t>，不会损害公司及公司股东的利益。</w:t>
      </w:r>
    </w:p>
    <w:p w14:paraId="40CA66B0">
      <w:pPr>
        <w:pStyle w:val="8"/>
        <w:widowControl/>
        <w:spacing w:line="360" w:lineRule="auto"/>
        <w:ind w:firstLine="482"/>
        <w:jc w:val="left"/>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t>三、公司参与期货套保交易的准备情况</w:t>
      </w:r>
    </w:p>
    <w:p w14:paraId="4E8B1F2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eastAsiaTheme="minorEastAsia"/>
          <w:kern w:val="0"/>
          <w:sz w:val="24"/>
          <w:szCs w:val="24"/>
        </w:rPr>
      </w:pPr>
      <w:r>
        <w:rPr>
          <w:rFonts w:asciiTheme="minorEastAsia" w:hAnsiTheme="minorEastAsia" w:eastAsiaTheme="minorEastAsia"/>
          <w:kern w:val="0"/>
          <w:sz w:val="24"/>
          <w:szCs w:val="24"/>
        </w:rPr>
        <w:t>公司已根据</w:t>
      </w:r>
      <w:r>
        <w:rPr>
          <w:rFonts w:hint="eastAsia" w:asciiTheme="minorEastAsia" w:hAnsiTheme="minorEastAsia" w:eastAsiaTheme="minorEastAsia"/>
          <w:kern w:val="0"/>
          <w:sz w:val="24"/>
          <w:szCs w:val="24"/>
        </w:rPr>
        <w:t>《深圳证券交易所上市公司自律监管指引第7号——交易与关联交易》及公司</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对外投资管理制度</w:t>
      </w:r>
      <w:r>
        <w:rPr>
          <w:rFonts w:asciiTheme="minorEastAsia" w:hAnsiTheme="minorEastAsia" w:eastAsiaTheme="minorEastAsia"/>
          <w:kern w:val="0"/>
          <w:sz w:val="24"/>
          <w:szCs w:val="24"/>
        </w:rPr>
        <w:t>》，对期货套保交易的组织机构、授权制度、交易计划、交易管理、档案管理、保密制度、信息披露和会计政策等作出了规定。参与期货套保交易的人员均为专业人士，充分理解拟交易</w:t>
      </w:r>
      <w:r>
        <w:rPr>
          <w:rFonts w:hint="eastAsia" w:asciiTheme="minorEastAsia" w:hAnsiTheme="minorEastAsia" w:eastAsiaTheme="minorEastAsia"/>
          <w:kern w:val="0"/>
          <w:sz w:val="24"/>
          <w:szCs w:val="24"/>
        </w:rPr>
        <w:t>期货品种</w:t>
      </w:r>
      <w:r>
        <w:rPr>
          <w:rFonts w:asciiTheme="minorEastAsia" w:hAnsiTheme="minorEastAsia" w:eastAsiaTheme="minorEastAsia"/>
          <w:kern w:val="0"/>
          <w:sz w:val="24"/>
          <w:szCs w:val="24"/>
        </w:rPr>
        <w:t>的特点及风险。</w:t>
      </w:r>
    </w:p>
    <w:p w14:paraId="5099EEF1">
      <w:pPr>
        <w:widowControl/>
        <w:spacing w:line="360" w:lineRule="auto"/>
        <w:ind w:firstLine="482" w:firstLineChars="200"/>
        <w:jc w:val="left"/>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t>四、期货套保交易的风险分析</w:t>
      </w:r>
    </w:p>
    <w:p w14:paraId="798833E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（一）</w:t>
      </w:r>
      <w:r>
        <w:rPr>
          <w:rFonts w:asciiTheme="minorEastAsia" w:hAnsiTheme="minorEastAsia" w:eastAsiaTheme="minorEastAsia"/>
          <w:kern w:val="0"/>
          <w:sz w:val="24"/>
          <w:szCs w:val="24"/>
        </w:rPr>
        <w:t>法律风险</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 xml:space="preserve">因相关法律制度发生重大变化可能造成合约无法正常执行而给公司带来损失。如果公司选择的期货公司在交易过程中存在违法违规经营行为，也可能给公司带来损失。 </w:t>
      </w:r>
    </w:p>
    <w:p w14:paraId="11575AC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（二）</w:t>
      </w:r>
      <w:r>
        <w:rPr>
          <w:rFonts w:asciiTheme="minorEastAsia" w:hAnsiTheme="minorEastAsia" w:eastAsiaTheme="minorEastAsia"/>
          <w:kern w:val="0"/>
          <w:sz w:val="24"/>
          <w:szCs w:val="24"/>
        </w:rPr>
        <w:t>市场风险</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由于保证金交易具有杠杆性，当出现不利行情时，价格微小的变动就可能会使公司权益遭受损失。</w:t>
      </w:r>
      <w:r>
        <w:rPr>
          <w:rFonts w:hint="eastAsia" w:asciiTheme="minorEastAsia" w:hAnsiTheme="minorEastAsia" w:eastAsiaTheme="minorEastAsia"/>
          <w:kern w:val="0"/>
          <w:sz w:val="24"/>
          <w:szCs w:val="24"/>
          <w:lang w:val="en-US" w:eastAsia="zh-CN"/>
        </w:rPr>
        <w:t>另外，期现价格的不同步涨跌，会有基差风险。</w:t>
      </w:r>
    </w:p>
    <w:p w14:paraId="6FD463E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（三）</w:t>
      </w:r>
      <w:r>
        <w:rPr>
          <w:rFonts w:asciiTheme="minorEastAsia" w:hAnsiTheme="minorEastAsia" w:eastAsiaTheme="minorEastAsia"/>
          <w:kern w:val="0"/>
          <w:sz w:val="24"/>
          <w:szCs w:val="24"/>
        </w:rPr>
        <w:t>操作风险</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行情系统、下单系统等可能出现技术故障，导致无法获得行情或无法下单</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 xml:space="preserve">或者由于操作人员出现操作失误，都可能会造成损失。 </w:t>
      </w:r>
    </w:p>
    <w:p w14:paraId="3DD0D3C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（四）</w:t>
      </w:r>
      <w:r>
        <w:rPr>
          <w:rFonts w:asciiTheme="minorEastAsia" w:hAnsiTheme="minorEastAsia" w:eastAsiaTheme="minorEastAsia"/>
          <w:kern w:val="0"/>
          <w:sz w:val="24"/>
          <w:szCs w:val="24"/>
        </w:rPr>
        <w:t>流动性风险</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 xml:space="preserve">当公司无法及时补足保证金时，可能会被强制平仓而遭受损失。 </w:t>
      </w:r>
    </w:p>
    <w:p w14:paraId="4FD95C8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（五）</w:t>
      </w:r>
      <w:r>
        <w:rPr>
          <w:rFonts w:asciiTheme="minorEastAsia" w:hAnsiTheme="minorEastAsia" w:eastAsiaTheme="minorEastAsia"/>
          <w:kern w:val="0"/>
          <w:sz w:val="24"/>
          <w:szCs w:val="24"/>
        </w:rPr>
        <w:t>信用风险</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交易价格出现对交易对方不利的大幅度波动时，交易对方可能违反合同的相关规定，取消</w:t>
      </w:r>
      <w:r>
        <w:rPr>
          <w:rFonts w:hint="eastAsia" w:asciiTheme="minorEastAsia" w:hAnsiTheme="minorEastAsia" w:eastAsiaTheme="minorEastAsia"/>
          <w:kern w:val="0"/>
          <w:sz w:val="24"/>
          <w:szCs w:val="24"/>
          <w:lang w:val="en-US" w:eastAsia="zh-CN"/>
        </w:rPr>
        <w:t>现货</w:t>
      </w:r>
      <w:r>
        <w:rPr>
          <w:rFonts w:asciiTheme="minorEastAsia" w:hAnsiTheme="minorEastAsia" w:eastAsiaTheme="minorEastAsia"/>
          <w:kern w:val="0"/>
          <w:sz w:val="24"/>
          <w:szCs w:val="24"/>
        </w:rPr>
        <w:t>合同，造成</w:t>
      </w:r>
      <w:r>
        <w:rPr>
          <w:rFonts w:hint="eastAsia" w:asciiTheme="minorEastAsia" w:hAnsiTheme="minorEastAsia" w:eastAsiaTheme="minorEastAsia"/>
          <w:kern w:val="0"/>
          <w:sz w:val="24"/>
          <w:szCs w:val="24"/>
          <w:lang w:val="en-US" w:eastAsia="zh-CN"/>
        </w:rPr>
        <w:t>期现不匹配</w:t>
      </w:r>
      <w:r>
        <w:rPr>
          <w:rFonts w:asciiTheme="minorEastAsia" w:hAnsiTheme="minorEastAsia" w:eastAsiaTheme="minorEastAsia"/>
          <w:kern w:val="0"/>
          <w:sz w:val="24"/>
          <w:szCs w:val="24"/>
        </w:rPr>
        <w:t xml:space="preserve">。 </w:t>
      </w:r>
    </w:p>
    <w:p w14:paraId="73F5C954">
      <w:pPr>
        <w:widowControl/>
        <w:spacing w:line="360" w:lineRule="auto"/>
        <w:ind w:firstLine="482" w:firstLineChars="200"/>
        <w:jc w:val="left"/>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t>五、风险管理策略的说明</w:t>
      </w:r>
    </w:p>
    <w:p w14:paraId="602FF28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公司参与期货套保交易是为了开拓采购和销售渠道，规避价格波动带来的风险。 </w:t>
      </w:r>
    </w:p>
    <w:p w14:paraId="1789AC5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eastAsiaTheme="minorEastAsia"/>
          <w:kern w:val="0"/>
          <w:sz w:val="24"/>
          <w:szCs w:val="24"/>
        </w:rPr>
      </w:pPr>
      <w:r>
        <w:rPr>
          <w:rFonts w:asciiTheme="minorEastAsia" w:hAnsiTheme="minorEastAsia" w:eastAsiaTheme="minorEastAsia"/>
          <w:kern w:val="0"/>
          <w:sz w:val="24"/>
          <w:szCs w:val="24"/>
        </w:rPr>
        <w:t>公司将严格按照《</w:t>
      </w:r>
      <w:r>
        <w:rPr>
          <w:rFonts w:hint="eastAsia" w:asciiTheme="minorEastAsia" w:hAnsiTheme="minorEastAsia" w:eastAsiaTheme="minorEastAsia"/>
          <w:kern w:val="0"/>
          <w:sz w:val="24"/>
          <w:szCs w:val="24"/>
        </w:rPr>
        <w:t>对外投资管理制度</w:t>
      </w:r>
      <w:r>
        <w:rPr>
          <w:rFonts w:asciiTheme="minorEastAsia" w:hAnsiTheme="minorEastAsia" w:eastAsiaTheme="minorEastAsia"/>
          <w:kern w:val="0"/>
          <w:sz w:val="24"/>
          <w:szCs w:val="24"/>
        </w:rPr>
        <w:t xml:space="preserve">》的规定来安排计划、审批、指令下达、操作、稽查、审计等环节并进行相应的风险控制和管理。 </w:t>
      </w:r>
    </w:p>
    <w:p w14:paraId="1D4341C5">
      <w:pPr>
        <w:widowControl/>
        <w:spacing w:line="360" w:lineRule="auto"/>
        <w:ind w:firstLine="482" w:firstLineChars="200"/>
        <w:jc w:val="left"/>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t>六、期货公允价值分析</w:t>
      </w:r>
    </w:p>
    <w:p w14:paraId="6A2522C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heme="minorEastAsia" w:hAnsiTheme="minorEastAsia" w:eastAsiaTheme="minorEastAsia"/>
          <w:kern w:val="0"/>
          <w:sz w:val="24"/>
          <w:szCs w:val="24"/>
        </w:rPr>
      </w:pPr>
      <w:r>
        <w:rPr>
          <w:rFonts w:asciiTheme="minorEastAsia" w:hAnsiTheme="minorEastAsia" w:eastAsiaTheme="minorEastAsia"/>
          <w:kern w:val="0"/>
          <w:sz w:val="24"/>
          <w:szCs w:val="24"/>
        </w:rPr>
        <w:t>公司</w:t>
      </w:r>
      <w:r>
        <w:rPr>
          <w:rFonts w:hint="eastAsia" w:asciiTheme="minorEastAsia" w:hAnsiTheme="minorEastAsia" w:eastAsiaTheme="minorEastAsia"/>
          <w:kern w:val="0"/>
          <w:sz w:val="24"/>
          <w:szCs w:val="24"/>
          <w:lang w:val="en-US" w:eastAsia="zh-CN"/>
        </w:rPr>
        <w:t>参与</w:t>
      </w:r>
      <w:r>
        <w:rPr>
          <w:rFonts w:asciiTheme="minorEastAsia" w:hAnsiTheme="minorEastAsia" w:eastAsiaTheme="minorEastAsia"/>
          <w:kern w:val="0"/>
          <w:sz w:val="24"/>
          <w:szCs w:val="24"/>
        </w:rPr>
        <w:t>套保</w:t>
      </w:r>
      <w:r>
        <w:rPr>
          <w:rFonts w:hint="eastAsia" w:asciiTheme="minorEastAsia" w:hAnsiTheme="minorEastAsia" w:eastAsiaTheme="minorEastAsia"/>
          <w:kern w:val="0"/>
          <w:sz w:val="24"/>
          <w:szCs w:val="24"/>
          <w:lang w:val="en-US" w:eastAsia="zh-CN"/>
        </w:rPr>
        <w:t>的期货及衍生品</w:t>
      </w:r>
      <w:r>
        <w:rPr>
          <w:rFonts w:asciiTheme="minorEastAsia" w:hAnsiTheme="minorEastAsia" w:eastAsiaTheme="minorEastAsia"/>
          <w:kern w:val="0"/>
          <w:sz w:val="24"/>
          <w:szCs w:val="24"/>
        </w:rPr>
        <w:t>交易</w:t>
      </w:r>
      <w:r>
        <w:rPr>
          <w:rFonts w:hint="eastAsia" w:asciiTheme="minorEastAsia" w:hAnsiTheme="minorEastAsia" w:eastAsiaTheme="minorEastAsia"/>
          <w:kern w:val="0"/>
          <w:sz w:val="24"/>
          <w:szCs w:val="24"/>
          <w:lang w:eastAsia="zh-CN"/>
        </w:rPr>
        <w:t>、</w:t>
      </w:r>
      <w:r>
        <w:rPr>
          <w:rFonts w:hint="eastAsia" w:asciiTheme="minorEastAsia" w:hAnsiTheme="minorEastAsia" w:eastAsiaTheme="minorEastAsia"/>
          <w:kern w:val="0"/>
          <w:sz w:val="24"/>
          <w:szCs w:val="24"/>
          <w:lang w:val="en-US" w:eastAsia="zh-CN"/>
        </w:rPr>
        <w:t>结算，</w:t>
      </w:r>
      <w:r>
        <w:rPr>
          <w:rFonts w:asciiTheme="minorEastAsia" w:hAnsiTheme="minorEastAsia" w:eastAsiaTheme="minorEastAsia"/>
          <w:kern w:val="0"/>
          <w:sz w:val="24"/>
          <w:szCs w:val="24"/>
        </w:rPr>
        <w:t>均</w:t>
      </w:r>
      <w:r>
        <w:rPr>
          <w:rFonts w:hint="eastAsia" w:asciiTheme="minorEastAsia" w:hAnsiTheme="minorEastAsia" w:eastAsiaTheme="minorEastAsia"/>
          <w:kern w:val="0"/>
          <w:sz w:val="24"/>
          <w:szCs w:val="24"/>
          <w:lang w:val="en-US" w:eastAsia="zh-CN"/>
        </w:rPr>
        <w:t>对标</w:t>
      </w:r>
      <w:r>
        <w:rPr>
          <w:rFonts w:asciiTheme="minorEastAsia" w:hAnsiTheme="minorEastAsia" w:eastAsiaTheme="minorEastAsia"/>
          <w:kern w:val="0"/>
          <w:sz w:val="24"/>
          <w:szCs w:val="24"/>
        </w:rPr>
        <w:t>郑州商品期货交易所</w:t>
      </w:r>
      <w:r>
        <w:rPr>
          <w:rFonts w:hint="eastAsia" w:asciiTheme="minorEastAsia" w:hAnsiTheme="minorEastAsia" w:eastAsiaTheme="minorEastAsia"/>
          <w:kern w:val="0"/>
          <w:sz w:val="24"/>
          <w:szCs w:val="24"/>
          <w:lang w:val="en-US" w:eastAsia="zh-CN"/>
        </w:rPr>
        <w:t>的标准合约</w:t>
      </w:r>
      <w:r>
        <w:rPr>
          <w:rFonts w:asciiTheme="minorEastAsia" w:hAnsiTheme="minorEastAsia" w:eastAsiaTheme="minorEastAsia"/>
          <w:kern w:val="0"/>
          <w:sz w:val="24"/>
          <w:szCs w:val="24"/>
        </w:rPr>
        <w:t xml:space="preserve">，市场透明度大，成交活跃，成交价格和当日结算单价能充分反映衍生品的公允价值。 </w:t>
      </w:r>
    </w:p>
    <w:p w14:paraId="5CF71071">
      <w:pPr>
        <w:widowControl/>
        <w:spacing w:line="360" w:lineRule="auto"/>
        <w:ind w:firstLine="482" w:firstLineChars="200"/>
        <w:jc w:val="left"/>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t>七、会计政策及核算原则</w:t>
      </w:r>
    </w:p>
    <w:p w14:paraId="38E18B54">
      <w:pPr>
        <w:widowControl/>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公司期货套保交易相关会计政策及核算原则按照中华人民共和国财政部发布的《企业会计准则》及相关规定执行。</w:t>
      </w:r>
    </w:p>
    <w:p w14:paraId="6BF0EFF2">
      <w:pPr>
        <w:widowControl/>
        <w:spacing w:line="360" w:lineRule="auto"/>
        <w:ind w:firstLine="482" w:firstLineChars="200"/>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八、审议程序</w:t>
      </w:r>
    </w:p>
    <w:p w14:paraId="6D1386A9">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公司于202</w:t>
      </w:r>
      <w:r>
        <w:rPr>
          <w:rFonts w:hint="eastAsia" w:asciiTheme="minorEastAsia" w:hAnsiTheme="minorEastAsia" w:eastAsiaTheme="minorEastAsia"/>
          <w:kern w:val="0"/>
          <w:sz w:val="24"/>
          <w:szCs w:val="24"/>
          <w:lang w:val="en-US" w:eastAsia="zh-CN"/>
        </w:rPr>
        <w:t>6</w:t>
      </w:r>
      <w:r>
        <w:rPr>
          <w:rFonts w:hint="eastAsia" w:asciiTheme="minorEastAsia" w:hAnsiTheme="minorEastAsia" w:eastAsiaTheme="minorEastAsia"/>
          <w:kern w:val="0"/>
          <w:sz w:val="24"/>
          <w:szCs w:val="24"/>
        </w:rPr>
        <w:t>年4月2</w:t>
      </w:r>
      <w:r>
        <w:rPr>
          <w:rFonts w:hint="eastAsia" w:asciiTheme="minorEastAsia" w:hAnsiTheme="minorEastAsia" w:eastAsiaTheme="minorEastAsia"/>
          <w:kern w:val="0"/>
          <w:sz w:val="24"/>
          <w:szCs w:val="24"/>
          <w:lang w:val="en-US" w:eastAsia="zh-CN"/>
        </w:rPr>
        <w:t>8</w:t>
      </w:r>
      <w:r>
        <w:rPr>
          <w:rFonts w:hint="eastAsia" w:asciiTheme="minorEastAsia" w:hAnsiTheme="minorEastAsia" w:eastAsiaTheme="minorEastAsia"/>
          <w:kern w:val="0"/>
          <w:sz w:val="24"/>
          <w:szCs w:val="24"/>
        </w:rPr>
        <w:t>日召开第九届董事会第</w:t>
      </w:r>
      <w:r>
        <w:rPr>
          <w:rFonts w:hint="eastAsia" w:asciiTheme="minorEastAsia" w:hAnsiTheme="minorEastAsia" w:eastAsiaTheme="minorEastAsia"/>
          <w:kern w:val="0"/>
          <w:sz w:val="24"/>
          <w:szCs w:val="24"/>
          <w:lang w:val="en-US" w:eastAsia="zh-CN"/>
        </w:rPr>
        <w:t>四</w:t>
      </w:r>
      <w:r>
        <w:rPr>
          <w:rFonts w:hint="eastAsia" w:asciiTheme="minorEastAsia" w:hAnsiTheme="minorEastAsia" w:eastAsiaTheme="minorEastAsia"/>
          <w:kern w:val="0"/>
          <w:sz w:val="24"/>
          <w:szCs w:val="24"/>
        </w:rPr>
        <w:t>次会议，审议通过《关于预计2026年度参与期货套保交易事项的议案》，该事项尚需提交至公司股东会审议，有效期为公司股东会审议通过该事项之日起12个月。</w:t>
      </w:r>
    </w:p>
    <w:p w14:paraId="09B4F92B">
      <w:pPr>
        <w:widowControl/>
        <w:spacing w:line="360" w:lineRule="auto"/>
        <w:ind w:firstLine="482" w:firstLineChars="200"/>
        <w:jc w:val="left"/>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九、备查文件</w:t>
      </w:r>
    </w:p>
    <w:p w14:paraId="7A938509">
      <w:pPr>
        <w:widowControl/>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1、公司第九届董事会第</w:t>
      </w:r>
      <w:r>
        <w:rPr>
          <w:rFonts w:hint="eastAsia" w:asciiTheme="minorEastAsia" w:hAnsiTheme="minorEastAsia" w:eastAsiaTheme="minorEastAsia"/>
          <w:kern w:val="0"/>
          <w:sz w:val="24"/>
          <w:szCs w:val="24"/>
          <w:lang w:val="en-US" w:eastAsia="zh-CN"/>
        </w:rPr>
        <w:t>四</w:t>
      </w:r>
      <w:r>
        <w:rPr>
          <w:rFonts w:hint="eastAsia" w:asciiTheme="minorEastAsia" w:hAnsiTheme="minorEastAsia" w:eastAsiaTheme="minorEastAsia"/>
          <w:kern w:val="0"/>
          <w:sz w:val="24"/>
          <w:szCs w:val="24"/>
        </w:rPr>
        <w:t>次会议决议</w:t>
      </w:r>
    </w:p>
    <w:p w14:paraId="5B93B5F5">
      <w:pPr>
        <w:widowControl/>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特此公告。</w:t>
      </w:r>
    </w:p>
    <w:p w14:paraId="558DBD29">
      <w:pPr>
        <w:widowControl/>
        <w:spacing w:line="500" w:lineRule="exact"/>
        <w:ind w:firstLine="420"/>
        <w:jc w:val="right"/>
        <w:rPr>
          <w:rFonts w:asciiTheme="minorEastAsia" w:hAnsiTheme="minorEastAsia" w:eastAsiaTheme="minorEastAsia"/>
          <w:kern w:val="0"/>
          <w:sz w:val="24"/>
          <w:szCs w:val="24"/>
        </w:rPr>
      </w:pPr>
      <w:r>
        <w:rPr>
          <w:rFonts w:asciiTheme="minorEastAsia" w:hAnsiTheme="minorEastAsia" w:eastAsiaTheme="minorEastAsia"/>
          <w:kern w:val="0"/>
          <w:sz w:val="24"/>
          <w:szCs w:val="24"/>
        </w:rPr>
        <w:t>华孚时尚股份有限公司董事会</w:t>
      </w:r>
    </w:p>
    <w:p w14:paraId="73FDFB40">
      <w:pPr>
        <w:widowControl/>
        <w:spacing w:line="500" w:lineRule="exact"/>
        <w:ind w:firstLine="420"/>
        <w:jc w:val="right"/>
        <w:rPr>
          <w:rFonts w:ascii="Times New Roman" w:hAnsi="Times New Roman"/>
          <w:sz w:val="24"/>
          <w:szCs w:val="24"/>
        </w:rPr>
      </w:pPr>
      <w:r>
        <w:rPr>
          <w:rFonts w:asciiTheme="minorEastAsia" w:hAnsiTheme="minorEastAsia" w:eastAsiaTheme="minorEastAsia"/>
          <w:kern w:val="0"/>
          <w:sz w:val="24"/>
          <w:szCs w:val="24"/>
        </w:rPr>
        <w:t>二</w:t>
      </w:r>
      <w:r>
        <w:rPr>
          <w:rFonts w:hint="eastAsia" w:asciiTheme="minorEastAsia" w:hAnsiTheme="minorEastAsia" w:eastAsiaTheme="minorEastAsia"/>
          <w:kern w:val="0"/>
          <w:sz w:val="24"/>
          <w:szCs w:val="24"/>
        </w:rPr>
        <w:t>〇二</w:t>
      </w:r>
      <w:r>
        <w:rPr>
          <w:rFonts w:hint="eastAsia" w:asciiTheme="minorEastAsia" w:hAnsiTheme="minorEastAsia" w:eastAsiaTheme="minorEastAsia"/>
          <w:kern w:val="0"/>
          <w:sz w:val="24"/>
          <w:szCs w:val="24"/>
          <w:lang w:val="en-US" w:eastAsia="zh-CN"/>
        </w:rPr>
        <w:t>六</w:t>
      </w:r>
      <w:r>
        <w:rPr>
          <w:rFonts w:hint="eastAsia" w:asciiTheme="minorEastAsia" w:hAnsiTheme="minorEastAsia" w:eastAsiaTheme="minorEastAsia"/>
          <w:kern w:val="0"/>
          <w:sz w:val="24"/>
          <w:szCs w:val="24"/>
        </w:rPr>
        <w:t>年四月二十</w:t>
      </w:r>
      <w:r>
        <w:rPr>
          <w:rFonts w:hint="eastAsia" w:asciiTheme="minorEastAsia" w:hAnsiTheme="minorEastAsia" w:eastAsiaTheme="minorEastAsia"/>
          <w:kern w:val="0"/>
          <w:sz w:val="24"/>
          <w:szCs w:val="24"/>
          <w:lang w:val="en-US" w:eastAsia="zh-CN"/>
        </w:rPr>
        <w:t>九</w:t>
      </w:r>
      <w:bookmarkStart w:id="0" w:name="_GoBack"/>
      <w:bookmarkEnd w:id="0"/>
      <w:r>
        <w:rPr>
          <w:rFonts w:asciiTheme="minorEastAsia" w:hAnsiTheme="minorEastAsia" w:eastAsiaTheme="minorEastAsia"/>
          <w:kern w:val="0"/>
          <w:sz w:val="24"/>
          <w:szCs w:val="24"/>
        </w:rPr>
        <w:t>日</w:t>
      </w:r>
    </w:p>
    <w:p w14:paraId="36799D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F90336"/>
    <w:rsid w:val="00076E65"/>
    <w:rsid w:val="000A2BEB"/>
    <w:rsid w:val="000B2814"/>
    <w:rsid w:val="000C2265"/>
    <w:rsid w:val="00110CA2"/>
    <w:rsid w:val="00144A90"/>
    <w:rsid w:val="00160828"/>
    <w:rsid w:val="00171561"/>
    <w:rsid w:val="001834CB"/>
    <w:rsid w:val="001C67FE"/>
    <w:rsid w:val="001E1A44"/>
    <w:rsid w:val="00213704"/>
    <w:rsid w:val="00255589"/>
    <w:rsid w:val="00273EBD"/>
    <w:rsid w:val="00287897"/>
    <w:rsid w:val="00287EF9"/>
    <w:rsid w:val="002960B6"/>
    <w:rsid w:val="003102B9"/>
    <w:rsid w:val="00316206"/>
    <w:rsid w:val="003465F0"/>
    <w:rsid w:val="00346800"/>
    <w:rsid w:val="00382B6E"/>
    <w:rsid w:val="003D0D93"/>
    <w:rsid w:val="003D10CF"/>
    <w:rsid w:val="003D1941"/>
    <w:rsid w:val="003E3AAF"/>
    <w:rsid w:val="00402F5F"/>
    <w:rsid w:val="004032CB"/>
    <w:rsid w:val="00421C29"/>
    <w:rsid w:val="00431129"/>
    <w:rsid w:val="004311AF"/>
    <w:rsid w:val="004733ED"/>
    <w:rsid w:val="004974F6"/>
    <w:rsid w:val="004E7761"/>
    <w:rsid w:val="004F21C9"/>
    <w:rsid w:val="005370BF"/>
    <w:rsid w:val="00565C59"/>
    <w:rsid w:val="00583371"/>
    <w:rsid w:val="005A6AAE"/>
    <w:rsid w:val="005A6FFC"/>
    <w:rsid w:val="005A75C3"/>
    <w:rsid w:val="005B0A2A"/>
    <w:rsid w:val="005C6441"/>
    <w:rsid w:val="0060371E"/>
    <w:rsid w:val="00630782"/>
    <w:rsid w:val="00630EA9"/>
    <w:rsid w:val="00666BB4"/>
    <w:rsid w:val="00677B15"/>
    <w:rsid w:val="006822AB"/>
    <w:rsid w:val="00690F14"/>
    <w:rsid w:val="006A1254"/>
    <w:rsid w:val="006D64E6"/>
    <w:rsid w:val="00707FA7"/>
    <w:rsid w:val="00721AE5"/>
    <w:rsid w:val="00731BD0"/>
    <w:rsid w:val="00790C5F"/>
    <w:rsid w:val="00812AB7"/>
    <w:rsid w:val="00832685"/>
    <w:rsid w:val="00841BE8"/>
    <w:rsid w:val="00842F4D"/>
    <w:rsid w:val="00862A46"/>
    <w:rsid w:val="008C75BA"/>
    <w:rsid w:val="008E5C34"/>
    <w:rsid w:val="00961A85"/>
    <w:rsid w:val="009D0419"/>
    <w:rsid w:val="009E4829"/>
    <w:rsid w:val="009E7845"/>
    <w:rsid w:val="00A009F8"/>
    <w:rsid w:val="00A22881"/>
    <w:rsid w:val="00A23BEE"/>
    <w:rsid w:val="00A72AB7"/>
    <w:rsid w:val="00A8683C"/>
    <w:rsid w:val="00A8702E"/>
    <w:rsid w:val="00A90117"/>
    <w:rsid w:val="00A93B47"/>
    <w:rsid w:val="00AC591E"/>
    <w:rsid w:val="00AF3DA3"/>
    <w:rsid w:val="00B363DF"/>
    <w:rsid w:val="00B460EF"/>
    <w:rsid w:val="00B73A9F"/>
    <w:rsid w:val="00BC0C3E"/>
    <w:rsid w:val="00BC14C4"/>
    <w:rsid w:val="00BE3696"/>
    <w:rsid w:val="00BE4724"/>
    <w:rsid w:val="00BF13AE"/>
    <w:rsid w:val="00C57071"/>
    <w:rsid w:val="00CE4076"/>
    <w:rsid w:val="00CF0030"/>
    <w:rsid w:val="00D01275"/>
    <w:rsid w:val="00D648AB"/>
    <w:rsid w:val="00D67325"/>
    <w:rsid w:val="00D851B2"/>
    <w:rsid w:val="00DA360D"/>
    <w:rsid w:val="00DD71CB"/>
    <w:rsid w:val="00E25800"/>
    <w:rsid w:val="00E6635B"/>
    <w:rsid w:val="00EA0E54"/>
    <w:rsid w:val="00F01039"/>
    <w:rsid w:val="00F21A0D"/>
    <w:rsid w:val="00F440D3"/>
    <w:rsid w:val="00F472B6"/>
    <w:rsid w:val="00F474E5"/>
    <w:rsid w:val="00F54AEF"/>
    <w:rsid w:val="00F758CC"/>
    <w:rsid w:val="00F90336"/>
    <w:rsid w:val="00FA217B"/>
    <w:rsid w:val="00FE308B"/>
    <w:rsid w:val="00FF1548"/>
    <w:rsid w:val="0167398B"/>
    <w:rsid w:val="029F1135"/>
    <w:rsid w:val="10D80401"/>
    <w:rsid w:val="17FA0B25"/>
    <w:rsid w:val="1B7C01EB"/>
    <w:rsid w:val="1E1E786F"/>
    <w:rsid w:val="29E452C9"/>
    <w:rsid w:val="2D142369"/>
    <w:rsid w:val="2D68562A"/>
    <w:rsid w:val="379A790F"/>
    <w:rsid w:val="4114428E"/>
    <w:rsid w:val="4A5D4EF8"/>
    <w:rsid w:val="551B711D"/>
    <w:rsid w:val="57701871"/>
    <w:rsid w:val="59A23065"/>
    <w:rsid w:val="612400C6"/>
    <w:rsid w:val="76200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List Paragraph"/>
    <w:basedOn w:val="1"/>
    <w:autoRedefine/>
    <w:qFormat/>
    <w:uiPriority w:val="34"/>
    <w:pPr>
      <w:ind w:firstLine="420" w:firstLineChars="200"/>
    </w:pPr>
  </w:style>
  <w:style w:type="character" w:customStyle="1" w:styleId="9">
    <w:name w:val="页眉 Char"/>
    <w:basedOn w:val="7"/>
    <w:link w:val="4"/>
    <w:autoRedefine/>
    <w:qFormat/>
    <w:uiPriority w:val="99"/>
    <w:rPr>
      <w:rFonts w:ascii="Calibri" w:hAnsi="Calibri" w:eastAsia="宋体" w:cs="Times New Roman"/>
      <w:sz w:val="18"/>
      <w:szCs w:val="18"/>
    </w:rPr>
  </w:style>
  <w:style w:type="character" w:customStyle="1" w:styleId="10">
    <w:name w:val="页脚 Char"/>
    <w:basedOn w:val="7"/>
    <w:link w:val="3"/>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1573</Words>
  <Characters>1611</Characters>
  <Lines>11</Lines>
  <Paragraphs>3</Paragraphs>
  <TotalTime>1</TotalTime>
  <ScaleCrop>false</ScaleCrop>
  <LinksUpToDate>false</LinksUpToDate>
  <CharactersWithSpaces>1646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2025-04-14T02:21:00Z</dcterms:created>
  <dc:creator>孙献</dc:creator>
  <cp:lastModifiedBy>WSY</cp:lastModifiedBy>
  <dcterms:modified xsi:type="dcterms:W3CDTF">2026-04-23T01:04:53Z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0A992ACCC8C34116BDF64C869E72CA79_12</vt:lpwstr>
  </property>
  <property fmtid="{D5CDD505-2E9C-101B-9397-08002B2CF9AE}" pid="4" name="KSOTemplateDocerSaveRecord">
    <vt:lpwstr>eyJoZGlkIjoiMGYyMzhhMzNmNzJhMTU4YjMxZTc1YjkyNzFjZGE5ZTciLCJ1c2VySWQiOiIyNjU0NTI1NDMifQ==</vt:lpwstr>
  </property>
</Properties>
</file>