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5D" w:rsidRDefault="00DF1C5D">
      <w:pPr>
        <w:spacing w:before="2400" w:line="773" w:lineRule="exact"/>
        <w:jc w:val="center"/>
        <w:rPr>
          <w:rFonts w:ascii="宋体" w:eastAsia="宋体" w:hAnsi="宋体" w:cs="宋体"/>
          <w:b/>
          <w:bCs/>
          <w:sz w:val="36"/>
          <w:szCs w:val="36"/>
        </w:rPr>
      </w:pPr>
      <w:r>
        <w:rPr>
          <w:rFonts w:ascii="宋体" w:eastAsia="宋体" w:hAnsi="宋体" w:cs="宋体"/>
          <w:b/>
          <w:bCs/>
          <w:noProof/>
          <w:szCs w:val="21"/>
        </w:rPr>
        <w:drawing>
          <wp:inline distT="0" distB="0" distL="0" distR="0">
            <wp:extent cx="2381250" cy="609600"/>
            <wp:effectExtent l="0" t="0" r="0" b="0"/>
            <wp:docPr id="1" name="图片 1" descr="C:\Users\sunx\AppData\Local\Microsoft\Windows\INetCache\Content.Word\华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x\AppData\Local\Microsoft\Windows\INetCache\Content.Word\华孚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rsidR="008820E4" w:rsidRDefault="005C49A8" w:rsidP="00DF1C5D">
      <w:pPr>
        <w:spacing w:beforeLines="250" w:before="780" w:afterLines="250" w:after="780" w:line="773" w:lineRule="exact"/>
        <w:jc w:val="center"/>
        <w:rPr>
          <w:rFonts w:ascii="宋体" w:eastAsia="宋体" w:hAnsi="宋体" w:cs="宋体"/>
          <w:b/>
          <w:bCs/>
          <w:sz w:val="36"/>
          <w:szCs w:val="36"/>
        </w:rPr>
      </w:pPr>
      <w:r>
        <w:rPr>
          <w:rFonts w:ascii="宋体" w:eastAsia="宋体" w:hAnsi="宋体" w:cs="宋体"/>
          <w:b/>
          <w:bCs/>
          <w:sz w:val="36"/>
          <w:szCs w:val="36"/>
        </w:rPr>
        <w:t>华孚时尚股份有限公司</w:t>
      </w:r>
    </w:p>
    <w:p w:rsidR="008820E4" w:rsidRPr="00DF1C5D" w:rsidRDefault="005C49A8" w:rsidP="00DF1C5D">
      <w:pPr>
        <w:spacing w:beforeLines="250" w:before="780" w:afterLines="250" w:after="780" w:line="773" w:lineRule="exact"/>
        <w:jc w:val="center"/>
        <w:rPr>
          <w:rFonts w:ascii="宋体" w:eastAsia="宋体" w:hAnsi="宋体" w:cs="宋体"/>
          <w:b/>
          <w:bCs/>
          <w:sz w:val="36"/>
          <w:szCs w:val="36"/>
        </w:rPr>
      </w:pPr>
      <w:r w:rsidRPr="00DF1C5D">
        <w:rPr>
          <w:rFonts w:ascii="宋体" w:eastAsia="宋体" w:hAnsi="宋体" w:cs="宋体"/>
          <w:b/>
          <w:bCs/>
          <w:sz w:val="36"/>
          <w:szCs w:val="36"/>
        </w:rPr>
        <w:t>2025年半年度报告</w:t>
      </w:r>
    </w:p>
    <w:p w:rsidR="008820E4" w:rsidRPr="00DF1C5D" w:rsidRDefault="008820E4">
      <w:pPr>
        <w:spacing w:before="1000" w:line="240" w:lineRule="exact"/>
        <w:jc w:val="center"/>
        <w:rPr>
          <w:rFonts w:ascii="宋体" w:eastAsia="宋体" w:hAnsi="宋体" w:cs="宋体"/>
          <w:b/>
          <w:bCs/>
          <w:szCs w:val="21"/>
        </w:rPr>
      </w:pPr>
    </w:p>
    <w:p w:rsidR="008820E4" w:rsidRDefault="008820E4">
      <w:pPr>
        <w:spacing w:before="1000" w:after="1000" w:line="0" w:lineRule="atLeast"/>
        <w:jc w:val="center"/>
        <w:rPr>
          <w:rFonts w:ascii="Times New Roman" w:eastAsia="宋体" w:hAnsi="Times New Roman" w:cs="Times New Roman"/>
        </w:rPr>
      </w:pPr>
    </w:p>
    <w:p w:rsidR="008820E4" w:rsidRPr="00DF1C5D" w:rsidRDefault="00DF1C5D" w:rsidP="00DF1C5D">
      <w:pPr>
        <w:spacing w:beforeLines="250" w:before="780" w:afterLines="250" w:after="780" w:line="773" w:lineRule="exact"/>
        <w:jc w:val="center"/>
        <w:rPr>
          <w:rFonts w:ascii="宋体" w:eastAsia="宋体" w:hAnsi="宋体" w:cs="宋体"/>
          <w:b/>
          <w:bCs/>
          <w:sz w:val="36"/>
          <w:szCs w:val="36"/>
        </w:rPr>
      </w:pPr>
      <w:r w:rsidRPr="00DF1C5D">
        <w:rPr>
          <w:rFonts w:ascii="宋体" w:eastAsia="宋体" w:hAnsi="宋体" w:cs="宋体" w:hint="eastAsia"/>
          <w:b/>
          <w:bCs/>
          <w:sz w:val="36"/>
          <w:szCs w:val="36"/>
        </w:rPr>
        <w:t>2025年8月</w:t>
      </w:r>
      <w:r w:rsidR="005C49A8" w:rsidRPr="00DF1C5D">
        <w:rPr>
          <w:rFonts w:ascii="宋体" w:eastAsia="宋体" w:hAnsi="宋体" w:cs="宋体"/>
          <w:b/>
          <w:bCs/>
          <w:sz w:val="36"/>
          <w:szCs w:val="36"/>
        </w:rP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0" w:name="_Toc988889"/>
      <w:r>
        <w:rPr>
          <w:rFonts w:ascii="宋体" w:eastAsia="宋体" w:hAnsi="宋体" w:cs="宋体"/>
          <w:b/>
          <w:bCs/>
          <w:sz w:val="32"/>
          <w:szCs w:val="32"/>
        </w:rPr>
        <w:lastRenderedPageBreak/>
        <w:t>第一节 重要提示、目录和释义</w:t>
      </w:r>
      <w:bookmarkEnd w:id="0"/>
    </w:p>
    <w:p w:rsidR="008820E4" w:rsidRDefault="00DF1C5D" w:rsidP="00DF1C5D">
      <w:pPr>
        <w:spacing w:before="40" w:after="40" w:line="560" w:lineRule="exact"/>
        <w:ind w:firstLineChars="200" w:firstLine="562"/>
        <w:rPr>
          <w:rFonts w:ascii="宋体" w:eastAsia="宋体" w:hAnsi="宋体" w:cs="宋体"/>
          <w:b/>
          <w:bCs/>
          <w:sz w:val="28"/>
          <w:szCs w:val="28"/>
        </w:rPr>
      </w:pPr>
      <w:r>
        <w:rPr>
          <w:rFonts w:ascii="宋体" w:eastAsia="宋体" w:hAnsi="宋体" w:cs="宋体"/>
          <w:b/>
          <w:bCs/>
          <w:sz w:val="28"/>
          <w:szCs w:val="28"/>
        </w:rPr>
        <w:t>公司董事会</w:t>
      </w:r>
      <w:r w:rsidR="005C49A8">
        <w:rPr>
          <w:rFonts w:ascii="宋体" w:eastAsia="宋体" w:hAnsi="宋体" w:cs="宋体"/>
          <w:b/>
          <w:bCs/>
          <w:sz w:val="28"/>
          <w:szCs w:val="28"/>
        </w:rPr>
        <w:t>及董事、高级管理人员保证半年度报告内容的真实、准确、完整，不存在虚假记载、误导性陈述或者重大遗漏，并承担个别和连带的法律责任。</w:t>
      </w:r>
    </w:p>
    <w:p w:rsidR="008820E4" w:rsidRDefault="005C49A8" w:rsidP="00DF1C5D">
      <w:pPr>
        <w:spacing w:line="560" w:lineRule="exact"/>
        <w:ind w:firstLineChars="200" w:firstLine="562"/>
        <w:rPr>
          <w:rFonts w:ascii="宋体" w:eastAsia="宋体" w:hAnsi="宋体" w:cs="宋体"/>
          <w:b/>
          <w:bCs/>
          <w:sz w:val="28"/>
          <w:szCs w:val="28"/>
        </w:rPr>
      </w:pPr>
      <w:r>
        <w:rPr>
          <w:rFonts w:ascii="宋体" w:eastAsia="宋体" w:hAnsi="宋体" w:cs="宋体"/>
          <w:b/>
          <w:bCs/>
          <w:sz w:val="28"/>
          <w:szCs w:val="28"/>
        </w:rPr>
        <w:t>公司负责人孙伟挺、主管会计工作负责人陈玲芬及会计机构负责人(会计主管人员)王国友声明：</w:t>
      </w:r>
      <w:proofErr w:type="gramStart"/>
      <w:r>
        <w:rPr>
          <w:rFonts w:ascii="宋体" w:eastAsia="宋体" w:hAnsi="宋体" w:cs="宋体"/>
          <w:b/>
          <w:bCs/>
          <w:sz w:val="28"/>
          <w:szCs w:val="28"/>
        </w:rPr>
        <w:t>保证本半年度</w:t>
      </w:r>
      <w:proofErr w:type="gramEnd"/>
      <w:r>
        <w:rPr>
          <w:rFonts w:ascii="宋体" w:eastAsia="宋体" w:hAnsi="宋体" w:cs="宋体"/>
          <w:b/>
          <w:bCs/>
          <w:sz w:val="28"/>
          <w:szCs w:val="28"/>
        </w:rPr>
        <w:t>报告中财务报告的真实、准确、完整。</w:t>
      </w:r>
    </w:p>
    <w:p w:rsidR="008820E4" w:rsidRDefault="005C49A8" w:rsidP="00DF1C5D">
      <w:pPr>
        <w:spacing w:line="560" w:lineRule="exact"/>
        <w:ind w:firstLineChars="200" w:firstLine="562"/>
        <w:rPr>
          <w:rFonts w:ascii="宋体" w:eastAsia="宋体" w:hAnsi="宋体" w:cs="宋体"/>
          <w:b/>
          <w:bCs/>
          <w:sz w:val="28"/>
          <w:szCs w:val="28"/>
        </w:rPr>
      </w:pPr>
      <w:r>
        <w:rPr>
          <w:rFonts w:ascii="宋体" w:eastAsia="宋体" w:hAnsi="宋体" w:cs="宋体"/>
          <w:b/>
          <w:bCs/>
          <w:sz w:val="28"/>
          <w:szCs w:val="28"/>
        </w:rPr>
        <w:t>所有董事均</w:t>
      </w:r>
      <w:proofErr w:type="gramStart"/>
      <w:r>
        <w:rPr>
          <w:rFonts w:ascii="宋体" w:eastAsia="宋体" w:hAnsi="宋体" w:cs="宋体"/>
          <w:b/>
          <w:bCs/>
          <w:sz w:val="28"/>
          <w:szCs w:val="28"/>
        </w:rPr>
        <w:t>已出席</w:t>
      </w:r>
      <w:proofErr w:type="gramEnd"/>
      <w:r>
        <w:rPr>
          <w:rFonts w:ascii="宋体" w:eastAsia="宋体" w:hAnsi="宋体" w:cs="宋体"/>
          <w:b/>
          <w:bCs/>
          <w:sz w:val="28"/>
          <w:szCs w:val="28"/>
        </w:rPr>
        <w:t>了审议本次半年报的董事会会议。</w:t>
      </w:r>
    </w:p>
    <w:p w:rsidR="005C49A8" w:rsidRDefault="005C49A8">
      <w:pPr>
        <w:spacing w:line="560" w:lineRule="atLeast"/>
        <w:ind w:firstLine="480"/>
        <w:divId w:val="224225899"/>
        <w:rPr>
          <w:b/>
          <w:bCs/>
          <w:sz w:val="28"/>
          <w:szCs w:val="28"/>
        </w:rPr>
      </w:pPr>
      <w:r>
        <w:rPr>
          <w:rFonts w:hint="eastAsia"/>
          <w:b/>
          <w:bCs/>
          <w:sz w:val="28"/>
          <w:szCs w:val="28"/>
        </w:rPr>
        <w:t>公司已在本报告中详细描述了存在的风险事项，敬请投资者查阅本报告“第三节：管理层讨论与分析”，“十一、公司面临的风险和应对措施”。</w:t>
      </w:r>
    </w:p>
    <w:p w:rsidR="008820E4" w:rsidRDefault="005C49A8" w:rsidP="00DF1C5D">
      <w:pPr>
        <w:spacing w:line="560" w:lineRule="exact"/>
        <w:ind w:firstLineChars="200" w:firstLine="562"/>
        <w:rPr>
          <w:rFonts w:ascii="宋体" w:eastAsia="宋体" w:hAnsi="宋体" w:cs="宋体"/>
          <w:b/>
          <w:bCs/>
          <w:sz w:val="28"/>
          <w:szCs w:val="28"/>
        </w:rPr>
      </w:pPr>
      <w:r>
        <w:rPr>
          <w:rFonts w:ascii="宋体" w:eastAsia="宋体" w:hAnsi="宋体" w:cs="宋体"/>
          <w:b/>
          <w:bCs/>
          <w:sz w:val="28"/>
          <w:szCs w:val="28"/>
        </w:rPr>
        <w:t>公司计划</w:t>
      </w:r>
      <w:proofErr w:type="gramStart"/>
      <w:r>
        <w:rPr>
          <w:rFonts w:ascii="宋体" w:eastAsia="宋体" w:hAnsi="宋体" w:cs="宋体"/>
          <w:b/>
          <w:bCs/>
          <w:sz w:val="28"/>
          <w:szCs w:val="28"/>
        </w:rPr>
        <w:t>不</w:t>
      </w:r>
      <w:proofErr w:type="gramEnd"/>
      <w:r>
        <w:rPr>
          <w:rFonts w:ascii="宋体" w:eastAsia="宋体" w:hAnsi="宋体" w:cs="宋体"/>
          <w:b/>
          <w:bCs/>
          <w:sz w:val="28"/>
          <w:szCs w:val="28"/>
        </w:rPr>
        <w:t>派发现金红利，不送红股，不以公积金转增股本。</w:t>
      </w:r>
    </w:p>
    <w:p w:rsidR="008820E4" w:rsidRDefault="005C49A8">
      <w:r>
        <w:br w:type="page"/>
      </w:r>
    </w:p>
    <w:p w:rsidR="008820E4" w:rsidRDefault="005C49A8">
      <w:pPr>
        <w:spacing w:line="720" w:lineRule="exact"/>
        <w:jc w:val="center"/>
        <w:rPr>
          <w:rFonts w:ascii="宋体" w:eastAsia="宋体" w:hAnsi="宋体" w:cs="宋体"/>
          <w:b/>
          <w:bCs/>
          <w:sz w:val="36"/>
          <w:szCs w:val="36"/>
        </w:rPr>
      </w:pPr>
      <w:r>
        <w:rPr>
          <w:rFonts w:ascii="宋体" w:eastAsia="宋体" w:hAnsi="宋体" w:cs="宋体"/>
          <w:b/>
          <w:bCs/>
          <w:sz w:val="36"/>
          <w:szCs w:val="36"/>
        </w:rPr>
        <w:lastRenderedPageBreak/>
        <w:t>目录</w:t>
      </w:r>
    </w:p>
    <w:p w:rsidR="008820E4" w:rsidRDefault="005C49A8">
      <w:pPr>
        <w:pStyle w:val="1"/>
        <w:tabs>
          <w:tab w:val="left" w:leader="dot" w:pos="9469"/>
        </w:tabs>
        <w:rPr>
          <w:noProof/>
        </w:rPr>
      </w:pPr>
      <w:r>
        <w:fldChar w:fldCharType="begin"/>
      </w:r>
      <w:r>
        <w:instrText xml:space="preserve"> </w:instrText>
      </w:r>
      <w:r>
        <w:rPr>
          <w:rFonts w:ascii="宋体" w:eastAsia="宋体" w:hAnsi="宋体" w:hint="eastAsia"/>
        </w:rPr>
        <w:instrText>TOC \o "1-2" \h \z \u</w:instrText>
      </w:r>
      <w:r>
        <w:instrText xml:space="preserve"> </w:instrText>
      </w:r>
      <w:r>
        <w:fldChar w:fldCharType="separate"/>
      </w:r>
      <w:hyperlink w:anchor="_Toc988889" w:history="1">
        <w:r>
          <w:rPr>
            <w:rFonts w:ascii="宋体" w:eastAsia="宋体" w:hAnsi="宋体" w:hint="eastAsia"/>
            <w:noProof/>
            <w:sz w:val="18"/>
          </w:rPr>
          <w:t>第一节 重要提示、目录和释义</w:t>
        </w:r>
        <w:r>
          <w:rPr>
            <w:noProof/>
            <w:webHidden/>
          </w:rPr>
          <w:tab/>
        </w:r>
        <w:r>
          <w:rPr>
            <w:noProof/>
            <w:webHidden/>
          </w:rPr>
          <w:fldChar w:fldCharType="begin"/>
        </w:r>
        <w:r>
          <w:rPr>
            <w:noProof/>
            <w:webHidden/>
          </w:rPr>
          <w:instrText xml:space="preserve"> PAGEREF _Toc988889 \h </w:instrText>
        </w:r>
        <w:r>
          <w:rPr>
            <w:noProof/>
            <w:webHidden/>
          </w:rPr>
        </w:r>
        <w:r>
          <w:rPr>
            <w:noProof/>
            <w:webHidden/>
          </w:rPr>
          <w:fldChar w:fldCharType="separate"/>
        </w:r>
        <w:r w:rsidR="004D7FC3">
          <w:rPr>
            <w:noProof/>
            <w:webHidden/>
          </w:rPr>
          <w:t>2</w:t>
        </w:r>
        <w:r>
          <w:rPr>
            <w:noProof/>
            <w:webHidden/>
          </w:rPr>
          <w:fldChar w:fldCharType="end"/>
        </w:r>
      </w:hyperlink>
    </w:p>
    <w:p w:rsidR="008820E4" w:rsidRDefault="00F74291">
      <w:pPr>
        <w:pStyle w:val="1"/>
        <w:tabs>
          <w:tab w:val="left" w:leader="dot" w:pos="9469"/>
        </w:tabs>
        <w:rPr>
          <w:noProof/>
        </w:rPr>
      </w:pPr>
      <w:hyperlink w:anchor="_Toc988890" w:history="1">
        <w:r w:rsidR="005C49A8">
          <w:rPr>
            <w:rFonts w:ascii="宋体" w:eastAsia="宋体" w:hAnsi="宋体" w:hint="eastAsia"/>
            <w:noProof/>
            <w:sz w:val="18"/>
          </w:rPr>
          <w:t>第二节 公司简介和主要财务指标</w:t>
        </w:r>
        <w:r w:rsidR="005C49A8">
          <w:rPr>
            <w:noProof/>
            <w:webHidden/>
          </w:rPr>
          <w:tab/>
        </w:r>
        <w:r w:rsidR="005C49A8">
          <w:rPr>
            <w:noProof/>
            <w:webHidden/>
          </w:rPr>
          <w:fldChar w:fldCharType="begin"/>
        </w:r>
        <w:r w:rsidR="005C49A8">
          <w:rPr>
            <w:noProof/>
            <w:webHidden/>
          </w:rPr>
          <w:instrText xml:space="preserve"> PAGEREF _Toc988890 \h </w:instrText>
        </w:r>
        <w:r w:rsidR="005C49A8">
          <w:rPr>
            <w:noProof/>
            <w:webHidden/>
          </w:rPr>
        </w:r>
        <w:r w:rsidR="005C49A8">
          <w:rPr>
            <w:noProof/>
            <w:webHidden/>
          </w:rPr>
          <w:fldChar w:fldCharType="separate"/>
        </w:r>
        <w:r w:rsidR="004D7FC3">
          <w:rPr>
            <w:noProof/>
            <w:webHidden/>
          </w:rPr>
          <w:t>6</w:t>
        </w:r>
        <w:r w:rsidR="005C49A8">
          <w:rPr>
            <w:noProof/>
            <w:webHidden/>
          </w:rPr>
          <w:fldChar w:fldCharType="end"/>
        </w:r>
      </w:hyperlink>
    </w:p>
    <w:p w:rsidR="008820E4" w:rsidRDefault="00F74291">
      <w:pPr>
        <w:pStyle w:val="1"/>
        <w:tabs>
          <w:tab w:val="left" w:leader="dot" w:pos="9469"/>
        </w:tabs>
        <w:rPr>
          <w:noProof/>
        </w:rPr>
      </w:pPr>
      <w:hyperlink w:anchor="_Toc988902" w:history="1">
        <w:r w:rsidR="005C49A8">
          <w:rPr>
            <w:rFonts w:ascii="宋体" w:eastAsia="宋体" w:hAnsi="宋体" w:hint="eastAsia"/>
            <w:noProof/>
            <w:sz w:val="18"/>
          </w:rPr>
          <w:t>第三节 管理层讨论与分析</w:t>
        </w:r>
        <w:r w:rsidR="005C49A8">
          <w:rPr>
            <w:noProof/>
            <w:webHidden/>
          </w:rPr>
          <w:tab/>
        </w:r>
        <w:r w:rsidR="005C49A8">
          <w:rPr>
            <w:noProof/>
            <w:webHidden/>
          </w:rPr>
          <w:fldChar w:fldCharType="begin"/>
        </w:r>
        <w:r w:rsidR="005C49A8">
          <w:rPr>
            <w:noProof/>
            <w:webHidden/>
          </w:rPr>
          <w:instrText xml:space="preserve"> PAGEREF _Toc988902 \h </w:instrText>
        </w:r>
        <w:r w:rsidR="005C49A8">
          <w:rPr>
            <w:noProof/>
            <w:webHidden/>
          </w:rPr>
        </w:r>
        <w:r w:rsidR="005C49A8">
          <w:rPr>
            <w:noProof/>
            <w:webHidden/>
          </w:rPr>
          <w:fldChar w:fldCharType="separate"/>
        </w:r>
        <w:r w:rsidR="004D7FC3">
          <w:rPr>
            <w:noProof/>
            <w:webHidden/>
          </w:rPr>
          <w:t>9</w:t>
        </w:r>
        <w:r w:rsidR="005C49A8">
          <w:rPr>
            <w:noProof/>
            <w:webHidden/>
          </w:rPr>
          <w:fldChar w:fldCharType="end"/>
        </w:r>
      </w:hyperlink>
    </w:p>
    <w:p w:rsidR="008820E4" w:rsidRDefault="00F74291">
      <w:pPr>
        <w:pStyle w:val="1"/>
        <w:tabs>
          <w:tab w:val="left" w:leader="dot" w:pos="9469"/>
        </w:tabs>
        <w:rPr>
          <w:noProof/>
        </w:rPr>
      </w:pPr>
      <w:hyperlink w:anchor="_Toc988943" w:history="1">
        <w:r w:rsidR="005C49A8">
          <w:rPr>
            <w:rFonts w:ascii="宋体" w:eastAsia="宋体" w:hAnsi="宋体" w:hint="eastAsia"/>
            <w:noProof/>
            <w:sz w:val="18"/>
          </w:rPr>
          <w:t>第四节 公司治理、环境和社会</w:t>
        </w:r>
        <w:r w:rsidR="005C49A8">
          <w:rPr>
            <w:noProof/>
            <w:webHidden/>
          </w:rPr>
          <w:tab/>
        </w:r>
        <w:r w:rsidR="005C49A8">
          <w:rPr>
            <w:noProof/>
            <w:webHidden/>
          </w:rPr>
          <w:fldChar w:fldCharType="begin"/>
        </w:r>
        <w:r w:rsidR="005C49A8">
          <w:rPr>
            <w:noProof/>
            <w:webHidden/>
          </w:rPr>
          <w:instrText xml:space="preserve"> PAGEREF _Toc988943 \h </w:instrText>
        </w:r>
        <w:r w:rsidR="005C49A8">
          <w:rPr>
            <w:noProof/>
            <w:webHidden/>
          </w:rPr>
        </w:r>
        <w:r w:rsidR="005C49A8">
          <w:rPr>
            <w:noProof/>
            <w:webHidden/>
          </w:rPr>
          <w:fldChar w:fldCharType="separate"/>
        </w:r>
        <w:r w:rsidR="004D7FC3">
          <w:rPr>
            <w:noProof/>
            <w:webHidden/>
          </w:rPr>
          <w:t>30</w:t>
        </w:r>
        <w:r w:rsidR="005C49A8">
          <w:rPr>
            <w:noProof/>
            <w:webHidden/>
          </w:rPr>
          <w:fldChar w:fldCharType="end"/>
        </w:r>
      </w:hyperlink>
    </w:p>
    <w:p w:rsidR="008820E4" w:rsidRDefault="00F74291">
      <w:pPr>
        <w:pStyle w:val="1"/>
        <w:tabs>
          <w:tab w:val="left" w:leader="dot" w:pos="9469"/>
        </w:tabs>
        <w:rPr>
          <w:noProof/>
        </w:rPr>
      </w:pPr>
      <w:hyperlink w:anchor="_Toc988952" w:history="1">
        <w:r w:rsidR="005C49A8">
          <w:rPr>
            <w:rFonts w:ascii="宋体" w:eastAsia="宋体" w:hAnsi="宋体" w:hint="eastAsia"/>
            <w:noProof/>
            <w:sz w:val="18"/>
          </w:rPr>
          <w:t>第五节 重要事项</w:t>
        </w:r>
        <w:r w:rsidR="005C49A8">
          <w:rPr>
            <w:noProof/>
            <w:webHidden/>
          </w:rPr>
          <w:tab/>
        </w:r>
        <w:r w:rsidR="005C49A8">
          <w:rPr>
            <w:noProof/>
            <w:webHidden/>
          </w:rPr>
          <w:fldChar w:fldCharType="begin"/>
        </w:r>
        <w:r w:rsidR="005C49A8">
          <w:rPr>
            <w:noProof/>
            <w:webHidden/>
          </w:rPr>
          <w:instrText xml:space="preserve"> PAGEREF _Toc988952 \h </w:instrText>
        </w:r>
        <w:r w:rsidR="005C49A8">
          <w:rPr>
            <w:noProof/>
            <w:webHidden/>
          </w:rPr>
        </w:r>
        <w:r w:rsidR="005C49A8">
          <w:rPr>
            <w:noProof/>
            <w:webHidden/>
          </w:rPr>
          <w:fldChar w:fldCharType="separate"/>
        </w:r>
        <w:r w:rsidR="004D7FC3">
          <w:rPr>
            <w:noProof/>
            <w:webHidden/>
          </w:rPr>
          <w:t>33</w:t>
        </w:r>
        <w:r w:rsidR="005C49A8">
          <w:rPr>
            <w:noProof/>
            <w:webHidden/>
          </w:rPr>
          <w:fldChar w:fldCharType="end"/>
        </w:r>
      </w:hyperlink>
    </w:p>
    <w:p w:rsidR="008820E4" w:rsidRDefault="00F74291">
      <w:pPr>
        <w:pStyle w:val="1"/>
        <w:tabs>
          <w:tab w:val="left" w:leader="dot" w:pos="9469"/>
        </w:tabs>
        <w:rPr>
          <w:noProof/>
        </w:rPr>
      </w:pPr>
      <w:hyperlink w:anchor="_Toc988981" w:history="1">
        <w:r w:rsidR="005C49A8">
          <w:rPr>
            <w:rFonts w:ascii="宋体" w:eastAsia="宋体" w:hAnsi="宋体" w:hint="eastAsia"/>
            <w:noProof/>
            <w:sz w:val="18"/>
          </w:rPr>
          <w:t>第六节 股份变动及股东情况</w:t>
        </w:r>
        <w:r w:rsidR="005C49A8">
          <w:rPr>
            <w:noProof/>
            <w:webHidden/>
          </w:rPr>
          <w:tab/>
        </w:r>
        <w:r w:rsidR="005C49A8">
          <w:rPr>
            <w:noProof/>
            <w:webHidden/>
          </w:rPr>
          <w:fldChar w:fldCharType="begin"/>
        </w:r>
        <w:r w:rsidR="005C49A8">
          <w:rPr>
            <w:noProof/>
            <w:webHidden/>
          </w:rPr>
          <w:instrText xml:space="preserve"> PAGEREF _Toc988981 \h </w:instrText>
        </w:r>
        <w:r w:rsidR="005C49A8">
          <w:rPr>
            <w:noProof/>
            <w:webHidden/>
          </w:rPr>
        </w:r>
        <w:r w:rsidR="005C49A8">
          <w:rPr>
            <w:noProof/>
            <w:webHidden/>
          </w:rPr>
          <w:fldChar w:fldCharType="separate"/>
        </w:r>
        <w:r w:rsidR="004D7FC3">
          <w:rPr>
            <w:noProof/>
            <w:webHidden/>
          </w:rPr>
          <w:t>40</w:t>
        </w:r>
        <w:r w:rsidR="005C49A8">
          <w:rPr>
            <w:noProof/>
            <w:webHidden/>
          </w:rPr>
          <w:fldChar w:fldCharType="end"/>
        </w:r>
      </w:hyperlink>
    </w:p>
    <w:p w:rsidR="008820E4" w:rsidRDefault="00F74291">
      <w:pPr>
        <w:pStyle w:val="1"/>
        <w:tabs>
          <w:tab w:val="left" w:leader="dot" w:pos="9469"/>
        </w:tabs>
        <w:rPr>
          <w:noProof/>
        </w:rPr>
      </w:pPr>
      <w:hyperlink w:anchor="_Toc988990" w:history="1">
        <w:r w:rsidR="005C49A8">
          <w:rPr>
            <w:rFonts w:ascii="宋体" w:eastAsia="宋体" w:hAnsi="宋体" w:hint="eastAsia"/>
            <w:noProof/>
            <w:sz w:val="18"/>
          </w:rPr>
          <w:t>第七节 债券相关情况</w:t>
        </w:r>
        <w:r w:rsidR="005C49A8">
          <w:rPr>
            <w:noProof/>
            <w:webHidden/>
          </w:rPr>
          <w:tab/>
        </w:r>
        <w:r w:rsidR="005C49A8">
          <w:rPr>
            <w:noProof/>
            <w:webHidden/>
          </w:rPr>
          <w:fldChar w:fldCharType="begin"/>
        </w:r>
        <w:r w:rsidR="005C49A8">
          <w:rPr>
            <w:noProof/>
            <w:webHidden/>
          </w:rPr>
          <w:instrText xml:space="preserve"> PAGEREF _Toc988990 \h </w:instrText>
        </w:r>
        <w:r w:rsidR="005C49A8">
          <w:rPr>
            <w:noProof/>
            <w:webHidden/>
          </w:rPr>
        </w:r>
        <w:r w:rsidR="005C49A8">
          <w:rPr>
            <w:noProof/>
            <w:webHidden/>
          </w:rPr>
          <w:fldChar w:fldCharType="separate"/>
        </w:r>
        <w:r w:rsidR="004D7FC3">
          <w:rPr>
            <w:noProof/>
            <w:webHidden/>
          </w:rPr>
          <w:t>44</w:t>
        </w:r>
        <w:r w:rsidR="005C49A8">
          <w:rPr>
            <w:noProof/>
            <w:webHidden/>
          </w:rPr>
          <w:fldChar w:fldCharType="end"/>
        </w:r>
      </w:hyperlink>
    </w:p>
    <w:p w:rsidR="008820E4" w:rsidRDefault="00F74291">
      <w:pPr>
        <w:pStyle w:val="1"/>
        <w:tabs>
          <w:tab w:val="left" w:leader="dot" w:pos="9469"/>
        </w:tabs>
        <w:rPr>
          <w:noProof/>
        </w:rPr>
      </w:pPr>
      <w:hyperlink w:anchor="_Toc988991" w:history="1">
        <w:r w:rsidR="005C49A8">
          <w:rPr>
            <w:rFonts w:ascii="宋体" w:eastAsia="宋体" w:hAnsi="宋体" w:hint="eastAsia"/>
            <w:noProof/>
            <w:sz w:val="18"/>
          </w:rPr>
          <w:t>第八节 财务报告</w:t>
        </w:r>
        <w:r w:rsidR="005C49A8">
          <w:rPr>
            <w:noProof/>
            <w:webHidden/>
          </w:rPr>
          <w:tab/>
        </w:r>
        <w:r w:rsidR="005C49A8">
          <w:rPr>
            <w:noProof/>
            <w:webHidden/>
          </w:rPr>
          <w:fldChar w:fldCharType="begin"/>
        </w:r>
        <w:r w:rsidR="005C49A8">
          <w:rPr>
            <w:noProof/>
            <w:webHidden/>
          </w:rPr>
          <w:instrText xml:space="preserve"> PAGEREF _Toc988991 \h </w:instrText>
        </w:r>
        <w:r w:rsidR="005C49A8">
          <w:rPr>
            <w:noProof/>
            <w:webHidden/>
          </w:rPr>
        </w:r>
        <w:r w:rsidR="005C49A8">
          <w:rPr>
            <w:noProof/>
            <w:webHidden/>
          </w:rPr>
          <w:fldChar w:fldCharType="separate"/>
        </w:r>
        <w:r w:rsidR="004D7FC3">
          <w:rPr>
            <w:noProof/>
            <w:webHidden/>
          </w:rPr>
          <w:t>45</w:t>
        </w:r>
        <w:r w:rsidR="005C49A8">
          <w:rPr>
            <w:noProof/>
            <w:webHidden/>
          </w:rPr>
          <w:fldChar w:fldCharType="end"/>
        </w:r>
      </w:hyperlink>
    </w:p>
    <w:p w:rsidR="008820E4" w:rsidRDefault="00F74291">
      <w:pPr>
        <w:pStyle w:val="1"/>
        <w:tabs>
          <w:tab w:val="left" w:leader="dot" w:pos="9469"/>
        </w:tabs>
        <w:rPr>
          <w:noProof/>
        </w:rPr>
      </w:pPr>
      <w:hyperlink w:anchor="_Toc989458" w:history="1">
        <w:r w:rsidR="005C49A8">
          <w:rPr>
            <w:rFonts w:ascii="宋体" w:eastAsia="宋体" w:hAnsi="宋体" w:hint="eastAsia"/>
            <w:noProof/>
            <w:sz w:val="18"/>
          </w:rPr>
          <w:t>第九节 其他报送数据</w:t>
        </w:r>
        <w:r w:rsidR="005C49A8">
          <w:rPr>
            <w:noProof/>
            <w:webHidden/>
          </w:rPr>
          <w:tab/>
        </w:r>
        <w:r w:rsidR="005C49A8">
          <w:rPr>
            <w:noProof/>
            <w:webHidden/>
          </w:rPr>
          <w:fldChar w:fldCharType="begin"/>
        </w:r>
        <w:r w:rsidR="005C49A8">
          <w:rPr>
            <w:noProof/>
            <w:webHidden/>
          </w:rPr>
          <w:instrText xml:space="preserve"> PAGEREF _Toc989458 \h </w:instrText>
        </w:r>
        <w:r w:rsidR="005C49A8">
          <w:rPr>
            <w:noProof/>
            <w:webHidden/>
          </w:rPr>
        </w:r>
        <w:r w:rsidR="005C49A8">
          <w:rPr>
            <w:noProof/>
            <w:webHidden/>
          </w:rPr>
          <w:fldChar w:fldCharType="separate"/>
        </w:r>
        <w:r w:rsidR="004D7FC3">
          <w:rPr>
            <w:noProof/>
            <w:webHidden/>
          </w:rPr>
          <w:t>183</w:t>
        </w:r>
        <w:r w:rsidR="005C49A8">
          <w:rPr>
            <w:noProof/>
            <w:webHidden/>
          </w:rPr>
          <w:fldChar w:fldCharType="end"/>
        </w:r>
      </w:hyperlink>
      <w:r w:rsidR="005C49A8">
        <w:fldChar w:fldCharType="end"/>
      </w:r>
      <w:r w:rsidR="005C49A8">
        <w:br w:type="page"/>
      </w:r>
    </w:p>
    <w:p w:rsidR="008820E4" w:rsidRDefault="005C49A8">
      <w:pPr>
        <w:spacing w:line="640" w:lineRule="exact"/>
        <w:jc w:val="center"/>
        <w:rPr>
          <w:rFonts w:ascii="宋体" w:eastAsia="宋体" w:hAnsi="宋体" w:cs="宋体"/>
          <w:b/>
          <w:bCs/>
          <w:sz w:val="32"/>
          <w:szCs w:val="32"/>
        </w:rPr>
      </w:pPr>
      <w:r>
        <w:rPr>
          <w:rFonts w:ascii="宋体" w:eastAsia="宋体" w:hAnsi="宋体" w:cs="宋体"/>
          <w:b/>
          <w:bCs/>
          <w:sz w:val="32"/>
          <w:szCs w:val="32"/>
        </w:rPr>
        <w:lastRenderedPageBreak/>
        <w:t>备查文件目录</w:t>
      </w:r>
    </w:p>
    <w:p w:rsidR="005C49A8" w:rsidRDefault="005C49A8">
      <w:pPr>
        <w:pStyle w:val="a3"/>
        <w:spacing w:line="560" w:lineRule="atLeast"/>
        <w:divId w:val="2113236103"/>
        <w:rPr>
          <w:sz w:val="18"/>
          <w:szCs w:val="18"/>
        </w:rPr>
      </w:pPr>
      <w:r>
        <w:rPr>
          <w:rFonts w:hint="eastAsia"/>
          <w:sz w:val="18"/>
          <w:szCs w:val="18"/>
        </w:rPr>
        <w:t>1、载有法定代表人孙伟挺先生签名的2025年半年度报告全文及摘要；</w:t>
      </w:r>
    </w:p>
    <w:p w:rsidR="005C49A8" w:rsidRDefault="005C49A8">
      <w:pPr>
        <w:pStyle w:val="a3"/>
        <w:spacing w:line="560" w:lineRule="atLeast"/>
        <w:divId w:val="2113236103"/>
        <w:rPr>
          <w:sz w:val="18"/>
          <w:szCs w:val="18"/>
        </w:rPr>
      </w:pPr>
      <w:r>
        <w:rPr>
          <w:rFonts w:hint="eastAsia"/>
          <w:sz w:val="18"/>
          <w:szCs w:val="18"/>
        </w:rPr>
        <w:t>2、载有公司负责人、主管会计工作负责人、会计机构负责人（会计主管人员）签名并盖章的财务报表；</w:t>
      </w:r>
    </w:p>
    <w:p w:rsidR="005C49A8" w:rsidRDefault="005C49A8">
      <w:pPr>
        <w:pStyle w:val="a3"/>
        <w:spacing w:line="560" w:lineRule="atLeast"/>
        <w:divId w:val="2113236103"/>
        <w:rPr>
          <w:sz w:val="18"/>
          <w:szCs w:val="18"/>
        </w:rPr>
      </w:pPr>
      <w:r>
        <w:rPr>
          <w:rFonts w:hint="eastAsia"/>
          <w:sz w:val="18"/>
          <w:szCs w:val="18"/>
        </w:rPr>
        <w:t>3、报告期内在《证券时报》和《中国证券报》上公开披露过的所有公司文件的正本及公告的原件；</w:t>
      </w:r>
    </w:p>
    <w:p w:rsidR="008820E4" w:rsidRDefault="005C49A8">
      <w:r>
        <w:br w:type="page"/>
      </w:r>
    </w:p>
    <w:p w:rsidR="008820E4" w:rsidRDefault="005C49A8">
      <w:pPr>
        <w:spacing w:before="40" w:after="40" w:line="640" w:lineRule="exact"/>
        <w:jc w:val="center"/>
        <w:rPr>
          <w:rFonts w:ascii="宋体" w:eastAsia="宋体" w:hAnsi="宋体" w:cs="宋体"/>
          <w:b/>
          <w:bCs/>
          <w:sz w:val="32"/>
          <w:szCs w:val="32"/>
        </w:rPr>
      </w:pPr>
      <w:r>
        <w:rPr>
          <w:rFonts w:ascii="宋体" w:eastAsia="宋体" w:hAnsi="宋体" w:cs="宋体"/>
          <w:b/>
          <w:bCs/>
          <w:sz w:val="32"/>
          <w:szCs w:val="32"/>
        </w:rPr>
        <w:lastRenderedPageBreak/>
        <w:t>释义</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802"/>
        <w:gridCol w:w="567"/>
        <w:gridCol w:w="6270"/>
      </w:tblGrid>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释义项</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释义内容</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公司、本公司</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华孚时尚股份有限公司</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中国证监会</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中国证券监督管理委员会</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深交所</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深圳证券交易所</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《证券法》、《公司法》</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《中华人民共和国证券法》、《中华人民共和国公司法》</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控股股东、华孚控股</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元、万元</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人民币元、万元</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网链</w:t>
            </w:r>
            <w:proofErr w:type="gramEnd"/>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w:t>
            </w:r>
            <w:proofErr w:type="gramStart"/>
            <w:r>
              <w:rPr>
                <w:rFonts w:ascii="宋体" w:eastAsia="宋体" w:hAnsi="宋体" w:cs="宋体"/>
                <w:sz w:val="18"/>
                <w:szCs w:val="18"/>
              </w:rPr>
              <w:t>网链业务</w:t>
            </w:r>
            <w:proofErr w:type="gramEnd"/>
            <w:r>
              <w:rPr>
                <w:rFonts w:ascii="宋体" w:eastAsia="宋体" w:hAnsi="宋体" w:cs="宋体"/>
                <w:sz w:val="18"/>
                <w:szCs w:val="18"/>
              </w:rPr>
              <w:t>是以公司主营纱线为界限，向上游产业和下游产业进行延伸和贯通。</w:t>
            </w:r>
            <w:proofErr w:type="gramStart"/>
            <w:r>
              <w:rPr>
                <w:rFonts w:ascii="宋体" w:eastAsia="宋体" w:hAnsi="宋体" w:cs="宋体"/>
                <w:sz w:val="18"/>
                <w:szCs w:val="18"/>
              </w:rPr>
              <w:t>前端网链业务</w:t>
            </w:r>
            <w:proofErr w:type="gramEnd"/>
            <w:r>
              <w:rPr>
                <w:rFonts w:ascii="宋体" w:eastAsia="宋体" w:hAnsi="宋体" w:cs="宋体"/>
                <w:sz w:val="18"/>
                <w:szCs w:val="18"/>
              </w:rPr>
              <w:t>包括与产业相关的棉花种植、加工、储运和交易等环节；后端网</w:t>
            </w:r>
            <w:proofErr w:type="gramStart"/>
            <w:r>
              <w:rPr>
                <w:rFonts w:ascii="宋体" w:eastAsia="宋体" w:hAnsi="宋体" w:cs="宋体"/>
                <w:sz w:val="18"/>
                <w:szCs w:val="18"/>
              </w:rPr>
              <w:t>链包括</w:t>
            </w:r>
            <w:proofErr w:type="gramEnd"/>
            <w:r>
              <w:rPr>
                <w:rFonts w:ascii="宋体" w:eastAsia="宋体" w:hAnsi="宋体" w:cs="宋体"/>
                <w:sz w:val="18"/>
                <w:szCs w:val="18"/>
              </w:rPr>
              <w:t>布料、成衣、品牌和品质等管理</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w:t>
            </w:r>
            <w:proofErr w:type="gramEnd"/>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算力，即计算能力，是指计算机或数据中心处理和输出数据的能力。它通常通过处理器（如CPU、GPU等）的运算速度、效率和并行处理能力来衡量</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AIGC</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AIGC是人工智能生成内容（Artificial Intelligence Generated Content）的缩写。它指的是利用人工智能技术，尤其是机器学习和深度学习模型，自动生成各种形式的内容，如文本、图像、音频、视频等</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上虞AIGC</w:t>
            </w:r>
            <w:proofErr w:type="gramStart"/>
            <w:r>
              <w:rPr>
                <w:rFonts w:ascii="宋体" w:eastAsia="宋体" w:hAnsi="宋体" w:cs="宋体"/>
                <w:sz w:val="18"/>
                <w:szCs w:val="18"/>
              </w:rPr>
              <w:t>智算中心</w:t>
            </w:r>
            <w:proofErr w:type="gramEnd"/>
            <w:r>
              <w:rPr>
                <w:rFonts w:ascii="宋体" w:eastAsia="宋体" w:hAnsi="宋体" w:cs="宋体"/>
                <w:sz w:val="18"/>
                <w:szCs w:val="18"/>
              </w:rPr>
              <w:t>项目</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公司全资子公司浙江华孚色纺有限公司计划投资“上虞华尚数智中心 AIGC 智算中心项目”，项目规划建设规模 3000PFLOPS AI 算力，项目一期已经建设完成</w:t>
            </w:r>
          </w:p>
        </w:tc>
      </w:tr>
      <w:tr w:rsidR="008820E4" w:rsidTr="005C49A8">
        <w:trPr>
          <w:trHeight w:val="240"/>
        </w:trPr>
        <w:tc>
          <w:tcPr>
            <w:tcW w:w="28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新疆阿克苏城市</w:t>
            </w:r>
            <w:proofErr w:type="gramStart"/>
            <w:r>
              <w:rPr>
                <w:rFonts w:ascii="宋体" w:eastAsia="宋体" w:hAnsi="宋体" w:cs="宋体"/>
                <w:sz w:val="18"/>
                <w:szCs w:val="18"/>
              </w:rPr>
              <w:t>公共算力平台</w:t>
            </w:r>
            <w:proofErr w:type="gramEnd"/>
            <w:r>
              <w:rPr>
                <w:rFonts w:ascii="宋体" w:eastAsia="宋体" w:hAnsi="宋体" w:cs="宋体"/>
                <w:sz w:val="18"/>
                <w:szCs w:val="18"/>
              </w:rPr>
              <w:t>项目</w:t>
            </w:r>
          </w:p>
        </w:tc>
        <w:tc>
          <w:tcPr>
            <w:tcW w:w="5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公司全资子公司拟于新疆阿克苏投资</w:t>
            </w:r>
            <w:proofErr w:type="gramStart"/>
            <w:r>
              <w:rPr>
                <w:rFonts w:ascii="宋体" w:eastAsia="宋体" w:hAnsi="宋体" w:cs="宋体"/>
                <w:sz w:val="18"/>
                <w:szCs w:val="18"/>
              </w:rPr>
              <w:t>的智算中心</w:t>
            </w:r>
            <w:proofErr w:type="gramEnd"/>
            <w:r>
              <w:rPr>
                <w:rFonts w:ascii="宋体" w:eastAsia="宋体" w:hAnsi="宋体" w:cs="宋体"/>
                <w:sz w:val="18"/>
                <w:szCs w:val="18"/>
              </w:rPr>
              <w:t>项目，其中一期为 10000张智能计算卡，构建以国产下一代高性能计算服务器为主的异构</w:t>
            </w:r>
            <w:proofErr w:type="gramStart"/>
            <w:r>
              <w:rPr>
                <w:rFonts w:ascii="宋体" w:eastAsia="宋体" w:hAnsi="宋体" w:cs="宋体"/>
                <w:sz w:val="18"/>
                <w:szCs w:val="18"/>
              </w:rPr>
              <w:t>算力集群</w:t>
            </w:r>
            <w:proofErr w:type="gramEnd"/>
          </w:p>
        </w:tc>
      </w:tr>
    </w:tbl>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1" w:name="_Toc988890"/>
      <w:r>
        <w:rPr>
          <w:rFonts w:ascii="宋体" w:eastAsia="宋体" w:hAnsi="宋体" w:cs="宋体"/>
          <w:b/>
          <w:bCs/>
          <w:sz w:val="32"/>
          <w:szCs w:val="32"/>
        </w:rPr>
        <w:lastRenderedPageBreak/>
        <w:t>第二节 公司简介和主要财务指标</w:t>
      </w:r>
      <w:bookmarkEnd w:id="1"/>
    </w:p>
    <w:p w:rsidR="008820E4" w:rsidRDefault="005C49A8">
      <w:pPr>
        <w:pStyle w:val="2"/>
        <w:spacing w:before="300" w:after="300" w:line="320" w:lineRule="exact"/>
        <w:rPr>
          <w:rFonts w:ascii="宋体" w:eastAsia="宋体" w:hAnsi="宋体" w:cs="宋体"/>
          <w:b/>
          <w:bCs/>
          <w:sz w:val="24"/>
          <w:szCs w:val="24"/>
        </w:rPr>
      </w:pPr>
      <w:bookmarkStart w:id="2" w:name="_Toc988891"/>
      <w:r>
        <w:rPr>
          <w:rFonts w:ascii="宋体" w:eastAsia="宋体" w:hAnsi="宋体" w:cs="宋体"/>
          <w:b/>
          <w:bCs/>
          <w:sz w:val="24"/>
          <w:szCs w:val="24"/>
        </w:rPr>
        <w:t>一、公司简介</w:t>
      </w:r>
      <w:bookmarkEnd w:id="2"/>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376"/>
        <w:gridCol w:w="2443"/>
        <w:gridCol w:w="2410"/>
        <w:gridCol w:w="2410"/>
      </w:tblGrid>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股票简称</w:t>
            </w:r>
          </w:p>
        </w:tc>
        <w:tc>
          <w:tcPr>
            <w:tcW w:w="24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华孚时尚</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股票代码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002042</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变更前的股票简称</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股票上市证券交易所</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深圳证券交易所</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公司的中文名称</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华孚时尚股份有限公司</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公司的中文简称</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华孚时尚</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公司的外文名称</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HUAFU FASHION CO., LTD.</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公司的外文名称缩写</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HUAFU</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公司的法定代表人</w:t>
            </w:r>
          </w:p>
        </w:tc>
        <w:tc>
          <w:tcPr>
            <w:tcW w:w="7263"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孙伟挺</w:t>
            </w:r>
          </w:p>
        </w:tc>
      </w:tr>
    </w:tbl>
    <w:p w:rsidR="008820E4" w:rsidRDefault="005C49A8">
      <w:pPr>
        <w:pStyle w:val="2"/>
        <w:spacing w:before="300" w:after="300" w:line="320" w:lineRule="exact"/>
        <w:rPr>
          <w:rFonts w:ascii="宋体" w:eastAsia="宋体" w:hAnsi="宋体" w:cs="宋体"/>
          <w:b/>
          <w:bCs/>
          <w:sz w:val="24"/>
          <w:szCs w:val="24"/>
        </w:rPr>
      </w:pPr>
      <w:bookmarkStart w:id="3" w:name="_Toc988892"/>
      <w:r>
        <w:rPr>
          <w:rFonts w:ascii="宋体" w:eastAsia="宋体" w:hAnsi="宋体" w:cs="宋体"/>
          <w:b/>
          <w:bCs/>
          <w:sz w:val="24"/>
          <w:szCs w:val="24"/>
        </w:rPr>
        <w:t>二、联系人和联系方式</w:t>
      </w:r>
      <w:bookmarkEnd w:id="3"/>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376"/>
        <w:gridCol w:w="3631"/>
        <w:gridCol w:w="3632"/>
      </w:tblGrid>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63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董事会秘书</w:t>
            </w:r>
          </w:p>
        </w:tc>
        <w:tc>
          <w:tcPr>
            <w:tcW w:w="363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证券事务代表</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姓名</w:t>
            </w:r>
          </w:p>
        </w:tc>
        <w:tc>
          <w:tcPr>
            <w:tcW w:w="363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张正</w:t>
            </w:r>
          </w:p>
        </w:tc>
        <w:tc>
          <w:tcPr>
            <w:tcW w:w="36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孙献</w:t>
            </w:r>
            <w:proofErr w:type="gramEnd"/>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联系地址</w:t>
            </w:r>
          </w:p>
        </w:tc>
        <w:tc>
          <w:tcPr>
            <w:tcW w:w="363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广东省深圳市福田区</w:t>
            </w:r>
            <w:proofErr w:type="gramStart"/>
            <w:r>
              <w:rPr>
                <w:rFonts w:ascii="宋体" w:eastAsia="宋体" w:hAnsi="宋体" w:cs="宋体"/>
                <w:sz w:val="18"/>
                <w:szCs w:val="18"/>
              </w:rPr>
              <w:t>市花路</w:t>
            </w:r>
            <w:proofErr w:type="gramEnd"/>
            <w:r>
              <w:rPr>
                <w:rFonts w:ascii="宋体" w:eastAsia="宋体" w:hAnsi="宋体" w:cs="宋体"/>
                <w:sz w:val="18"/>
                <w:szCs w:val="18"/>
              </w:rPr>
              <w:t>5号</w:t>
            </w:r>
            <w:proofErr w:type="gramStart"/>
            <w:r>
              <w:rPr>
                <w:rFonts w:ascii="宋体" w:eastAsia="宋体" w:hAnsi="宋体" w:cs="宋体"/>
                <w:sz w:val="18"/>
                <w:szCs w:val="18"/>
              </w:rPr>
              <w:t>长富金茂</w:t>
            </w:r>
            <w:proofErr w:type="gramEnd"/>
            <w:r>
              <w:rPr>
                <w:rFonts w:ascii="宋体" w:eastAsia="宋体" w:hAnsi="宋体" w:cs="宋体"/>
                <w:sz w:val="18"/>
                <w:szCs w:val="18"/>
              </w:rPr>
              <w:t>大厦59楼</w:t>
            </w:r>
          </w:p>
        </w:tc>
        <w:tc>
          <w:tcPr>
            <w:tcW w:w="36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广东省深圳市福田区</w:t>
            </w:r>
            <w:proofErr w:type="gramStart"/>
            <w:r>
              <w:rPr>
                <w:rFonts w:ascii="宋体" w:eastAsia="宋体" w:hAnsi="宋体" w:cs="宋体"/>
                <w:sz w:val="18"/>
                <w:szCs w:val="18"/>
              </w:rPr>
              <w:t>市花路</w:t>
            </w:r>
            <w:proofErr w:type="gramEnd"/>
            <w:r>
              <w:rPr>
                <w:rFonts w:ascii="宋体" w:eastAsia="宋体" w:hAnsi="宋体" w:cs="宋体"/>
                <w:sz w:val="18"/>
                <w:szCs w:val="18"/>
              </w:rPr>
              <w:t>5号</w:t>
            </w:r>
            <w:proofErr w:type="gramStart"/>
            <w:r>
              <w:rPr>
                <w:rFonts w:ascii="宋体" w:eastAsia="宋体" w:hAnsi="宋体" w:cs="宋体"/>
                <w:sz w:val="18"/>
                <w:szCs w:val="18"/>
              </w:rPr>
              <w:t>长富金茂</w:t>
            </w:r>
            <w:proofErr w:type="gramEnd"/>
            <w:r>
              <w:rPr>
                <w:rFonts w:ascii="宋体" w:eastAsia="宋体" w:hAnsi="宋体" w:cs="宋体"/>
                <w:sz w:val="18"/>
                <w:szCs w:val="18"/>
              </w:rPr>
              <w:t>大厦59楼</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电话</w:t>
            </w:r>
          </w:p>
        </w:tc>
        <w:tc>
          <w:tcPr>
            <w:tcW w:w="363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0755-83735593</w:t>
            </w:r>
          </w:p>
        </w:tc>
        <w:tc>
          <w:tcPr>
            <w:tcW w:w="36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0755-83735433</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传真</w:t>
            </w:r>
          </w:p>
        </w:tc>
        <w:tc>
          <w:tcPr>
            <w:tcW w:w="363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0755-83735566</w:t>
            </w:r>
          </w:p>
        </w:tc>
        <w:tc>
          <w:tcPr>
            <w:tcW w:w="36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0755-83735566</w:t>
            </w:r>
          </w:p>
        </w:tc>
      </w:tr>
      <w:tr w:rsidR="008820E4" w:rsidTr="005C49A8">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电子信箱</w:t>
            </w:r>
          </w:p>
        </w:tc>
        <w:tc>
          <w:tcPr>
            <w:tcW w:w="363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dongban@e-huafu.com</w:t>
            </w:r>
          </w:p>
        </w:tc>
        <w:tc>
          <w:tcPr>
            <w:tcW w:w="36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sunx@e-huafu.com</w:t>
            </w:r>
          </w:p>
        </w:tc>
      </w:tr>
    </w:tbl>
    <w:p w:rsidR="008820E4" w:rsidRDefault="005C49A8">
      <w:pPr>
        <w:pStyle w:val="2"/>
        <w:spacing w:before="300" w:after="300" w:line="320" w:lineRule="exact"/>
        <w:rPr>
          <w:rFonts w:ascii="宋体" w:eastAsia="宋体" w:hAnsi="宋体" w:cs="宋体"/>
          <w:b/>
          <w:bCs/>
          <w:sz w:val="24"/>
          <w:szCs w:val="24"/>
        </w:rPr>
      </w:pPr>
      <w:bookmarkStart w:id="4" w:name="_Toc988893"/>
      <w:r>
        <w:rPr>
          <w:rFonts w:ascii="宋体" w:eastAsia="宋体" w:hAnsi="宋体" w:cs="宋体"/>
          <w:b/>
          <w:bCs/>
          <w:sz w:val="24"/>
          <w:szCs w:val="24"/>
        </w:rPr>
        <w:t>三、其他情况</w:t>
      </w:r>
      <w:bookmarkEnd w:id="4"/>
    </w:p>
    <w:p w:rsidR="008820E4" w:rsidRDefault="005C49A8">
      <w:pPr>
        <w:pStyle w:val="3"/>
        <w:spacing w:line="280" w:lineRule="exact"/>
        <w:jc w:val="left"/>
        <w:rPr>
          <w:rFonts w:ascii="宋体" w:hAnsi="宋体" w:cs="宋体"/>
          <w:b/>
          <w:bCs/>
        </w:rPr>
      </w:pPr>
      <w:bookmarkStart w:id="5" w:name="_Toc988894"/>
      <w:r>
        <w:rPr>
          <w:rFonts w:ascii="宋体" w:hAnsi="宋体" w:cs="宋体"/>
          <w:b/>
          <w:bCs/>
        </w:rPr>
        <w:t>1、公司联系方式</w:t>
      </w:r>
      <w:bookmarkEnd w:id="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公司注册地址、公司办公地址及其邮政编码、公司网址、电子信箱等在报告期是否变化</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公司注册地址、公司办公地址及其邮政编码、公司网址、电子信箱等在报告期无变化，具体可参见2024年年报。</w:t>
      </w:r>
    </w:p>
    <w:p w:rsidR="008820E4" w:rsidRDefault="005C49A8">
      <w:pPr>
        <w:pStyle w:val="3"/>
        <w:spacing w:line="280" w:lineRule="exact"/>
        <w:jc w:val="left"/>
        <w:rPr>
          <w:rFonts w:ascii="宋体" w:hAnsi="宋体" w:cs="宋体"/>
          <w:b/>
          <w:bCs/>
        </w:rPr>
      </w:pPr>
      <w:bookmarkStart w:id="6" w:name="_Toc988895"/>
      <w:r>
        <w:rPr>
          <w:rFonts w:ascii="宋体" w:hAnsi="宋体" w:cs="宋体"/>
          <w:b/>
          <w:bCs/>
        </w:rPr>
        <w:t>2、信息披露及备置地点</w:t>
      </w:r>
      <w:bookmarkEnd w:id="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信息披露及备置地点在报告期是否变化</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公司披露半年度报告的证券交易所网站和媒体名称及网址，公司半年度报告备置地在报告期无变化，具体可参见2024年年报。</w:t>
      </w:r>
    </w:p>
    <w:p w:rsidR="008820E4" w:rsidRDefault="005C49A8">
      <w:pPr>
        <w:pStyle w:val="3"/>
        <w:spacing w:line="280" w:lineRule="exact"/>
        <w:jc w:val="left"/>
        <w:rPr>
          <w:rFonts w:ascii="宋体" w:hAnsi="宋体" w:cs="宋体"/>
          <w:b/>
          <w:bCs/>
        </w:rPr>
      </w:pPr>
      <w:bookmarkStart w:id="7" w:name="_Toc988896"/>
      <w:r>
        <w:rPr>
          <w:rFonts w:ascii="宋体" w:hAnsi="宋体" w:cs="宋体"/>
          <w:b/>
          <w:bCs/>
        </w:rPr>
        <w:t>3、其他有关资料</w:t>
      </w:r>
      <w:bookmarkEnd w:id="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其他有关资料在报告期是否变更情况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8" w:name="_Toc988897"/>
      <w:r>
        <w:rPr>
          <w:rFonts w:ascii="宋体" w:eastAsia="宋体" w:hAnsi="宋体" w:cs="宋体"/>
          <w:b/>
          <w:bCs/>
          <w:sz w:val="24"/>
          <w:szCs w:val="24"/>
        </w:rPr>
        <w:lastRenderedPageBreak/>
        <w:t>四、主要会计数据和财务指标</w:t>
      </w:r>
      <w:bookmarkEnd w:id="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上年同期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本报告期比上年同期增减</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营业收入（元）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-8.72%</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归属于上市公司股东的净利润（元）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44,804,621.17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-43.98%</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-54,442,532.98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-8,985,742.66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-505.88%</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经营活动产生的现金流量净额（元）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1,093,172,214.63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12.75%</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基本每股收益（元/股）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-33.33%</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稀释每股收益（元/股）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-33.33%</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加权平均净资产收益率</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-0.30%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本报告期末</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上年度末</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总资产（元）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18,226,371,573.19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17,179,238,619.93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归属于上市公司股东的净资产（元）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5,734,638,621.07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-0.83%</w:t>
            </w:r>
          </w:p>
        </w:tc>
      </w:tr>
    </w:tbl>
    <w:p w:rsidR="008820E4" w:rsidRDefault="005C49A8">
      <w:pPr>
        <w:pStyle w:val="2"/>
        <w:spacing w:before="300" w:after="300" w:line="320" w:lineRule="exact"/>
        <w:rPr>
          <w:rFonts w:ascii="宋体" w:eastAsia="宋体" w:hAnsi="宋体" w:cs="宋体"/>
          <w:b/>
          <w:bCs/>
          <w:sz w:val="24"/>
          <w:szCs w:val="24"/>
        </w:rPr>
      </w:pPr>
      <w:bookmarkStart w:id="9" w:name="_Toc988898"/>
      <w:r>
        <w:rPr>
          <w:rFonts w:ascii="宋体" w:eastAsia="宋体" w:hAnsi="宋体" w:cs="宋体"/>
          <w:b/>
          <w:bCs/>
          <w:sz w:val="24"/>
          <w:szCs w:val="24"/>
        </w:rPr>
        <w:t>五、境内外会计准则下会计数据差异</w:t>
      </w:r>
      <w:bookmarkEnd w:id="9"/>
    </w:p>
    <w:p w:rsidR="008820E4" w:rsidRDefault="005C49A8">
      <w:pPr>
        <w:pStyle w:val="3"/>
        <w:spacing w:line="280" w:lineRule="exact"/>
        <w:jc w:val="left"/>
        <w:rPr>
          <w:rFonts w:ascii="宋体" w:hAnsi="宋体" w:cs="宋体"/>
          <w:b/>
          <w:bCs/>
        </w:rPr>
      </w:pPr>
      <w:bookmarkStart w:id="10" w:name="_Toc988899"/>
      <w:r>
        <w:rPr>
          <w:rFonts w:ascii="宋体" w:hAnsi="宋体" w:cs="宋体"/>
          <w:b/>
          <w:bCs/>
        </w:rPr>
        <w:t>1、同时按照国际会计准则与按照中国会计准则披露的财务</w:t>
      </w:r>
      <w:proofErr w:type="gramStart"/>
      <w:r>
        <w:rPr>
          <w:rFonts w:ascii="宋体" w:hAnsi="宋体" w:cs="宋体"/>
          <w:b/>
          <w:bCs/>
        </w:rPr>
        <w:t>报告中净利润</w:t>
      </w:r>
      <w:proofErr w:type="gramEnd"/>
      <w:r>
        <w:rPr>
          <w:rFonts w:ascii="宋体" w:hAnsi="宋体" w:cs="宋体"/>
          <w:b/>
          <w:bCs/>
        </w:rPr>
        <w:t>和净资产差异情况</w:t>
      </w:r>
      <w:bookmarkEnd w:id="1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公司报告期不存在按照国际会计准则与按照中国会计准则披露的财务</w:t>
      </w:r>
      <w:proofErr w:type="gramStart"/>
      <w:r>
        <w:rPr>
          <w:rFonts w:ascii="宋体" w:eastAsia="宋体" w:hAnsi="宋体" w:cs="宋体"/>
          <w:sz w:val="18"/>
          <w:szCs w:val="18"/>
        </w:rPr>
        <w:t>报告中净利润</w:t>
      </w:r>
      <w:proofErr w:type="gramEnd"/>
      <w:r>
        <w:rPr>
          <w:rFonts w:ascii="宋体" w:eastAsia="宋体" w:hAnsi="宋体" w:cs="宋体"/>
          <w:sz w:val="18"/>
          <w:szCs w:val="18"/>
        </w:rPr>
        <w:t>和净资产差异情况。</w:t>
      </w:r>
    </w:p>
    <w:p w:rsidR="008820E4" w:rsidRDefault="005C49A8">
      <w:pPr>
        <w:pStyle w:val="3"/>
        <w:spacing w:line="280" w:lineRule="exact"/>
        <w:jc w:val="left"/>
        <w:rPr>
          <w:rFonts w:ascii="宋体" w:hAnsi="宋体" w:cs="宋体"/>
          <w:b/>
          <w:bCs/>
        </w:rPr>
      </w:pPr>
      <w:bookmarkStart w:id="11" w:name="_Toc988900"/>
      <w:r>
        <w:rPr>
          <w:rFonts w:ascii="宋体" w:hAnsi="宋体" w:cs="宋体"/>
          <w:b/>
          <w:bCs/>
        </w:rPr>
        <w:t>2、同时按照境外会计准则与按照中国会计准则披露的财务</w:t>
      </w:r>
      <w:proofErr w:type="gramStart"/>
      <w:r>
        <w:rPr>
          <w:rFonts w:ascii="宋体" w:hAnsi="宋体" w:cs="宋体"/>
          <w:b/>
          <w:bCs/>
        </w:rPr>
        <w:t>报告中净利润</w:t>
      </w:r>
      <w:proofErr w:type="gramEnd"/>
      <w:r>
        <w:rPr>
          <w:rFonts w:ascii="宋体" w:hAnsi="宋体" w:cs="宋体"/>
          <w:b/>
          <w:bCs/>
        </w:rPr>
        <w:t>和净资产差异情况</w:t>
      </w:r>
      <w:bookmarkEnd w:id="1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公司报告期不存在按照境外会计准则与按照中国会计准则披露的财务</w:t>
      </w:r>
      <w:proofErr w:type="gramStart"/>
      <w:r>
        <w:rPr>
          <w:rFonts w:ascii="宋体" w:eastAsia="宋体" w:hAnsi="宋体" w:cs="宋体"/>
          <w:sz w:val="18"/>
          <w:szCs w:val="18"/>
        </w:rPr>
        <w:t>报告中净利润</w:t>
      </w:r>
      <w:proofErr w:type="gramEnd"/>
      <w:r>
        <w:rPr>
          <w:rFonts w:ascii="宋体" w:eastAsia="宋体" w:hAnsi="宋体" w:cs="宋体"/>
          <w:sz w:val="18"/>
          <w:szCs w:val="18"/>
        </w:rPr>
        <w:t>和净资产差异情况。</w:t>
      </w:r>
    </w:p>
    <w:p w:rsidR="008820E4" w:rsidRDefault="005C49A8">
      <w:pPr>
        <w:pStyle w:val="2"/>
        <w:spacing w:before="300" w:after="300" w:line="320" w:lineRule="exact"/>
        <w:rPr>
          <w:rFonts w:ascii="宋体" w:eastAsia="宋体" w:hAnsi="宋体" w:cs="宋体"/>
          <w:b/>
          <w:bCs/>
          <w:sz w:val="24"/>
          <w:szCs w:val="24"/>
        </w:rPr>
      </w:pPr>
      <w:bookmarkStart w:id="12" w:name="_Toc988901"/>
      <w:r>
        <w:rPr>
          <w:rFonts w:ascii="宋体" w:eastAsia="宋体" w:hAnsi="宋体" w:cs="宋体"/>
          <w:b/>
          <w:bCs/>
          <w:sz w:val="24"/>
          <w:szCs w:val="24"/>
        </w:rPr>
        <w:t>六、非经常性损益项目及金额</w:t>
      </w:r>
      <w:bookmarkEnd w:id="1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912"/>
        <w:gridCol w:w="1701"/>
        <w:gridCol w:w="1026"/>
      </w:tblGrid>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项目</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金额</w:t>
            </w:r>
          </w:p>
        </w:tc>
        <w:tc>
          <w:tcPr>
            <w:tcW w:w="102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说明</w:t>
            </w: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非流动性资产处置损益（包括已计提资产减值准备的冲销部分）</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计入当期损益的政府补助（与公司正常经营业务密切相关、符合国家政策规定、按照确定的标准享有、对公司损益产生持续影响的政府补助除外）</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除同公司正常经营业务相关的有效套期保值业务外，非金融企业持有金融资产和金融负债产生的公允价值变动损益以及处置金融资产和金融负债产生的损益</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32,477,354.80</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委托他人投资或管理资产的损益</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1,317,071.25</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-1,302,257.26</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减：所得税影响额</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22,556,032.08</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少数股东权益影响额（税后）</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6,999,729.73</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5C49A8">
        <w:trPr>
          <w:trHeight w:val="240"/>
        </w:trPr>
        <w:tc>
          <w:tcPr>
            <w:tcW w:w="691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79,540,304.27</w:t>
            </w:r>
          </w:p>
        </w:tc>
        <w:tc>
          <w:tcPr>
            <w:tcW w:w="102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其他符合非经常性损益定义的损益项目的具体情况：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13" w:name="_Toc988902"/>
      <w:r>
        <w:rPr>
          <w:rFonts w:ascii="宋体" w:eastAsia="宋体" w:hAnsi="宋体" w:cs="宋体"/>
          <w:b/>
          <w:bCs/>
          <w:sz w:val="32"/>
          <w:szCs w:val="32"/>
        </w:rPr>
        <w:lastRenderedPageBreak/>
        <w:t>第三节 管理</w:t>
      </w:r>
      <w:proofErr w:type="gramStart"/>
      <w:r>
        <w:rPr>
          <w:rFonts w:ascii="宋体" w:eastAsia="宋体" w:hAnsi="宋体" w:cs="宋体"/>
          <w:b/>
          <w:bCs/>
          <w:sz w:val="32"/>
          <w:szCs w:val="32"/>
        </w:rPr>
        <w:t>层讨论</w:t>
      </w:r>
      <w:proofErr w:type="gramEnd"/>
      <w:r>
        <w:rPr>
          <w:rFonts w:ascii="宋体" w:eastAsia="宋体" w:hAnsi="宋体" w:cs="宋体"/>
          <w:b/>
          <w:bCs/>
          <w:sz w:val="32"/>
          <w:szCs w:val="32"/>
        </w:rPr>
        <w:t>与分析</w:t>
      </w:r>
      <w:bookmarkEnd w:id="13"/>
    </w:p>
    <w:p w:rsidR="008820E4" w:rsidRDefault="005C49A8">
      <w:pPr>
        <w:pStyle w:val="2"/>
        <w:spacing w:before="300" w:after="300" w:line="320" w:lineRule="exact"/>
        <w:rPr>
          <w:rFonts w:ascii="宋体" w:eastAsia="宋体" w:hAnsi="宋体" w:cs="宋体"/>
          <w:b/>
          <w:bCs/>
          <w:sz w:val="24"/>
          <w:szCs w:val="24"/>
        </w:rPr>
      </w:pPr>
      <w:bookmarkStart w:id="14" w:name="_Toc988903"/>
      <w:r>
        <w:rPr>
          <w:rFonts w:ascii="宋体" w:eastAsia="宋体" w:hAnsi="宋体" w:cs="宋体"/>
          <w:b/>
          <w:bCs/>
          <w:sz w:val="24"/>
          <w:szCs w:val="24"/>
        </w:rPr>
        <w:t>一、报告期内公司从事的主要业务</w:t>
      </w:r>
      <w:bookmarkEnd w:id="14"/>
    </w:p>
    <w:p w:rsidR="005C49A8" w:rsidRDefault="005C49A8">
      <w:pPr>
        <w:pStyle w:val="a3"/>
        <w:spacing w:before="0" w:beforeAutospacing="0" w:after="0" w:afterAutospacing="0"/>
        <w:ind w:firstLine="420"/>
        <w:jc w:val="both"/>
        <w:divId w:val="1910919086"/>
      </w:pPr>
      <w:r>
        <w:rPr>
          <w:rFonts w:ascii="Times New Roman" w:hAnsi="Times New Roman" w:cs="Times New Roman"/>
          <w:sz w:val="18"/>
          <w:szCs w:val="18"/>
        </w:rPr>
        <w:t>1</w:t>
      </w:r>
      <w:r>
        <w:rPr>
          <w:rFonts w:hint="eastAsia"/>
          <w:sz w:val="18"/>
          <w:szCs w:val="18"/>
        </w:rPr>
        <w:t>、公司的主要业务</w:t>
      </w:r>
    </w:p>
    <w:p w:rsidR="005C49A8" w:rsidRDefault="005C49A8">
      <w:pPr>
        <w:pStyle w:val="a3"/>
        <w:spacing w:before="0" w:beforeAutospacing="0" w:after="0" w:afterAutospacing="0"/>
        <w:ind w:firstLine="420"/>
        <w:jc w:val="both"/>
        <w:divId w:val="1910919086"/>
      </w:pPr>
      <w:r>
        <w:rPr>
          <w:rFonts w:hint="eastAsia"/>
          <w:sz w:val="18"/>
          <w:szCs w:val="18"/>
        </w:rPr>
        <w:t>公司围绕“坚持主业、共享产业、发展新业”战略主题，做稳纱线主业、做大共享产业、</w:t>
      </w:r>
      <w:proofErr w:type="gramStart"/>
      <w:r>
        <w:rPr>
          <w:rFonts w:hint="eastAsia"/>
          <w:sz w:val="18"/>
          <w:szCs w:val="18"/>
        </w:rPr>
        <w:t>做优新</w:t>
      </w:r>
      <w:proofErr w:type="gramEnd"/>
      <w:r>
        <w:rPr>
          <w:rFonts w:hint="eastAsia"/>
          <w:sz w:val="18"/>
          <w:szCs w:val="18"/>
        </w:rPr>
        <w:t>业，作为全球最大的色纺纱制造商和供应商之一，主营中高档色纺纱线，配套提供高档新型的坯纱、染色纱，同时提供流行趋势、原料与产品认证、技术咨询等增值服务。通过色彩、材质、工艺技术的集成创新，为客户提供优质的产品和服务。公司在坚持主业的同时，共享产业，以纱线贯通纺织服装</w:t>
      </w:r>
      <w:r w:rsidR="00CA5826">
        <w:rPr>
          <w:rFonts w:hint="eastAsia"/>
          <w:sz w:val="18"/>
          <w:szCs w:val="18"/>
        </w:rPr>
        <w:t>产业，整合棉花种植、棉花加工、仓储物流、花纱交易、</w:t>
      </w:r>
      <w:proofErr w:type="gramStart"/>
      <w:r w:rsidR="00CA5826">
        <w:rPr>
          <w:rFonts w:hint="eastAsia"/>
          <w:sz w:val="18"/>
          <w:szCs w:val="18"/>
        </w:rPr>
        <w:t>纺服供应</w:t>
      </w:r>
      <w:proofErr w:type="gramEnd"/>
      <w:r w:rsidR="00CA5826">
        <w:rPr>
          <w:rFonts w:hint="eastAsia"/>
          <w:sz w:val="18"/>
          <w:szCs w:val="18"/>
        </w:rPr>
        <w:t>链，</w:t>
      </w:r>
      <w:r>
        <w:rPr>
          <w:rFonts w:hint="eastAsia"/>
          <w:sz w:val="18"/>
          <w:szCs w:val="18"/>
        </w:rPr>
        <w:t>实现从一朵棉花到一双袜子、一件衣服的</w:t>
      </w:r>
      <w:proofErr w:type="gramStart"/>
      <w:r>
        <w:rPr>
          <w:rFonts w:hint="eastAsia"/>
          <w:sz w:val="18"/>
          <w:szCs w:val="18"/>
        </w:rPr>
        <w:t>全供应</w:t>
      </w:r>
      <w:proofErr w:type="gramEnd"/>
      <w:r>
        <w:rPr>
          <w:rFonts w:hint="eastAsia"/>
          <w:sz w:val="18"/>
          <w:szCs w:val="18"/>
        </w:rPr>
        <w:t>链业务，实现前后端产业贯通，致力成为全球纺织服装产业时尚营运商。发展新业以智能</w:t>
      </w:r>
      <w:proofErr w:type="gramStart"/>
      <w:r>
        <w:rPr>
          <w:rFonts w:hint="eastAsia"/>
          <w:sz w:val="18"/>
          <w:szCs w:val="18"/>
        </w:rPr>
        <w:t>算力中心</w:t>
      </w:r>
      <w:proofErr w:type="gramEnd"/>
      <w:r>
        <w:rPr>
          <w:rFonts w:hint="eastAsia"/>
          <w:sz w:val="18"/>
          <w:szCs w:val="18"/>
        </w:rPr>
        <w:t>为抓手，</w:t>
      </w:r>
      <w:proofErr w:type="gramStart"/>
      <w:r>
        <w:rPr>
          <w:rFonts w:hint="eastAsia"/>
          <w:sz w:val="18"/>
          <w:szCs w:val="18"/>
        </w:rPr>
        <w:t>提供算力租赁</w:t>
      </w:r>
      <w:proofErr w:type="gramEnd"/>
      <w:r>
        <w:rPr>
          <w:rFonts w:hint="eastAsia"/>
          <w:sz w:val="18"/>
          <w:szCs w:val="18"/>
        </w:rPr>
        <w:t>服务，同时探索人工智能在纺织服装业务中的应用，助力纺织产业链升级。</w:t>
      </w:r>
    </w:p>
    <w:p w:rsidR="005C49A8" w:rsidRDefault="005C49A8">
      <w:pPr>
        <w:pStyle w:val="a3"/>
        <w:spacing w:before="0" w:beforeAutospacing="0" w:after="0" w:afterAutospacing="0"/>
        <w:ind w:firstLine="420"/>
        <w:jc w:val="both"/>
        <w:divId w:val="1910919086"/>
      </w:pPr>
      <w:r>
        <w:rPr>
          <w:rFonts w:ascii="Times New Roman" w:hAnsi="Times New Roman" w:cs="Times New Roman"/>
          <w:sz w:val="18"/>
          <w:szCs w:val="18"/>
        </w:rPr>
        <w:t>2</w:t>
      </w:r>
      <w:r>
        <w:rPr>
          <w:rFonts w:hint="eastAsia"/>
          <w:sz w:val="18"/>
          <w:szCs w:val="18"/>
        </w:rPr>
        <w:t>、经营模式</w:t>
      </w:r>
    </w:p>
    <w:p w:rsidR="005C49A8" w:rsidRDefault="005C49A8">
      <w:pPr>
        <w:pStyle w:val="a3"/>
        <w:spacing w:before="0" w:beforeAutospacing="0" w:after="0" w:afterAutospacing="0"/>
        <w:ind w:firstLine="420"/>
        <w:jc w:val="both"/>
        <w:divId w:val="1910919086"/>
      </w:pPr>
      <w:r>
        <w:rPr>
          <w:rFonts w:hint="eastAsia"/>
          <w:sz w:val="18"/>
          <w:szCs w:val="18"/>
        </w:rPr>
        <w:t>主营纱线方面，目前纱线产能</w:t>
      </w:r>
      <w:r>
        <w:rPr>
          <w:rFonts w:ascii="Times New Roman" w:hAnsi="Times New Roman" w:cs="Times New Roman"/>
          <w:sz w:val="18"/>
          <w:szCs w:val="18"/>
        </w:rPr>
        <w:t>206</w:t>
      </w:r>
      <w:r>
        <w:rPr>
          <w:rFonts w:hint="eastAsia"/>
          <w:sz w:val="18"/>
          <w:szCs w:val="18"/>
        </w:rPr>
        <w:t>万锭，年产</w:t>
      </w:r>
      <w:r>
        <w:rPr>
          <w:rFonts w:ascii="Times New Roman" w:hAnsi="Times New Roman" w:cs="Times New Roman"/>
          <w:sz w:val="18"/>
          <w:szCs w:val="18"/>
        </w:rPr>
        <w:t>29</w:t>
      </w:r>
      <w:r>
        <w:rPr>
          <w:rFonts w:hint="eastAsia"/>
          <w:sz w:val="18"/>
          <w:szCs w:val="18"/>
        </w:rPr>
        <w:t>万吨新型纱线，生产基地覆盖中国东部和新疆等地。公司通过产业链协同，统筹市场及订单信息，制定“点（产地）对点（客户）”的供应链计划，分区域、分工厂、分生产线进行规模化定制，公司坚持以客户为本，品质至上，以趋势为方向，通过产品创新提升产品品质及附加值，赢得了客户的信赖。</w:t>
      </w:r>
    </w:p>
    <w:p w:rsidR="005C49A8" w:rsidRDefault="005C49A8">
      <w:pPr>
        <w:pStyle w:val="a3"/>
        <w:spacing w:before="0" w:beforeAutospacing="0" w:after="0" w:afterAutospacing="0"/>
        <w:ind w:firstLine="420"/>
        <w:jc w:val="both"/>
        <w:divId w:val="1910919086"/>
      </w:pPr>
      <w:r>
        <w:rPr>
          <w:rFonts w:hint="eastAsia"/>
          <w:sz w:val="18"/>
          <w:szCs w:val="18"/>
        </w:rPr>
        <w:t>共享产业，以纱线连接棉业、阿大、华尚供应链平台公司，</w:t>
      </w:r>
      <w:proofErr w:type="gramStart"/>
      <w:r>
        <w:rPr>
          <w:rFonts w:hint="eastAsia"/>
          <w:sz w:val="18"/>
          <w:szCs w:val="18"/>
        </w:rPr>
        <w:t>贯通全</w:t>
      </w:r>
      <w:proofErr w:type="gramEnd"/>
      <w:r>
        <w:rPr>
          <w:rFonts w:hint="eastAsia"/>
          <w:sz w:val="18"/>
          <w:szCs w:val="18"/>
        </w:rPr>
        <w:t>产业链。棉业立足新疆，选择核心轧花厂、扩大虚拟农业合作社，投资种业科技、开发特色棉种，完善销售渠道、</w:t>
      </w:r>
      <w:proofErr w:type="gramStart"/>
      <w:r>
        <w:rPr>
          <w:rFonts w:hint="eastAsia"/>
          <w:sz w:val="18"/>
          <w:szCs w:val="18"/>
        </w:rPr>
        <w:t>提升贸融能力</w:t>
      </w:r>
      <w:proofErr w:type="gramEnd"/>
      <w:r>
        <w:rPr>
          <w:rFonts w:hint="eastAsia"/>
          <w:sz w:val="18"/>
          <w:szCs w:val="18"/>
        </w:rPr>
        <w:t>，将新疆棉花交易市场打造成数字化棉花供应链平台；阿大立足诸暨，包括自主品牌经营、品牌授权经营、贴</w:t>
      </w:r>
      <w:proofErr w:type="gramStart"/>
      <w:r>
        <w:rPr>
          <w:rFonts w:hint="eastAsia"/>
          <w:sz w:val="18"/>
          <w:szCs w:val="18"/>
        </w:rPr>
        <w:t>牌业务</w:t>
      </w:r>
      <w:proofErr w:type="gramEnd"/>
      <w:r>
        <w:rPr>
          <w:rFonts w:hint="eastAsia"/>
          <w:sz w:val="18"/>
          <w:szCs w:val="18"/>
        </w:rPr>
        <w:t>经营、纱线经营等业务模式，建立袜业创新、品牌与交易平台，打造纱袜供应链平台。</w:t>
      </w:r>
    </w:p>
    <w:p w:rsidR="005C49A8" w:rsidRDefault="005C49A8">
      <w:pPr>
        <w:pStyle w:val="a3"/>
        <w:spacing w:before="0" w:beforeAutospacing="0" w:after="0" w:afterAutospacing="0"/>
        <w:ind w:firstLine="420"/>
        <w:jc w:val="both"/>
        <w:divId w:val="1910919086"/>
      </w:pPr>
      <w:r>
        <w:rPr>
          <w:rFonts w:hint="eastAsia"/>
          <w:sz w:val="18"/>
          <w:szCs w:val="18"/>
        </w:rPr>
        <w:t>新业围绕“东数西算”，规划“东推西训”上虞和新疆联动模式，以自</w:t>
      </w:r>
      <w:proofErr w:type="gramStart"/>
      <w:r>
        <w:rPr>
          <w:rFonts w:hint="eastAsia"/>
          <w:sz w:val="18"/>
          <w:szCs w:val="18"/>
        </w:rPr>
        <w:t>有算力</w:t>
      </w:r>
      <w:proofErr w:type="gramEnd"/>
      <w:r>
        <w:rPr>
          <w:rFonts w:ascii="Times New Roman" w:hAnsi="Times New Roman" w:cs="Times New Roman"/>
          <w:sz w:val="18"/>
          <w:szCs w:val="18"/>
        </w:rPr>
        <w:t>+</w:t>
      </w:r>
      <w:proofErr w:type="gramStart"/>
      <w:r>
        <w:rPr>
          <w:rFonts w:hint="eastAsia"/>
          <w:sz w:val="18"/>
          <w:szCs w:val="18"/>
        </w:rPr>
        <w:t>调度算力形成</w:t>
      </w:r>
      <w:proofErr w:type="gramEnd"/>
      <w:r>
        <w:rPr>
          <w:rFonts w:hint="eastAsia"/>
          <w:sz w:val="18"/>
          <w:szCs w:val="18"/>
        </w:rPr>
        <w:t>完整</w:t>
      </w:r>
      <w:proofErr w:type="gramStart"/>
      <w:r>
        <w:rPr>
          <w:rFonts w:hint="eastAsia"/>
          <w:sz w:val="18"/>
          <w:szCs w:val="18"/>
        </w:rPr>
        <w:t>的算力服务</w:t>
      </w:r>
      <w:proofErr w:type="gramEnd"/>
      <w:r>
        <w:rPr>
          <w:rFonts w:hint="eastAsia"/>
          <w:sz w:val="18"/>
          <w:szCs w:val="18"/>
        </w:rPr>
        <w:t>体系，全力打造成为一流的</w:t>
      </w:r>
      <w:proofErr w:type="gramStart"/>
      <w:r>
        <w:rPr>
          <w:rFonts w:hint="eastAsia"/>
          <w:sz w:val="18"/>
          <w:szCs w:val="18"/>
        </w:rPr>
        <w:t>算力综合</w:t>
      </w:r>
      <w:proofErr w:type="gramEnd"/>
      <w:r>
        <w:rPr>
          <w:rFonts w:hint="eastAsia"/>
          <w:sz w:val="18"/>
          <w:szCs w:val="18"/>
        </w:rPr>
        <w:t>服务商。华</w:t>
      </w:r>
      <w:proofErr w:type="gramStart"/>
      <w:r>
        <w:rPr>
          <w:rFonts w:hint="eastAsia"/>
          <w:sz w:val="18"/>
          <w:szCs w:val="18"/>
        </w:rPr>
        <w:t>孚科技</w:t>
      </w:r>
      <w:proofErr w:type="gramEnd"/>
      <w:r>
        <w:rPr>
          <w:rFonts w:hint="eastAsia"/>
          <w:sz w:val="18"/>
          <w:szCs w:val="18"/>
        </w:rPr>
        <w:t>将人工智能与纺织主业有机结合，在流行趋势分析、新型纺织纤维研发、纺织服装从设计图到工艺图生成等多个核心环节，促进企业自身效能提升，助</w:t>
      </w:r>
      <w:proofErr w:type="gramStart"/>
      <w:r>
        <w:rPr>
          <w:rFonts w:hint="eastAsia"/>
          <w:sz w:val="18"/>
          <w:szCs w:val="18"/>
        </w:rPr>
        <w:t>推传统产业数智</w:t>
      </w:r>
      <w:proofErr w:type="gramEnd"/>
      <w:r>
        <w:rPr>
          <w:rFonts w:hint="eastAsia"/>
          <w:sz w:val="18"/>
          <w:szCs w:val="18"/>
        </w:rPr>
        <w:t>化变革。</w:t>
      </w:r>
    </w:p>
    <w:p w:rsidR="005C49A8" w:rsidRDefault="005C49A8">
      <w:pPr>
        <w:pStyle w:val="a3"/>
        <w:spacing w:before="0" w:beforeAutospacing="0" w:after="0" w:afterAutospacing="0"/>
        <w:ind w:firstLine="420"/>
        <w:jc w:val="both"/>
        <w:divId w:val="1910919086"/>
      </w:pPr>
      <w:r>
        <w:rPr>
          <w:rFonts w:ascii="Times New Roman" w:hAnsi="Times New Roman" w:cs="Times New Roman"/>
          <w:sz w:val="18"/>
          <w:szCs w:val="18"/>
        </w:rPr>
        <w:t>3</w:t>
      </w:r>
      <w:r>
        <w:rPr>
          <w:rFonts w:hint="eastAsia"/>
          <w:sz w:val="18"/>
          <w:szCs w:val="18"/>
        </w:rPr>
        <w:t>、主营业务分析</w:t>
      </w:r>
    </w:p>
    <w:p w:rsidR="005C49A8" w:rsidRDefault="005C49A8">
      <w:pPr>
        <w:pStyle w:val="a3"/>
        <w:spacing w:before="0" w:beforeAutospacing="0" w:after="0" w:afterAutospacing="0"/>
        <w:ind w:firstLine="420"/>
        <w:jc w:val="both"/>
        <w:divId w:val="1910919086"/>
      </w:pPr>
      <w:r>
        <w:rPr>
          <w:rFonts w:hint="eastAsia"/>
          <w:sz w:val="18"/>
          <w:szCs w:val="18"/>
        </w:rPr>
        <w:t>报告期内，公司实现营业收入59.54亿元，同比下降8.72%，</w:t>
      </w:r>
      <w:proofErr w:type="gramStart"/>
      <w:r>
        <w:rPr>
          <w:rFonts w:hint="eastAsia"/>
          <w:sz w:val="18"/>
          <w:szCs w:val="18"/>
        </w:rPr>
        <w:t>归母净利润</w:t>
      </w:r>
      <w:proofErr w:type="gramEnd"/>
      <w:r>
        <w:rPr>
          <w:rFonts w:hint="eastAsia"/>
          <w:sz w:val="18"/>
          <w:szCs w:val="18"/>
        </w:rPr>
        <w:t>2509.78万元，同比下降43.98%。2025年上半年，全球经贸环境复杂多变，不稳定性、不确定性明显增加，国内外市场竞争加剧。在国家宏观政策发力显效支撑下，纺织行业实现平稳运行。</w:t>
      </w:r>
    </w:p>
    <w:p w:rsidR="005C49A8" w:rsidRDefault="005C49A8">
      <w:pPr>
        <w:pStyle w:val="a3"/>
        <w:spacing w:before="0" w:beforeAutospacing="0" w:after="0" w:afterAutospacing="0"/>
        <w:ind w:firstLine="420"/>
        <w:jc w:val="both"/>
        <w:divId w:val="1910919086"/>
      </w:pPr>
      <w:r>
        <w:rPr>
          <w:rFonts w:hint="eastAsia"/>
          <w:sz w:val="18"/>
          <w:szCs w:val="18"/>
        </w:rPr>
        <w:t>公司持续拓展内循环市场空间，深度挖掘国内供应链客户，抓住产业集中度提升机会，围绕功能科技、时尚快反、可持续发展、高质量发展四条主线，多品类拓展市场，主营纱线业务平稳增长。受国际环境、贸易保护主义、产业安全等问题的持续影响，以及原料供应端冲击和终端有效需求不足的双向挤压，棉花的金融属性及其价格大幅波动对企业运行影响明显，为了规避价格波动的冲击，公司压降前端棉花供应链业务。</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公司需遵守《深圳证券交易所上市公司自律监管指引第3号——行业信息披露》中的“纺织服装相关业务”的披露要求</w:t>
      </w:r>
    </w:p>
    <w:p w:rsidR="005C49A8" w:rsidRDefault="005C49A8">
      <w:pPr>
        <w:pStyle w:val="a3"/>
        <w:spacing w:before="0" w:beforeAutospacing="0" w:after="0" w:afterAutospacing="0"/>
        <w:ind w:firstLine="420"/>
        <w:jc w:val="both"/>
        <w:divId w:val="1941063346"/>
      </w:pPr>
      <w:r>
        <w:rPr>
          <w:rFonts w:hint="eastAsia"/>
          <w:sz w:val="18"/>
          <w:szCs w:val="18"/>
        </w:rPr>
        <w:t>国内宏观经济形势总体平稳，国家提</w:t>
      </w:r>
      <w:proofErr w:type="gramStart"/>
      <w:r>
        <w:rPr>
          <w:rFonts w:hint="eastAsia"/>
          <w:sz w:val="18"/>
          <w:szCs w:val="18"/>
        </w:rPr>
        <w:t>振消费</w:t>
      </w:r>
      <w:proofErr w:type="gramEnd"/>
      <w:r>
        <w:rPr>
          <w:rFonts w:hint="eastAsia"/>
          <w:sz w:val="18"/>
          <w:szCs w:val="18"/>
        </w:rPr>
        <w:t>专项行动扎实推进，带动纺织服装内销实现平稳增长，纺织行业实现平稳运行。据国家统计局数据，2025年1-6月，全国限额以上单位服装、鞋帽、针纺织品类商品零售额同比增长3.1%，实物商品</w:t>
      </w:r>
      <w:proofErr w:type="gramStart"/>
      <w:r>
        <w:rPr>
          <w:rFonts w:hint="eastAsia"/>
          <w:sz w:val="18"/>
          <w:szCs w:val="18"/>
        </w:rPr>
        <w:t>网上穿</w:t>
      </w:r>
      <w:proofErr w:type="gramEnd"/>
      <w:r>
        <w:rPr>
          <w:rFonts w:hint="eastAsia"/>
          <w:sz w:val="18"/>
          <w:szCs w:val="18"/>
        </w:rPr>
        <w:t>类商品零售额同比增长1.4%；规模以上纺织企业工业增加值同比增长3.1%，营业收入同比下降3.0%，利润总额同比下降9.4%。</w:t>
      </w:r>
    </w:p>
    <w:p w:rsidR="005C49A8" w:rsidRDefault="005C49A8">
      <w:pPr>
        <w:pStyle w:val="a3"/>
        <w:spacing w:before="0" w:beforeAutospacing="0" w:after="0" w:afterAutospacing="0"/>
        <w:ind w:firstLine="420"/>
        <w:jc w:val="both"/>
        <w:divId w:val="1941063346"/>
      </w:pPr>
      <w:r>
        <w:rPr>
          <w:rFonts w:hint="eastAsia"/>
          <w:sz w:val="18"/>
          <w:szCs w:val="18"/>
        </w:rPr>
        <w:t>面对更加错综复杂的外部环境，行业出口总体平稳，展现出较强的韧性。据海关总署数据，2025年1-6月，纺织品服装出口额1439.8亿美元，同比增长0.8%，其中纺织品出口705.2亿美元，同比增长1.8%，服装出口734.6亿美元，同比微降0.2%。</w:t>
      </w:r>
    </w:p>
    <w:p w:rsidR="008820E4" w:rsidRDefault="005C49A8">
      <w:pPr>
        <w:pStyle w:val="2"/>
        <w:spacing w:before="300" w:after="300" w:line="320" w:lineRule="exact"/>
        <w:rPr>
          <w:rFonts w:ascii="宋体" w:eastAsia="宋体" w:hAnsi="宋体" w:cs="宋体"/>
          <w:b/>
          <w:bCs/>
          <w:sz w:val="24"/>
          <w:szCs w:val="24"/>
        </w:rPr>
      </w:pPr>
      <w:bookmarkStart w:id="15" w:name="_Toc988904"/>
      <w:r>
        <w:rPr>
          <w:rFonts w:ascii="宋体" w:eastAsia="宋体" w:hAnsi="宋体" w:cs="宋体"/>
          <w:b/>
          <w:bCs/>
          <w:sz w:val="24"/>
          <w:szCs w:val="24"/>
        </w:rPr>
        <w:lastRenderedPageBreak/>
        <w:t>二、核心竞争力分析</w:t>
      </w:r>
      <w:bookmarkEnd w:id="15"/>
    </w:p>
    <w:p w:rsidR="005C49A8" w:rsidRDefault="005C49A8">
      <w:pPr>
        <w:pStyle w:val="a3"/>
        <w:spacing w:before="0" w:beforeAutospacing="0" w:after="0" w:afterAutospacing="0"/>
        <w:ind w:firstLine="420"/>
        <w:jc w:val="both"/>
        <w:divId w:val="979919124"/>
      </w:pPr>
      <w:r>
        <w:rPr>
          <w:rFonts w:ascii="Times New Roman" w:hAnsi="Times New Roman" w:cs="Times New Roman"/>
          <w:sz w:val="18"/>
          <w:szCs w:val="18"/>
        </w:rPr>
        <w:t>1</w:t>
      </w:r>
      <w:r>
        <w:rPr>
          <w:rFonts w:hint="eastAsia"/>
          <w:sz w:val="18"/>
          <w:szCs w:val="18"/>
        </w:rPr>
        <w:t>、产业引领者。公司作为全球最大的色纺纱供应商和制造商之一，随着产业集中度的提升和产能扩张、</w:t>
      </w:r>
      <w:proofErr w:type="gramStart"/>
      <w:r>
        <w:rPr>
          <w:rFonts w:hint="eastAsia"/>
          <w:sz w:val="18"/>
          <w:szCs w:val="18"/>
        </w:rPr>
        <w:t>网链战略</w:t>
      </w:r>
      <w:proofErr w:type="gramEnd"/>
      <w:r>
        <w:rPr>
          <w:rFonts w:hint="eastAsia"/>
          <w:sz w:val="18"/>
          <w:szCs w:val="18"/>
        </w:rPr>
        <w:t>的实施，产业协同效应的逐步显现，成长空间大。</w:t>
      </w:r>
    </w:p>
    <w:p w:rsidR="005C49A8" w:rsidRDefault="005C49A8">
      <w:pPr>
        <w:pStyle w:val="a3"/>
        <w:spacing w:before="0" w:beforeAutospacing="0" w:after="0" w:afterAutospacing="0"/>
        <w:ind w:firstLine="420"/>
        <w:jc w:val="both"/>
        <w:divId w:val="979919124"/>
      </w:pPr>
      <w:r>
        <w:rPr>
          <w:rFonts w:ascii="Times New Roman" w:hAnsi="Times New Roman" w:cs="Times New Roman"/>
          <w:sz w:val="18"/>
          <w:szCs w:val="18"/>
        </w:rPr>
        <w:t>2</w:t>
      </w:r>
      <w:r>
        <w:rPr>
          <w:rFonts w:hint="eastAsia"/>
          <w:sz w:val="18"/>
          <w:szCs w:val="18"/>
        </w:rPr>
        <w:t>、全球品牌影响力。全球主要服饰名牌的首选纱线，“华孚牌”也是国家驰名商标。“华孚牌”是色纺产业趋势引领者、标准制定者、时尚风向标。</w:t>
      </w:r>
    </w:p>
    <w:p w:rsidR="005C49A8" w:rsidRDefault="005C49A8">
      <w:pPr>
        <w:pStyle w:val="a3"/>
        <w:spacing w:before="0" w:beforeAutospacing="0" w:after="0" w:afterAutospacing="0"/>
        <w:ind w:firstLine="420"/>
        <w:jc w:val="both"/>
        <w:divId w:val="979919124"/>
      </w:pPr>
      <w:r>
        <w:rPr>
          <w:rFonts w:ascii="Times New Roman" w:hAnsi="Times New Roman" w:cs="Times New Roman"/>
          <w:sz w:val="18"/>
          <w:szCs w:val="18"/>
        </w:rPr>
        <w:t>3</w:t>
      </w:r>
      <w:r>
        <w:rPr>
          <w:rFonts w:hint="eastAsia"/>
          <w:sz w:val="18"/>
          <w:szCs w:val="18"/>
        </w:rPr>
        <w:t>、快速反应能力。随着前端供应链的整合和产能布局的完善，通过</w:t>
      </w:r>
      <w:r>
        <w:rPr>
          <w:rFonts w:ascii="Times New Roman" w:hAnsi="Times New Roman" w:cs="Times New Roman"/>
          <w:sz w:val="18"/>
          <w:szCs w:val="18"/>
        </w:rPr>
        <w:t>SAPERP/CRM/MES/PDM/ATP</w:t>
      </w:r>
      <w:r>
        <w:rPr>
          <w:rFonts w:hint="eastAsia"/>
          <w:sz w:val="18"/>
          <w:szCs w:val="18"/>
        </w:rPr>
        <w:t>等信息化、智能化手段，实现了集聚订单、灵活染色、柔性生产、快速交货、定制服务的供应链系统。</w:t>
      </w:r>
    </w:p>
    <w:p w:rsidR="005C49A8" w:rsidRDefault="005C49A8">
      <w:pPr>
        <w:pStyle w:val="a3"/>
        <w:spacing w:before="0" w:beforeAutospacing="0" w:after="0" w:afterAutospacing="0"/>
        <w:ind w:firstLine="420"/>
        <w:jc w:val="both"/>
        <w:divId w:val="979919124"/>
      </w:pPr>
      <w:r>
        <w:rPr>
          <w:rFonts w:ascii="Times New Roman" w:hAnsi="Times New Roman" w:cs="Times New Roman"/>
          <w:sz w:val="18"/>
          <w:szCs w:val="18"/>
        </w:rPr>
        <w:t>4</w:t>
      </w:r>
      <w:r>
        <w:rPr>
          <w:rFonts w:hint="eastAsia"/>
          <w:sz w:val="18"/>
          <w:szCs w:val="18"/>
        </w:rPr>
        <w:t>、产品创新能力。公司加强产业合作，筹建了华孚大学和博士后工作站，建立了趋势、色彩、材质、纺纱、染整、设计、应用、可持续发展等专业研发团队，申报国家专利共计</w:t>
      </w:r>
      <w:r>
        <w:rPr>
          <w:rFonts w:ascii="Times New Roman" w:hAnsi="Times New Roman" w:cs="Times New Roman"/>
          <w:sz w:val="18"/>
          <w:szCs w:val="18"/>
        </w:rPr>
        <w:t>168</w:t>
      </w:r>
      <w:r>
        <w:rPr>
          <w:rFonts w:hint="eastAsia"/>
          <w:sz w:val="18"/>
          <w:szCs w:val="18"/>
        </w:rPr>
        <w:t>项，已获国家专利授权</w:t>
      </w:r>
      <w:r>
        <w:rPr>
          <w:rFonts w:ascii="Times New Roman" w:hAnsi="Times New Roman" w:cs="Times New Roman"/>
          <w:sz w:val="18"/>
          <w:szCs w:val="18"/>
        </w:rPr>
        <w:t>121</w:t>
      </w:r>
      <w:r>
        <w:rPr>
          <w:rFonts w:hint="eastAsia"/>
          <w:sz w:val="18"/>
          <w:szCs w:val="18"/>
        </w:rPr>
        <w:t>项，其中发明专利</w:t>
      </w:r>
      <w:r>
        <w:rPr>
          <w:rFonts w:ascii="Times New Roman" w:hAnsi="Times New Roman" w:cs="Times New Roman"/>
          <w:sz w:val="18"/>
          <w:szCs w:val="18"/>
        </w:rPr>
        <w:t>57</w:t>
      </w:r>
      <w:r>
        <w:rPr>
          <w:rFonts w:hint="eastAsia"/>
          <w:sz w:val="18"/>
          <w:szCs w:val="18"/>
        </w:rPr>
        <w:t>个，实用新型专利</w:t>
      </w:r>
      <w:r>
        <w:rPr>
          <w:rFonts w:ascii="Times New Roman" w:hAnsi="Times New Roman" w:cs="Times New Roman"/>
          <w:sz w:val="18"/>
          <w:szCs w:val="18"/>
        </w:rPr>
        <w:t>64</w:t>
      </w:r>
      <w:r>
        <w:rPr>
          <w:rFonts w:hint="eastAsia"/>
          <w:sz w:val="18"/>
          <w:szCs w:val="18"/>
        </w:rPr>
        <w:t>个。专利数量居色纺行业第一，全球领先。</w:t>
      </w:r>
    </w:p>
    <w:p w:rsidR="005C49A8" w:rsidRDefault="005C49A8">
      <w:pPr>
        <w:pStyle w:val="a3"/>
        <w:spacing w:before="0" w:beforeAutospacing="0" w:after="0" w:afterAutospacing="0"/>
        <w:ind w:firstLine="420"/>
        <w:jc w:val="both"/>
        <w:divId w:val="979919124"/>
      </w:pPr>
      <w:r>
        <w:rPr>
          <w:rFonts w:ascii="Times New Roman" w:hAnsi="Times New Roman" w:cs="Times New Roman"/>
          <w:sz w:val="18"/>
          <w:szCs w:val="18"/>
        </w:rPr>
        <w:t>5</w:t>
      </w:r>
      <w:r>
        <w:rPr>
          <w:rFonts w:hint="eastAsia"/>
          <w:sz w:val="18"/>
          <w:szCs w:val="18"/>
        </w:rPr>
        <w:t>、</w:t>
      </w:r>
      <w:proofErr w:type="gramStart"/>
      <w:r>
        <w:rPr>
          <w:rFonts w:hint="eastAsia"/>
          <w:sz w:val="18"/>
          <w:szCs w:val="18"/>
        </w:rPr>
        <w:t>数智化</w:t>
      </w:r>
      <w:proofErr w:type="gramEnd"/>
      <w:r>
        <w:rPr>
          <w:rFonts w:hint="eastAsia"/>
          <w:sz w:val="18"/>
          <w:szCs w:val="18"/>
        </w:rPr>
        <w:t>和</w:t>
      </w:r>
      <w:proofErr w:type="gramStart"/>
      <w:r>
        <w:rPr>
          <w:rFonts w:hint="eastAsia"/>
          <w:sz w:val="18"/>
          <w:szCs w:val="18"/>
        </w:rPr>
        <w:t>网链战略</w:t>
      </w:r>
      <w:proofErr w:type="gramEnd"/>
      <w:r>
        <w:rPr>
          <w:rFonts w:hint="eastAsia"/>
          <w:sz w:val="18"/>
          <w:szCs w:val="18"/>
        </w:rPr>
        <w:t>的优势。公司通过</w:t>
      </w:r>
      <w:proofErr w:type="gramStart"/>
      <w:r>
        <w:rPr>
          <w:rFonts w:hint="eastAsia"/>
          <w:sz w:val="18"/>
          <w:szCs w:val="18"/>
        </w:rPr>
        <w:t>推进数智升级</w:t>
      </w:r>
      <w:proofErr w:type="gramEnd"/>
      <w:r>
        <w:rPr>
          <w:rFonts w:hint="eastAsia"/>
          <w:sz w:val="18"/>
          <w:szCs w:val="18"/>
        </w:rPr>
        <w:t>战略，在数</w:t>
      </w:r>
      <w:proofErr w:type="gramStart"/>
      <w:r>
        <w:rPr>
          <w:rFonts w:hint="eastAsia"/>
          <w:sz w:val="18"/>
          <w:szCs w:val="18"/>
        </w:rPr>
        <w:t>智工厂</w:t>
      </w:r>
      <w:proofErr w:type="gramEnd"/>
      <w:r>
        <w:rPr>
          <w:rFonts w:hint="eastAsia"/>
          <w:sz w:val="18"/>
          <w:szCs w:val="18"/>
        </w:rPr>
        <w:t>建设、产业贯通的数字化平台建设方面具有领先优势；公司</w:t>
      </w:r>
      <w:proofErr w:type="gramStart"/>
      <w:r>
        <w:rPr>
          <w:rFonts w:hint="eastAsia"/>
          <w:sz w:val="18"/>
          <w:szCs w:val="18"/>
        </w:rPr>
        <w:t>通过网链转型</w:t>
      </w:r>
      <w:proofErr w:type="gramEnd"/>
      <w:r>
        <w:rPr>
          <w:rFonts w:hint="eastAsia"/>
          <w:sz w:val="18"/>
          <w:szCs w:val="18"/>
        </w:rPr>
        <w:t>战略的实施，</w:t>
      </w:r>
      <w:proofErr w:type="gramStart"/>
      <w:r>
        <w:rPr>
          <w:rFonts w:hint="eastAsia"/>
          <w:sz w:val="18"/>
          <w:szCs w:val="18"/>
        </w:rPr>
        <w:t>前端网链形成</w:t>
      </w:r>
      <w:proofErr w:type="gramEnd"/>
      <w:r>
        <w:rPr>
          <w:rFonts w:hint="eastAsia"/>
          <w:sz w:val="18"/>
          <w:szCs w:val="18"/>
        </w:rPr>
        <w:t>了一定的规模，后端网链袜业品类模式取得突破，通过产业互联网的推进产生产业协同效应。</w:t>
      </w:r>
    </w:p>
    <w:p w:rsidR="005C49A8" w:rsidRDefault="005C49A8">
      <w:pPr>
        <w:pStyle w:val="a3"/>
        <w:spacing w:before="0" w:beforeAutospacing="0" w:after="0" w:afterAutospacing="0"/>
        <w:ind w:firstLine="420"/>
        <w:jc w:val="both"/>
        <w:divId w:val="979919124"/>
      </w:pPr>
      <w:r>
        <w:rPr>
          <w:rFonts w:ascii="Times New Roman" w:hAnsi="Times New Roman" w:cs="Times New Roman"/>
          <w:sz w:val="18"/>
          <w:szCs w:val="18"/>
        </w:rPr>
        <w:t>6</w:t>
      </w:r>
      <w:r>
        <w:rPr>
          <w:rFonts w:hint="eastAsia"/>
          <w:sz w:val="18"/>
          <w:szCs w:val="18"/>
        </w:rPr>
        <w:t>、布局人工智能新赛道。公司在坚持主营业务不动摇的前提下，积极响应国家关于“加快发展新质生产力”的要求，进军</w:t>
      </w:r>
      <w:proofErr w:type="gramStart"/>
      <w:r>
        <w:rPr>
          <w:rFonts w:hint="eastAsia"/>
          <w:sz w:val="18"/>
          <w:szCs w:val="18"/>
        </w:rPr>
        <w:t>智能算力领域</w:t>
      </w:r>
      <w:proofErr w:type="gramEnd"/>
      <w:r>
        <w:rPr>
          <w:rFonts w:hint="eastAsia"/>
          <w:sz w:val="18"/>
          <w:szCs w:val="18"/>
        </w:rPr>
        <w:t>，并持续探索纺织</w:t>
      </w:r>
      <w:r>
        <w:rPr>
          <w:rFonts w:ascii="Times New Roman" w:hAnsi="Times New Roman" w:cs="Times New Roman"/>
          <w:sz w:val="18"/>
          <w:szCs w:val="18"/>
        </w:rPr>
        <w:t>+</w:t>
      </w:r>
      <w:r>
        <w:rPr>
          <w:rFonts w:hint="eastAsia"/>
          <w:sz w:val="18"/>
          <w:szCs w:val="18"/>
        </w:rPr>
        <w:t>人工智能应用，从而加快公司转型升级步伐，进一步增强企业核心竞争力，培育公司创新发展动能。</w:t>
      </w:r>
    </w:p>
    <w:p w:rsidR="008820E4" w:rsidRDefault="005C49A8">
      <w:pPr>
        <w:pStyle w:val="2"/>
        <w:spacing w:before="300" w:after="300" w:line="320" w:lineRule="exact"/>
        <w:rPr>
          <w:rFonts w:ascii="宋体" w:eastAsia="宋体" w:hAnsi="宋体" w:cs="宋体"/>
          <w:b/>
          <w:bCs/>
          <w:sz w:val="24"/>
          <w:szCs w:val="24"/>
        </w:rPr>
      </w:pPr>
      <w:bookmarkStart w:id="16" w:name="_Toc988905"/>
      <w:r>
        <w:rPr>
          <w:rFonts w:ascii="宋体" w:eastAsia="宋体" w:hAnsi="宋体" w:cs="宋体"/>
          <w:b/>
          <w:bCs/>
          <w:sz w:val="24"/>
          <w:szCs w:val="24"/>
        </w:rPr>
        <w:t>三、主营业务分析</w:t>
      </w:r>
      <w:bookmarkEnd w:id="1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概述</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参见“一、报告期内公司从事的主要业务”相关内容。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主要财务数据同比变动情况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上年同期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同比增减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变动原因</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营业收入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营业成本</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6,117,898,603.32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销售费用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54,598,732.88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52,789,991.86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管理费用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157,722,589.96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156,860,189.02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0.55%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财务费用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93,080,933.20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101,914,282.91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所得税费用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11,527,174.10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主要系递延</w:t>
            </w:r>
            <w:proofErr w:type="gramEnd"/>
            <w:r>
              <w:rPr>
                <w:rFonts w:ascii="宋体" w:eastAsia="宋体" w:hAnsi="宋体" w:cs="宋体"/>
                <w:sz w:val="18"/>
                <w:szCs w:val="18"/>
              </w:rPr>
              <w:t>所得税费用减少所致。</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研发投入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64,132,053.44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56,859,805.33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经营活动产生的现金流量净额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1,093,172,214.63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投资活动产生的现金流量净额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-410,301,948.86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-318,393,531.49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-28.87%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筹资活动产生的现金流量净额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-1,753,242,046.52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-1,352,086,260.27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现金及现金等价物净增加额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-937,608,814.21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-569,010,967.38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-64.78%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主要系筹资活动产生的现金流出增加所致。</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公司报告期利润构成或利润来源发生重大变动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公司报告期利润构成或利润来源没有发生重大变动。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营业收入构成</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093"/>
        <w:gridCol w:w="1701"/>
        <w:gridCol w:w="1559"/>
        <w:gridCol w:w="1701"/>
        <w:gridCol w:w="1559"/>
        <w:gridCol w:w="1026"/>
      </w:tblGrid>
      <w:tr w:rsidR="008820E4" w:rsidTr="00096B74">
        <w:trPr>
          <w:trHeight w:val="240"/>
        </w:trPr>
        <w:tc>
          <w:tcPr>
            <w:tcW w:w="209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6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w:t>
            </w:r>
          </w:p>
        </w:tc>
        <w:tc>
          <w:tcPr>
            <w:tcW w:w="326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上年同期</w:t>
            </w:r>
          </w:p>
        </w:tc>
        <w:tc>
          <w:tcPr>
            <w:tcW w:w="102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同比增减</w:t>
            </w:r>
          </w:p>
        </w:tc>
      </w:tr>
      <w:tr w:rsidR="008820E4" w:rsidTr="00096B74">
        <w:trPr>
          <w:trHeight w:val="240"/>
        </w:trPr>
        <w:tc>
          <w:tcPr>
            <w:tcW w:w="209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占营业收入比重</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占营业收入比重</w:t>
            </w:r>
          </w:p>
        </w:tc>
        <w:tc>
          <w:tcPr>
            <w:tcW w:w="102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营业收入合计</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right"/>
              <w:rPr>
                <w:rFonts w:ascii="宋体" w:eastAsia="宋体" w:hAnsi="宋体" w:cs="宋体"/>
                <w:sz w:val="18"/>
                <w:szCs w:val="18"/>
                <w:shd w:val="clear" w:color="auto" w:fill="D3D3D3"/>
              </w:rPr>
            </w:pPr>
            <w:r>
              <w:rPr>
                <w:rFonts w:ascii="宋体" w:eastAsia="宋体" w:hAnsi="宋体" w:cs="宋体"/>
                <w:sz w:val="18"/>
                <w:szCs w:val="18"/>
                <w:shd w:val="clear" w:color="auto" w:fill="D3D3D3"/>
              </w:rPr>
              <w:t>100%</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right"/>
              <w:rPr>
                <w:rFonts w:ascii="宋体" w:eastAsia="宋体" w:hAnsi="宋体" w:cs="宋体"/>
                <w:sz w:val="18"/>
                <w:szCs w:val="18"/>
                <w:shd w:val="clear" w:color="auto" w:fill="D3D3D3"/>
              </w:rPr>
            </w:pPr>
            <w:r>
              <w:rPr>
                <w:rFonts w:ascii="宋体" w:eastAsia="宋体" w:hAnsi="宋体" w:cs="宋体"/>
                <w:sz w:val="18"/>
                <w:szCs w:val="18"/>
                <w:shd w:val="clear" w:color="auto" w:fill="D3D3D3"/>
              </w:rPr>
              <w:t>100%</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-8.72%</w:t>
            </w:r>
          </w:p>
        </w:tc>
      </w:tr>
      <w:tr w:rsidR="008820E4">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分行业</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棉纺行业主营业务收入</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5,877,123,029.62</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98.71%</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6,468,606,545.71</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99.17%</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-9.14%</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棉纺行业其他业务收入</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0.89%</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54,266,101.29</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0.83%</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算力及</w:t>
            </w:r>
            <w:proofErr w:type="gramEnd"/>
            <w:r>
              <w:rPr>
                <w:rFonts w:ascii="宋体" w:eastAsia="宋体" w:hAnsi="宋体" w:cs="宋体"/>
                <w:sz w:val="18"/>
                <w:szCs w:val="18"/>
              </w:rPr>
              <w:t>AI</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0.40%</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分产品</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3,049,683,448.73</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46.75%</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42.03%</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3,306,653,848.00</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50.69%</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-24.33%</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袜业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112,269,248.98</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算力及</w:t>
            </w:r>
            <w:proofErr w:type="gramEnd"/>
            <w:r>
              <w:rPr>
                <w:rFonts w:ascii="宋体" w:eastAsia="宋体" w:hAnsi="宋体" w:cs="宋体"/>
                <w:sz w:val="18"/>
                <w:szCs w:val="18"/>
              </w:rPr>
              <w:t>AI</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0.40%</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0.89%</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54,266,101.29</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0.83%</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w:t>
            </w:r>
          </w:p>
        </w:tc>
      </w:tr>
      <w:tr w:rsidR="008820E4">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分地区</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出口销售</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8.90%</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801,404,649.32</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12.29%</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w:t>
            </w:r>
          </w:p>
        </w:tc>
      </w:tr>
      <w:tr w:rsidR="008820E4" w:rsidTr="00096B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国内销售</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5,424,102,770.98</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91.10%</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5,721,467,997.68</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87.71%</w:t>
            </w:r>
          </w:p>
        </w:tc>
        <w:tc>
          <w:tcPr>
            <w:tcW w:w="10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占公司营业收入或营业利润10%以上的行业、产品或地区情况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42"/>
        <w:gridCol w:w="1701"/>
        <w:gridCol w:w="1701"/>
        <w:gridCol w:w="993"/>
        <w:gridCol w:w="1417"/>
        <w:gridCol w:w="1418"/>
        <w:gridCol w:w="1167"/>
      </w:tblGrid>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毛利率</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营业收入比上年同期增减</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营业成本比上年同期增减</w:t>
            </w:r>
          </w:p>
        </w:tc>
        <w:tc>
          <w:tcPr>
            <w:tcW w:w="11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毛利率比上年同期增减</w:t>
            </w:r>
          </w:p>
        </w:tc>
      </w:tr>
      <w:tr w:rsidR="008820E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分行业</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棉纺行业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5,877,123,029.62</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5,567,958,386.32</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-0.38%</w:t>
            </w:r>
          </w:p>
        </w:tc>
      </w:tr>
      <w:tr w:rsidR="008820E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分产品</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3,063,523,599.05</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2,419,513,992.51</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-24.72%</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0.51%</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袜业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84,920,794.76</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25.32%</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-0.48%</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w:t>
            </w:r>
          </w:p>
        </w:tc>
      </w:tr>
      <w:tr w:rsidR="008820E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分地区</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出口销售</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434,423,327.98</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-38.85%</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6.64%</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国内销售</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5,347,335,745.98</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5,133,535,058.34</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-0.83%</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公司主营业务数据统计口径在报告期发生调整的情况下，公司最近1期按报告期末口径调整后的主营业务数据</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公司需遵守《深圳证券交易所上市公司自律监管指引第3号——行业信息披露》中的“纺织服装相关业务”的披露要求</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42"/>
        <w:gridCol w:w="1701"/>
        <w:gridCol w:w="1701"/>
        <w:gridCol w:w="993"/>
        <w:gridCol w:w="1417"/>
        <w:gridCol w:w="1418"/>
        <w:gridCol w:w="1167"/>
      </w:tblGrid>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毛利率</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营业收入比上年同期增减</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营业成本比上年同期增减</w:t>
            </w:r>
          </w:p>
        </w:tc>
        <w:tc>
          <w:tcPr>
            <w:tcW w:w="116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毛利率比上年同期增减</w:t>
            </w:r>
          </w:p>
        </w:tc>
      </w:tr>
      <w:tr w:rsidR="008820E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分行业</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棉纺行业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5,929,831,976.78</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5,585,098,477.04</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5.81%</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-8.71%</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-0.40%</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算力及</w:t>
            </w:r>
            <w:proofErr w:type="gramEnd"/>
            <w:r>
              <w:rPr>
                <w:rFonts w:ascii="宋体" w:eastAsia="宋体" w:hAnsi="宋体" w:cs="宋体"/>
                <w:sz w:val="18"/>
                <w:szCs w:val="18"/>
              </w:rPr>
              <w:t>AI</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19,698,621.02</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18.12%</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分产品</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3,063,523,599.05</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2,419,513,992.51</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-24.72%</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0.51%</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袜业</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84,920,794.76</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25.32%</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-0.48%</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算力及</w:t>
            </w:r>
            <w:proofErr w:type="gramEnd"/>
            <w:r>
              <w:rPr>
                <w:rFonts w:ascii="宋体" w:eastAsia="宋体" w:hAnsi="宋体" w:cs="宋体"/>
                <w:sz w:val="18"/>
                <w:szCs w:val="18"/>
              </w:rPr>
              <w:t>AI</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19,698,621.02</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18.12%</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67.48%</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20.52%</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w:t>
            </w:r>
          </w:p>
        </w:tc>
      </w:tr>
      <w:tr w:rsidR="008820E4">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分地区</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出口销售</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434,423,327.98</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-38.85%</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6.64%</w:t>
            </w:r>
          </w:p>
        </w:tc>
      </w:tr>
      <w:tr w:rsidR="008820E4" w:rsidTr="00096B74">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国内销售</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5,424,102,770.98</w:t>
            </w:r>
          </w:p>
        </w:tc>
        <w:tc>
          <w:tcPr>
            <w:tcW w:w="170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5,150,675,149.06</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5.04%</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-4.75%</w:t>
            </w:r>
          </w:p>
        </w:tc>
        <w:tc>
          <w:tcPr>
            <w:tcW w:w="116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-0.45%</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公司主营业务数据统计口径在报告期发生调整的情况下，公司最近1年按报告期末口径调整后的主营业务数据</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公司是否有实体门店销售终端</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上市公司新增门店情况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公司是否披露前五大加盟店铺情况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2"/>
        <w:spacing w:before="300" w:after="300" w:line="320" w:lineRule="exact"/>
        <w:rPr>
          <w:rFonts w:ascii="宋体" w:eastAsia="宋体" w:hAnsi="宋体" w:cs="宋体"/>
          <w:b/>
          <w:bCs/>
          <w:sz w:val="24"/>
          <w:szCs w:val="24"/>
        </w:rPr>
      </w:pPr>
      <w:bookmarkStart w:id="17" w:name="_Toc988906"/>
      <w:r>
        <w:rPr>
          <w:rFonts w:ascii="宋体" w:eastAsia="宋体" w:hAnsi="宋体" w:cs="宋体"/>
          <w:b/>
          <w:bCs/>
          <w:sz w:val="24"/>
          <w:szCs w:val="24"/>
        </w:rPr>
        <w:t>四、纺织服装相关行业信息披露指引要求的其他信息</w:t>
      </w:r>
      <w:bookmarkEnd w:id="17"/>
    </w:p>
    <w:p w:rsidR="008820E4" w:rsidRDefault="005C49A8">
      <w:pPr>
        <w:pStyle w:val="3"/>
        <w:spacing w:line="280" w:lineRule="exact"/>
        <w:jc w:val="left"/>
        <w:rPr>
          <w:rFonts w:ascii="宋体" w:hAnsi="宋体" w:cs="宋体"/>
          <w:b/>
          <w:bCs/>
        </w:rPr>
      </w:pPr>
      <w:bookmarkStart w:id="18" w:name="_Toc988907"/>
      <w:r>
        <w:rPr>
          <w:rFonts w:ascii="宋体" w:hAnsi="宋体" w:cs="宋体"/>
          <w:b/>
          <w:bCs/>
        </w:rPr>
        <w:t>1、产能情况</w:t>
      </w:r>
      <w:bookmarkEnd w:id="1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公司自有产能状况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上年同期</w:t>
            </w:r>
          </w:p>
        </w:tc>
      </w:tr>
      <w:tr w:rsidR="008820E4" w:rsidTr="00096B7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总产能</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206万锭</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206万锭</w:t>
            </w:r>
          </w:p>
        </w:tc>
      </w:tr>
      <w:tr w:rsidR="008820E4" w:rsidTr="00096B7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产能利用率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90.00%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85.00%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产能利用率同比变动超过10% </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是否存在境外产能</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境内</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境外</w:t>
            </w:r>
          </w:p>
        </w:tc>
      </w:tr>
      <w:tr w:rsidR="008820E4" w:rsidTr="00096B7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产能的占比</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85.00%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96B7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产能的布局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177万锭</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29万锭</w:t>
            </w:r>
          </w:p>
        </w:tc>
      </w:tr>
      <w:tr w:rsidR="008820E4" w:rsidTr="00096B7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产能利用率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91.00%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rsidP="00096B74">
            <w:pPr>
              <w:spacing w:line="0" w:lineRule="atLeast"/>
              <w:jc w:val="right"/>
              <w:rPr>
                <w:rFonts w:ascii="宋体" w:eastAsia="宋体" w:hAnsi="宋体" w:cs="宋体"/>
                <w:sz w:val="18"/>
                <w:szCs w:val="18"/>
              </w:rPr>
            </w:pPr>
            <w:r>
              <w:rPr>
                <w:rFonts w:ascii="宋体" w:eastAsia="宋体" w:hAnsi="宋体" w:cs="宋体"/>
                <w:sz w:val="18"/>
                <w:szCs w:val="18"/>
              </w:rPr>
              <w:t>82.00%</w:t>
            </w:r>
          </w:p>
        </w:tc>
      </w:tr>
    </w:tbl>
    <w:p w:rsidR="005C49A8" w:rsidRPr="00096B74" w:rsidRDefault="005C49A8" w:rsidP="00096B74">
      <w:pPr>
        <w:spacing w:before="100" w:after="100" w:line="240" w:lineRule="exact"/>
        <w:rPr>
          <w:rFonts w:ascii="宋体" w:eastAsia="宋体" w:hAnsi="宋体" w:cs="宋体"/>
          <w:sz w:val="18"/>
          <w:szCs w:val="18"/>
        </w:rPr>
      </w:pPr>
      <w:r>
        <w:rPr>
          <w:rFonts w:ascii="宋体" w:eastAsia="宋体" w:hAnsi="宋体" w:cs="宋体"/>
          <w:sz w:val="18"/>
          <w:szCs w:val="18"/>
        </w:rPr>
        <w:t>公司未来的境外产能扩建计划</w:t>
      </w:r>
      <w:r w:rsidR="00096B74">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9" w:name="_Toc988908"/>
      <w:r>
        <w:rPr>
          <w:rFonts w:ascii="宋体" w:hAnsi="宋体" w:cs="宋体"/>
          <w:b/>
          <w:bCs/>
        </w:rPr>
        <w:t>2、销售模式及渠道情况</w:t>
      </w:r>
      <w:bookmarkEnd w:id="1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产品的销售渠道及实际运营方式</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959"/>
        <w:gridCol w:w="1772"/>
        <w:gridCol w:w="1772"/>
        <w:gridCol w:w="1005"/>
        <w:gridCol w:w="1377"/>
        <w:gridCol w:w="1377"/>
        <w:gridCol w:w="1377"/>
      </w:tblGrid>
      <w:tr w:rsidR="008820E4" w:rsidTr="00096B74">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销售渠道</w:t>
            </w:r>
          </w:p>
        </w:tc>
        <w:tc>
          <w:tcPr>
            <w:tcW w:w="177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77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毛利率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营业收入比上年同期增减（%）</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营业成本比上年同期增减（%）</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毛利率比上年同期增减（%）</w:t>
            </w:r>
          </w:p>
        </w:tc>
      </w:tr>
      <w:tr w:rsidR="008820E4" w:rsidTr="00096B74">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线上销售</w:t>
            </w:r>
          </w:p>
        </w:tc>
        <w:tc>
          <w:tcPr>
            <w:tcW w:w="17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62,103,434.65</w:t>
            </w:r>
          </w:p>
        </w:tc>
        <w:tc>
          <w:tcPr>
            <w:tcW w:w="17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38,530,827.77</w:t>
            </w:r>
          </w:p>
        </w:tc>
        <w:tc>
          <w:tcPr>
            <w:tcW w:w="10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37.96%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39.32%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-10.55%</w:t>
            </w:r>
          </w:p>
        </w:tc>
      </w:tr>
      <w:tr w:rsidR="008820E4" w:rsidTr="00096B74">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直营销售</w:t>
            </w:r>
          </w:p>
        </w:tc>
        <w:tc>
          <w:tcPr>
            <w:tcW w:w="17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5,891,786,619.97</w:t>
            </w:r>
          </w:p>
        </w:tc>
        <w:tc>
          <w:tcPr>
            <w:tcW w:w="17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5,566,266,270.29</w:t>
            </w:r>
          </w:p>
        </w:tc>
        <w:tc>
          <w:tcPr>
            <w:tcW w:w="10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-0.34%</w:t>
            </w:r>
          </w:p>
        </w:tc>
      </w:tr>
    </w:tbl>
    <w:p w:rsidR="008820E4" w:rsidRDefault="005C49A8">
      <w:pPr>
        <w:pStyle w:val="3"/>
        <w:spacing w:line="280" w:lineRule="exact"/>
        <w:jc w:val="left"/>
        <w:rPr>
          <w:rFonts w:ascii="宋体" w:hAnsi="宋体" w:cs="宋体"/>
          <w:b/>
          <w:bCs/>
        </w:rPr>
      </w:pPr>
      <w:bookmarkStart w:id="20" w:name="_Toc988909"/>
      <w:r>
        <w:rPr>
          <w:rFonts w:ascii="宋体" w:hAnsi="宋体" w:cs="宋体"/>
          <w:b/>
          <w:bCs/>
        </w:rPr>
        <w:t>3、销售费用及构成</w:t>
      </w:r>
      <w:bookmarkEnd w:id="20"/>
    </w:p>
    <w:tbl>
      <w:tblPr>
        <w:tblW w:w="9673" w:type="dxa"/>
        <w:tblInd w:w="-132" w:type="dxa"/>
        <w:tblCellMar>
          <w:left w:w="0" w:type="dxa"/>
          <w:right w:w="0" w:type="dxa"/>
        </w:tblCellMar>
        <w:tblLook w:val="04A0" w:firstRow="1" w:lastRow="0" w:firstColumn="1" w:lastColumn="0" w:noHBand="0" w:noVBand="1"/>
      </w:tblPr>
      <w:tblGrid>
        <w:gridCol w:w="4587"/>
        <w:gridCol w:w="1940"/>
        <w:gridCol w:w="3146"/>
      </w:tblGrid>
      <w:tr w:rsidR="005C49A8" w:rsidTr="00096B74">
        <w:trPr>
          <w:divId w:val="403992712"/>
          <w:trHeight w:val="30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pPr>
              <w:jc w:val="center"/>
              <w:rPr>
                <w:rFonts w:ascii="宋体" w:eastAsia="宋体" w:hAnsi="宋体" w:cs="宋体"/>
                <w:sz w:val="18"/>
                <w:szCs w:val="18"/>
              </w:rPr>
            </w:pPr>
            <w:r>
              <w:rPr>
                <w:rFonts w:hint="eastAsia"/>
                <w:sz w:val="18"/>
                <w:szCs w:val="18"/>
              </w:rPr>
              <w:t>项目</w:t>
            </w:r>
          </w:p>
        </w:tc>
        <w:tc>
          <w:tcPr>
            <w:tcW w:w="1940" w:type="dxa"/>
            <w:tcBorders>
              <w:top w:val="single" w:sz="8" w:space="0" w:color="auto"/>
              <w:left w:val="nil"/>
              <w:bottom w:val="single" w:sz="8" w:space="0" w:color="auto"/>
              <w:right w:val="single" w:sz="8" w:space="0" w:color="auto"/>
            </w:tcBorders>
            <w:shd w:val="clear" w:color="auto" w:fill="D3D3D3"/>
            <w:vAlign w:val="center"/>
            <w:hideMark/>
          </w:tcPr>
          <w:p w:rsidR="005C49A8" w:rsidRDefault="005C49A8">
            <w:pPr>
              <w:jc w:val="center"/>
              <w:rPr>
                <w:rFonts w:ascii="宋体" w:eastAsia="宋体" w:hAnsi="宋体" w:cs="宋体"/>
                <w:sz w:val="18"/>
                <w:szCs w:val="18"/>
              </w:rPr>
            </w:pPr>
            <w:r>
              <w:rPr>
                <w:rFonts w:hint="eastAsia"/>
                <w:sz w:val="18"/>
                <w:szCs w:val="18"/>
              </w:rPr>
              <w:t>本期发生额</w:t>
            </w:r>
          </w:p>
        </w:tc>
        <w:tc>
          <w:tcPr>
            <w:tcW w:w="3146" w:type="dxa"/>
            <w:tcBorders>
              <w:top w:val="single" w:sz="8" w:space="0" w:color="auto"/>
              <w:left w:val="nil"/>
              <w:bottom w:val="single" w:sz="8" w:space="0" w:color="auto"/>
              <w:right w:val="single" w:sz="8" w:space="0" w:color="auto"/>
            </w:tcBorders>
            <w:shd w:val="clear" w:color="auto" w:fill="D3D3D3"/>
            <w:vAlign w:val="center"/>
            <w:hideMark/>
          </w:tcPr>
          <w:p w:rsidR="005C49A8" w:rsidRDefault="005C49A8">
            <w:pPr>
              <w:jc w:val="center"/>
              <w:rPr>
                <w:rFonts w:ascii="宋体" w:eastAsia="宋体" w:hAnsi="宋体" w:cs="宋体"/>
                <w:sz w:val="18"/>
                <w:szCs w:val="18"/>
              </w:rPr>
            </w:pPr>
            <w:r>
              <w:rPr>
                <w:rFonts w:hint="eastAsia"/>
                <w:sz w:val="18"/>
                <w:szCs w:val="18"/>
              </w:rPr>
              <w:t>上期发生额</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工资及相关费用</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21,220,289.77</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16,894,253.13</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办公费用</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944,348.71</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418,011.23</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lastRenderedPageBreak/>
              <w:t>租赁费</w:t>
            </w:r>
          </w:p>
        </w:tc>
        <w:tc>
          <w:tcPr>
            <w:tcW w:w="1940" w:type="dxa"/>
            <w:tcBorders>
              <w:top w:val="single" w:sz="8" w:space="0" w:color="auto"/>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11,747,265.23</w:t>
            </w:r>
          </w:p>
        </w:tc>
        <w:tc>
          <w:tcPr>
            <w:tcW w:w="3146" w:type="dxa"/>
            <w:tcBorders>
              <w:top w:val="single" w:sz="8" w:space="0" w:color="auto"/>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14,796,750.63</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低值易耗品</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375,984.50</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831,240.34</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修理费</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133,793.29</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129,217.77</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折旧费</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3,755,495.56</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4,209,168.09</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差旅费</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453,911.42</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369,477.54</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业务招待费</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129,122.02</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129,151.07</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电商平台服务费</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13,673,436.21</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11,999,550.80</w:t>
            </w:r>
          </w:p>
        </w:tc>
      </w:tr>
      <w:tr w:rsidR="005C49A8" w:rsidRPr="00096B74" w:rsidTr="00096B74">
        <w:trPr>
          <w:divId w:val="403992712"/>
          <w:trHeight w:val="20"/>
          <w:tblHeader/>
        </w:trPr>
        <w:tc>
          <w:tcPr>
            <w:tcW w:w="4587"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其他</w:t>
            </w:r>
          </w:p>
        </w:tc>
        <w:tc>
          <w:tcPr>
            <w:tcW w:w="1940"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2,165,086.17</w:t>
            </w:r>
          </w:p>
        </w:tc>
        <w:tc>
          <w:tcPr>
            <w:tcW w:w="3146" w:type="dxa"/>
            <w:tcBorders>
              <w:top w:val="nil"/>
              <w:left w:val="nil"/>
              <w:bottom w:val="single" w:sz="8" w:space="0" w:color="auto"/>
              <w:right w:val="single" w:sz="8" w:space="0" w:color="auto"/>
            </w:tcBorders>
            <w:shd w:val="clear" w:color="auto" w:fill="FFFFFF"/>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3,013,171.26</w:t>
            </w:r>
          </w:p>
        </w:tc>
      </w:tr>
      <w:tr w:rsidR="005C49A8" w:rsidRPr="00096B74" w:rsidTr="00096B74">
        <w:trPr>
          <w:divId w:val="403992712"/>
          <w:trHeight w:val="300"/>
          <w:tblHeader/>
        </w:trPr>
        <w:tc>
          <w:tcPr>
            <w:tcW w:w="4587" w:type="dxa"/>
            <w:tcBorders>
              <w:top w:val="nil"/>
              <w:left w:val="single" w:sz="8" w:space="0" w:color="auto"/>
              <w:bottom w:val="single" w:sz="8" w:space="0" w:color="auto"/>
              <w:right w:val="single" w:sz="8" w:space="0" w:color="auto"/>
            </w:tcBorders>
            <w:shd w:val="clear" w:color="auto" w:fill="D3D3D3"/>
            <w:vAlign w:val="center"/>
            <w:hideMark/>
          </w:tcPr>
          <w:p w:rsidR="005C49A8" w:rsidRDefault="005C49A8" w:rsidP="00096B74">
            <w:pPr>
              <w:spacing w:before="40" w:after="40" w:line="0" w:lineRule="atLeast"/>
              <w:rPr>
                <w:rFonts w:ascii="宋体" w:eastAsia="宋体" w:hAnsi="宋体" w:cs="宋体"/>
                <w:sz w:val="18"/>
                <w:szCs w:val="18"/>
              </w:rPr>
            </w:pPr>
            <w:r w:rsidRPr="00096B74">
              <w:rPr>
                <w:rFonts w:ascii="宋体" w:eastAsia="宋体" w:hAnsi="宋体" w:cs="宋体" w:hint="eastAsia"/>
                <w:sz w:val="18"/>
                <w:szCs w:val="18"/>
              </w:rPr>
              <w:t>合计</w:t>
            </w:r>
          </w:p>
        </w:tc>
        <w:tc>
          <w:tcPr>
            <w:tcW w:w="1940" w:type="dxa"/>
            <w:tcBorders>
              <w:top w:val="nil"/>
              <w:left w:val="nil"/>
              <w:bottom w:val="single" w:sz="8" w:space="0" w:color="auto"/>
              <w:right w:val="single" w:sz="8" w:space="0" w:color="auto"/>
            </w:tcBorders>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54,598,732.88</w:t>
            </w:r>
          </w:p>
        </w:tc>
        <w:tc>
          <w:tcPr>
            <w:tcW w:w="3146" w:type="dxa"/>
            <w:tcBorders>
              <w:top w:val="nil"/>
              <w:left w:val="nil"/>
              <w:bottom w:val="single" w:sz="8" w:space="0" w:color="auto"/>
              <w:right w:val="single" w:sz="8" w:space="0" w:color="auto"/>
            </w:tcBorders>
            <w:vAlign w:val="center"/>
            <w:hideMark/>
          </w:tcPr>
          <w:p w:rsidR="005C49A8" w:rsidRPr="00096B74" w:rsidRDefault="005C49A8" w:rsidP="00096B74">
            <w:pPr>
              <w:spacing w:before="40" w:after="40" w:line="0" w:lineRule="atLeast"/>
              <w:jc w:val="right"/>
              <w:rPr>
                <w:rFonts w:ascii="宋体" w:eastAsia="宋体" w:hAnsi="宋体" w:cs="宋体"/>
                <w:sz w:val="18"/>
                <w:szCs w:val="18"/>
              </w:rPr>
            </w:pPr>
            <w:r w:rsidRPr="00096B74">
              <w:rPr>
                <w:rFonts w:ascii="宋体" w:eastAsia="宋体" w:hAnsi="宋体" w:cs="宋体"/>
                <w:sz w:val="18"/>
                <w:szCs w:val="18"/>
              </w:rPr>
              <w:t>52,789,991.86</w:t>
            </w:r>
          </w:p>
        </w:tc>
      </w:tr>
    </w:tbl>
    <w:p w:rsidR="008820E4" w:rsidRDefault="005C49A8">
      <w:pPr>
        <w:pStyle w:val="3"/>
        <w:spacing w:line="280" w:lineRule="exact"/>
        <w:jc w:val="left"/>
        <w:rPr>
          <w:rFonts w:ascii="宋体" w:hAnsi="宋体" w:cs="宋体"/>
          <w:b/>
          <w:bCs/>
        </w:rPr>
      </w:pPr>
      <w:bookmarkStart w:id="21" w:name="_Toc988910"/>
      <w:r>
        <w:rPr>
          <w:rFonts w:ascii="宋体" w:hAnsi="宋体" w:cs="宋体"/>
          <w:b/>
          <w:bCs/>
        </w:rPr>
        <w:t>4、加盟、分销</w:t>
      </w:r>
      <w:bookmarkEnd w:id="2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加盟商、分销商实现销售收入占比超过30%</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3"/>
        <w:spacing w:line="280" w:lineRule="exact"/>
        <w:jc w:val="left"/>
        <w:rPr>
          <w:rFonts w:ascii="宋体" w:hAnsi="宋体" w:cs="宋体"/>
          <w:b/>
          <w:bCs/>
        </w:rPr>
      </w:pPr>
      <w:bookmarkStart w:id="22" w:name="_Toc988911"/>
      <w:r>
        <w:rPr>
          <w:rFonts w:ascii="宋体" w:hAnsi="宋体" w:cs="宋体"/>
          <w:b/>
          <w:bCs/>
        </w:rPr>
        <w:t>5、线上销售</w:t>
      </w:r>
      <w:bookmarkEnd w:id="22"/>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线上销售实现销售收入占比超过30%</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是否自建销售平台</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是否与第三</w:t>
      </w:r>
      <w:proofErr w:type="gramStart"/>
      <w:r>
        <w:rPr>
          <w:rFonts w:ascii="宋体" w:eastAsia="宋体" w:hAnsi="宋体" w:cs="宋体"/>
          <w:sz w:val="18"/>
          <w:szCs w:val="18"/>
        </w:rPr>
        <w:t>方销售</w:t>
      </w:r>
      <w:proofErr w:type="gramEnd"/>
      <w:r>
        <w:rPr>
          <w:rFonts w:ascii="宋体" w:eastAsia="宋体" w:hAnsi="宋体" w:cs="宋体"/>
          <w:sz w:val="18"/>
          <w:szCs w:val="18"/>
        </w:rPr>
        <w:t>平台合作</w:t>
      </w:r>
    </w:p>
    <w:p w:rsidR="008820E4" w:rsidRDefault="00CA5826">
      <w:pPr>
        <w:spacing w:line="240" w:lineRule="exact"/>
        <w:rPr>
          <w:rFonts w:ascii="宋体" w:eastAsia="宋体" w:hAnsi="宋体" w:cs="宋体"/>
          <w:sz w:val="18"/>
          <w:szCs w:val="18"/>
        </w:rPr>
      </w:pPr>
      <w:r>
        <w:rPr>
          <w:rFonts w:ascii="宋体" w:eastAsia="宋体" w:hAnsi="宋体" w:cs="宋体"/>
          <w:sz w:val="18"/>
          <w:szCs w:val="18"/>
        </w:rPr>
        <w:sym w:font="Wingdings 2" w:char="F052"/>
      </w:r>
      <w:r w:rsidR="005C49A8">
        <w:rPr>
          <w:rFonts w:ascii="宋体" w:eastAsia="宋体" w:hAnsi="宋体" w:cs="宋体"/>
          <w:sz w:val="18"/>
          <w:szCs w:val="18"/>
        </w:rPr>
        <w:t xml:space="preserve">是 </w:t>
      </w:r>
      <w:r>
        <w:rPr>
          <w:rFonts w:ascii="宋体" w:eastAsia="宋体" w:hAnsi="宋体" w:cs="宋体"/>
          <w:sz w:val="18"/>
          <w:szCs w:val="18"/>
        </w:rPr>
        <w:t>□</w:t>
      </w:r>
      <w:r w:rsidR="005C49A8">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公司开设或关闭线上销售渠道</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3" w:name="_Toc988912"/>
      <w:r>
        <w:rPr>
          <w:rFonts w:ascii="宋体" w:hAnsi="宋体" w:cs="宋体"/>
          <w:b/>
          <w:bCs/>
        </w:rPr>
        <w:t>6、代运营模式</w:t>
      </w:r>
      <w:bookmarkEnd w:id="2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是否涉及代运营模式</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3"/>
        <w:spacing w:line="280" w:lineRule="exact"/>
        <w:jc w:val="left"/>
        <w:rPr>
          <w:rFonts w:ascii="宋体" w:hAnsi="宋体" w:cs="宋体"/>
          <w:b/>
          <w:bCs/>
        </w:rPr>
      </w:pPr>
      <w:bookmarkStart w:id="24" w:name="_Toc988913"/>
      <w:r>
        <w:rPr>
          <w:rFonts w:ascii="宋体" w:hAnsi="宋体" w:cs="宋体"/>
          <w:b/>
          <w:bCs/>
        </w:rPr>
        <w:t>7、存货情况</w:t>
      </w:r>
      <w:bookmarkEnd w:id="2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存货情况</w:t>
      </w:r>
    </w:p>
    <w:p w:rsidR="000F0523" w:rsidRDefault="000F0523" w:rsidP="000F0523">
      <w:pPr>
        <w:spacing w:before="100" w:after="100" w:line="240" w:lineRule="exact"/>
        <w:jc w:val="right"/>
        <w:rPr>
          <w:rFonts w:ascii="宋体" w:eastAsia="宋体" w:hAnsi="宋体" w:cs="宋体"/>
          <w:sz w:val="18"/>
          <w:szCs w:val="18"/>
        </w:rPr>
      </w:pPr>
      <w:r>
        <w:rPr>
          <w:rFonts w:ascii="宋体" w:eastAsia="宋体" w:hAnsi="宋体" w:cs="宋体" w:hint="eastAsia"/>
          <w:sz w:val="18"/>
          <w:szCs w:val="18"/>
        </w:rPr>
        <w:t>单位：吨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42"/>
        <w:gridCol w:w="1843"/>
        <w:gridCol w:w="1134"/>
        <w:gridCol w:w="992"/>
        <w:gridCol w:w="2127"/>
        <w:gridCol w:w="2301"/>
      </w:tblGrid>
      <w:tr w:rsidR="000F0523" w:rsidTr="0017456B">
        <w:trPr>
          <w:trHeight w:val="240"/>
        </w:trPr>
        <w:tc>
          <w:tcPr>
            <w:tcW w:w="12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存货周转天数</w:t>
            </w:r>
            <w:r w:rsidR="0017456B">
              <w:rPr>
                <w:rFonts w:ascii="宋体" w:eastAsia="宋体" w:hAnsi="宋体" w:cs="宋体"/>
                <w:sz w:val="18"/>
                <w:szCs w:val="18"/>
              </w:rPr>
              <w:t>（天）</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存货数量</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存货库龄</w:t>
            </w:r>
            <w:proofErr w:type="gramEnd"/>
          </w:p>
        </w:tc>
        <w:tc>
          <w:tcPr>
            <w:tcW w:w="21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存货余额同比增减情况</w:t>
            </w:r>
          </w:p>
        </w:tc>
        <w:tc>
          <w:tcPr>
            <w:tcW w:w="23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原因</w:t>
            </w:r>
          </w:p>
        </w:tc>
      </w:tr>
      <w:tr w:rsidR="000F0523" w:rsidTr="0017456B">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0F0523">
            <w:pPr>
              <w:spacing w:line="0" w:lineRule="atLeast"/>
              <w:rPr>
                <w:rFonts w:ascii="宋体" w:eastAsia="宋体" w:hAnsi="宋体" w:cs="宋体"/>
                <w:sz w:val="18"/>
                <w:szCs w:val="18"/>
              </w:rPr>
            </w:pPr>
            <w:r>
              <w:rPr>
                <w:rFonts w:ascii="宋体" w:eastAsia="宋体" w:hAnsi="宋体" w:cs="宋体"/>
                <w:sz w:val="18"/>
                <w:szCs w:val="18"/>
              </w:rPr>
              <w:t>纱线</w:t>
            </w:r>
          </w:p>
        </w:tc>
        <w:tc>
          <w:tcPr>
            <w:tcW w:w="1843" w:type="dxa"/>
            <w:tcBorders>
              <w:top w:val="single" w:sz="2" w:space="0" w:color="auto"/>
              <w:left w:val="single" w:sz="2" w:space="0" w:color="auto"/>
              <w:bottom w:val="single" w:sz="2" w:space="0" w:color="auto"/>
              <w:right w:val="single" w:sz="2" w:space="0" w:color="auto"/>
            </w:tcBorders>
            <w:vAlign w:val="center"/>
          </w:tcPr>
          <w:p w:rsidR="008820E4" w:rsidRDefault="005C49A8" w:rsidP="000F0523">
            <w:pPr>
              <w:spacing w:line="0" w:lineRule="atLeast"/>
              <w:jc w:val="right"/>
              <w:rPr>
                <w:rFonts w:ascii="宋体" w:eastAsia="宋体" w:hAnsi="宋体" w:cs="宋体"/>
                <w:sz w:val="18"/>
                <w:szCs w:val="18"/>
              </w:rPr>
            </w:pPr>
            <w:r>
              <w:rPr>
                <w:rFonts w:ascii="宋体" w:eastAsia="宋体" w:hAnsi="宋体" w:cs="宋体"/>
                <w:sz w:val="18"/>
                <w:szCs w:val="18"/>
              </w:rPr>
              <w:t>81</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rsidP="000F0523">
            <w:pPr>
              <w:spacing w:line="0" w:lineRule="atLeast"/>
              <w:jc w:val="right"/>
              <w:rPr>
                <w:rFonts w:ascii="宋体" w:eastAsia="宋体" w:hAnsi="宋体" w:cs="宋体"/>
                <w:sz w:val="18"/>
                <w:szCs w:val="18"/>
              </w:rPr>
            </w:pPr>
            <w:r>
              <w:rPr>
                <w:rFonts w:ascii="宋体" w:eastAsia="宋体" w:hAnsi="宋体" w:cs="宋体"/>
                <w:sz w:val="18"/>
                <w:szCs w:val="18"/>
              </w:rPr>
              <w:t>46,081.20</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8820E4" w:rsidP="000F0523">
            <w:pPr>
              <w:spacing w:line="0" w:lineRule="atLeast"/>
              <w:jc w:val="right"/>
              <w:rPr>
                <w:rFonts w:ascii="宋体" w:eastAsia="宋体" w:hAnsi="宋体" w:cs="宋体"/>
                <w:sz w:val="18"/>
                <w:szCs w:val="18"/>
              </w:rPr>
            </w:pPr>
          </w:p>
        </w:tc>
        <w:tc>
          <w:tcPr>
            <w:tcW w:w="2127" w:type="dxa"/>
            <w:tcBorders>
              <w:top w:val="single" w:sz="2" w:space="0" w:color="auto"/>
              <w:left w:val="single" w:sz="2" w:space="0" w:color="auto"/>
              <w:bottom w:val="single" w:sz="2" w:space="0" w:color="auto"/>
              <w:right w:val="single" w:sz="2" w:space="0" w:color="auto"/>
            </w:tcBorders>
            <w:vAlign w:val="center"/>
          </w:tcPr>
          <w:p w:rsidR="008820E4" w:rsidRDefault="005C49A8" w:rsidP="000F0523">
            <w:pPr>
              <w:spacing w:line="0" w:lineRule="atLeast"/>
              <w:jc w:val="right"/>
              <w:rPr>
                <w:rFonts w:ascii="宋体" w:eastAsia="宋体" w:hAnsi="宋体" w:cs="宋体"/>
                <w:sz w:val="18"/>
                <w:szCs w:val="18"/>
              </w:rPr>
            </w:pPr>
            <w:r>
              <w:rPr>
                <w:rFonts w:ascii="宋体" w:eastAsia="宋体" w:hAnsi="宋体" w:cs="宋体"/>
                <w:sz w:val="18"/>
                <w:szCs w:val="18"/>
              </w:rPr>
              <w:t>-32.26%</w:t>
            </w:r>
          </w:p>
        </w:tc>
        <w:tc>
          <w:tcPr>
            <w:tcW w:w="2301" w:type="dxa"/>
            <w:tcBorders>
              <w:top w:val="single" w:sz="2" w:space="0" w:color="auto"/>
              <w:left w:val="single" w:sz="2" w:space="0" w:color="auto"/>
              <w:bottom w:val="single" w:sz="2" w:space="0" w:color="auto"/>
              <w:right w:val="single" w:sz="2" w:space="0" w:color="auto"/>
            </w:tcBorders>
            <w:vAlign w:val="center"/>
          </w:tcPr>
          <w:p w:rsidR="008820E4" w:rsidRDefault="000F0523">
            <w:pPr>
              <w:spacing w:line="0" w:lineRule="atLeast"/>
              <w:rPr>
                <w:rFonts w:ascii="宋体" w:eastAsia="宋体" w:hAnsi="宋体" w:cs="宋体"/>
                <w:sz w:val="18"/>
                <w:szCs w:val="18"/>
              </w:rPr>
            </w:pPr>
            <w:r>
              <w:rPr>
                <w:rFonts w:ascii="宋体" w:eastAsia="宋体" w:hAnsi="宋体" w:cs="宋体"/>
                <w:sz w:val="18"/>
                <w:szCs w:val="18"/>
              </w:rPr>
              <w:t>主要系纱线销售增加所致</w:t>
            </w:r>
          </w:p>
        </w:tc>
      </w:tr>
      <w:tr w:rsidR="000F0523" w:rsidTr="0017456B">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8820E4" w:rsidRDefault="000F0523">
            <w:pPr>
              <w:spacing w:line="0" w:lineRule="atLeast"/>
              <w:rPr>
                <w:rFonts w:ascii="宋体" w:eastAsia="宋体" w:hAnsi="宋体" w:cs="宋体"/>
                <w:sz w:val="18"/>
                <w:szCs w:val="18"/>
              </w:rPr>
            </w:pPr>
            <w:r>
              <w:rPr>
                <w:rFonts w:ascii="宋体" w:eastAsia="宋体" w:hAnsi="宋体" w:cs="宋体"/>
                <w:sz w:val="18"/>
                <w:szCs w:val="18"/>
              </w:rPr>
              <w:t>原棉、色</w:t>
            </w:r>
            <w:proofErr w:type="gramStart"/>
            <w:r>
              <w:rPr>
                <w:rFonts w:ascii="宋体" w:eastAsia="宋体" w:hAnsi="宋体" w:cs="宋体"/>
                <w:sz w:val="18"/>
                <w:szCs w:val="18"/>
              </w:rPr>
              <w:t>纤</w:t>
            </w:r>
            <w:proofErr w:type="gramEnd"/>
          </w:p>
        </w:tc>
        <w:tc>
          <w:tcPr>
            <w:tcW w:w="1843" w:type="dxa"/>
            <w:tcBorders>
              <w:top w:val="single" w:sz="2" w:space="0" w:color="auto"/>
              <w:left w:val="single" w:sz="2" w:space="0" w:color="auto"/>
              <w:bottom w:val="single" w:sz="2" w:space="0" w:color="auto"/>
              <w:right w:val="single" w:sz="2" w:space="0" w:color="auto"/>
            </w:tcBorders>
            <w:vAlign w:val="center"/>
          </w:tcPr>
          <w:p w:rsidR="008820E4" w:rsidRDefault="005C49A8" w:rsidP="000F0523">
            <w:pPr>
              <w:spacing w:line="0" w:lineRule="atLeast"/>
              <w:jc w:val="right"/>
              <w:rPr>
                <w:rFonts w:ascii="宋体" w:eastAsia="宋体" w:hAnsi="宋体" w:cs="宋体"/>
                <w:sz w:val="18"/>
                <w:szCs w:val="18"/>
              </w:rPr>
            </w:pPr>
            <w:r>
              <w:rPr>
                <w:rFonts w:ascii="宋体" w:eastAsia="宋体" w:hAnsi="宋体" w:cs="宋体"/>
                <w:sz w:val="18"/>
                <w:szCs w:val="18"/>
              </w:rPr>
              <w:t>115</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rsidP="000F0523">
            <w:pPr>
              <w:spacing w:line="0" w:lineRule="atLeast"/>
              <w:jc w:val="right"/>
              <w:rPr>
                <w:rFonts w:ascii="宋体" w:eastAsia="宋体" w:hAnsi="宋体" w:cs="宋体"/>
                <w:sz w:val="18"/>
                <w:szCs w:val="18"/>
              </w:rPr>
            </w:pPr>
            <w:r>
              <w:rPr>
                <w:rFonts w:ascii="宋体" w:eastAsia="宋体" w:hAnsi="宋体" w:cs="宋体"/>
                <w:sz w:val="18"/>
                <w:szCs w:val="18"/>
              </w:rPr>
              <w:t>133,269.18</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8820E4" w:rsidP="000F0523">
            <w:pPr>
              <w:spacing w:line="0" w:lineRule="atLeast"/>
              <w:jc w:val="right"/>
              <w:rPr>
                <w:rFonts w:ascii="宋体" w:eastAsia="宋体" w:hAnsi="宋体" w:cs="宋体"/>
                <w:sz w:val="18"/>
                <w:szCs w:val="18"/>
              </w:rPr>
            </w:pPr>
          </w:p>
        </w:tc>
        <w:tc>
          <w:tcPr>
            <w:tcW w:w="2127" w:type="dxa"/>
            <w:tcBorders>
              <w:top w:val="single" w:sz="2" w:space="0" w:color="auto"/>
              <w:left w:val="single" w:sz="2" w:space="0" w:color="auto"/>
              <w:bottom w:val="single" w:sz="2" w:space="0" w:color="auto"/>
              <w:right w:val="single" w:sz="2" w:space="0" w:color="auto"/>
            </w:tcBorders>
            <w:vAlign w:val="center"/>
          </w:tcPr>
          <w:p w:rsidR="008820E4" w:rsidRDefault="005C49A8" w:rsidP="000F0523">
            <w:pPr>
              <w:spacing w:line="0" w:lineRule="atLeast"/>
              <w:jc w:val="right"/>
              <w:rPr>
                <w:rFonts w:ascii="宋体" w:eastAsia="宋体" w:hAnsi="宋体" w:cs="宋体"/>
                <w:sz w:val="18"/>
                <w:szCs w:val="18"/>
              </w:rPr>
            </w:pPr>
            <w:r>
              <w:rPr>
                <w:rFonts w:ascii="宋体" w:eastAsia="宋体" w:hAnsi="宋体" w:cs="宋体"/>
                <w:sz w:val="18"/>
                <w:szCs w:val="18"/>
              </w:rPr>
              <w:t>67.68%</w:t>
            </w:r>
          </w:p>
        </w:tc>
        <w:tc>
          <w:tcPr>
            <w:tcW w:w="2301" w:type="dxa"/>
            <w:tcBorders>
              <w:top w:val="single" w:sz="2" w:space="0" w:color="auto"/>
              <w:left w:val="single" w:sz="2" w:space="0" w:color="auto"/>
              <w:bottom w:val="single" w:sz="2" w:space="0" w:color="auto"/>
              <w:right w:val="single" w:sz="2" w:space="0" w:color="auto"/>
            </w:tcBorders>
            <w:vAlign w:val="center"/>
          </w:tcPr>
          <w:p w:rsidR="008820E4" w:rsidRDefault="000F0523">
            <w:pPr>
              <w:spacing w:line="0" w:lineRule="atLeast"/>
              <w:rPr>
                <w:rFonts w:ascii="宋体" w:eastAsia="宋体" w:hAnsi="宋体" w:cs="宋体"/>
                <w:sz w:val="18"/>
                <w:szCs w:val="18"/>
              </w:rPr>
            </w:pPr>
            <w:r>
              <w:rPr>
                <w:rFonts w:ascii="宋体" w:eastAsia="宋体" w:hAnsi="宋体" w:cs="宋体"/>
                <w:sz w:val="18"/>
                <w:szCs w:val="18"/>
              </w:rPr>
              <w:t>主要系棉花库存增加所致</w:t>
            </w:r>
          </w:p>
        </w:tc>
      </w:tr>
    </w:tbl>
    <w:p w:rsidR="005C49A8" w:rsidRPr="000F0523" w:rsidRDefault="005C49A8" w:rsidP="000F0523">
      <w:pPr>
        <w:spacing w:before="100" w:after="100" w:line="240" w:lineRule="exact"/>
        <w:rPr>
          <w:rFonts w:ascii="宋体" w:eastAsia="宋体" w:hAnsi="宋体" w:cs="宋体"/>
          <w:sz w:val="18"/>
          <w:szCs w:val="18"/>
        </w:rPr>
      </w:pPr>
      <w:r>
        <w:rPr>
          <w:rFonts w:ascii="宋体" w:eastAsia="宋体" w:hAnsi="宋体" w:cs="宋体"/>
          <w:sz w:val="18"/>
          <w:szCs w:val="18"/>
        </w:rPr>
        <w:t>存货跌价准备的计提情况</w:t>
      </w:r>
      <w:r w:rsidR="000F0523">
        <w:rPr>
          <w:rFonts w:ascii="宋体" w:eastAsia="宋体" w:hAnsi="宋体" w:cs="宋体" w:hint="eastAsia"/>
          <w:sz w:val="18"/>
          <w:szCs w:val="18"/>
        </w:rPr>
        <w:t>：</w:t>
      </w:r>
      <w:r>
        <w:rPr>
          <w:rFonts w:hint="eastAsia"/>
          <w:sz w:val="18"/>
          <w:szCs w:val="18"/>
        </w:rPr>
        <w:t>详见</w:t>
      </w:r>
      <w:proofErr w:type="gramStart"/>
      <w:r>
        <w:rPr>
          <w:rFonts w:hint="eastAsia"/>
          <w:sz w:val="18"/>
          <w:szCs w:val="18"/>
        </w:rPr>
        <w:t>附注第</w:t>
      </w:r>
      <w:proofErr w:type="gramEnd"/>
      <w:r>
        <w:rPr>
          <w:rFonts w:hint="eastAsia"/>
          <w:sz w:val="18"/>
          <w:szCs w:val="18"/>
        </w:rPr>
        <w:t>八节七</w:t>
      </w:r>
      <w:proofErr w:type="gramStart"/>
      <w:r>
        <w:rPr>
          <w:rFonts w:hint="eastAsia"/>
          <w:sz w:val="18"/>
          <w:szCs w:val="18"/>
        </w:rPr>
        <w:t>10</w:t>
      </w:r>
      <w:proofErr w:type="gramEnd"/>
      <w:r>
        <w:rPr>
          <w:rFonts w:hint="eastAsia"/>
          <w:sz w:val="18"/>
          <w:szCs w:val="18"/>
        </w:rPr>
        <w:t>.</w:t>
      </w:r>
      <w:r>
        <w:rPr>
          <w:rFonts w:hint="eastAsia"/>
          <w:sz w:val="18"/>
          <w:szCs w:val="18"/>
        </w:rPr>
        <w:t>存货</w:t>
      </w:r>
    </w:p>
    <w:p w:rsidR="005C49A8" w:rsidRPr="000F0523" w:rsidRDefault="005C49A8" w:rsidP="000F0523">
      <w:pPr>
        <w:spacing w:before="100" w:after="100" w:line="240" w:lineRule="exact"/>
        <w:rPr>
          <w:rFonts w:ascii="宋体" w:eastAsia="宋体" w:hAnsi="宋体" w:cs="宋体"/>
          <w:sz w:val="18"/>
          <w:szCs w:val="18"/>
        </w:rPr>
      </w:pPr>
      <w:r>
        <w:rPr>
          <w:rFonts w:ascii="宋体" w:eastAsia="宋体" w:hAnsi="宋体" w:cs="宋体"/>
          <w:sz w:val="18"/>
          <w:szCs w:val="18"/>
        </w:rPr>
        <w:t>加盟或分销商等终端渠道的存货信息</w:t>
      </w:r>
      <w:r w:rsidR="000F0523">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5" w:name="_Toc988914"/>
      <w:r>
        <w:rPr>
          <w:rFonts w:ascii="宋体" w:hAnsi="宋体" w:cs="宋体"/>
          <w:b/>
          <w:bCs/>
        </w:rPr>
        <w:t>8、品牌建设情况</w:t>
      </w:r>
      <w:bookmarkEnd w:id="2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公司是否涉及生产和销售品牌服装、服饰以及家纺产品</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自有品牌</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820E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品牌名称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商标名称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主要产品类型</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特点</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目标客户群</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主要产品价格带</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主要销售区域</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城市级别</w:t>
            </w:r>
          </w:p>
        </w:tc>
      </w:tr>
      <w:tr w:rsidR="008820E4" w:rsidTr="00E86E4B">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carmalla</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carmalla</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时尚可爱</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r>
      <w:tr w:rsidR="008820E4" w:rsidTr="00E86E4B">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isku</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isku</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酷潮</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男女</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50-80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r>
      <w:tr w:rsidR="008820E4" w:rsidTr="00E86E4B">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ilooklike</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ilooklike</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基础简约</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r>
      <w:tr w:rsidR="008820E4" w:rsidTr="00E86E4B">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caramellakkids</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caramellakkids</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童袜</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可爱卡通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r>
      <w:tr w:rsidR="008820E4" w:rsidTr="00E86E4B">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整季</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整季</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基础量贩</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男女</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一二三四线城市</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合作品牌</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4"/>
        <w:gridCol w:w="804"/>
        <w:gridCol w:w="804"/>
        <w:gridCol w:w="803"/>
        <w:gridCol w:w="803"/>
        <w:gridCol w:w="803"/>
        <w:gridCol w:w="803"/>
        <w:gridCol w:w="803"/>
        <w:gridCol w:w="803"/>
        <w:gridCol w:w="803"/>
        <w:gridCol w:w="803"/>
        <w:gridCol w:w="803"/>
      </w:tblGrid>
      <w:tr w:rsidR="008820E4">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品牌名称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商标名称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主要产品类型</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特点</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目标客户群</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主要产品价格带</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主要销售区域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城市级别</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品牌及商标权权属</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合作方名称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合作方式</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合作期限</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屈臣氏</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屈臣氏</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屈臣氏</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果壳</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果壳</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20-40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果壳</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植物王国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植物王国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可爱卡通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儿童</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20-40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孩子王</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畹町</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畹町</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20-40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热风时尚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KKV</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KKV</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20-60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KKV</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巴</w:t>
            </w:r>
            <w:proofErr w:type="gramStart"/>
            <w:r>
              <w:rPr>
                <w:rFonts w:ascii="宋体" w:eastAsia="宋体" w:hAnsi="宋体" w:cs="宋体"/>
                <w:sz w:val="18"/>
                <w:szCs w:val="18"/>
              </w:rPr>
              <w:t>拉巴拉</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巴</w:t>
            </w:r>
            <w:proofErr w:type="gramStart"/>
            <w:r>
              <w:rPr>
                <w:rFonts w:ascii="宋体" w:eastAsia="宋体" w:hAnsi="宋体" w:cs="宋体"/>
                <w:sz w:val="18"/>
                <w:szCs w:val="18"/>
              </w:rPr>
              <w:t>拉巴拉</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浙江森马服饰股份有限公司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红豆</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红豆</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红豆</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微原（浙江）商业贸易有限公司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红红红</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红红红</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红红红</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汕头市</w:t>
            </w:r>
            <w:proofErr w:type="gramStart"/>
            <w:r>
              <w:rPr>
                <w:rFonts w:ascii="宋体" w:eastAsia="宋体" w:hAnsi="宋体" w:cs="宋体"/>
                <w:sz w:val="18"/>
                <w:szCs w:val="18"/>
              </w:rPr>
              <w:t>婷</w:t>
            </w:r>
            <w:proofErr w:type="gramEnd"/>
            <w:r>
              <w:rPr>
                <w:rFonts w:ascii="宋体" w:eastAsia="宋体" w:hAnsi="宋体" w:cs="宋体"/>
                <w:sz w:val="18"/>
                <w:szCs w:val="18"/>
              </w:rPr>
              <w:t>媚内衣实业有限公司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纯棉</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纯棉</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纯棉</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CA-广东纯棉居物医疗科技有限公司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欧度</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欧度</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男性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欧度</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欧度控股</w:t>
            </w:r>
            <w:proofErr w:type="gramEnd"/>
            <w:r>
              <w:rPr>
                <w:rFonts w:ascii="宋体" w:eastAsia="宋体" w:hAnsi="宋体" w:cs="宋体"/>
                <w:sz w:val="18"/>
                <w:szCs w:val="18"/>
              </w:rPr>
              <w:t>有限公司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ODM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盒马</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盒马</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盒马</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三福百货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三福百货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三福百货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福建三福服饰有限公司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奶糖派</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奶糖派</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广州奶糖派服装有限</w:t>
            </w:r>
            <w:r>
              <w:rPr>
                <w:rFonts w:ascii="宋体" w:eastAsia="宋体" w:hAnsi="宋体" w:cs="宋体"/>
                <w:sz w:val="18"/>
                <w:szCs w:val="18"/>
              </w:rPr>
              <w:lastRenderedPageBreak/>
              <w:t>公司</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lastRenderedPageBreak/>
              <w:t>OEM</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r w:rsidR="008820E4" w:rsidTr="00E86E4B">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lastRenderedPageBreak/>
              <w:t>锐步</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锐步</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锐步</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品牌合作</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长期</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被授权品牌</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7"/>
        <w:gridCol w:w="877"/>
        <w:gridCol w:w="877"/>
        <w:gridCol w:w="876"/>
        <w:gridCol w:w="876"/>
        <w:gridCol w:w="876"/>
        <w:gridCol w:w="876"/>
        <w:gridCol w:w="876"/>
        <w:gridCol w:w="876"/>
        <w:gridCol w:w="876"/>
        <w:gridCol w:w="876"/>
      </w:tblGrid>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品牌名称</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商标名称</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主要产品类型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特点</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目标客户群</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主要产品价格带</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主要销售区域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城市级别</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授权方</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授权期限</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是否为独家授权</w:t>
            </w:r>
          </w:p>
        </w:tc>
      </w:tr>
      <w:tr w:rsidR="008820E4" w:rsidTr="00E86E4B">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彼得兔</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彼得兔</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可爱卡通</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否</w:t>
            </w:r>
          </w:p>
        </w:tc>
      </w:tr>
      <w:tr w:rsidR="008820E4" w:rsidTr="00E86E4B">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花生漫画</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花生漫画</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袜子</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可爱卡通</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女性</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30-60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  全国</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proofErr w:type="gramStart"/>
            <w:r>
              <w:rPr>
                <w:rFonts w:ascii="宋体" w:eastAsia="宋体" w:hAnsi="宋体" w:cs="宋体"/>
                <w:sz w:val="18"/>
                <w:szCs w:val="18"/>
              </w:rPr>
              <w:t>一</w:t>
            </w:r>
            <w:proofErr w:type="gramEnd"/>
            <w:r>
              <w:rPr>
                <w:rFonts w:ascii="宋体" w:eastAsia="宋体" w:hAnsi="宋体" w:cs="宋体"/>
                <w:sz w:val="18"/>
                <w:szCs w:val="18"/>
              </w:rPr>
              <w:t>二线城市</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品牌方</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1年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rsidP="00E86E4B">
            <w:pPr>
              <w:spacing w:line="0" w:lineRule="atLeast"/>
              <w:jc w:val="both"/>
              <w:rPr>
                <w:rFonts w:ascii="宋体" w:eastAsia="宋体" w:hAnsi="宋体" w:cs="宋体"/>
                <w:sz w:val="18"/>
                <w:szCs w:val="18"/>
              </w:rPr>
            </w:pPr>
            <w:r>
              <w:rPr>
                <w:rFonts w:ascii="宋体" w:eastAsia="宋体" w:hAnsi="宋体" w:cs="宋体"/>
                <w:sz w:val="18"/>
                <w:szCs w:val="18"/>
              </w:rPr>
              <w:t>否</w:t>
            </w:r>
          </w:p>
        </w:tc>
      </w:tr>
    </w:tbl>
    <w:p w:rsidR="005C49A8" w:rsidRPr="00E86E4B" w:rsidRDefault="005C49A8" w:rsidP="00E86E4B">
      <w:pPr>
        <w:spacing w:before="100" w:after="100" w:line="240" w:lineRule="exact"/>
        <w:rPr>
          <w:rFonts w:ascii="宋体" w:eastAsia="宋体" w:hAnsi="宋体" w:cs="宋体"/>
          <w:sz w:val="18"/>
          <w:szCs w:val="18"/>
        </w:rPr>
      </w:pPr>
      <w:r>
        <w:rPr>
          <w:rFonts w:ascii="宋体" w:eastAsia="宋体" w:hAnsi="宋体" w:cs="宋体"/>
          <w:sz w:val="18"/>
          <w:szCs w:val="18"/>
        </w:rPr>
        <w:t>报告期内各品牌的营销与运营</w:t>
      </w:r>
      <w:r w:rsidR="00E86E4B">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涉及商标权属纠纷等情况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6" w:name="_Toc988915"/>
      <w:r>
        <w:rPr>
          <w:rFonts w:ascii="宋体" w:hAnsi="宋体" w:cs="宋体"/>
          <w:b/>
          <w:bCs/>
        </w:rPr>
        <w:t>9、其他</w:t>
      </w:r>
      <w:bookmarkEnd w:id="2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公司是否从事服装设计相关业务</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943"/>
        <w:gridCol w:w="2232"/>
        <w:gridCol w:w="2232"/>
        <w:gridCol w:w="2232"/>
      </w:tblGrid>
      <w:tr w:rsidR="008820E4" w:rsidTr="00E86E4B">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自有的服装设计师数量</w:t>
            </w:r>
          </w:p>
        </w:tc>
        <w:tc>
          <w:tcPr>
            <w:tcW w:w="22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w:t>
            </w:r>
          </w:p>
        </w:tc>
        <w:tc>
          <w:tcPr>
            <w:tcW w:w="223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签约的服装设计师数量</w:t>
            </w:r>
          </w:p>
        </w:tc>
        <w:tc>
          <w:tcPr>
            <w:tcW w:w="223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E86E4B">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搭建的设计师平台的运营情况</w:t>
            </w:r>
          </w:p>
        </w:tc>
        <w:tc>
          <w:tcPr>
            <w:tcW w:w="6696"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良好</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公司是否举办订货会</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2"/>
        <w:spacing w:before="300" w:after="300" w:line="320" w:lineRule="exact"/>
        <w:rPr>
          <w:rFonts w:ascii="宋体" w:eastAsia="宋体" w:hAnsi="宋体" w:cs="宋体"/>
          <w:b/>
          <w:bCs/>
          <w:sz w:val="24"/>
          <w:szCs w:val="24"/>
        </w:rPr>
      </w:pPr>
      <w:bookmarkStart w:id="27" w:name="_Toc988916"/>
      <w:r>
        <w:rPr>
          <w:rFonts w:ascii="宋体" w:eastAsia="宋体" w:hAnsi="宋体" w:cs="宋体"/>
          <w:b/>
          <w:bCs/>
          <w:sz w:val="24"/>
          <w:szCs w:val="24"/>
        </w:rPr>
        <w:t>五、非主营业务分析</w:t>
      </w:r>
      <w:bookmarkEnd w:id="2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2122"/>
        <w:gridCol w:w="1734"/>
      </w:tblGrid>
      <w:tr w:rsidR="008820E4" w:rsidTr="00E86E4B">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占利润总额比例</w:t>
            </w:r>
          </w:p>
        </w:tc>
        <w:tc>
          <w:tcPr>
            <w:tcW w:w="212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形成原因说明</w:t>
            </w:r>
          </w:p>
        </w:tc>
        <w:tc>
          <w:tcPr>
            <w:tcW w:w="17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是否具有可持续性</w:t>
            </w:r>
          </w:p>
        </w:tc>
      </w:tr>
      <w:tr w:rsidR="008820E4" w:rsidTr="00E86E4B">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投资收益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86.03%</w:t>
            </w:r>
          </w:p>
        </w:tc>
        <w:tc>
          <w:tcPr>
            <w:tcW w:w="212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主要系棉花期货产生的收益和理财收益所致。</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E86E4B">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公允价值变动损益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w:t>
            </w:r>
          </w:p>
        </w:tc>
        <w:tc>
          <w:tcPr>
            <w:tcW w:w="212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E86E4B">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资产减值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8.30%</w:t>
            </w:r>
          </w:p>
        </w:tc>
        <w:tc>
          <w:tcPr>
            <w:tcW w:w="212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E86E4B">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营业外收入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997,577.95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w:t>
            </w:r>
          </w:p>
        </w:tc>
        <w:tc>
          <w:tcPr>
            <w:tcW w:w="212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E86E4B">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营业外支出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5.97%</w:t>
            </w:r>
          </w:p>
        </w:tc>
        <w:tc>
          <w:tcPr>
            <w:tcW w:w="212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bl>
    <w:p w:rsidR="008820E4" w:rsidRDefault="005C49A8">
      <w:pPr>
        <w:pStyle w:val="2"/>
        <w:spacing w:before="300" w:after="300" w:line="320" w:lineRule="exact"/>
        <w:rPr>
          <w:rFonts w:ascii="宋体" w:eastAsia="宋体" w:hAnsi="宋体" w:cs="宋体"/>
          <w:b/>
          <w:bCs/>
          <w:sz w:val="24"/>
          <w:szCs w:val="24"/>
        </w:rPr>
      </w:pPr>
      <w:bookmarkStart w:id="28" w:name="_Toc988917"/>
      <w:r>
        <w:rPr>
          <w:rFonts w:ascii="宋体" w:eastAsia="宋体" w:hAnsi="宋体" w:cs="宋体"/>
          <w:b/>
          <w:bCs/>
          <w:sz w:val="24"/>
          <w:szCs w:val="24"/>
        </w:rPr>
        <w:t>六、资产及负债状况分析</w:t>
      </w:r>
      <w:bookmarkEnd w:id="28"/>
    </w:p>
    <w:p w:rsidR="008820E4" w:rsidRDefault="005C49A8">
      <w:pPr>
        <w:pStyle w:val="3"/>
        <w:spacing w:line="280" w:lineRule="exact"/>
        <w:jc w:val="left"/>
        <w:rPr>
          <w:rFonts w:ascii="宋体" w:hAnsi="宋体" w:cs="宋体"/>
          <w:b/>
          <w:bCs/>
        </w:rPr>
      </w:pPr>
      <w:bookmarkStart w:id="29" w:name="_Toc988918"/>
      <w:r>
        <w:rPr>
          <w:rFonts w:ascii="宋体" w:hAnsi="宋体" w:cs="宋体"/>
          <w:b/>
          <w:bCs/>
        </w:rPr>
        <w:t>1、资产构成重大变动情况</w:t>
      </w:r>
      <w:bookmarkEnd w:id="2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708"/>
        <w:gridCol w:w="1418"/>
        <w:gridCol w:w="1842"/>
        <w:gridCol w:w="1418"/>
        <w:gridCol w:w="992"/>
        <w:gridCol w:w="884"/>
      </w:tblGrid>
      <w:tr w:rsidR="008820E4" w:rsidTr="00E86E4B">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12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本报告期末</w:t>
            </w:r>
          </w:p>
        </w:tc>
        <w:tc>
          <w:tcPr>
            <w:tcW w:w="326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上年末</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比重增减</w:t>
            </w:r>
          </w:p>
        </w:tc>
        <w:tc>
          <w:tcPr>
            <w:tcW w:w="88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重大变动说明</w:t>
            </w:r>
          </w:p>
        </w:tc>
      </w:tr>
      <w:tr w:rsidR="008820E4" w:rsidTr="00E86E4B">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0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占总资产比例</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占总资产比例</w:t>
            </w:r>
          </w:p>
        </w:tc>
        <w:tc>
          <w:tcPr>
            <w:tcW w:w="99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8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4,037,623,872.92</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2,495,550,845.58</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14.53%</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应收账款</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7.70%</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8.48%</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-0.78%</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存货</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3,907,753,676.34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21.44%</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4,761,974,722.16</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27.72%</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-6.28%</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投资性房地产</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0.67%</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0.78%</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-0.11%</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长期股权投资</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1.83%</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-0.10%</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4,343,396,060.69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23.83%</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27.36%</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-3.53%</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在建工程</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2.35%</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0.46%</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使用权资产</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25,494,816.54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0.14%</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29,160,426.37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0.17%</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短期借款</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8,350,049,855.01</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45.81%</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7,771,483,075.58</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45.24%</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0.57%</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合同负债</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3.25%</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0.06%</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长期借款</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985,344,410.29</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5.41%</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818,855,854.27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0.64%</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E86E4B">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租赁负债</w:t>
            </w:r>
          </w:p>
        </w:tc>
        <w:tc>
          <w:tcPr>
            <w:tcW w:w="1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22,597,601.45</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0.12%</w:t>
            </w:r>
          </w:p>
        </w:tc>
        <w:tc>
          <w:tcPr>
            <w:tcW w:w="18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23,335,579.97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0.14%</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8820E4" w:rsidRDefault="005C49A8">
      <w:pPr>
        <w:pStyle w:val="3"/>
        <w:spacing w:line="280" w:lineRule="exact"/>
        <w:jc w:val="left"/>
        <w:rPr>
          <w:rFonts w:ascii="宋体" w:hAnsi="宋体" w:cs="宋体"/>
          <w:b/>
          <w:bCs/>
        </w:rPr>
      </w:pPr>
      <w:bookmarkStart w:id="30" w:name="_Toc988919"/>
      <w:r>
        <w:rPr>
          <w:rFonts w:ascii="宋体" w:hAnsi="宋体" w:cs="宋体"/>
          <w:b/>
          <w:bCs/>
        </w:rPr>
        <w:t>2、主要境外资产情况</w:t>
      </w:r>
      <w:bookmarkEnd w:id="3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1" w:name="_Toc988920"/>
      <w:r>
        <w:rPr>
          <w:rFonts w:ascii="宋体" w:hAnsi="宋体" w:cs="宋体"/>
          <w:b/>
          <w:bCs/>
        </w:rPr>
        <w:t>3、以公允价值计量的资产和负债</w:t>
      </w:r>
      <w:bookmarkEnd w:id="3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本期公允价值变动损益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计入权益的累计公允价值变动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本期计提的减值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本期购买金额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本期出售金额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期末数</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金融资产</w:t>
            </w:r>
          </w:p>
        </w:tc>
        <w:tc>
          <w:tcPr>
            <w:tcW w:w="8568"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1.交易性金融资产（不含衍生金融资产）</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108,591,730.53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6,434,176.46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29,719,919.73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28,820,061.30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115,925,765.42</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2.衍生金融资产</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63,953,060.12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-8,881,815.74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124,113,358.69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117,470,342.57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4.其他权益工具投资</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58,313,147.94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89,742,490.87</w:t>
            </w:r>
          </w:p>
        </w:tc>
      </w:tr>
      <w:tr w:rsidR="008820E4" w:rsidTr="00E86E4B">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金融资产小计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230,857,938.59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-2,447,639.28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153,833,278.42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146,290,403.87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267,382,516.79</w:t>
            </w:r>
          </w:p>
        </w:tc>
      </w:tr>
      <w:tr w:rsidR="008820E4" w:rsidTr="00E86E4B">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理财产品</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59,442,200.88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3,122,365.62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493,597,648.42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110,926,032.89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上述合计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290,300,139.47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647,430,926.84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257,216,436.76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712,618,698.82</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金融负债</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bl>
    <w:p w:rsidR="005C49A8" w:rsidRPr="00E86E4B" w:rsidRDefault="005C49A8" w:rsidP="00E86E4B">
      <w:pPr>
        <w:spacing w:before="100" w:after="100" w:line="240" w:lineRule="exact"/>
        <w:rPr>
          <w:rFonts w:ascii="宋体" w:eastAsia="宋体" w:hAnsi="宋体" w:cs="宋体"/>
          <w:sz w:val="18"/>
          <w:szCs w:val="18"/>
        </w:rPr>
      </w:pPr>
      <w:r>
        <w:rPr>
          <w:rFonts w:ascii="宋体" w:eastAsia="宋体" w:hAnsi="宋体" w:cs="宋体"/>
          <w:sz w:val="18"/>
          <w:szCs w:val="18"/>
        </w:rPr>
        <w:t>其他变动的内容</w:t>
      </w:r>
      <w:r w:rsidR="00E86E4B">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报告期内公司主要资产计量属性是否发生重大变化</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3"/>
        <w:spacing w:line="280" w:lineRule="exact"/>
        <w:jc w:val="left"/>
        <w:rPr>
          <w:rFonts w:ascii="宋体" w:hAnsi="宋体" w:cs="宋体"/>
          <w:b/>
          <w:bCs/>
        </w:rPr>
      </w:pPr>
      <w:bookmarkStart w:id="32" w:name="_Toc988921"/>
      <w:r>
        <w:rPr>
          <w:rFonts w:ascii="宋体" w:hAnsi="宋体" w:cs="宋体"/>
          <w:b/>
          <w:bCs/>
        </w:rPr>
        <w:lastRenderedPageBreak/>
        <w:t>4、截至报告期末的资产权利受限情况</w:t>
      </w:r>
      <w:bookmarkEnd w:id="32"/>
    </w:p>
    <w:p w:rsidR="005C49A8" w:rsidRDefault="005C49A8">
      <w:pPr>
        <w:pStyle w:val="a3"/>
        <w:divId w:val="177818042"/>
        <w:rPr>
          <w:sz w:val="18"/>
          <w:szCs w:val="18"/>
        </w:rPr>
      </w:pPr>
      <w:r>
        <w:rPr>
          <w:rFonts w:hint="eastAsia"/>
          <w:sz w:val="18"/>
          <w:szCs w:val="18"/>
        </w:rPr>
        <w:t>详见</w:t>
      </w:r>
      <w:proofErr w:type="gramStart"/>
      <w:r>
        <w:rPr>
          <w:rFonts w:hint="eastAsia"/>
          <w:sz w:val="18"/>
          <w:szCs w:val="18"/>
        </w:rPr>
        <w:t>附注第</w:t>
      </w:r>
      <w:proofErr w:type="gramEnd"/>
      <w:r>
        <w:rPr>
          <w:rFonts w:hint="eastAsia"/>
          <w:sz w:val="18"/>
          <w:szCs w:val="18"/>
        </w:rPr>
        <w:t>八节七</w:t>
      </w:r>
      <w:proofErr w:type="gramStart"/>
      <w:r>
        <w:rPr>
          <w:rFonts w:hint="eastAsia"/>
          <w:sz w:val="18"/>
          <w:szCs w:val="18"/>
        </w:rPr>
        <w:t>31</w:t>
      </w:r>
      <w:proofErr w:type="gramEnd"/>
      <w:r>
        <w:rPr>
          <w:rFonts w:hint="eastAsia"/>
          <w:sz w:val="18"/>
          <w:szCs w:val="18"/>
        </w:rPr>
        <w:t>.所有权或使用权受到限制的资产。</w:t>
      </w:r>
    </w:p>
    <w:p w:rsidR="008820E4" w:rsidRDefault="005C49A8">
      <w:pPr>
        <w:pStyle w:val="2"/>
        <w:spacing w:before="300" w:after="300" w:line="320" w:lineRule="exact"/>
        <w:rPr>
          <w:rFonts w:ascii="宋体" w:eastAsia="宋体" w:hAnsi="宋体" w:cs="宋体"/>
          <w:b/>
          <w:bCs/>
          <w:sz w:val="24"/>
          <w:szCs w:val="24"/>
        </w:rPr>
      </w:pPr>
      <w:bookmarkStart w:id="33" w:name="_Toc988922"/>
      <w:r>
        <w:rPr>
          <w:rFonts w:ascii="宋体" w:eastAsia="宋体" w:hAnsi="宋体" w:cs="宋体"/>
          <w:b/>
          <w:bCs/>
          <w:sz w:val="24"/>
          <w:szCs w:val="24"/>
        </w:rPr>
        <w:t>七、投资状况分析</w:t>
      </w:r>
      <w:bookmarkEnd w:id="33"/>
    </w:p>
    <w:p w:rsidR="008820E4" w:rsidRDefault="005C49A8">
      <w:pPr>
        <w:pStyle w:val="3"/>
        <w:spacing w:line="280" w:lineRule="exact"/>
        <w:jc w:val="left"/>
        <w:rPr>
          <w:rFonts w:ascii="宋体" w:hAnsi="宋体" w:cs="宋体"/>
          <w:b/>
          <w:bCs/>
        </w:rPr>
      </w:pPr>
      <w:bookmarkStart w:id="34" w:name="_Toc988923"/>
      <w:r>
        <w:rPr>
          <w:rFonts w:ascii="宋体" w:hAnsi="宋体" w:cs="宋体"/>
          <w:b/>
          <w:bCs/>
        </w:rPr>
        <w:t>1、总体情况</w:t>
      </w:r>
      <w:bookmarkEnd w:id="3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5" w:name="_Toc988924"/>
      <w:r>
        <w:rPr>
          <w:rFonts w:ascii="宋体" w:hAnsi="宋体" w:cs="宋体"/>
          <w:b/>
          <w:bCs/>
        </w:rPr>
        <w:t>2、报告期内获取的重大的股权投资情况</w:t>
      </w:r>
      <w:bookmarkEnd w:id="3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6" w:name="_Toc988925"/>
      <w:r>
        <w:rPr>
          <w:rFonts w:ascii="宋体" w:hAnsi="宋体" w:cs="宋体"/>
          <w:b/>
          <w:bCs/>
        </w:rPr>
        <w:t>3、报告期内正在进行的重大的非股权投资情况</w:t>
      </w:r>
      <w:bookmarkEnd w:id="3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7" w:name="_Toc988926"/>
      <w:r>
        <w:rPr>
          <w:rFonts w:ascii="宋体" w:hAnsi="宋体" w:cs="宋体"/>
          <w:b/>
          <w:bCs/>
        </w:rPr>
        <w:t>4、金融资产投资</w:t>
      </w:r>
      <w:bookmarkEnd w:id="37"/>
    </w:p>
    <w:p w:rsidR="008820E4" w:rsidRDefault="005C49A8">
      <w:pPr>
        <w:keepNext/>
        <w:keepLines/>
        <w:spacing w:before="300" w:after="300" w:line="280" w:lineRule="exact"/>
        <w:outlineLvl w:val="3"/>
        <w:rPr>
          <w:rFonts w:ascii="宋体" w:eastAsia="宋体" w:hAnsi="宋体" w:cs="宋体"/>
          <w:b/>
          <w:bCs/>
          <w:sz w:val="18"/>
          <w:szCs w:val="18"/>
        </w:rPr>
      </w:pPr>
      <w:bookmarkStart w:id="38" w:name="_Toc988927"/>
      <w:r>
        <w:rPr>
          <w:rFonts w:ascii="宋体" w:eastAsia="宋体" w:hAnsi="宋体" w:cs="宋体"/>
          <w:b/>
          <w:bCs/>
          <w:sz w:val="18"/>
          <w:szCs w:val="18"/>
        </w:rPr>
        <w:t>（1） 证券投资情况</w:t>
      </w:r>
      <w:bookmarkEnd w:id="3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公司报告期不存在证券投资。</w:t>
      </w:r>
    </w:p>
    <w:p w:rsidR="008820E4" w:rsidRDefault="005C49A8">
      <w:pPr>
        <w:keepNext/>
        <w:keepLines/>
        <w:spacing w:before="300" w:after="300" w:line="280" w:lineRule="exact"/>
        <w:outlineLvl w:val="3"/>
        <w:rPr>
          <w:rFonts w:ascii="宋体" w:eastAsia="宋体" w:hAnsi="宋体" w:cs="宋体"/>
          <w:b/>
          <w:bCs/>
          <w:sz w:val="18"/>
          <w:szCs w:val="18"/>
        </w:rPr>
      </w:pPr>
      <w:bookmarkStart w:id="39" w:name="_Toc988928"/>
      <w:r>
        <w:rPr>
          <w:rFonts w:ascii="宋体" w:eastAsia="宋体" w:hAnsi="宋体" w:cs="宋体"/>
          <w:b/>
          <w:bCs/>
          <w:sz w:val="18"/>
          <w:szCs w:val="18"/>
        </w:rPr>
        <w:t>（2） 衍生</w:t>
      </w:r>
      <w:proofErr w:type="gramStart"/>
      <w:r>
        <w:rPr>
          <w:rFonts w:ascii="宋体" w:eastAsia="宋体" w:hAnsi="宋体" w:cs="宋体"/>
          <w:b/>
          <w:bCs/>
          <w:sz w:val="18"/>
          <w:szCs w:val="18"/>
        </w:rPr>
        <w:t>品投资</w:t>
      </w:r>
      <w:proofErr w:type="gramEnd"/>
      <w:r>
        <w:rPr>
          <w:rFonts w:ascii="宋体" w:eastAsia="宋体" w:hAnsi="宋体" w:cs="宋体"/>
          <w:b/>
          <w:bCs/>
          <w:sz w:val="18"/>
          <w:szCs w:val="18"/>
        </w:rPr>
        <w:t>情况</w:t>
      </w:r>
      <w:bookmarkEnd w:id="3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40" w:name="_Toc988929"/>
      <w:r>
        <w:rPr>
          <w:rFonts w:ascii="宋体" w:eastAsia="宋体" w:hAnsi="宋体" w:cs="宋体"/>
          <w:b/>
          <w:bCs/>
          <w:sz w:val="18"/>
          <w:szCs w:val="18"/>
        </w:rPr>
        <w:t>1） 报告期内以套期保值为目的的衍生品投资</w:t>
      </w:r>
      <w:bookmarkEnd w:id="4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4"/>
        <w:gridCol w:w="1057"/>
        <w:gridCol w:w="1071"/>
        <w:gridCol w:w="1071"/>
        <w:gridCol w:w="1071"/>
        <w:gridCol w:w="1071"/>
        <w:gridCol w:w="1071"/>
      </w:tblGrid>
      <w:tr w:rsidR="008820E4" w:rsidTr="002711C8">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衍生</w:t>
            </w:r>
            <w:proofErr w:type="gramStart"/>
            <w:r>
              <w:rPr>
                <w:rFonts w:ascii="宋体" w:eastAsia="宋体" w:hAnsi="宋体" w:cs="宋体"/>
                <w:sz w:val="18"/>
                <w:szCs w:val="18"/>
              </w:rPr>
              <w:t>品投资</w:t>
            </w:r>
            <w:proofErr w:type="gramEnd"/>
            <w:r>
              <w:rPr>
                <w:rFonts w:ascii="宋体" w:eastAsia="宋体" w:hAnsi="宋体" w:cs="宋体"/>
                <w:sz w:val="18"/>
                <w:szCs w:val="18"/>
              </w:rPr>
              <w:t>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初始投资金额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w:t>
            </w:r>
            <w:proofErr w:type="gramStart"/>
            <w:r>
              <w:rPr>
                <w:rFonts w:ascii="宋体" w:eastAsia="宋体" w:hAnsi="宋体" w:cs="宋体"/>
                <w:sz w:val="18"/>
                <w:szCs w:val="18"/>
              </w:rPr>
              <w:t>初金额</w:t>
            </w:r>
            <w:proofErr w:type="gramEnd"/>
          </w:p>
        </w:tc>
        <w:tc>
          <w:tcPr>
            <w:tcW w:w="1071"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本期公允价值变动损益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计入权益的累计公允价值变动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报告期内购入金额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报告期内售出金额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期末投资金额占公司报告期末净资产比例</w:t>
            </w:r>
          </w:p>
        </w:tc>
      </w:tr>
      <w:tr w:rsidR="008820E4" w:rsidTr="002711C8">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期货合约</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10,863.13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6,395.31</w:t>
            </w:r>
          </w:p>
        </w:tc>
        <w:tc>
          <w:tcPr>
            <w:tcW w:w="1071"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-888.18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12,411.34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11,747.03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10,863.13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6,395.31</w:t>
            </w:r>
          </w:p>
        </w:tc>
        <w:tc>
          <w:tcPr>
            <w:tcW w:w="1071"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-888.18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12,411.34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11,747.03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报告期内套期保值业务的会计政策、会计核算具体原则，以及与上</w:t>
            </w:r>
            <w:proofErr w:type="gramStart"/>
            <w:r>
              <w:rPr>
                <w:rFonts w:ascii="宋体" w:eastAsia="宋体" w:hAnsi="宋体" w:cs="宋体"/>
                <w:sz w:val="18"/>
                <w:szCs w:val="18"/>
              </w:rPr>
              <w:t>一报告</w:t>
            </w:r>
            <w:proofErr w:type="gramEnd"/>
            <w:r>
              <w:rPr>
                <w:rFonts w:ascii="宋体" w:eastAsia="宋体" w:hAnsi="宋体" w:cs="宋体"/>
                <w:sz w:val="18"/>
                <w:szCs w:val="18"/>
              </w:rPr>
              <w:t>期相比是否发生重大变化的说明</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报告期内套期保值业务的会计政策、会计核算具体原则：详见第十节、财务报告的“附注五、重要会计政策及会计估计”的“10、金融工具”。与上</w:t>
            </w:r>
            <w:proofErr w:type="gramStart"/>
            <w:r>
              <w:rPr>
                <w:rFonts w:ascii="宋体" w:eastAsia="宋体" w:hAnsi="宋体" w:cs="宋体"/>
                <w:sz w:val="18"/>
                <w:szCs w:val="18"/>
              </w:rPr>
              <w:t>一报告</w:t>
            </w:r>
            <w:proofErr w:type="gramEnd"/>
            <w:r>
              <w:rPr>
                <w:rFonts w:ascii="宋体" w:eastAsia="宋体" w:hAnsi="宋体" w:cs="宋体"/>
                <w:sz w:val="18"/>
                <w:szCs w:val="18"/>
              </w:rPr>
              <w:t>期相比未发生重大变化。</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报告期实际损益情况的说明</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报告期期货</w:t>
            </w:r>
            <w:proofErr w:type="gramStart"/>
            <w:r>
              <w:rPr>
                <w:rFonts w:ascii="宋体" w:eastAsia="宋体" w:hAnsi="宋体" w:cs="宋体"/>
                <w:sz w:val="18"/>
                <w:szCs w:val="18"/>
              </w:rPr>
              <w:t>端实际</w:t>
            </w:r>
            <w:proofErr w:type="gramEnd"/>
            <w:r>
              <w:rPr>
                <w:rFonts w:ascii="宋体" w:eastAsia="宋体" w:hAnsi="宋体" w:cs="宋体"/>
                <w:sz w:val="18"/>
                <w:szCs w:val="18"/>
              </w:rPr>
              <w:t>损益金额合计1792.95万元。</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套期保值效果的说明</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为规避生产经营中原材料价格波动带来的风险，有效拓宽原材料备货渠道，保持公司经营业绩的稳定性和</w:t>
            </w:r>
            <w:proofErr w:type="gramStart"/>
            <w:r>
              <w:rPr>
                <w:rFonts w:ascii="宋体" w:eastAsia="宋体" w:hAnsi="宋体" w:cs="宋体"/>
                <w:sz w:val="18"/>
                <w:szCs w:val="18"/>
              </w:rPr>
              <w:t>可</w:t>
            </w:r>
            <w:proofErr w:type="gramEnd"/>
            <w:r>
              <w:rPr>
                <w:rFonts w:ascii="宋体" w:eastAsia="宋体" w:hAnsi="宋体" w:cs="宋体"/>
                <w:sz w:val="18"/>
                <w:szCs w:val="18"/>
              </w:rPr>
              <w:t>持续性，公司通过期货市场买入套期保值交易锁定部分棉花原料价格。</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衍生</w:t>
            </w:r>
            <w:proofErr w:type="gramStart"/>
            <w:r>
              <w:rPr>
                <w:rFonts w:ascii="宋体" w:eastAsia="宋体" w:hAnsi="宋体" w:cs="宋体"/>
                <w:sz w:val="18"/>
                <w:szCs w:val="18"/>
              </w:rPr>
              <w:t>品投资</w:t>
            </w:r>
            <w:proofErr w:type="gramEnd"/>
            <w:r>
              <w:rPr>
                <w:rFonts w:ascii="宋体" w:eastAsia="宋体" w:hAnsi="宋体" w:cs="宋体"/>
                <w:sz w:val="18"/>
                <w:szCs w:val="18"/>
              </w:rPr>
              <w:t>资金来源</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自有资金</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报告期衍生品持仓的风险分析及控制</w:t>
            </w:r>
            <w:r>
              <w:rPr>
                <w:rFonts w:ascii="宋体" w:eastAsia="宋体" w:hAnsi="宋体" w:cs="宋体"/>
                <w:sz w:val="18"/>
                <w:szCs w:val="18"/>
              </w:rPr>
              <w:lastRenderedPageBreak/>
              <w:t>措施说明（包括但不限于市场风险、流动性风险、信用风险、操作风险、法律风险等）</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（一）主要风险分析</w:t>
            </w:r>
          </w:p>
          <w:p w:rsidR="008820E4" w:rsidRDefault="00E86E4B">
            <w:pPr>
              <w:spacing w:line="0" w:lineRule="atLeast"/>
              <w:rPr>
                <w:rFonts w:ascii="宋体" w:eastAsia="宋体" w:hAnsi="宋体" w:cs="宋体"/>
                <w:sz w:val="18"/>
                <w:szCs w:val="18"/>
              </w:rPr>
            </w:pPr>
            <w:r>
              <w:rPr>
                <w:rFonts w:ascii="宋体" w:eastAsia="宋体" w:hAnsi="宋体" w:cs="宋体"/>
                <w:sz w:val="18"/>
                <w:szCs w:val="18"/>
              </w:rPr>
              <w:lastRenderedPageBreak/>
              <w:t xml:space="preserve"> </w:t>
            </w:r>
            <w:r w:rsidR="005C49A8">
              <w:rPr>
                <w:rFonts w:ascii="宋体" w:eastAsia="宋体" w:hAnsi="宋体" w:cs="宋体"/>
                <w:sz w:val="18"/>
                <w:szCs w:val="18"/>
              </w:rPr>
              <w:t xml:space="preserve"> 1、市场风险：期货等衍生品行情变动较大时，可能产生价格波动风险，造成交易损失。</w:t>
            </w:r>
          </w:p>
          <w:p w:rsidR="008820E4" w:rsidRDefault="005C49A8">
            <w:pPr>
              <w:spacing w:line="0" w:lineRule="atLeast"/>
              <w:rPr>
                <w:rFonts w:ascii="宋体" w:eastAsia="宋体" w:hAnsi="宋体" w:cs="宋体"/>
                <w:sz w:val="18"/>
                <w:szCs w:val="18"/>
              </w:rPr>
            </w:pPr>
            <w:r>
              <w:rPr>
                <w:rFonts w:ascii="宋体" w:eastAsia="宋体" w:hAnsi="宋体" w:cs="宋体"/>
                <w:sz w:val="18"/>
                <w:szCs w:val="18"/>
              </w:rPr>
              <w:t xml:space="preserve">  2、操作风险：由于无法控制或不可预测的系统、网络、通讯故障等造成交易系统非正常运行，使交易指令出现延迟、中断或数据错误等问题，从而带来相应风险。</w:t>
            </w:r>
          </w:p>
          <w:p w:rsidR="008820E4" w:rsidRPr="00E86E4B" w:rsidRDefault="005C49A8">
            <w:pPr>
              <w:spacing w:line="0" w:lineRule="atLeast"/>
              <w:rPr>
                <w:rFonts w:ascii="宋体" w:eastAsia="宋体" w:hAnsi="宋体" w:cs="宋体"/>
                <w:sz w:val="18"/>
                <w:szCs w:val="18"/>
              </w:rPr>
            </w:pPr>
            <w:r>
              <w:rPr>
                <w:rFonts w:ascii="宋体" w:eastAsia="宋体" w:hAnsi="宋体" w:cs="宋体"/>
                <w:sz w:val="18"/>
                <w:szCs w:val="18"/>
              </w:rPr>
              <w:t xml:space="preserve">  3、政策风险：期货等衍生品市场的法律法规政策如发生重大变化，可能引起市场波动或无法交易带来的风险。</w:t>
            </w:r>
          </w:p>
          <w:p w:rsidR="008820E4" w:rsidRPr="00E86E4B" w:rsidRDefault="005C49A8">
            <w:pPr>
              <w:spacing w:line="0" w:lineRule="atLeast"/>
              <w:rPr>
                <w:rFonts w:ascii="宋体" w:eastAsia="宋体" w:hAnsi="宋体" w:cs="宋体"/>
                <w:sz w:val="18"/>
                <w:szCs w:val="18"/>
              </w:rPr>
            </w:pPr>
            <w:r>
              <w:rPr>
                <w:rFonts w:ascii="宋体" w:eastAsia="宋体" w:hAnsi="宋体" w:cs="宋体"/>
                <w:sz w:val="18"/>
                <w:szCs w:val="18"/>
              </w:rPr>
              <w:t xml:space="preserve">  4、法律风险：违反法律法规和监管部门的相关规定的风险。</w:t>
            </w:r>
          </w:p>
          <w:p w:rsidR="008820E4" w:rsidRDefault="005C49A8">
            <w:pPr>
              <w:spacing w:line="0" w:lineRule="atLeast"/>
              <w:rPr>
                <w:rFonts w:ascii="宋体" w:eastAsia="宋体" w:hAnsi="宋体" w:cs="宋体"/>
                <w:sz w:val="18"/>
                <w:szCs w:val="18"/>
              </w:rPr>
            </w:pPr>
            <w:r>
              <w:rPr>
                <w:rFonts w:ascii="宋体" w:eastAsia="宋体" w:hAnsi="宋体" w:cs="宋体"/>
                <w:sz w:val="18"/>
                <w:szCs w:val="18"/>
              </w:rPr>
              <w:t xml:space="preserve"> （二）风险控制措施</w:t>
            </w:r>
          </w:p>
          <w:p w:rsidR="008820E4" w:rsidRDefault="00E86E4B">
            <w:pPr>
              <w:spacing w:line="0" w:lineRule="atLeast"/>
              <w:rPr>
                <w:rFonts w:ascii="宋体" w:eastAsia="宋体" w:hAnsi="宋体" w:cs="宋体"/>
                <w:sz w:val="18"/>
                <w:szCs w:val="18"/>
              </w:rPr>
            </w:pPr>
            <w:r>
              <w:rPr>
                <w:rFonts w:ascii="宋体" w:eastAsia="宋体" w:hAnsi="宋体" w:cs="宋体"/>
                <w:sz w:val="18"/>
                <w:szCs w:val="18"/>
              </w:rPr>
              <w:t xml:space="preserve"> </w:t>
            </w:r>
            <w:r w:rsidR="005C49A8">
              <w:rPr>
                <w:rFonts w:ascii="宋体" w:eastAsia="宋体" w:hAnsi="宋体" w:cs="宋体"/>
                <w:sz w:val="18"/>
                <w:szCs w:val="18"/>
              </w:rPr>
              <w:t xml:space="preserve"> 1、公司的棉花期货交易是以棉花库存和订单情况为基本面，结合行情判断来决定买卖方向和</w:t>
            </w:r>
            <w:proofErr w:type="gramStart"/>
            <w:r w:rsidR="005C49A8">
              <w:rPr>
                <w:rFonts w:ascii="宋体" w:eastAsia="宋体" w:hAnsi="宋体" w:cs="宋体"/>
                <w:sz w:val="18"/>
                <w:szCs w:val="18"/>
              </w:rPr>
              <w:t>套保点位</w:t>
            </w:r>
            <w:proofErr w:type="gramEnd"/>
            <w:r w:rsidR="005C49A8">
              <w:rPr>
                <w:rFonts w:ascii="宋体" w:eastAsia="宋体" w:hAnsi="宋体" w:cs="宋体"/>
                <w:sz w:val="18"/>
                <w:szCs w:val="18"/>
              </w:rPr>
              <w:t>，以满足公司日常</w:t>
            </w:r>
            <w:proofErr w:type="gramStart"/>
            <w:r w:rsidR="005C49A8">
              <w:rPr>
                <w:rFonts w:ascii="宋体" w:eastAsia="宋体" w:hAnsi="宋体" w:cs="宋体"/>
                <w:sz w:val="18"/>
                <w:szCs w:val="18"/>
              </w:rPr>
              <w:t>网链业务</w:t>
            </w:r>
            <w:proofErr w:type="gramEnd"/>
            <w:r w:rsidR="005C49A8">
              <w:rPr>
                <w:rFonts w:ascii="宋体" w:eastAsia="宋体" w:hAnsi="宋体" w:cs="宋体"/>
                <w:sz w:val="18"/>
                <w:szCs w:val="18"/>
              </w:rPr>
              <w:t>价格风险对冲和平抑棉花库存成本的目的，在持仓规模上严格按照采购量控制，规避投机损失风险。针对棉花期货业务制定《期货投资管理作业指导书》以规范期货操作流程发挥期货套期保值功能，规避经营风险。</w:t>
            </w:r>
          </w:p>
          <w:p w:rsidR="008820E4" w:rsidRDefault="005C49A8" w:rsidP="00E86E4B">
            <w:pPr>
              <w:spacing w:line="0" w:lineRule="atLeast"/>
              <w:ind w:firstLineChars="100" w:firstLine="180"/>
              <w:rPr>
                <w:rFonts w:ascii="宋体" w:eastAsia="宋体" w:hAnsi="宋体" w:cs="宋体"/>
                <w:sz w:val="18"/>
                <w:szCs w:val="18"/>
              </w:rPr>
            </w:pPr>
            <w:r>
              <w:rPr>
                <w:rFonts w:ascii="宋体" w:eastAsia="宋体" w:hAnsi="宋体" w:cs="宋体"/>
                <w:sz w:val="18"/>
                <w:szCs w:val="18"/>
              </w:rPr>
              <w:t>2、在遵循合法、审慎、安全、有效的原则上，制定严格的决策程序、报告制度和监控措施，明确授权范围、操作要点与信息披露等具体要求，配备投资决策、策略分析、业务操作、风险监管等专业人员。</w:t>
            </w:r>
          </w:p>
          <w:p w:rsidR="008820E4" w:rsidRDefault="005C49A8">
            <w:pPr>
              <w:spacing w:line="0" w:lineRule="atLeast"/>
              <w:rPr>
                <w:rFonts w:ascii="宋体" w:eastAsia="宋体" w:hAnsi="宋体" w:cs="宋体"/>
                <w:sz w:val="18"/>
                <w:szCs w:val="18"/>
              </w:rPr>
            </w:pPr>
            <w:r>
              <w:rPr>
                <w:rFonts w:ascii="宋体" w:eastAsia="宋体" w:hAnsi="宋体" w:cs="宋体"/>
                <w:sz w:val="18"/>
                <w:szCs w:val="18"/>
              </w:rPr>
              <w:t xml:space="preserve">  3、根据总体采购策略和库存成本结构，跟踪行业信息，分析市场趋势，及时编制提报期货交易方案。根据公司库存和订单情况，结合风险承受能力和行情判断确定价格区间、开仓比例、止损点位，严格执行开平仓和止损操作。并定期向管理层和董事会提交期货交易授权执行情况。</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已投资衍生</w:t>
            </w:r>
            <w:proofErr w:type="gramStart"/>
            <w:r>
              <w:rPr>
                <w:rFonts w:ascii="宋体" w:eastAsia="宋体" w:hAnsi="宋体" w:cs="宋体"/>
                <w:sz w:val="18"/>
                <w:szCs w:val="18"/>
              </w:rPr>
              <w:t>品报告</w:t>
            </w:r>
            <w:proofErr w:type="gramEnd"/>
            <w:r>
              <w:rPr>
                <w:rFonts w:ascii="宋体" w:eastAsia="宋体" w:hAnsi="宋体" w:cs="宋体"/>
                <w:sz w:val="18"/>
                <w:szCs w:val="18"/>
              </w:rPr>
              <w:t>期内市场价格或产品公允价值变动的情况，对衍生品公允价值的分析应披露具体使用的方法及相关假设与参数的设定</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公司持有的期货合约的公允价值依据期货交易所相应合约的结算价确定。</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涉</w:t>
            </w:r>
            <w:proofErr w:type="gramStart"/>
            <w:r>
              <w:rPr>
                <w:rFonts w:ascii="宋体" w:eastAsia="宋体" w:hAnsi="宋体" w:cs="宋体"/>
                <w:sz w:val="18"/>
                <w:szCs w:val="18"/>
              </w:rPr>
              <w:t>诉情况</w:t>
            </w:r>
            <w:proofErr w:type="gramEnd"/>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衍生</w:t>
            </w:r>
            <w:proofErr w:type="gramStart"/>
            <w:r>
              <w:rPr>
                <w:rFonts w:ascii="宋体" w:eastAsia="宋体" w:hAnsi="宋体" w:cs="宋体"/>
                <w:sz w:val="18"/>
                <w:szCs w:val="18"/>
              </w:rPr>
              <w:t>品投资</w:t>
            </w:r>
            <w:proofErr w:type="gramEnd"/>
            <w:r>
              <w:rPr>
                <w:rFonts w:ascii="宋体" w:eastAsia="宋体" w:hAnsi="宋体" w:cs="宋体"/>
                <w:sz w:val="18"/>
                <w:szCs w:val="18"/>
              </w:rPr>
              <w:t>审批董事会公告披露日期</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r>
      <w:tr w:rsidR="008820E4" w:rsidTr="00E86E4B">
        <w:trPr>
          <w:trHeight w:val="240"/>
        </w:trPr>
        <w:tc>
          <w:tcPr>
            <w:tcW w:w="3227"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衍生</w:t>
            </w:r>
            <w:proofErr w:type="gramStart"/>
            <w:r>
              <w:rPr>
                <w:rFonts w:ascii="宋体" w:eastAsia="宋体" w:hAnsi="宋体" w:cs="宋体"/>
                <w:sz w:val="18"/>
                <w:szCs w:val="18"/>
              </w:rPr>
              <w:t>品投资</w:t>
            </w:r>
            <w:proofErr w:type="gramEnd"/>
            <w:r>
              <w:rPr>
                <w:rFonts w:ascii="宋体" w:eastAsia="宋体" w:hAnsi="宋体" w:cs="宋体"/>
                <w:sz w:val="18"/>
                <w:szCs w:val="18"/>
              </w:rPr>
              <w:t>审批股东会公告披露日期</w:t>
            </w:r>
          </w:p>
        </w:tc>
        <w:tc>
          <w:tcPr>
            <w:tcW w:w="6412"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41" w:name="_Toc988930"/>
      <w:r>
        <w:rPr>
          <w:rFonts w:ascii="宋体" w:eastAsia="宋体" w:hAnsi="宋体" w:cs="宋体"/>
          <w:b/>
          <w:bCs/>
          <w:sz w:val="18"/>
          <w:szCs w:val="18"/>
        </w:rPr>
        <w:t>2） 报告期内以投机为目的的衍生品投资</w:t>
      </w:r>
      <w:bookmarkEnd w:id="4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公司报告期不存在以投机为目的的衍生品投资。</w:t>
      </w:r>
    </w:p>
    <w:p w:rsidR="008820E4" w:rsidRDefault="005C49A8">
      <w:pPr>
        <w:pStyle w:val="3"/>
        <w:spacing w:line="280" w:lineRule="exact"/>
        <w:jc w:val="left"/>
        <w:rPr>
          <w:rFonts w:ascii="宋体" w:hAnsi="宋体" w:cs="宋体"/>
          <w:b/>
          <w:bCs/>
        </w:rPr>
      </w:pPr>
      <w:bookmarkStart w:id="42" w:name="_Toc988931"/>
      <w:r>
        <w:rPr>
          <w:rFonts w:ascii="宋体" w:hAnsi="宋体" w:cs="宋体"/>
          <w:b/>
          <w:bCs/>
        </w:rPr>
        <w:t>5、募集资金使用情况</w:t>
      </w:r>
      <w:bookmarkEnd w:id="42"/>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43" w:name="_Toc988932"/>
      <w:r>
        <w:rPr>
          <w:rFonts w:ascii="宋体" w:eastAsia="宋体" w:hAnsi="宋体" w:cs="宋体"/>
          <w:b/>
          <w:bCs/>
          <w:sz w:val="18"/>
          <w:szCs w:val="18"/>
        </w:rPr>
        <w:t>（1） 募集资金总体使用情况</w:t>
      </w:r>
      <w:bookmarkEnd w:id="4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89"/>
        <w:gridCol w:w="689"/>
        <w:gridCol w:w="689"/>
        <w:gridCol w:w="689"/>
        <w:gridCol w:w="689"/>
        <w:gridCol w:w="689"/>
        <w:gridCol w:w="689"/>
        <w:gridCol w:w="688"/>
        <w:gridCol w:w="688"/>
        <w:gridCol w:w="688"/>
        <w:gridCol w:w="688"/>
        <w:gridCol w:w="688"/>
        <w:gridCol w:w="688"/>
        <w:gridCol w:w="688"/>
      </w:tblGrid>
      <w:tr w:rsidR="008820E4">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募集年份</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募集方式</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证券上市日期</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募集资金净额（1）</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本期已使用募集资金总额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已累计使用募集资金总额（2）</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报告期末募集资金使用比例（3）=（2）/（1）</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报告期内变更用途的募集资金总额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累计变更用途的募集资金总额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累计变更用途的募集资金总额比例</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尚未使用募集资金总额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尚未使用募集资金用途及去向</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闲置两年以上募集资金金额</w:t>
            </w:r>
          </w:p>
        </w:tc>
      </w:tr>
      <w:tr w:rsidR="008820E4">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2021年</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非公开发行 </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2021年10月14日</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113,685.68</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100.93%</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113,685.68</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100.93%</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trPr>
          <w:trHeight w:val="240"/>
        </w:trPr>
        <w:tc>
          <w:tcPr>
            <w:tcW w:w="9639" w:type="dxa"/>
            <w:gridSpan w:val="1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募集资金总体使用情况说明</w:t>
            </w:r>
          </w:p>
        </w:tc>
      </w:tr>
      <w:tr w:rsidR="008820E4">
        <w:trPr>
          <w:trHeight w:val="240"/>
        </w:trPr>
        <w:tc>
          <w:tcPr>
            <w:tcW w:w="9639" w:type="dxa"/>
            <w:gridSpan w:val="14"/>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详见2025年8月30日披露于巨潮资讯网（www.cninfo.com.cn）上的《公司2025年半年度募集资金存放和实际使用情况的专项报告》。</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44" w:name="_Toc988933"/>
      <w:r>
        <w:rPr>
          <w:rFonts w:ascii="宋体" w:eastAsia="宋体" w:hAnsi="宋体" w:cs="宋体"/>
          <w:b/>
          <w:bCs/>
          <w:sz w:val="18"/>
          <w:szCs w:val="18"/>
        </w:rPr>
        <w:t>（2） 募集资金承诺项目情况</w:t>
      </w:r>
      <w:bookmarkEnd w:id="4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42"/>
        <w:gridCol w:w="642"/>
        <w:gridCol w:w="642"/>
        <w:gridCol w:w="642"/>
        <w:gridCol w:w="642"/>
        <w:gridCol w:w="17"/>
        <w:gridCol w:w="625"/>
        <w:gridCol w:w="643"/>
        <w:gridCol w:w="643"/>
        <w:gridCol w:w="643"/>
        <w:gridCol w:w="643"/>
        <w:gridCol w:w="643"/>
        <w:gridCol w:w="643"/>
        <w:gridCol w:w="643"/>
        <w:gridCol w:w="643"/>
        <w:gridCol w:w="643"/>
      </w:tblGrid>
      <w:tr w:rsidR="008820E4" w:rsidTr="002711C8">
        <w:trPr>
          <w:trHeight w:val="240"/>
        </w:trPr>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融资项目名称</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证券上市日期</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承诺投资项目和超募资金投向</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项目性质</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是否已变更项目(含部分变更)</w:t>
            </w:r>
          </w:p>
        </w:tc>
        <w:tc>
          <w:tcPr>
            <w:tcW w:w="6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募集资金承诺投资总额</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调整后投资总额(1)</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本报告期投入金额</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截至期末累计投入金额(2)</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截至期末投资进度(3)＝(2)/(1)</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项目达到预定可使用状态日期</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w:t>
            </w:r>
            <w:proofErr w:type="gramStart"/>
            <w:r>
              <w:rPr>
                <w:rFonts w:ascii="宋体" w:eastAsia="宋体" w:hAnsi="宋体" w:cs="宋体"/>
                <w:sz w:val="18"/>
                <w:szCs w:val="18"/>
              </w:rPr>
              <w:t>期实现</w:t>
            </w:r>
            <w:proofErr w:type="gramEnd"/>
            <w:r>
              <w:rPr>
                <w:rFonts w:ascii="宋体" w:eastAsia="宋体" w:hAnsi="宋体" w:cs="宋体"/>
                <w:sz w:val="18"/>
                <w:szCs w:val="18"/>
              </w:rPr>
              <w:t>的效益</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截止报告期末累计实现的效益</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是否达到预计效益</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项目可行性是否发生重大变化</w:t>
            </w:r>
          </w:p>
        </w:tc>
      </w:tr>
      <w:tr w:rsidR="008820E4">
        <w:trPr>
          <w:trHeight w:val="240"/>
        </w:trPr>
        <w:tc>
          <w:tcPr>
            <w:tcW w:w="9639" w:type="dxa"/>
            <w:gridSpan w:val="1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承诺投资项目</w:t>
            </w:r>
          </w:p>
        </w:tc>
      </w:tr>
      <w:tr w:rsidR="008820E4" w:rsidTr="002711C8">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华孚（越南）50万锭新型纱线项目（一期)</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华孚（越南）50万锭新型纱线项目（一期)</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生产建设</w:t>
            </w:r>
          </w:p>
        </w:tc>
        <w:tc>
          <w:tcPr>
            <w:tcW w:w="659"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是</w:t>
            </w:r>
          </w:p>
        </w:tc>
        <w:tc>
          <w:tcPr>
            <w:tcW w:w="6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105,000</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是</w:t>
            </w:r>
          </w:p>
        </w:tc>
      </w:tr>
      <w:tr w:rsidR="008820E4" w:rsidTr="002711C8">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30万锭智能纺纱产业园项目</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30万锭智能纺纱产业园项目</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生产建设</w:t>
            </w:r>
          </w:p>
        </w:tc>
        <w:tc>
          <w:tcPr>
            <w:tcW w:w="659"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是</w:t>
            </w:r>
          </w:p>
        </w:tc>
        <w:tc>
          <w:tcPr>
            <w:tcW w:w="6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79,894.42</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101.33%</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2025年12月31日</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268.82</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2,731.2</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是</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2711C8">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补流</w:t>
            </w:r>
          </w:p>
        </w:tc>
        <w:tc>
          <w:tcPr>
            <w:tcW w:w="659"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6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45,000</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33,791.26</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33,791.26</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2711C8">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临时性补充流动资金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临时性补充流动资金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补流</w:t>
            </w:r>
          </w:p>
        </w:tc>
        <w:tc>
          <w:tcPr>
            <w:tcW w:w="659"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是</w:t>
            </w:r>
          </w:p>
        </w:tc>
        <w:tc>
          <w:tcPr>
            <w:tcW w:w="6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2711C8">
        <w:trPr>
          <w:trHeight w:val="240"/>
        </w:trPr>
        <w:tc>
          <w:tcPr>
            <w:tcW w:w="256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承诺投资项目小计</w:t>
            </w:r>
          </w:p>
        </w:tc>
        <w:tc>
          <w:tcPr>
            <w:tcW w:w="65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112,637.54</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113,685.68</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268.82</w:t>
            </w:r>
          </w:p>
        </w:tc>
        <w:tc>
          <w:tcPr>
            <w:tcW w:w="64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2,731.2</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r w:rsidR="008820E4">
        <w:trPr>
          <w:trHeight w:val="240"/>
        </w:trPr>
        <w:tc>
          <w:tcPr>
            <w:tcW w:w="9639" w:type="dxa"/>
            <w:gridSpan w:val="1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超募资金投向</w:t>
            </w:r>
          </w:p>
        </w:tc>
      </w:tr>
      <w:tr w:rsidR="00CA5826" w:rsidTr="002711C8">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无</w:t>
            </w:r>
          </w:p>
        </w:tc>
        <w:tc>
          <w:tcPr>
            <w:tcW w:w="642" w:type="dxa"/>
            <w:tcBorders>
              <w:top w:val="single" w:sz="2" w:space="0" w:color="auto"/>
              <w:left w:val="single" w:sz="2" w:space="0" w:color="auto"/>
              <w:bottom w:val="single" w:sz="2" w:space="0" w:color="auto"/>
              <w:right w:val="single" w:sz="2" w:space="0" w:color="auto"/>
            </w:tcBorders>
            <w:vAlign w:val="center"/>
          </w:tcPr>
          <w:p w:rsidR="00CA5826" w:rsidRDefault="00CA5826" w:rsidP="002E2150">
            <w:pPr>
              <w:spacing w:line="0" w:lineRule="atLeast"/>
              <w:rPr>
                <w:rFonts w:ascii="宋体" w:eastAsia="宋体" w:hAnsi="宋体" w:cs="宋体"/>
                <w:sz w:val="18"/>
                <w:szCs w:val="18"/>
              </w:rPr>
            </w:pPr>
            <w:r>
              <w:rPr>
                <w:rFonts w:ascii="宋体" w:eastAsia="宋体" w:hAnsi="宋体" w:cs="宋体"/>
                <w:sz w:val="18"/>
                <w:szCs w:val="18"/>
              </w:rPr>
              <w:t>无</w:t>
            </w:r>
          </w:p>
        </w:tc>
        <w:tc>
          <w:tcPr>
            <w:tcW w:w="642"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无</w:t>
            </w:r>
          </w:p>
        </w:tc>
        <w:tc>
          <w:tcPr>
            <w:tcW w:w="642"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无</w:t>
            </w:r>
          </w:p>
        </w:tc>
        <w:tc>
          <w:tcPr>
            <w:tcW w:w="659" w:type="dxa"/>
            <w:gridSpan w:val="2"/>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否</w:t>
            </w:r>
          </w:p>
        </w:tc>
        <w:tc>
          <w:tcPr>
            <w:tcW w:w="625"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否</w:t>
            </w:r>
          </w:p>
        </w:tc>
      </w:tr>
      <w:tr w:rsidR="00CA5826" w:rsidTr="002711C8">
        <w:trPr>
          <w:trHeight w:val="240"/>
        </w:trPr>
        <w:tc>
          <w:tcPr>
            <w:tcW w:w="256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65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25"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r>
              <w:rPr>
                <w:rFonts w:ascii="宋体" w:eastAsia="宋体" w:hAnsi="宋体" w:cs="宋体"/>
                <w:sz w:val="18"/>
                <w:szCs w:val="18"/>
              </w:rPr>
              <w:t>150,000</w:t>
            </w: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r>
              <w:rPr>
                <w:rFonts w:ascii="宋体" w:eastAsia="宋体" w:hAnsi="宋体" w:cs="宋体"/>
                <w:sz w:val="18"/>
                <w:szCs w:val="18"/>
              </w:rPr>
              <w:t>112,637.</w:t>
            </w:r>
            <w:r>
              <w:rPr>
                <w:rFonts w:ascii="宋体" w:eastAsia="宋体" w:hAnsi="宋体" w:cs="宋体"/>
                <w:sz w:val="18"/>
                <w:szCs w:val="18"/>
              </w:rPr>
              <w:lastRenderedPageBreak/>
              <w:t>54</w:t>
            </w: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r>
              <w:rPr>
                <w:rFonts w:ascii="宋体" w:eastAsia="宋体" w:hAnsi="宋体" w:cs="宋体"/>
                <w:sz w:val="18"/>
                <w:szCs w:val="18"/>
              </w:rPr>
              <w:lastRenderedPageBreak/>
              <w:t>0</w:t>
            </w: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r>
              <w:rPr>
                <w:rFonts w:ascii="宋体" w:eastAsia="宋体" w:hAnsi="宋体" w:cs="宋体"/>
                <w:sz w:val="18"/>
                <w:szCs w:val="18"/>
              </w:rPr>
              <w:t>113,685.</w:t>
            </w:r>
            <w:r>
              <w:rPr>
                <w:rFonts w:ascii="宋体" w:eastAsia="宋体" w:hAnsi="宋体" w:cs="宋体"/>
                <w:sz w:val="18"/>
                <w:szCs w:val="18"/>
              </w:rPr>
              <w:lastRenderedPageBreak/>
              <w:t>68</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r>
              <w:rPr>
                <w:rFonts w:ascii="宋体" w:eastAsia="宋体" w:hAnsi="宋体" w:cs="宋体"/>
                <w:sz w:val="18"/>
                <w:szCs w:val="18"/>
              </w:rPr>
              <w:t>268.82</w:t>
            </w:r>
          </w:p>
        </w:tc>
        <w:tc>
          <w:tcPr>
            <w:tcW w:w="643" w:type="dxa"/>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jc w:val="right"/>
              <w:rPr>
                <w:rFonts w:ascii="宋体" w:eastAsia="宋体" w:hAnsi="宋体" w:cs="宋体"/>
                <w:sz w:val="18"/>
                <w:szCs w:val="18"/>
              </w:rPr>
            </w:pPr>
            <w:r>
              <w:rPr>
                <w:rFonts w:ascii="宋体" w:eastAsia="宋体" w:hAnsi="宋体" w:cs="宋体"/>
                <w:sz w:val="18"/>
                <w:szCs w:val="18"/>
              </w:rPr>
              <w:t>2,731.2</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分项目说明未达到计划进度、预计收益的情况和原因（含“是否达到预计效益”选择“不适用”的原因）</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公司于2025年6月20日召开第九届董事会2025年第一次临时会议、第九届监事会第三次会议，审议通过了《关于募投项目延期的议案》，公司在</w:t>
            </w:r>
            <w:proofErr w:type="gramStart"/>
            <w:r>
              <w:rPr>
                <w:rFonts w:ascii="宋体" w:eastAsia="宋体" w:hAnsi="宋体" w:cs="宋体"/>
                <w:sz w:val="18"/>
                <w:szCs w:val="18"/>
              </w:rPr>
              <w:t>募投项目</w:t>
            </w:r>
            <w:proofErr w:type="gramEnd"/>
            <w:r>
              <w:rPr>
                <w:rFonts w:ascii="宋体" w:eastAsia="宋体" w:hAnsi="宋体" w:cs="宋体"/>
                <w:sz w:val="18"/>
                <w:szCs w:val="18"/>
              </w:rPr>
              <w:t>实施主体、实施方式、投资总额不发生变更的情况下，根据实际情况决定对</w:t>
            </w:r>
            <w:proofErr w:type="gramStart"/>
            <w:r>
              <w:rPr>
                <w:rFonts w:ascii="宋体" w:eastAsia="宋体" w:hAnsi="宋体" w:cs="宋体"/>
                <w:sz w:val="18"/>
                <w:szCs w:val="18"/>
              </w:rPr>
              <w:t>募投项目</w:t>
            </w:r>
            <w:proofErr w:type="gramEnd"/>
            <w:r>
              <w:rPr>
                <w:rFonts w:ascii="宋体" w:eastAsia="宋体" w:hAnsi="宋体" w:cs="宋体"/>
                <w:sz w:val="18"/>
                <w:szCs w:val="18"/>
              </w:rPr>
              <w:t>进行延期。由于宏观环境因素影响，项目整体进度放缓，预计无法在原定计划内完成建设。结合目前</w:t>
            </w:r>
            <w:proofErr w:type="gramStart"/>
            <w:r>
              <w:rPr>
                <w:rFonts w:ascii="宋体" w:eastAsia="宋体" w:hAnsi="宋体" w:cs="宋体"/>
                <w:sz w:val="18"/>
                <w:szCs w:val="18"/>
              </w:rPr>
              <w:t>募投项目</w:t>
            </w:r>
            <w:proofErr w:type="gramEnd"/>
            <w:r>
              <w:rPr>
                <w:rFonts w:ascii="宋体" w:eastAsia="宋体" w:hAnsi="宋体" w:cs="宋体"/>
                <w:sz w:val="18"/>
                <w:szCs w:val="18"/>
              </w:rPr>
              <w:t>的实施进展以及公司业务发展规划，经审慎研究，公司决定将</w:t>
            </w:r>
            <w:proofErr w:type="gramStart"/>
            <w:r>
              <w:rPr>
                <w:rFonts w:ascii="宋体" w:eastAsia="宋体" w:hAnsi="宋体" w:cs="宋体"/>
                <w:sz w:val="18"/>
                <w:szCs w:val="18"/>
              </w:rPr>
              <w:t>募投项目</w:t>
            </w:r>
            <w:proofErr w:type="gramEnd"/>
            <w:r>
              <w:rPr>
                <w:rFonts w:ascii="宋体" w:eastAsia="宋体" w:hAnsi="宋体" w:cs="宋体"/>
                <w:sz w:val="18"/>
                <w:szCs w:val="18"/>
              </w:rPr>
              <w:t>达到预定可使用状态的时间延长至2025年12月31日。</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项目可行性发生重大变化的情况说明</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本次募集资金投资项目在前期虽然经过了充分的可行性论证,但由于宏观环境因素影响，项目整体进度放缓，预计无法在原定计划内完成建设。结合目前</w:t>
            </w:r>
            <w:proofErr w:type="gramStart"/>
            <w:r>
              <w:rPr>
                <w:rFonts w:ascii="宋体" w:eastAsia="宋体" w:hAnsi="宋体" w:cs="宋体"/>
                <w:sz w:val="18"/>
                <w:szCs w:val="18"/>
              </w:rPr>
              <w:t>募投项目</w:t>
            </w:r>
            <w:proofErr w:type="gramEnd"/>
            <w:r>
              <w:rPr>
                <w:rFonts w:ascii="宋体" w:eastAsia="宋体" w:hAnsi="宋体" w:cs="宋体"/>
                <w:sz w:val="18"/>
                <w:szCs w:val="18"/>
              </w:rPr>
              <w:t>的实施进展以及公司业务发展规划，经审慎研究，公司决定将</w:t>
            </w:r>
            <w:proofErr w:type="gramStart"/>
            <w:r>
              <w:rPr>
                <w:rFonts w:ascii="宋体" w:eastAsia="宋体" w:hAnsi="宋体" w:cs="宋体"/>
                <w:sz w:val="18"/>
                <w:szCs w:val="18"/>
              </w:rPr>
              <w:t>募投项目</w:t>
            </w:r>
            <w:proofErr w:type="gramEnd"/>
            <w:r>
              <w:rPr>
                <w:rFonts w:ascii="宋体" w:eastAsia="宋体" w:hAnsi="宋体" w:cs="宋体"/>
                <w:sz w:val="18"/>
                <w:szCs w:val="18"/>
              </w:rPr>
              <w:t>达到预定可使用状态的时间延长至2025年12月31日。</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超募资金的金额、用途及使用进展情况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存在擅自变更募集资金用途、违规占用募集资金的情形</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募集资金投资项目实施地点变更情况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募集资金投资项目实施方式调整情况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r>
      <w:tr w:rsidR="00CA5826" w:rsidTr="00A75A90">
        <w:trPr>
          <w:trHeight w:val="547"/>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募集资金投资项目先期投入及置换情况</w:t>
            </w:r>
          </w:p>
        </w:tc>
        <w:tc>
          <w:tcPr>
            <w:tcW w:w="6412" w:type="dxa"/>
            <w:gridSpan w:val="10"/>
            <w:tcBorders>
              <w:top w:val="single" w:sz="2" w:space="0" w:color="auto"/>
              <w:left w:val="single" w:sz="2" w:space="0" w:color="auto"/>
              <w:right w:val="single" w:sz="2" w:space="0" w:color="auto"/>
            </w:tcBorders>
            <w:vAlign w:val="center"/>
          </w:tcPr>
          <w:p w:rsidR="00CA5826" w:rsidRDefault="00CA5826" w:rsidP="00A75A90">
            <w:pPr>
              <w:spacing w:line="0" w:lineRule="atLeast"/>
              <w:rPr>
                <w:rFonts w:ascii="宋体" w:eastAsia="宋体" w:hAnsi="宋体" w:cs="宋体"/>
                <w:sz w:val="18"/>
                <w:szCs w:val="18"/>
              </w:rPr>
            </w:pPr>
            <w:r>
              <w:rPr>
                <w:rFonts w:ascii="宋体" w:eastAsia="宋体" w:hAnsi="宋体" w:cs="宋体"/>
                <w:sz w:val="18"/>
                <w:szCs w:val="18"/>
              </w:rPr>
              <w:t>2025年半年度，公司不存在募集资金投资项目先期投入及置换情况。</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用闲置募集资金暂时补充流动资金情况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项目实施出现募集资金结余的金额及原因</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不适用</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尚未使用的募集资金用途及去向</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2025年半年度，公司尚未使用募集资金1,947.67元在期后扣除销户手续费后已转至公司基本户。</w:t>
            </w:r>
            <w:r w:rsidR="004D7FC3" w:rsidRPr="004D7FC3">
              <w:rPr>
                <w:rFonts w:ascii="宋体" w:eastAsia="宋体" w:hAnsi="宋体" w:cs="宋体" w:hint="eastAsia"/>
                <w:sz w:val="18"/>
                <w:szCs w:val="18"/>
              </w:rPr>
              <w:t>用于继续投资淮北30万锭智能纺纱产业园项目。</w:t>
            </w:r>
          </w:p>
        </w:tc>
      </w:tr>
      <w:tr w:rsidR="00CA5826" w:rsidTr="002711C8">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CA5826" w:rsidRDefault="00CA5826">
            <w:pPr>
              <w:spacing w:before="40" w:after="40" w:line="0" w:lineRule="atLeast"/>
              <w:rPr>
                <w:rFonts w:ascii="宋体" w:eastAsia="宋体" w:hAnsi="宋体" w:cs="宋体"/>
                <w:sz w:val="18"/>
                <w:szCs w:val="18"/>
              </w:rPr>
            </w:pPr>
            <w:r>
              <w:rPr>
                <w:rFonts w:ascii="宋体" w:eastAsia="宋体" w:hAnsi="宋体" w:cs="宋体"/>
                <w:sz w:val="18"/>
                <w:szCs w:val="18"/>
              </w:rPr>
              <w:t>募集资金使用及披露中存在的问题或其他情况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CA5826" w:rsidRDefault="00CA5826">
            <w:pPr>
              <w:spacing w:line="0" w:lineRule="atLeast"/>
              <w:rPr>
                <w:rFonts w:ascii="宋体" w:eastAsia="宋体" w:hAnsi="宋体" w:cs="宋体"/>
                <w:sz w:val="18"/>
                <w:szCs w:val="18"/>
              </w:rPr>
            </w:pPr>
            <w:r>
              <w:rPr>
                <w:rFonts w:ascii="宋体" w:eastAsia="宋体" w:hAnsi="宋体" w:cs="宋体"/>
                <w:sz w:val="18"/>
                <w:szCs w:val="18"/>
              </w:rPr>
              <w:t>2025年半年度，公司已按《深圳证券交易所上市公司自律监管指引第1号——主板上市公司规范运作》等相关法律法规的规定及时、真实、准确、完整披露募集资金的使用与存放情况，不存在募集资金管理违规的情况。公司对募集资金的投向和进展情况均如实履行了披露义务，公司募集资金使用及披露不存在重大问题。</w:t>
            </w:r>
          </w:p>
        </w:tc>
      </w:tr>
    </w:tbl>
    <w:p w:rsidR="008820E4" w:rsidRDefault="005C49A8" w:rsidP="002711C8">
      <w:pPr>
        <w:ind w:firstLineChars="200" w:firstLine="420"/>
      </w:pPr>
      <w:r>
        <w:rPr>
          <w:rFonts w:ascii="仿宋" w:eastAsia="仿宋" w:hAnsi="仿宋" w:cs="仿宋"/>
        </w:rPr>
        <w:t>注：</w:t>
      </w:r>
      <w:r w:rsidR="002711C8" w:rsidRPr="002711C8">
        <w:rPr>
          <w:rFonts w:ascii="仿宋" w:eastAsia="仿宋" w:hAnsi="仿宋" w:cs="仿宋"/>
        </w:rPr>
        <w:t>30万锭智能纺纱产业园项目</w:t>
      </w:r>
      <w:r>
        <w:rPr>
          <w:rFonts w:ascii="仿宋" w:eastAsia="仿宋" w:hAnsi="仿宋" w:cs="仿宋"/>
        </w:rPr>
        <w:t>建设资金来源为募集资金和公司自筹资金，其中募集资金已使用完毕，募集资金使用进度为101</w:t>
      </w:r>
      <w:r w:rsidR="002711C8">
        <w:rPr>
          <w:rFonts w:ascii="仿宋" w:eastAsia="仿宋" w:hAnsi="仿宋" w:cs="仿宋" w:hint="eastAsia"/>
        </w:rPr>
        <w:t>.33</w:t>
      </w:r>
      <w:r>
        <w:rPr>
          <w:rFonts w:ascii="仿宋" w:eastAsia="仿宋" w:hAnsi="仿宋" w:cs="仿宋"/>
        </w:rPr>
        <w:t>%</w:t>
      </w:r>
      <w:r w:rsidR="002711C8">
        <w:rPr>
          <w:rFonts w:ascii="仿宋" w:eastAsia="仿宋" w:hAnsi="仿宋" w:cs="仿宋"/>
        </w:rPr>
        <w:t>（包含募集资金产生的利息），后续项目建设资金来源为自筹</w:t>
      </w:r>
      <w:r>
        <w:rPr>
          <w:rFonts w:ascii="仿宋" w:eastAsia="仿宋" w:hAnsi="仿宋" w:cs="仿宋"/>
        </w:rPr>
        <w:t>资金，报告</w:t>
      </w:r>
      <w:proofErr w:type="gramStart"/>
      <w:r>
        <w:rPr>
          <w:rFonts w:ascii="仿宋" w:eastAsia="仿宋" w:hAnsi="仿宋" w:cs="仿宋"/>
        </w:rPr>
        <w:t>期末该</w:t>
      </w:r>
      <w:proofErr w:type="gramEnd"/>
      <w:r>
        <w:rPr>
          <w:rFonts w:ascii="仿宋" w:eastAsia="仿宋" w:hAnsi="仿宋" w:cs="仿宋"/>
        </w:rPr>
        <w:t>项目整体建设进度为70</w:t>
      </w:r>
      <w:r w:rsidR="002711C8">
        <w:rPr>
          <w:rFonts w:ascii="仿宋" w:eastAsia="仿宋" w:hAnsi="仿宋" w:cs="仿宋" w:hint="eastAsia"/>
        </w:rPr>
        <w:t>.73</w:t>
      </w:r>
      <w:r>
        <w:rPr>
          <w:rFonts w:ascii="仿宋" w:eastAsia="仿宋" w:hAnsi="仿宋" w:cs="仿宋"/>
        </w:rPr>
        <w:t>%。</w:t>
      </w:r>
    </w:p>
    <w:p w:rsidR="008820E4" w:rsidRDefault="005C49A8">
      <w:pPr>
        <w:keepNext/>
        <w:keepLines/>
        <w:spacing w:before="300" w:after="300" w:line="280" w:lineRule="exact"/>
        <w:outlineLvl w:val="3"/>
        <w:rPr>
          <w:rFonts w:ascii="宋体" w:eastAsia="宋体" w:hAnsi="宋体" w:cs="宋体"/>
          <w:b/>
          <w:bCs/>
          <w:sz w:val="18"/>
          <w:szCs w:val="18"/>
        </w:rPr>
      </w:pPr>
      <w:bookmarkStart w:id="45" w:name="_Toc988934"/>
      <w:r>
        <w:rPr>
          <w:rFonts w:ascii="宋体" w:eastAsia="宋体" w:hAnsi="宋体" w:cs="宋体"/>
          <w:b/>
          <w:bCs/>
          <w:sz w:val="18"/>
          <w:szCs w:val="18"/>
        </w:rPr>
        <w:t>（3） 募集资金变更项目情况</w:t>
      </w:r>
      <w:bookmarkEnd w:id="4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3"/>
        <w:gridCol w:w="803"/>
        <w:gridCol w:w="804"/>
        <w:gridCol w:w="803"/>
        <w:gridCol w:w="803"/>
        <w:gridCol w:w="803"/>
        <w:gridCol w:w="803"/>
        <w:gridCol w:w="803"/>
        <w:gridCol w:w="803"/>
        <w:gridCol w:w="803"/>
        <w:gridCol w:w="803"/>
        <w:gridCol w:w="805"/>
      </w:tblGrid>
      <w:tr w:rsidR="008820E4">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融资项目名称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募集方式</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变更后的项目</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对应的原承诺项目</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变更后项目拟投入募集资金总额(1)</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本报告期实际投入金额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截至期末实际累计投入金额(2)</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截至期末投资进度(3)=(2)/(1)</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项目达到预定可使用状态日期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w:t>
            </w:r>
            <w:proofErr w:type="gramStart"/>
            <w:r>
              <w:rPr>
                <w:rFonts w:ascii="宋体" w:eastAsia="宋体" w:hAnsi="宋体" w:cs="宋体"/>
                <w:sz w:val="18"/>
                <w:szCs w:val="18"/>
              </w:rPr>
              <w:t>期实现</w:t>
            </w:r>
            <w:proofErr w:type="gramEnd"/>
            <w:r>
              <w:rPr>
                <w:rFonts w:ascii="宋体" w:eastAsia="宋体" w:hAnsi="宋体" w:cs="宋体"/>
                <w:sz w:val="18"/>
                <w:szCs w:val="18"/>
              </w:rPr>
              <w:t>的效益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是否达到预计效益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变更后的项目可行性是否发生重大变化</w:t>
            </w:r>
          </w:p>
        </w:tc>
      </w:tr>
      <w:tr w:rsidR="008820E4">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淮北30万锭智能纺纱产业园项目</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非公开发行公司债券 </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淮北30万锭智能纺纱产业园项目</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华孚（越南）50万锭新型纱线项目（一期)</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79,894.42</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101.33%</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2025年12月31日</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268.82</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是</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临时性补充流动资金</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临时性补充流动资金</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无</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78,846.28</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79,894.42</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268.82</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r w:rsidR="008820E4">
        <w:trPr>
          <w:trHeight w:val="240"/>
        </w:trPr>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变更原因、决策程序及信息披露情况说明(</w:t>
            </w:r>
            <w:proofErr w:type="gramStart"/>
            <w:r>
              <w:rPr>
                <w:rFonts w:ascii="宋体" w:eastAsia="宋体" w:hAnsi="宋体" w:cs="宋体"/>
                <w:sz w:val="18"/>
                <w:szCs w:val="18"/>
              </w:rPr>
              <w:t>分具体</w:t>
            </w:r>
            <w:proofErr w:type="gramEnd"/>
            <w:r>
              <w:rPr>
                <w:rFonts w:ascii="宋体" w:eastAsia="宋体" w:hAnsi="宋体" w:cs="宋体"/>
                <w:sz w:val="18"/>
                <w:szCs w:val="18"/>
              </w:rPr>
              <w:t>项目)</w:t>
            </w:r>
          </w:p>
        </w:tc>
        <w:tc>
          <w:tcPr>
            <w:tcW w:w="7229" w:type="dxa"/>
            <w:gridSpan w:val="9"/>
            <w:tcBorders>
              <w:top w:val="single" w:sz="2" w:space="0" w:color="auto"/>
              <w:left w:val="single" w:sz="2" w:space="0" w:color="auto"/>
              <w:bottom w:val="single" w:sz="2" w:space="0" w:color="auto"/>
              <w:right w:val="single" w:sz="2" w:space="0" w:color="auto"/>
            </w:tcBorders>
            <w:vAlign w:val="center"/>
          </w:tcPr>
          <w:p w:rsidR="008820E4" w:rsidRDefault="005C49A8" w:rsidP="0017456B">
            <w:pPr>
              <w:spacing w:line="0" w:lineRule="atLeast"/>
              <w:ind w:firstLineChars="100" w:firstLine="180"/>
              <w:rPr>
                <w:rFonts w:ascii="宋体" w:eastAsia="宋体" w:hAnsi="宋体" w:cs="宋体"/>
                <w:sz w:val="18"/>
                <w:szCs w:val="18"/>
              </w:rPr>
            </w:pPr>
            <w:r>
              <w:rPr>
                <w:rFonts w:ascii="宋体" w:eastAsia="宋体" w:hAnsi="宋体" w:cs="宋体"/>
                <w:sz w:val="18"/>
                <w:szCs w:val="18"/>
              </w:rPr>
              <w:t>1、因外部市场环境变化，原项目建设进度有所延缓，实施周期被动拉长，存在投资收益不达预期的风险。因此，经公司于2022年1月10日召开的2022年第一次股东大会审议通过，同意将公司2021年非公开发行股票募集资金投资项目华孚（越南）50万锭新型纱线项目（一期）变更为30万锭智能纺纱产业园项目（项目实施地在安徽省淮北市）。</w:t>
            </w:r>
          </w:p>
        </w:tc>
      </w:tr>
      <w:tr w:rsidR="008820E4">
        <w:trPr>
          <w:trHeight w:val="240"/>
        </w:trPr>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未达到计划进度或预计收益的情况和原因(</w:t>
            </w:r>
            <w:proofErr w:type="gramStart"/>
            <w:r>
              <w:rPr>
                <w:rFonts w:ascii="宋体" w:eastAsia="宋体" w:hAnsi="宋体" w:cs="宋体"/>
                <w:sz w:val="18"/>
                <w:szCs w:val="18"/>
              </w:rPr>
              <w:t>分具体</w:t>
            </w:r>
            <w:proofErr w:type="gramEnd"/>
            <w:r>
              <w:rPr>
                <w:rFonts w:ascii="宋体" w:eastAsia="宋体" w:hAnsi="宋体" w:cs="宋体"/>
                <w:sz w:val="18"/>
                <w:szCs w:val="18"/>
              </w:rPr>
              <w:t>项目)</w:t>
            </w:r>
          </w:p>
        </w:tc>
        <w:tc>
          <w:tcPr>
            <w:tcW w:w="7229" w:type="dxa"/>
            <w:gridSpan w:val="9"/>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公司于2025年6月20日召开第九届董事会2025年第一次临时会议、第九届监事会第三次会议，审议通过了《关于募投项目延期的议案》，公司在</w:t>
            </w:r>
            <w:proofErr w:type="gramStart"/>
            <w:r>
              <w:rPr>
                <w:rFonts w:ascii="宋体" w:eastAsia="宋体" w:hAnsi="宋体" w:cs="宋体"/>
                <w:sz w:val="18"/>
                <w:szCs w:val="18"/>
              </w:rPr>
              <w:t>募投项目</w:t>
            </w:r>
            <w:proofErr w:type="gramEnd"/>
            <w:r>
              <w:rPr>
                <w:rFonts w:ascii="宋体" w:eastAsia="宋体" w:hAnsi="宋体" w:cs="宋体"/>
                <w:sz w:val="18"/>
                <w:szCs w:val="18"/>
              </w:rPr>
              <w:t>实施主体、实施方式、投资总额不发生变更的情况下，根据实际情况决定对</w:t>
            </w:r>
            <w:proofErr w:type="gramStart"/>
            <w:r>
              <w:rPr>
                <w:rFonts w:ascii="宋体" w:eastAsia="宋体" w:hAnsi="宋体" w:cs="宋体"/>
                <w:sz w:val="18"/>
                <w:szCs w:val="18"/>
              </w:rPr>
              <w:t>募投项目</w:t>
            </w:r>
            <w:proofErr w:type="gramEnd"/>
            <w:r>
              <w:rPr>
                <w:rFonts w:ascii="宋体" w:eastAsia="宋体" w:hAnsi="宋体" w:cs="宋体"/>
                <w:sz w:val="18"/>
                <w:szCs w:val="18"/>
              </w:rPr>
              <w:t>进行延期。由于宏观环境因素影响，项目整体进度放缓，预计无法在原定计划内完成建设。结合目前</w:t>
            </w:r>
            <w:proofErr w:type="gramStart"/>
            <w:r>
              <w:rPr>
                <w:rFonts w:ascii="宋体" w:eastAsia="宋体" w:hAnsi="宋体" w:cs="宋体"/>
                <w:sz w:val="18"/>
                <w:szCs w:val="18"/>
              </w:rPr>
              <w:t>募投项目</w:t>
            </w:r>
            <w:proofErr w:type="gramEnd"/>
            <w:r>
              <w:rPr>
                <w:rFonts w:ascii="宋体" w:eastAsia="宋体" w:hAnsi="宋体" w:cs="宋体"/>
                <w:sz w:val="18"/>
                <w:szCs w:val="18"/>
              </w:rPr>
              <w:t>的实施进展以及公司业务发展规划，经审慎研究，公司决定将</w:t>
            </w:r>
            <w:proofErr w:type="gramStart"/>
            <w:r>
              <w:rPr>
                <w:rFonts w:ascii="宋体" w:eastAsia="宋体" w:hAnsi="宋体" w:cs="宋体"/>
                <w:sz w:val="18"/>
                <w:szCs w:val="18"/>
              </w:rPr>
              <w:t>募投项目</w:t>
            </w:r>
            <w:proofErr w:type="gramEnd"/>
            <w:r>
              <w:rPr>
                <w:rFonts w:ascii="宋体" w:eastAsia="宋体" w:hAnsi="宋体" w:cs="宋体"/>
                <w:sz w:val="18"/>
                <w:szCs w:val="18"/>
              </w:rPr>
              <w:t>达到预定可使用状态的时间延长至2025年12月31日。</w:t>
            </w:r>
          </w:p>
        </w:tc>
      </w:tr>
      <w:tr w:rsidR="008820E4">
        <w:trPr>
          <w:trHeight w:val="240"/>
        </w:trPr>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变更后的项目可行性发生重大变化的情况说明</w:t>
            </w:r>
          </w:p>
        </w:tc>
        <w:tc>
          <w:tcPr>
            <w:tcW w:w="7229" w:type="dxa"/>
            <w:gridSpan w:val="9"/>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不适用</w:t>
            </w:r>
          </w:p>
        </w:tc>
      </w:tr>
    </w:tbl>
    <w:p w:rsidR="008820E4" w:rsidRDefault="005C49A8">
      <w:pPr>
        <w:pStyle w:val="2"/>
        <w:spacing w:before="300" w:after="300" w:line="320" w:lineRule="exact"/>
        <w:rPr>
          <w:rFonts w:ascii="宋体" w:eastAsia="宋体" w:hAnsi="宋体" w:cs="宋体"/>
          <w:b/>
          <w:bCs/>
          <w:sz w:val="24"/>
          <w:szCs w:val="24"/>
        </w:rPr>
      </w:pPr>
      <w:bookmarkStart w:id="46" w:name="_Toc988935"/>
      <w:r>
        <w:rPr>
          <w:rFonts w:ascii="宋体" w:eastAsia="宋体" w:hAnsi="宋体" w:cs="宋体"/>
          <w:b/>
          <w:bCs/>
          <w:sz w:val="24"/>
          <w:szCs w:val="24"/>
        </w:rPr>
        <w:t>八、重大资产和股权出售</w:t>
      </w:r>
      <w:bookmarkEnd w:id="46"/>
    </w:p>
    <w:p w:rsidR="008820E4" w:rsidRDefault="005C49A8">
      <w:pPr>
        <w:pStyle w:val="3"/>
        <w:spacing w:line="280" w:lineRule="exact"/>
        <w:jc w:val="left"/>
        <w:rPr>
          <w:rFonts w:ascii="宋体" w:hAnsi="宋体" w:cs="宋体"/>
          <w:b/>
          <w:bCs/>
        </w:rPr>
      </w:pPr>
      <w:bookmarkStart w:id="47" w:name="_Toc988936"/>
      <w:r>
        <w:rPr>
          <w:rFonts w:ascii="宋体" w:hAnsi="宋体" w:cs="宋体"/>
          <w:b/>
          <w:bCs/>
        </w:rPr>
        <w:t>1、出售重大资产情况</w:t>
      </w:r>
      <w:bookmarkEnd w:id="4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公司报告期未出售重大资产。</w:t>
      </w:r>
    </w:p>
    <w:p w:rsidR="008820E4" w:rsidRDefault="005C49A8">
      <w:pPr>
        <w:pStyle w:val="3"/>
        <w:spacing w:line="280" w:lineRule="exact"/>
        <w:jc w:val="left"/>
        <w:rPr>
          <w:rFonts w:ascii="宋体" w:hAnsi="宋体" w:cs="宋体"/>
          <w:b/>
          <w:bCs/>
        </w:rPr>
      </w:pPr>
      <w:bookmarkStart w:id="48" w:name="_Toc988937"/>
      <w:r>
        <w:rPr>
          <w:rFonts w:ascii="宋体" w:hAnsi="宋体" w:cs="宋体"/>
          <w:b/>
          <w:bCs/>
        </w:rPr>
        <w:t>2、出售重大股权情况</w:t>
      </w:r>
      <w:bookmarkEnd w:id="4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49" w:name="_Toc988938"/>
      <w:r>
        <w:rPr>
          <w:rFonts w:ascii="宋体" w:eastAsia="宋体" w:hAnsi="宋体" w:cs="宋体"/>
          <w:b/>
          <w:bCs/>
          <w:sz w:val="24"/>
          <w:szCs w:val="24"/>
        </w:rPr>
        <w:t>九、主要控股参股公司分析</w:t>
      </w:r>
      <w:bookmarkEnd w:id="49"/>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主要子公司及对公司净利润</w:t>
      </w:r>
      <w:proofErr w:type="gramStart"/>
      <w:r>
        <w:rPr>
          <w:rFonts w:ascii="宋体" w:eastAsia="宋体" w:hAnsi="宋体" w:cs="宋体"/>
          <w:sz w:val="18"/>
          <w:szCs w:val="18"/>
        </w:rPr>
        <w:t>影响达</w:t>
      </w:r>
      <w:proofErr w:type="gramEnd"/>
      <w:r>
        <w:rPr>
          <w:rFonts w:ascii="宋体" w:eastAsia="宋体" w:hAnsi="宋体" w:cs="宋体"/>
          <w:sz w:val="18"/>
          <w:szCs w:val="18"/>
        </w:rPr>
        <w:t>10%以上的参股公司情况</w:t>
      </w:r>
    </w:p>
    <w:p w:rsidR="008604A3" w:rsidRDefault="005C49A8" w:rsidP="008604A3">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p w:rsidR="0017456B" w:rsidRDefault="0017456B" w:rsidP="008604A3">
      <w:pPr>
        <w:spacing w:before="120" w:after="12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公司名称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公司类型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主要业务</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注册资本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总资产</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净资产</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营业利润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604A3" w:rsidRPr="008604A3" w:rsidRDefault="008604A3" w:rsidP="008604A3">
            <w:pPr>
              <w:spacing w:before="40" w:after="40" w:line="240" w:lineRule="exact"/>
              <w:jc w:val="center"/>
              <w:rPr>
                <w:rFonts w:ascii="宋体" w:eastAsia="宋体" w:hAnsi="宋体" w:cs="宋体"/>
                <w:sz w:val="18"/>
                <w:szCs w:val="18"/>
              </w:rPr>
            </w:pPr>
            <w:r w:rsidRPr="008604A3">
              <w:rPr>
                <w:rFonts w:ascii="宋体" w:eastAsia="宋体" w:hAnsi="宋体" w:cs="宋体"/>
                <w:sz w:val="18"/>
                <w:szCs w:val="18"/>
              </w:rPr>
              <w:t>净利润</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深圳市华孚进出口有限公司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国内商业、物资供销业(不含专营、专控、专卖商品)；进出口业务(按深贸管审证字第628号</w:t>
            </w:r>
            <w:proofErr w:type="gramStart"/>
            <w:r w:rsidRPr="008604A3">
              <w:rPr>
                <w:rFonts w:ascii="宋体" w:eastAsia="宋体" w:hAnsi="宋体" w:cs="宋体"/>
                <w:sz w:val="18"/>
                <w:szCs w:val="18"/>
              </w:rPr>
              <w:t>文办理</w:t>
            </w:r>
            <w:proofErr w:type="gramEnd"/>
            <w:r w:rsidRPr="008604A3">
              <w:rPr>
                <w:rFonts w:ascii="宋体" w:eastAsia="宋体" w:hAnsi="宋体" w:cs="宋体"/>
                <w:sz w:val="18"/>
                <w:szCs w:val="18"/>
              </w:rPr>
              <w:t>)。企业信息咨询(不含限制项目)。</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1,500,000,000.00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6,963,651,261.07</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2,017,334,003.85</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2,082,473,134.84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107,586,503.52</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107,180,939.50</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宁波华孚东</w:t>
            </w:r>
            <w:proofErr w:type="gramStart"/>
            <w:r w:rsidRPr="008604A3">
              <w:rPr>
                <w:rFonts w:ascii="宋体" w:eastAsia="宋体" w:hAnsi="宋体" w:cs="宋体"/>
                <w:sz w:val="18"/>
                <w:szCs w:val="18"/>
              </w:rPr>
              <w:t>浩</w:t>
            </w:r>
            <w:proofErr w:type="gramEnd"/>
            <w:r w:rsidRPr="008604A3">
              <w:rPr>
                <w:rFonts w:ascii="宋体" w:eastAsia="宋体" w:hAnsi="宋体" w:cs="宋体"/>
                <w:sz w:val="18"/>
                <w:szCs w:val="18"/>
              </w:rPr>
              <w:t>实业</w:t>
            </w:r>
            <w:r w:rsidRPr="008604A3">
              <w:rPr>
                <w:rFonts w:ascii="宋体" w:eastAsia="宋体" w:hAnsi="宋体" w:cs="宋体"/>
                <w:sz w:val="18"/>
                <w:szCs w:val="18"/>
              </w:rPr>
              <w:lastRenderedPageBreak/>
              <w:t>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色纺纱、高新坯</w:t>
            </w:r>
            <w:r w:rsidRPr="008604A3">
              <w:rPr>
                <w:rFonts w:ascii="宋体" w:eastAsia="宋体" w:hAnsi="宋体" w:cs="宋体"/>
                <w:sz w:val="18"/>
                <w:szCs w:val="18"/>
              </w:rPr>
              <w:lastRenderedPageBreak/>
              <w:t>纱、OE纱等棉纺织品的批发，进出口业务</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50,000,000.00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2,111,968,743.70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-176,985,9</w:t>
            </w:r>
            <w:r w:rsidRPr="008604A3">
              <w:rPr>
                <w:rFonts w:ascii="宋体" w:eastAsia="宋体" w:hAnsi="宋体" w:cs="宋体"/>
                <w:sz w:val="18"/>
                <w:szCs w:val="18"/>
              </w:rPr>
              <w:lastRenderedPageBreak/>
              <w:t>05.19</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lastRenderedPageBreak/>
              <w:t>1,048,235,867.63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-19,590,15</w:t>
            </w:r>
            <w:r w:rsidRPr="008604A3">
              <w:rPr>
                <w:rFonts w:ascii="宋体" w:eastAsia="宋体" w:hAnsi="宋体" w:cs="宋体"/>
                <w:sz w:val="18"/>
                <w:szCs w:val="18"/>
              </w:rPr>
              <w:lastRenderedPageBreak/>
              <w:t>8.29</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lastRenderedPageBreak/>
              <w:t>-19,533,44</w:t>
            </w:r>
            <w:r w:rsidRPr="008604A3">
              <w:rPr>
                <w:rFonts w:ascii="宋体" w:eastAsia="宋体" w:hAnsi="宋体" w:cs="宋体"/>
                <w:sz w:val="18"/>
                <w:szCs w:val="18"/>
              </w:rPr>
              <w:lastRenderedPageBreak/>
              <w:t>3.59</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新疆华孚棉业集团有限公司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农产品初加工服务；社会经济咨询；股权投资；棉花种植，谷物种植，货物与技术的进出口（国家禁止或涉及行政审批的货物和技术进出口除外）；销售：食品、农副产品，纺织品、针织品及原料，服装鞋帽，纸浆，棉花，橡胶制品，棉纱，化工产品（危险化学品除外）</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3,072,438,011.55</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1,095,661,316.43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823,967,922.65</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17,726,726.91</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17,725,615.65</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香港华孚贸易有限公司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从事色纱线产品的销售</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                -</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472,152,019.87</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223,757,430.11</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972,213.17</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8,082,838.72</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7,696,993.09</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奎屯锦孚纺织有限公司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纺纱加工；面料纺织加工；面料印染加工；家用纺织制成品制造；非食用农产品初加工；针纺织品销售；针纺织品及原料销售；产业用纺织制成品销售；服</w:t>
            </w:r>
            <w:r w:rsidRPr="008604A3">
              <w:rPr>
                <w:rFonts w:ascii="宋体" w:eastAsia="宋体" w:hAnsi="宋体" w:cs="宋体"/>
                <w:sz w:val="18"/>
                <w:szCs w:val="18"/>
              </w:rPr>
              <w:lastRenderedPageBreak/>
              <w:t>装辅料销售；技术进出口；货物进出口；棉、麻销售；仪器仪表销售；机械设备销售；机械零件、零部件销售；初级农产品收购；棉花收购；居民日常生活服务；机械设备租赁；土地使用权租赁；住房租赁；非居住房地产租赁。许可项目：餐饮服务；住宿服务；自来水生产与供应。</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230,343,900.00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753,949,795.60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-50,952,125.24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239,991,544.83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-30,146,134.13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-29,959,128.82</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阿克苏银星物流有限公司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公共铁路运输；道路货物运输（不含危险货物）。（依法须经批准的项目，经相关部门批准后方可开展经营活动，具体经营项目以相关部门批准文件或许可证件为准）一般项目：棉花加工；棉花收购；棉花加工机械销售；道路货物运</w:t>
            </w:r>
            <w:r w:rsidRPr="008604A3">
              <w:rPr>
                <w:rFonts w:ascii="宋体" w:eastAsia="宋体" w:hAnsi="宋体" w:cs="宋体"/>
                <w:sz w:val="18"/>
                <w:szCs w:val="18"/>
              </w:rPr>
              <w:lastRenderedPageBreak/>
              <w:t>输站经营；棉、麻销售；食用农产品批发；食用农产品零售；农、林、牧、副、渔业专业机械的销售；产业用纺织制成品销售；日用杂品销售；普通货物仓储服务（不含危险化学品等需许可审批的项目）；国内货物运输代理；运输货物打包服务；国内集装箱货物运输代理；装卸搬运；租赁服务（不含许可类租赁服务）；日用百货销售；水产品批发；水产品零售；家用电器零配件销售；金属丝</w:t>
            </w:r>
            <w:proofErr w:type="gramStart"/>
            <w:r w:rsidRPr="008604A3">
              <w:rPr>
                <w:rFonts w:ascii="宋体" w:eastAsia="宋体" w:hAnsi="宋体" w:cs="宋体"/>
                <w:sz w:val="18"/>
                <w:szCs w:val="18"/>
              </w:rPr>
              <w:t>绳</w:t>
            </w:r>
            <w:proofErr w:type="gramEnd"/>
            <w:r w:rsidRPr="008604A3">
              <w:rPr>
                <w:rFonts w:ascii="宋体" w:eastAsia="宋体" w:hAnsi="宋体" w:cs="宋体"/>
                <w:sz w:val="18"/>
                <w:szCs w:val="18"/>
              </w:rPr>
              <w:t>及其制品销售。</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80,000,000.00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146,170,817.33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128,686,394.48</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15,319,913.19</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7,756,102.48</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5,794,270.80</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新疆棉花产业集团岳普湖棉业有限公司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籽棉加工、住宿（限分支机构经营），籽棉收购；销售：皮棉、棉短绒、棉籽、棉副产品、不孕籽棉、</w:t>
            </w:r>
            <w:r w:rsidRPr="008604A3">
              <w:rPr>
                <w:rFonts w:ascii="宋体" w:eastAsia="宋体" w:hAnsi="宋体" w:cs="宋体"/>
                <w:sz w:val="18"/>
                <w:szCs w:val="18"/>
              </w:rPr>
              <w:lastRenderedPageBreak/>
              <w:t>棉花打包材料、农膜、化肥（硝基复混肥除外）、棉</w:t>
            </w:r>
            <w:proofErr w:type="gramStart"/>
            <w:r w:rsidRPr="008604A3">
              <w:rPr>
                <w:rFonts w:ascii="宋体" w:eastAsia="宋体" w:hAnsi="宋体" w:cs="宋体"/>
                <w:sz w:val="18"/>
                <w:szCs w:val="18"/>
              </w:rPr>
              <w:t>粕</w:t>
            </w:r>
            <w:proofErr w:type="gramEnd"/>
            <w:r w:rsidRPr="008604A3">
              <w:rPr>
                <w:rFonts w:ascii="宋体" w:eastAsia="宋体" w:hAnsi="宋体" w:cs="宋体"/>
                <w:sz w:val="18"/>
                <w:szCs w:val="18"/>
              </w:rPr>
              <w:t>、棉机、棉检仪器、五金交电、化工产品。</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20,000,000.00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236,459,367.23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42,935,237.90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616,896,895.54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5,903,907.40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5,689,959.06</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越南隆安英鸿投资股份公司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房地产开发</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88,200,000.00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304,807,599.38</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86,799,389.27</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382,895.44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-4,533,525.49</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-4,533,525.49</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浙江维新贸易有限公司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化工产品销售（不含许可类化工产品）；针纺织品及原料销售；棉花收购；橡胶制品销售；合成纤维销售；染料销售；塑料制品销售；工艺美术品及收藏品批发（象牙及其制品除外）；建筑材料销售；机械设备销售；五金产品批发；保温材料销售；建筑防水卷材产品销售；石油制品销售（不含危险化学品）；木材销售；水泥制品销售；润滑油销售；非金属矿及制品销售；服装</w:t>
            </w:r>
            <w:r w:rsidRPr="008604A3">
              <w:rPr>
                <w:rFonts w:ascii="宋体" w:eastAsia="宋体" w:hAnsi="宋体" w:cs="宋体"/>
                <w:sz w:val="18"/>
                <w:szCs w:val="18"/>
              </w:rPr>
              <w:lastRenderedPageBreak/>
              <w:t>服饰批发；服装辅料销售；纸浆销售；纸制品销售；有色金属合金销售；包装材料及制品销售；普通货物仓储服务</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30,000,000.00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138,438,051.24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43,373,012.90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140,270,331.48</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-4,299,632.85</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-4,299,632.85</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新疆华孚种业科技股份有限公司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棉花种植；棉花加工；棉花收购；初级农产品收购；非食用农产品初加工；农作物种子经营（仅限不再分装的包装种子）；棉、麻销售；肥料销售；化肥销售；塑料制品销售；农业机械销售；土地整治服务；土地使用权租赁；农业机械服务；以自有资金从事投资活动。农作物种子经营；主要农作物种子生产；转基因棉花种子生产。</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100,000,000.00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56,666,948.05</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53,857,200.07</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12,290,720.00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5,827,893.94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4,370,920.45</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新疆棉花交易市场有限责任公司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棉花、棉短绒的经营；棉花网上交易及信息咨询</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314,553,893.24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91,611,701.20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701,191,302.64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18,211,327.84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17,408,495.88</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新疆阿大数字科技产业园有限公司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参股公司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针纺织品、纺织品、服装、鞋帽、日用百货、床上用品销售及网上销售；纺织技术的研究、开发；网络技术、电子技术、通信技术领域内的技术开发、技术咨询、技术服务、技术转让；软件开发；产品设计、制造；广告设计、制作、发布、代理；摄影服务；货物进出口；技术进出口。</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361,444,909.29</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52,608,764.36</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31,429,940.89</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7,831,343.41</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7,704,249.39</w:t>
            </w:r>
          </w:p>
        </w:tc>
      </w:tr>
      <w:tr w:rsidR="008604A3" w:rsidRPr="008604A3" w:rsidTr="0017456B">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浙江恒孚贸易有限公司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t>化工产品销售（不含许可类化工产品）；针纺织品及原料销售；棉花收购；橡胶制品销售；合成纤维销售；染料销售；塑料制品销售；工艺美术品及收藏品批发（象牙及其制品除外）；建筑材料销售；机械设备销售；五金</w:t>
            </w:r>
            <w:r w:rsidRPr="008604A3">
              <w:rPr>
                <w:rFonts w:ascii="宋体" w:eastAsia="宋体" w:hAnsi="宋体" w:cs="宋体"/>
                <w:sz w:val="18"/>
                <w:szCs w:val="18"/>
              </w:rPr>
              <w:lastRenderedPageBreak/>
              <w:t>产品批发；保温材料销售；建筑防水卷材产品销售；石油制品销售（不含危险化学品）；木材销售；水泥制品销售；润滑油销售；非金属矿及制品销售；服装服饰批发；服装辅料销售；纸浆销售；纸制品销售；有色金属合金销售；包装材料及制品销售；普通货物仓储服务（不含危险化学品等需许可审批的项目）；货物进出口；技术进出口；信息咨询服务（不含许可类信息咨询服务）</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rPr>
                <w:rFonts w:ascii="宋体" w:eastAsia="宋体" w:hAnsi="宋体" w:cs="宋体"/>
                <w:sz w:val="18"/>
                <w:szCs w:val="18"/>
              </w:rPr>
            </w:pPr>
            <w:r w:rsidRPr="008604A3">
              <w:rPr>
                <w:rFonts w:ascii="宋体" w:eastAsia="宋体" w:hAnsi="宋体" w:cs="宋体"/>
                <w:sz w:val="18"/>
                <w:szCs w:val="18"/>
              </w:rPr>
              <w:lastRenderedPageBreak/>
              <w:t>10,000,000</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320,433,959.83</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5,076,293.68</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349,627,325.44</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26,195,517.11</w:t>
            </w:r>
          </w:p>
        </w:tc>
        <w:tc>
          <w:tcPr>
            <w:tcW w:w="1071" w:type="dxa"/>
            <w:tcBorders>
              <w:top w:val="single" w:sz="2" w:space="0" w:color="auto"/>
              <w:left w:val="single" w:sz="2" w:space="0" w:color="auto"/>
              <w:bottom w:val="single" w:sz="2" w:space="0" w:color="auto"/>
              <w:right w:val="single" w:sz="2" w:space="0" w:color="auto"/>
            </w:tcBorders>
            <w:vAlign w:val="center"/>
          </w:tcPr>
          <w:p w:rsidR="008604A3" w:rsidRPr="008604A3" w:rsidRDefault="008604A3" w:rsidP="008604A3">
            <w:pPr>
              <w:spacing w:line="240" w:lineRule="exact"/>
              <w:jc w:val="right"/>
              <w:rPr>
                <w:rFonts w:ascii="宋体" w:eastAsia="宋体" w:hAnsi="宋体" w:cs="宋体"/>
                <w:sz w:val="18"/>
                <w:szCs w:val="18"/>
              </w:rPr>
            </w:pPr>
            <w:r w:rsidRPr="008604A3">
              <w:rPr>
                <w:rFonts w:ascii="宋体" w:eastAsia="宋体" w:hAnsi="宋体" w:cs="宋体"/>
                <w:sz w:val="18"/>
                <w:szCs w:val="18"/>
              </w:rPr>
              <w:t>26,282,806.14</w:t>
            </w:r>
          </w:p>
        </w:tc>
      </w:tr>
    </w:tbl>
    <w:p w:rsidR="008604A3" w:rsidRDefault="008604A3">
      <w:pPr>
        <w:spacing w:before="100" w:after="100" w:line="240" w:lineRule="exact"/>
        <w:rPr>
          <w:rFonts w:ascii="宋体" w:eastAsia="宋体" w:hAnsi="宋体" w:cs="宋体"/>
          <w:sz w:val="18"/>
          <w:szCs w:val="18"/>
        </w:rPr>
      </w:pP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报告期内取得和处置子公司的情况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报告期内取得和处置子公司方式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对整体生产经营和业绩的影响</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阿克苏恒</w:t>
            </w:r>
            <w:proofErr w:type="gramStart"/>
            <w:r>
              <w:rPr>
                <w:rFonts w:ascii="宋体" w:eastAsia="宋体" w:hAnsi="宋体" w:cs="宋体"/>
                <w:sz w:val="18"/>
                <w:szCs w:val="18"/>
              </w:rPr>
              <w:t>鑫</w:t>
            </w:r>
            <w:proofErr w:type="gramEnd"/>
            <w:r>
              <w:rPr>
                <w:rFonts w:ascii="宋体" w:eastAsia="宋体" w:hAnsi="宋体" w:cs="宋体"/>
                <w:sz w:val="18"/>
                <w:szCs w:val="18"/>
              </w:rPr>
              <w:t>棉花有限公司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5C49A8" w:rsidRPr="008447BC" w:rsidRDefault="005C49A8" w:rsidP="008447BC">
      <w:pPr>
        <w:spacing w:before="100" w:after="100" w:line="240" w:lineRule="exact"/>
        <w:rPr>
          <w:rFonts w:ascii="宋体" w:eastAsia="宋体" w:hAnsi="宋体" w:cs="宋体"/>
          <w:sz w:val="18"/>
          <w:szCs w:val="18"/>
        </w:rPr>
      </w:pPr>
      <w:r>
        <w:rPr>
          <w:rFonts w:ascii="宋体" w:eastAsia="宋体" w:hAnsi="宋体" w:cs="宋体"/>
          <w:sz w:val="18"/>
          <w:szCs w:val="18"/>
        </w:rPr>
        <w:t>主要控股参股公司情况说明</w:t>
      </w:r>
      <w:r w:rsidR="008447BC">
        <w:rPr>
          <w:rFonts w:ascii="宋体" w:eastAsia="宋体" w:hAnsi="宋体" w:cs="宋体" w:hint="eastAsia"/>
          <w:sz w:val="18"/>
          <w:szCs w:val="18"/>
        </w:rPr>
        <w:t>：</w:t>
      </w: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50" w:name="_Toc988939"/>
      <w:r>
        <w:rPr>
          <w:rFonts w:ascii="宋体" w:eastAsia="宋体" w:hAnsi="宋体" w:cs="宋体"/>
          <w:b/>
          <w:bCs/>
          <w:sz w:val="24"/>
          <w:szCs w:val="24"/>
        </w:rPr>
        <w:t>十、公司控制的结构化主体情况</w:t>
      </w:r>
      <w:bookmarkEnd w:id="5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51" w:name="_Toc988940"/>
      <w:r>
        <w:rPr>
          <w:rFonts w:ascii="宋体" w:eastAsia="宋体" w:hAnsi="宋体" w:cs="宋体"/>
          <w:b/>
          <w:bCs/>
          <w:sz w:val="24"/>
          <w:szCs w:val="24"/>
        </w:rPr>
        <w:lastRenderedPageBreak/>
        <w:t>十一、公司面临的风险和应对措施</w:t>
      </w:r>
      <w:bookmarkEnd w:id="51"/>
    </w:p>
    <w:p w:rsidR="005C49A8" w:rsidRDefault="005C49A8">
      <w:pPr>
        <w:pStyle w:val="a3"/>
        <w:spacing w:before="0" w:beforeAutospacing="0" w:after="0" w:afterAutospacing="0"/>
        <w:ind w:firstLine="357"/>
        <w:divId w:val="1773671214"/>
      </w:pPr>
      <w:r>
        <w:rPr>
          <w:rFonts w:hint="eastAsia"/>
          <w:sz w:val="18"/>
          <w:szCs w:val="18"/>
        </w:rPr>
        <w:t>（1）可能面临的风险</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1</w:t>
      </w:r>
      <w:r>
        <w:rPr>
          <w:rFonts w:hint="eastAsia"/>
          <w:sz w:val="18"/>
          <w:szCs w:val="18"/>
        </w:rPr>
        <w:t>、原材料价格波动风险：棉花成本占总成本</w:t>
      </w:r>
      <w:r>
        <w:rPr>
          <w:rFonts w:ascii="Times New Roman" w:hAnsi="Times New Roman" w:cs="Times New Roman"/>
          <w:sz w:val="18"/>
          <w:szCs w:val="18"/>
        </w:rPr>
        <w:t>60%</w:t>
      </w:r>
      <w:r>
        <w:rPr>
          <w:rFonts w:hint="eastAsia"/>
          <w:sz w:val="18"/>
          <w:szCs w:val="18"/>
        </w:rPr>
        <w:t>以上，棉花等原料的金融属性加强，价格波动幅度增大。</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2</w:t>
      </w:r>
      <w:r>
        <w:rPr>
          <w:rFonts w:hint="eastAsia"/>
          <w:sz w:val="18"/>
          <w:szCs w:val="18"/>
        </w:rPr>
        <w:t>、人民币汇率风险：本公司棉花部分为从国际市场采购、纺织产品部分以直接或间接方式出口海外，利用境外融资平台配置有美元外债，公司也有境外项目投资，人民币汇率的波动将对公司生产成本、营业收入以及汇兑损益产生一定影响。</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3</w:t>
      </w:r>
      <w:r>
        <w:rPr>
          <w:rFonts w:hint="eastAsia"/>
          <w:sz w:val="18"/>
          <w:szCs w:val="18"/>
        </w:rPr>
        <w:t>、政治博弈带来订单波动的风险：继</w:t>
      </w:r>
      <w:r>
        <w:rPr>
          <w:rFonts w:ascii="Times New Roman" w:hAnsi="Times New Roman" w:cs="Times New Roman"/>
          <w:sz w:val="18"/>
          <w:szCs w:val="18"/>
        </w:rPr>
        <w:t>2020</w:t>
      </w:r>
      <w:r>
        <w:rPr>
          <w:rFonts w:hint="eastAsia"/>
          <w:sz w:val="18"/>
          <w:szCs w:val="18"/>
        </w:rPr>
        <w:t>年公司子公司阿克苏华孚被美国商务部纳入实体清单、</w:t>
      </w:r>
      <w:r>
        <w:rPr>
          <w:rFonts w:ascii="Times New Roman" w:hAnsi="Times New Roman" w:cs="Times New Roman"/>
          <w:sz w:val="18"/>
          <w:szCs w:val="18"/>
        </w:rPr>
        <w:t>2022</w:t>
      </w:r>
      <w:r>
        <w:rPr>
          <w:rFonts w:hint="eastAsia"/>
          <w:sz w:val="18"/>
          <w:szCs w:val="18"/>
        </w:rPr>
        <w:t>年被列入</w:t>
      </w:r>
      <w:r>
        <w:rPr>
          <w:rFonts w:ascii="Times New Roman" w:hAnsi="Times New Roman" w:cs="Times New Roman"/>
          <w:sz w:val="18"/>
          <w:szCs w:val="18"/>
        </w:rPr>
        <w:t>“</w:t>
      </w:r>
      <w:r>
        <w:rPr>
          <w:rFonts w:hint="eastAsia"/>
          <w:sz w:val="18"/>
          <w:szCs w:val="18"/>
        </w:rPr>
        <w:t>维吾尔强迫劳动预防法实体清单</w:t>
      </w:r>
      <w:r>
        <w:rPr>
          <w:rFonts w:ascii="Times New Roman" w:hAnsi="Times New Roman" w:cs="Times New Roman"/>
          <w:sz w:val="18"/>
          <w:szCs w:val="18"/>
        </w:rPr>
        <w:t>”</w:t>
      </w:r>
      <w:r>
        <w:rPr>
          <w:rFonts w:hint="eastAsia"/>
          <w:sz w:val="18"/>
          <w:szCs w:val="18"/>
        </w:rPr>
        <w:t>后，</w:t>
      </w:r>
      <w:r>
        <w:rPr>
          <w:rFonts w:ascii="Times New Roman" w:hAnsi="Times New Roman" w:cs="Times New Roman"/>
          <w:sz w:val="18"/>
          <w:szCs w:val="18"/>
        </w:rPr>
        <w:t>2025</w:t>
      </w:r>
      <w:r>
        <w:rPr>
          <w:rFonts w:hint="eastAsia"/>
          <w:sz w:val="18"/>
          <w:szCs w:val="18"/>
        </w:rPr>
        <w:t>年</w:t>
      </w:r>
      <w:r>
        <w:rPr>
          <w:rFonts w:ascii="Times New Roman" w:hAnsi="Times New Roman" w:cs="Times New Roman"/>
          <w:sz w:val="18"/>
          <w:szCs w:val="18"/>
        </w:rPr>
        <w:t>1</w:t>
      </w:r>
      <w:r>
        <w:rPr>
          <w:rFonts w:hint="eastAsia"/>
          <w:sz w:val="18"/>
          <w:szCs w:val="18"/>
        </w:rPr>
        <w:t>月华</w:t>
      </w:r>
      <w:proofErr w:type="gramStart"/>
      <w:r>
        <w:rPr>
          <w:rFonts w:hint="eastAsia"/>
          <w:sz w:val="18"/>
          <w:szCs w:val="18"/>
        </w:rPr>
        <w:t>孚</w:t>
      </w:r>
      <w:proofErr w:type="gramEnd"/>
      <w:r>
        <w:rPr>
          <w:rFonts w:hint="eastAsia"/>
          <w:sz w:val="18"/>
          <w:szCs w:val="18"/>
        </w:rPr>
        <w:t>时尚及</w:t>
      </w:r>
      <w:r>
        <w:rPr>
          <w:rFonts w:ascii="Times New Roman" w:hAnsi="Times New Roman" w:cs="Times New Roman"/>
          <w:sz w:val="18"/>
          <w:szCs w:val="18"/>
        </w:rPr>
        <w:t>25</w:t>
      </w:r>
      <w:r>
        <w:rPr>
          <w:rFonts w:hint="eastAsia"/>
          <w:sz w:val="18"/>
          <w:szCs w:val="18"/>
        </w:rPr>
        <w:t>家子公司被美国国土安全部列入实体清单事件将导致外部经营环境不确定性增加，带来订单波动加大的风险。公司通过积极开发国内及非美市场，以规避订单波动带来的风险。</w:t>
      </w:r>
    </w:p>
    <w:p w:rsidR="005C49A8" w:rsidRDefault="005C49A8">
      <w:pPr>
        <w:pStyle w:val="a3"/>
        <w:spacing w:before="0" w:beforeAutospacing="0" w:after="0" w:afterAutospacing="0"/>
        <w:ind w:firstLine="357"/>
        <w:divId w:val="1773671214"/>
      </w:pPr>
      <w:r>
        <w:rPr>
          <w:rFonts w:hint="eastAsia"/>
          <w:sz w:val="18"/>
          <w:szCs w:val="18"/>
        </w:rPr>
        <w:t>（2）公司的应对措施</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1</w:t>
      </w:r>
      <w:r>
        <w:rPr>
          <w:rFonts w:hint="eastAsia"/>
          <w:sz w:val="18"/>
          <w:szCs w:val="18"/>
        </w:rPr>
        <w:t>、保持战略定力。继续实行“坚持主业，共享产业，发展新业”的战略，以纱线贯穿纺织服装产业，以产业互联网与柔性供应</w:t>
      </w:r>
      <w:proofErr w:type="gramStart"/>
      <w:r>
        <w:rPr>
          <w:rFonts w:hint="eastAsia"/>
          <w:sz w:val="18"/>
          <w:szCs w:val="18"/>
        </w:rPr>
        <w:t>链实现</w:t>
      </w:r>
      <w:proofErr w:type="gramEnd"/>
      <w:r>
        <w:rPr>
          <w:rFonts w:hint="eastAsia"/>
          <w:sz w:val="18"/>
          <w:szCs w:val="18"/>
        </w:rPr>
        <w:t>产业转型，实现“原材料</w:t>
      </w:r>
      <w:r>
        <w:rPr>
          <w:rFonts w:ascii="Times New Roman" w:hAnsi="Times New Roman" w:cs="Times New Roman"/>
          <w:sz w:val="18"/>
          <w:szCs w:val="18"/>
        </w:rPr>
        <w:t>-</w:t>
      </w:r>
      <w:r>
        <w:rPr>
          <w:rFonts w:hint="eastAsia"/>
          <w:sz w:val="18"/>
          <w:szCs w:val="18"/>
        </w:rPr>
        <w:t>纺纱</w:t>
      </w:r>
      <w:r>
        <w:rPr>
          <w:rFonts w:ascii="Times New Roman" w:hAnsi="Times New Roman" w:cs="Times New Roman"/>
          <w:sz w:val="18"/>
          <w:szCs w:val="18"/>
        </w:rPr>
        <w:t>-</w:t>
      </w:r>
      <w:r>
        <w:rPr>
          <w:rFonts w:hint="eastAsia"/>
          <w:sz w:val="18"/>
          <w:szCs w:val="18"/>
        </w:rPr>
        <w:t>面料</w:t>
      </w:r>
      <w:r>
        <w:rPr>
          <w:rFonts w:ascii="Times New Roman" w:hAnsi="Times New Roman" w:cs="Times New Roman"/>
          <w:sz w:val="18"/>
          <w:szCs w:val="18"/>
        </w:rPr>
        <w:t>-</w:t>
      </w:r>
      <w:r>
        <w:rPr>
          <w:rFonts w:hint="eastAsia"/>
          <w:sz w:val="18"/>
          <w:szCs w:val="18"/>
        </w:rPr>
        <w:t>成衣”全产业链覆盖，实现从时尚制造商向时尚运营商的转型。</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2</w:t>
      </w:r>
      <w:r>
        <w:rPr>
          <w:rFonts w:hint="eastAsia"/>
          <w:sz w:val="18"/>
          <w:szCs w:val="18"/>
        </w:rPr>
        <w:t>、实施双循环战略，实现海外、国内市场均衡发展。抓住中国市场规模大、消费升级的历史机遇，发挥公司创新快反、优良服务、资源整合的优势，系统对</w:t>
      </w:r>
      <w:proofErr w:type="gramStart"/>
      <w:r>
        <w:rPr>
          <w:rFonts w:hint="eastAsia"/>
          <w:sz w:val="18"/>
          <w:szCs w:val="18"/>
        </w:rPr>
        <w:t>接头部国潮</w:t>
      </w:r>
      <w:proofErr w:type="gramEnd"/>
      <w:r>
        <w:rPr>
          <w:rFonts w:hint="eastAsia"/>
          <w:sz w:val="18"/>
          <w:szCs w:val="18"/>
        </w:rPr>
        <w:t>品牌、电商新锐品牌、专项市场供应链，深化区域市场开发、深耕细分市场，挖掘价值客户，持续巩固和扩大国内市场占有率。</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3</w:t>
      </w:r>
      <w:r>
        <w:rPr>
          <w:rFonts w:hint="eastAsia"/>
          <w:sz w:val="18"/>
          <w:szCs w:val="18"/>
        </w:rPr>
        <w:t>、</w:t>
      </w:r>
      <w:proofErr w:type="gramStart"/>
      <w:r>
        <w:rPr>
          <w:rFonts w:hint="eastAsia"/>
          <w:sz w:val="18"/>
          <w:szCs w:val="18"/>
        </w:rPr>
        <w:t>数智化</w:t>
      </w:r>
      <w:proofErr w:type="gramEnd"/>
      <w:r>
        <w:rPr>
          <w:rFonts w:hint="eastAsia"/>
          <w:sz w:val="18"/>
          <w:szCs w:val="18"/>
        </w:rPr>
        <w:t>升级。积极推行生产数据化管理，充分挖掘数据价值，扩大应用广度深度，通过流程再造、组织变革、标准改进、操作优化，提质、提效、降耗。同时，积极推进贯通产业的</w:t>
      </w:r>
      <w:proofErr w:type="gramStart"/>
      <w:r>
        <w:rPr>
          <w:rFonts w:hint="eastAsia"/>
          <w:sz w:val="18"/>
          <w:szCs w:val="18"/>
        </w:rPr>
        <w:t>网链业务数智</w:t>
      </w:r>
      <w:proofErr w:type="gramEnd"/>
      <w:r>
        <w:rPr>
          <w:rFonts w:hint="eastAsia"/>
          <w:sz w:val="18"/>
          <w:szCs w:val="18"/>
        </w:rPr>
        <w:t>化平台建设，为共享产业打下基础。</w:t>
      </w:r>
    </w:p>
    <w:p w:rsidR="005C49A8" w:rsidRDefault="005C49A8">
      <w:pPr>
        <w:pStyle w:val="a3"/>
        <w:spacing w:before="0" w:beforeAutospacing="0" w:after="0" w:afterAutospacing="0"/>
        <w:ind w:firstLine="357"/>
        <w:divId w:val="1773671214"/>
      </w:pPr>
      <w:r>
        <w:rPr>
          <w:rFonts w:ascii="Times New Roman" w:hAnsi="Times New Roman" w:cs="Times New Roman"/>
          <w:sz w:val="18"/>
          <w:szCs w:val="18"/>
        </w:rPr>
        <w:t>4</w:t>
      </w:r>
      <w:r>
        <w:rPr>
          <w:rFonts w:hint="eastAsia"/>
          <w:sz w:val="18"/>
          <w:szCs w:val="18"/>
        </w:rPr>
        <w:t>、实施绿色低碳战略。从原料替代、产品开发、循环利用、能效提升等维</w:t>
      </w:r>
      <w:proofErr w:type="gramStart"/>
      <w:r>
        <w:rPr>
          <w:rFonts w:hint="eastAsia"/>
          <w:sz w:val="18"/>
          <w:szCs w:val="18"/>
        </w:rPr>
        <w:t>度全面</w:t>
      </w:r>
      <w:proofErr w:type="gramEnd"/>
      <w:r>
        <w:rPr>
          <w:rFonts w:hint="eastAsia"/>
          <w:sz w:val="18"/>
          <w:szCs w:val="18"/>
        </w:rPr>
        <w:t>推进绿色低碳战略实施，按既定计划推进清洁用能。</w:t>
      </w:r>
    </w:p>
    <w:p w:rsidR="005C49A8" w:rsidRDefault="005C49A8">
      <w:pPr>
        <w:pStyle w:val="a3"/>
        <w:spacing w:before="0" w:beforeAutospacing="0" w:after="0" w:afterAutospacing="0"/>
        <w:ind w:firstLine="360"/>
        <w:divId w:val="1773671214"/>
        <w:rPr>
          <w:rFonts w:ascii="Calibri" w:hAnsi="Calibri" w:cs="Calibri"/>
          <w:sz w:val="21"/>
          <w:szCs w:val="21"/>
        </w:rPr>
      </w:pPr>
      <w:r>
        <w:rPr>
          <w:rFonts w:ascii="Times New Roman" w:hAnsi="Times New Roman" w:cs="Times New Roman"/>
          <w:sz w:val="18"/>
          <w:szCs w:val="18"/>
        </w:rPr>
        <w:t>5</w:t>
      </w:r>
      <w:r>
        <w:rPr>
          <w:rFonts w:cs="Calibri" w:hint="eastAsia"/>
          <w:sz w:val="18"/>
          <w:szCs w:val="18"/>
        </w:rPr>
        <w:t>、布局人工智能新赛道。投资建设上虞</w:t>
      </w:r>
      <w:r>
        <w:rPr>
          <w:rFonts w:ascii="Times New Roman" w:hAnsi="Times New Roman" w:cs="Times New Roman"/>
          <w:sz w:val="18"/>
          <w:szCs w:val="18"/>
        </w:rPr>
        <w:t>AIGC</w:t>
      </w:r>
      <w:proofErr w:type="gramStart"/>
      <w:r>
        <w:rPr>
          <w:rFonts w:cs="Calibri" w:hint="eastAsia"/>
          <w:sz w:val="18"/>
          <w:szCs w:val="18"/>
        </w:rPr>
        <w:t>智算中心</w:t>
      </w:r>
      <w:proofErr w:type="gramEnd"/>
      <w:r>
        <w:rPr>
          <w:rFonts w:cs="Calibri" w:hint="eastAsia"/>
          <w:sz w:val="18"/>
          <w:szCs w:val="18"/>
        </w:rPr>
        <w:t>项目及新疆阿克苏城市</w:t>
      </w:r>
      <w:proofErr w:type="gramStart"/>
      <w:r>
        <w:rPr>
          <w:rFonts w:cs="Calibri" w:hint="eastAsia"/>
          <w:sz w:val="18"/>
          <w:szCs w:val="18"/>
        </w:rPr>
        <w:t>公共算力平台</w:t>
      </w:r>
      <w:proofErr w:type="gramEnd"/>
      <w:r>
        <w:rPr>
          <w:rFonts w:cs="Calibri" w:hint="eastAsia"/>
          <w:sz w:val="18"/>
          <w:szCs w:val="18"/>
        </w:rPr>
        <w:t>项目，建成后将通过加强与高校、科研院所、行业各领域优势企业合作，</w:t>
      </w:r>
      <w:proofErr w:type="gramStart"/>
      <w:r>
        <w:rPr>
          <w:rFonts w:cs="Calibri" w:hint="eastAsia"/>
          <w:sz w:val="18"/>
          <w:szCs w:val="18"/>
        </w:rPr>
        <w:t>提供算力租赁</w:t>
      </w:r>
      <w:proofErr w:type="gramEnd"/>
      <w:r>
        <w:rPr>
          <w:rFonts w:cs="Calibri" w:hint="eastAsia"/>
          <w:sz w:val="18"/>
          <w:szCs w:val="18"/>
        </w:rPr>
        <w:t>服务；同时，公司将吸纳培育数据处理、数据分析、运营服务等领域的人才，将数字化和虚拟化技术应用于纺织服装设计和生产领域。</w:t>
      </w:r>
    </w:p>
    <w:p w:rsidR="008820E4" w:rsidRDefault="005C49A8">
      <w:pPr>
        <w:pStyle w:val="2"/>
        <w:spacing w:before="300" w:after="300" w:line="320" w:lineRule="exact"/>
        <w:rPr>
          <w:rFonts w:ascii="宋体" w:eastAsia="宋体" w:hAnsi="宋体" w:cs="宋体"/>
          <w:b/>
          <w:bCs/>
          <w:sz w:val="24"/>
          <w:szCs w:val="24"/>
        </w:rPr>
      </w:pPr>
      <w:bookmarkStart w:id="52" w:name="_Toc988941"/>
      <w:r>
        <w:rPr>
          <w:rFonts w:ascii="宋体" w:eastAsia="宋体" w:hAnsi="宋体" w:cs="宋体"/>
          <w:b/>
          <w:bCs/>
          <w:sz w:val="24"/>
          <w:szCs w:val="24"/>
        </w:rPr>
        <w:t>十二、市值管理制度和估值提升计划的制定落实情况</w:t>
      </w:r>
      <w:bookmarkEnd w:id="5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公司是否制定了市值管理制度。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公司是否披露了估值提升计划。</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5C49A8" w:rsidRDefault="005C49A8">
      <w:pPr>
        <w:pStyle w:val="a3"/>
        <w:divId w:val="1223633881"/>
        <w:rPr>
          <w:sz w:val="18"/>
          <w:szCs w:val="18"/>
        </w:rPr>
      </w:pPr>
      <w:r>
        <w:rPr>
          <w:rFonts w:hint="eastAsia"/>
          <w:sz w:val="18"/>
          <w:szCs w:val="18"/>
        </w:rPr>
        <w:t>公司于2025年7月23日召开第九届董事会2025年第二次临时会议，</w:t>
      </w:r>
      <w:proofErr w:type="gramStart"/>
      <w:r>
        <w:rPr>
          <w:rFonts w:hint="eastAsia"/>
          <w:sz w:val="18"/>
          <w:szCs w:val="18"/>
        </w:rPr>
        <w:t>逐项审议</w:t>
      </w:r>
      <w:proofErr w:type="gramEnd"/>
      <w:r>
        <w:rPr>
          <w:rFonts w:hint="eastAsia"/>
          <w:sz w:val="18"/>
          <w:szCs w:val="18"/>
        </w:rPr>
        <w:t>通过了《关于修订和制订公司部分治理制度的议案》，详见公司于2025年7月24日于巨潮资讯网披露的《市值管理制度》。</w:t>
      </w:r>
    </w:p>
    <w:p w:rsidR="008820E4" w:rsidRDefault="005C49A8">
      <w:pPr>
        <w:pStyle w:val="2"/>
        <w:spacing w:before="300" w:after="300" w:line="320" w:lineRule="exact"/>
        <w:rPr>
          <w:rFonts w:ascii="宋体" w:eastAsia="宋体" w:hAnsi="宋体" w:cs="宋体"/>
          <w:b/>
          <w:bCs/>
          <w:sz w:val="24"/>
          <w:szCs w:val="24"/>
        </w:rPr>
      </w:pPr>
      <w:bookmarkStart w:id="53" w:name="_Toc988942"/>
      <w:r>
        <w:rPr>
          <w:rFonts w:ascii="宋体" w:eastAsia="宋体" w:hAnsi="宋体" w:cs="宋体"/>
          <w:b/>
          <w:bCs/>
          <w:sz w:val="24"/>
          <w:szCs w:val="24"/>
        </w:rPr>
        <w:t>十三、“质量回报双提升”行动方案贯彻落实情况</w:t>
      </w:r>
      <w:bookmarkEnd w:id="5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公司是否披露了“质量回报双提升”行动方案公告。</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headingh1"/>
        <w:spacing w:before="340" w:after="330" w:line="773" w:lineRule="exact"/>
        <w:jc w:val="center"/>
        <w:rPr>
          <w:rFonts w:ascii="宋体" w:eastAsia="宋体" w:hAnsi="宋体" w:cs="宋体"/>
          <w:b/>
          <w:bCs/>
          <w:sz w:val="32"/>
          <w:szCs w:val="32"/>
        </w:rPr>
      </w:pPr>
      <w:bookmarkStart w:id="54" w:name="_Toc988943"/>
      <w:r>
        <w:rPr>
          <w:rFonts w:ascii="宋体" w:eastAsia="宋体" w:hAnsi="宋体" w:cs="宋体"/>
          <w:b/>
          <w:bCs/>
          <w:sz w:val="32"/>
          <w:szCs w:val="32"/>
        </w:rPr>
        <w:lastRenderedPageBreak/>
        <w:t>第四节 公司治理、环境和社会</w:t>
      </w:r>
      <w:bookmarkEnd w:id="54"/>
    </w:p>
    <w:p w:rsidR="008820E4" w:rsidRDefault="005C49A8">
      <w:pPr>
        <w:pStyle w:val="2"/>
        <w:spacing w:before="300" w:after="300" w:line="320" w:lineRule="exact"/>
        <w:rPr>
          <w:rFonts w:ascii="宋体" w:eastAsia="宋体" w:hAnsi="宋体" w:cs="宋体"/>
          <w:b/>
          <w:bCs/>
          <w:sz w:val="24"/>
          <w:szCs w:val="24"/>
        </w:rPr>
      </w:pPr>
      <w:bookmarkStart w:id="55" w:name="_Toc988944"/>
      <w:r>
        <w:rPr>
          <w:rFonts w:ascii="宋体" w:eastAsia="宋体" w:hAnsi="宋体" w:cs="宋体"/>
          <w:b/>
          <w:bCs/>
          <w:sz w:val="24"/>
          <w:szCs w:val="24"/>
        </w:rPr>
        <w:t>一、公司董事、监事、高级管理人员变动情况</w:t>
      </w:r>
      <w:bookmarkEnd w:id="5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姓名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担任的职务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日期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原因</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陈存福</w:t>
            </w:r>
            <w:proofErr w:type="gramEnd"/>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离任</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个人原因</w:t>
            </w:r>
          </w:p>
        </w:tc>
      </w:tr>
    </w:tbl>
    <w:p w:rsidR="008820E4" w:rsidRDefault="005C49A8">
      <w:pPr>
        <w:pStyle w:val="2"/>
        <w:spacing w:before="300" w:after="300" w:line="320" w:lineRule="exact"/>
        <w:rPr>
          <w:rFonts w:ascii="宋体" w:eastAsia="宋体" w:hAnsi="宋体" w:cs="宋体"/>
          <w:b/>
          <w:bCs/>
          <w:sz w:val="24"/>
          <w:szCs w:val="24"/>
        </w:rPr>
      </w:pPr>
      <w:bookmarkStart w:id="56" w:name="_Toc988945"/>
      <w:r>
        <w:rPr>
          <w:rFonts w:ascii="宋体" w:eastAsia="宋体" w:hAnsi="宋体" w:cs="宋体"/>
          <w:b/>
          <w:bCs/>
          <w:sz w:val="24"/>
          <w:szCs w:val="24"/>
        </w:rPr>
        <w:t>二、本报告期利润分配及资本公积金转增股本情况</w:t>
      </w:r>
      <w:bookmarkEnd w:id="56"/>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公司计划半年度</w:t>
      </w:r>
      <w:proofErr w:type="gramStart"/>
      <w:r>
        <w:rPr>
          <w:rFonts w:ascii="宋体" w:eastAsia="宋体" w:hAnsi="宋体" w:cs="宋体"/>
          <w:sz w:val="18"/>
          <w:szCs w:val="18"/>
        </w:rPr>
        <w:t>不</w:t>
      </w:r>
      <w:proofErr w:type="gramEnd"/>
      <w:r>
        <w:rPr>
          <w:rFonts w:ascii="宋体" w:eastAsia="宋体" w:hAnsi="宋体" w:cs="宋体"/>
          <w:sz w:val="18"/>
          <w:szCs w:val="18"/>
        </w:rPr>
        <w:t>派发现金红利，不送红股，不以公积金转增股本。</w:t>
      </w:r>
    </w:p>
    <w:p w:rsidR="008820E4" w:rsidRDefault="005C49A8">
      <w:pPr>
        <w:pStyle w:val="2"/>
        <w:spacing w:before="300" w:after="300" w:line="320" w:lineRule="exact"/>
        <w:rPr>
          <w:rFonts w:ascii="宋体" w:eastAsia="宋体" w:hAnsi="宋体" w:cs="宋体"/>
          <w:b/>
          <w:bCs/>
          <w:sz w:val="24"/>
          <w:szCs w:val="24"/>
        </w:rPr>
      </w:pPr>
      <w:bookmarkStart w:id="57" w:name="_Toc988946"/>
      <w:r>
        <w:rPr>
          <w:rFonts w:ascii="宋体" w:eastAsia="宋体" w:hAnsi="宋体" w:cs="宋体"/>
          <w:b/>
          <w:bCs/>
          <w:sz w:val="24"/>
          <w:szCs w:val="24"/>
        </w:rPr>
        <w:t>三、公司股权激励计划、员工持股计划或其他员工激励措施的实施情况</w:t>
      </w:r>
      <w:bookmarkEnd w:id="5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pStyle w:val="3"/>
        <w:spacing w:line="280" w:lineRule="exact"/>
        <w:jc w:val="left"/>
        <w:rPr>
          <w:rFonts w:ascii="宋体" w:hAnsi="宋体" w:cs="宋体"/>
          <w:b/>
          <w:bCs/>
        </w:rPr>
      </w:pPr>
      <w:bookmarkStart w:id="58" w:name="_Toc988947"/>
      <w:r>
        <w:rPr>
          <w:rFonts w:ascii="宋体" w:hAnsi="宋体" w:cs="宋体"/>
          <w:b/>
          <w:bCs/>
        </w:rPr>
        <w:t>1、股权激励</w:t>
      </w:r>
      <w:bookmarkEnd w:id="58"/>
    </w:p>
    <w:p w:rsidR="005C49A8" w:rsidRDefault="005C49A8">
      <w:pPr>
        <w:pStyle w:val="a3"/>
        <w:divId w:val="88417467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59" w:name="_Toc988948"/>
      <w:r>
        <w:rPr>
          <w:rFonts w:ascii="宋体" w:hAnsi="宋体" w:cs="宋体"/>
          <w:b/>
          <w:bCs/>
        </w:rPr>
        <w:t>2、员工持股计划的实施情况</w:t>
      </w:r>
      <w:bookmarkEnd w:id="59"/>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报告期内全部有效的员工持股计划情况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085"/>
        <w:gridCol w:w="1134"/>
        <w:gridCol w:w="1559"/>
        <w:gridCol w:w="851"/>
        <w:gridCol w:w="1403"/>
        <w:gridCol w:w="1607"/>
      </w:tblGrid>
      <w:tr w:rsidR="008820E4" w:rsidTr="008447BC">
        <w:trPr>
          <w:trHeight w:val="240"/>
        </w:trPr>
        <w:tc>
          <w:tcPr>
            <w:tcW w:w="308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员工的范围</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员工人数</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持有的股票总数（股）</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变更情况</w:t>
            </w:r>
          </w:p>
        </w:tc>
        <w:tc>
          <w:tcPr>
            <w:tcW w:w="14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占上市公司股本总额的比例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实施计划的资金来源</w:t>
            </w:r>
          </w:p>
        </w:tc>
      </w:tr>
      <w:tr w:rsidR="008820E4" w:rsidTr="008447BC">
        <w:trPr>
          <w:trHeight w:val="240"/>
        </w:trPr>
        <w:tc>
          <w:tcPr>
            <w:tcW w:w="30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1、公司的董事（不含独立董事）、监事、高级管理人员；2、公司及公司的全资或控股子公司的中高层管理人员；3、公司及公司全资或控股子公司的核心业务技术骨干。</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29,800,000</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w:t>
            </w:r>
          </w:p>
        </w:tc>
        <w:tc>
          <w:tcPr>
            <w:tcW w:w="14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员工合法薪酬及通过法律、行政法规允许的其他方式获得的自筹资金。</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报告期内董事、监事、高级管理人员在员工持股计划中的持股情况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姓名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职务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报告期初持股数（股）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报告期末持股数（股）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占上市公司股本总额的比例</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程桂松</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董事、副总裁</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王国友</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董事、财务总监</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张正</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董事、董事会秘书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张宝春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熊旭锋</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职工代表监事</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宣刚江</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监事</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报告期内资产管理机构的变更情况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报告期内因持有人处置份额等引起的权益变动情况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8447BC" w:rsidRDefault="005C49A8" w:rsidP="008447BC">
      <w:pPr>
        <w:spacing w:before="100" w:after="100" w:line="240" w:lineRule="exact"/>
        <w:rPr>
          <w:rFonts w:ascii="宋体" w:eastAsia="宋体" w:hAnsi="宋体" w:cs="宋体"/>
          <w:sz w:val="18"/>
          <w:szCs w:val="18"/>
        </w:rPr>
      </w:pPr>
      <w:r>
        <w:rPr>
          <w:rFonts w:ascii="宋体" w:eastAsia="宋体" w:hAnsi="宋体" w:cs="宋体"/>
          <w:sz w:val="18"/>
          <w:szCs w:val="18"/>
        </w:rPr>
        <w:t>报告期</w:t>
      </w:r>
      <w:proofErr w:type="gramStart"/>
      <w:r>
        <w:rPr>
          <w:rFonts w:ascii="宋体" w:eastAsia="宋体" w:hAnsi="宋体" w:cs="宋体"/>
          <w:sz w:val="18"/>
          <w:szCs w:val="18"/>
        </w:rPr>
        <w:t>内股东</w:t>
      </w:r>
      <w:proofErr w:type="gramEnd"/>
      <w:r>
        <w:rPr>
          <w:rFonts w:ascii="宋体" w:eastAsia="宋体" w:hAnsi="宋体" w:cs="宋体"/>
          <w:sz w:val="18"/>
          <w:szCs w:val="18"/>
        </w:rPr>
        <w:t>权利行使的情况</w:t>
      </w:r>
      <w:r w:rsidR="008447BC">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报告期内员工持股计划的其他相关情形及说明</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5C49A8" w:rsidRDefault="005C49A8">
      <w:pPr>
        <w:pStyle w:val="a3"/>
        <w:divId w:val="179051346"/>
        <w:rPr>
          <w:sz w:val="18"/>
          <w:szCs w:val="18"/>
        </w:rPr>
      </w:pPr>
      <w:r>
        <w:rPr>
          <w:rFonts w:hint="eastAsia"/>
          <w:sz w:val="18"/>
          <w:szCs w:val="18"/>
        </w:rPr>
        <w:t>华孚时尚股份有限公司于2025年6月20日召开第九届董事会2025年第一次临时会议，审议通过了《关于调整第四期员工持股计划相关事项的议案》，对第四期员工持股计划存续期、锁定期、解锁时间及业绩考核进行调整。详见公司于2025年6月21日于《中国证券报》、《证券时报》及巨潮资讯网上的《关于调整第四期员工持股计划相关事项的公告》（2025-30）、《华孚时尚股份有限公司第四期员工持股计划摘要（修订版）》（2025-31）及《华孚时尚股份有限公司第四期员工持股计划（修订版）》。目前第四期员工持股计划尚未完成过户，公司会根据后续进展情况及时履行信息披露义务。</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员工持股计划管理委员会成员发生变化</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员工持股计划对报告</w:t>
      </w:r>
      <w:proofErr w:type="gramStart"/>
      <w:r>
        <w:rPr>
          <w:rFonts w:ascii="宋体" w:eastAsia="宋体" w:hAnsi="宋体" w:cs="宋体"/>
          <w:sz w:val="18"/>
          <w:szCs w:val="18"/>
        </w:rPr>
        <w:t>期上市</w:t>
      </w:r>
      <w:proofErr w:type="gramEnd"/>
      <w:r>
        <w:rPr>
          <w:rFonts w:ascii="宋体" w:eastAsia="宋体" w:hAnsi="宋体" w:cs="宋体"/>
          <w:sz w:val="18"/>
          <w:szCs w:val="18"/>
        </w:rPr>
        <w:t>公司的财务影响及相关会计处理</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报告期内员工持股计划终止的情况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60" w:name="_Toc988949"/>
      <w:r>
        <w:rPr>
          <w:rFonts w:ascii="宋体" w:hAnsi="宋体" w:cs="宋体"/>
          <w:b/>
          <w:bCs/>
        </w:rPr>
        <w:t>3、其他员工激励措施</w:t>
      </w:r>
      <w:bookmarkEnd w:id="6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61" w:name="_Toc988950"/>
      <w:r>
        <w:rPr>
          <w:rFonts w:ascii="宋体" w:eastAsia="宋体" w:hAnsi="宋体" w:cs="宋体"/>
          <w:b/>
          <w:bCs/>
          <w:sz w:val="24"/>
          <w:szCs w:val="24"/>
        </w:rPr>
        <w:t>四、环境信息披露情况</w:t>
      </w:r>
      <w:bookmarkEnd w:id="6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上市公司及其主要子公司是否纳入环境信息依法披露企业名单</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235"/>
        <w:gridCol w:w="2126"/>
        <w:gridCol w:w="5278"/>
      </w:tblGrid>
      <w:tr w:rsidR="008820E4" w:rsidTr="008447BC">
        <w:trPr>
          <w:trHeight w:val="240"/>
        </w:trPr>
        <w:tc>
          <w:tcPr>
            <w:tcW w:w="4361"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纳入环境信息依法披露企业名单中的企业数量（家）</w:t>
            </w:r>
          </w:p>
        </w:tc>
        <w:tc>
          <w:tcPr>
            <w:tcW w:w="527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w:t>
            </w:r>
          </w:p>
        </w:tc>
      </w:tr>
      <w:tr w:rsidR="008820E4" w:rsidTr="008447BC">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序号</w:t>
            </w:r>
          </w:p>
        </w:tc>
        <w:tc>
          <w:tcPr>
            <w:tcW w:w="212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企业名称</w:t>
            </w:r>
          </w:p>
        </w:tc>
        <w:tc>
          <w:tcPr>
            <w:tcW w:w="527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环境信息依法披露报告的查询索引</w:t>
            </w:r>
          </w:p>
        </w:tc>
      </w:tr>
      <w:tr w:rsidR="008820E4" w:rsidTr="008447BC">
        <w:trPr>
          <w:trHeight w:val="593"/>
        </w:trPr>
        <w:tc>
          <w:tcPr>
            <w:tcW w:w="2235" w:type="dxa"/>
            <w:tcBorders>
              <w:top w:val="single" w:sz="2" w:space="0" w:color="auto"/>
              <w:left w:val="single" w:sz="2" w:space="0" w:color="auto"/>
              <w:bottom w:val="single" w:sz="2" w:space="0" w:color="auto"/>
              <w:right w:val="single" w:sz="2" w:space="0" w:color="auto"/>
            </w:tcBorders>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1</w:t>
            </w:r>
          </w:p>
        </w:tc>
        <w:tc>
          <w:tcPr>
            <w:tcW w:w="21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浙江社标纤维有限公司</w:t>
            </w:r>
          </w:p>
        </w:tc>
        <w:tc>
          <w:tcPr>
            <w:tcW w:w="527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https://mlzj.sthjt.zj.gov.cn/eps/index/enterprise-more?code=91330604MA288B2M4U&amp;uniqueCode=31c0bb63813817bb&amp;date=2024&amp;type=true&amp;isSearch=true</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公司需遵守《深圳证券交易所上市公司自律监管指引第3号——行业信息披露》中的“纺织服装相关业务”的披露要求</w:t>
      </w:r>
    </w:p>
    <w:p w:rsidR="005C49A8" w:rsidRPr="008447BC" w:rsidRDefault="005C49A8" w:rsidP="008447BC">
      <w:pPr>
        <w:spacing w:before="100" w:after="100" w:line="240" w:lineRule="exact"/>
        <w:rPr>
          <w:rFonts w:ascii="宋体" w:eastAsia="宋体" w:hAnsi="宋体" w:cs="宋体"/>
          <w:sz w:val="18"/>
          <w:szCs w:val="18"/>
        </w:rPr>
      </w:pPr>
      <w:r>
        <w:rPr>
          <w:rFonts w:ascii="宋体" w:eastAsia="宋体" w:hAnsi="宋体" w:cs="宋体"/>
          <w:sz w:val="18"/>
          <w:szCs w:val="18"/>
        </w:rPr>
        <w:t>上市公司发生环境事故的相关情况</w:t>
      </w:r>
      <w:r w:rsidR="008447BC">
        <w:rPr>
          <w:rFonts w:ascii="宋体" w:eastAsia="宋体" w:hAnsi="宋体" w:cs="宋体" w:hint="eastAsia"/>
          <w:sz w:val="18"/>
          <w:szCs w:val="18"/>
        </w:rPr>
        <w:t>：</w:t>
      </w: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62" w:name="_Toc988951"/>
      <w:r>
        <w:rPr>
          <w:rFonts w:ascii="宋体" w:eastAsia="宋体" w:hAnsi="宋体" w:cs="宋体"/>
          <w:b/>
          <w:bCs/>
          <w:sz w:val="24"/>
          <w:szCs w:val="24"/>
        </w:rPr>
        <w:t>五、社会责任情况</w:t>
      </w:r>
      <w:bookmarkEnd w:id="62"/>
    </w:p>
    <w:p w:rsidR="005C49A8" w:rsidRDefault="005C49A8" w:rsidP="008447BC">
      <w:pPr>
        <w:pStyle w:val="a3"/>
        <w:spacing w:before="0" w:beforeAutospacing="0" w:after="0" w:afterAutospacing="0"/>
        <w:ind w:firstLine="357"/>
        <w:divId w:val="501358271"/>
        <w:rPr>
          <w:rFonts w:ascii="Times New Roman" w:hAnsi="Times New Roman" w:cs="Times New Roman"/>
        </w:rPr>
      </w:pPr>
      <w:r>
        <w:rPr>
          <w:rFonts w:cs="Times New Roman" w:hint="eastAsia"/>
          <w:sz w:val="18"/>
          <w:szCs w:val="18"/>
        </w:rPr>
        <w:t>“不仅要做一个能企业，更要做一个好企业”是华孚坚持</w:t>
      </w:r>
      <w:proofErr w:type="gramStart"/>
      <w:r>
        <w:rPr>
          <w:rFonts w:cs="Times New Roman" w:hint="eastAsia"/>
          <w:sz w:val="18"/>
          <w:szCs w:val="18"/>
        </w:rPr>
        <w:t>践行</w:t>
      </w:r>
      <w:proofErr w:type="gramEnd"/>
      <w:r>
        <w:rPr>
          <w:rFonts w:cs="Times New Roman" w:hint="eastAsia"/>
          <w:sz w:val="18"/>
          <w:szCs w:val="18"/>
        </w:rPr>
        <w:t>的社会责任理念，是华</w:t>
      </w:r>
      <w:proofErr w:type="gramStart"/>
      <w:r>
        <w:rPr>
          <w:rFonts w:cs="Times New Roman" w:hint="eastAsia"/>
          <w:sz w:val="18"/>
          <w:szCs w:val="18"/>
        </w:rPr>
        <w:t>孚企业</w:t>
      </w:r>
      <w:proofErr w:type="gramEnd"/>
      <w:r>
        <w:rPr>
          <w:rFonts w:cs="Times New Roman" w:hint="eastAsia"/>
          <w:sz w:val="18"/>
          <w:szCs w:val="18"/>
        </w:rPr>
        <w:t>文化的重要组成部分。华孚以“贴近生命、美化生活”为使命指引，</w:t>
      </w:r>
      <w:proofErr w:type="gramStart"/>
      <w:r>
        <w:rPr>
          <w:rFonts w:cs="Times New Roman" w:hint="eastAsia"/>
          <w:sz w:val="18"/>
          <w:szCs w:val="18"/>
        </w:rPr>
        <w:t>践行</w:t>
      </w:r>
      <w:proofErr w:type="gramEnd"/>
      <w:r>
        <w:rPr>
          <w:rFonts w:cs="Times New Roman" w:hint="eastAsia"/>
          <w:sz w:val="18"/>
          <w:szCs w:val="18"/>
        </w:rPr>
        <w:t>“用爱创造每一天”的核心价值观，在追求商业价值的同时，持续创造社会价值，实现企业发展与社会进步的和谐统一。</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Style w:val="a4"/>
          <w:rFonts w:ascii="Times New Roman" w:hAnsi="Times New Roman" w:cs="Times New Roman"/>
          <w:sz w:val="18"/>
          <w:szCs w:val="18"/>
        </w:rPr>
        <w:t>1.</w:t>
      </w:r>
      <w:r>
        <w:rPr>
          <w:rStyle w:val="a4"/>
          <w:rFonts w:cs="Times New Roman" w:hint="eastAsia"/>
          <w:sz w:val="18"/>
          <w:szCs w:val="18"/>
        </w:rPr>
        <w:t>保障员工权益，营造温暖氛围</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Fonts w:cs="Times New Roman" w:hint="eastAsia"/>
          <w:sz w:val="18"/>
          <w:szCs w:val="18"/>
        </w:rPr>
        <w:t>报告期内，公司提供就业岗位</w:t>
      </w:r>
      <w:r>
        <w:rPr>
          <w:rFonts w:ascii="Times New Roman" w:hAnsi="Times New Roman" w:cs="Times New Roman"/>
          <w:sz w:val="18"/>
          <w:szCs w:val="18"/>
        </w:rPr>
        <w:t>14,000</w:t>
      </w:r>
      <w:r>
        <w:rPr>
          <w:rFonts w:cs="Times New Roman" w:hint="eastAsia"/>
          <w:sz w:val="18"/>
          <w:szCs w:val="18"/>
        </w:rPr>
        <w:t>余个，持续关爱弱势群体，妥善安置残疾员工上岗就业。公司不断完善人力资源管理机制，在依法签订劳动合同、遵守工时规定、保障薪酬福利、杜绝童工与强迫劳动、防止就业歧视、</w:t>
      </w:r>
      <w:proofErr w:type="gramStart"/>
      <w:r>
        <w:rPr>
          <w:rFonts w:cs="Times New Roman" w:hint="eastAsia"/>
          <w:sz w:val="18"/>
          <w:szCs w:val="18"/>
        </w:rPr>
        <w:t>防范职场骚扰</w:t>
      </w:r>
      <w:proofErr w:type="gramEnd"/>
      <w:r>
        <w:rPr>
          <w:rFonts w:cs="Times New Roman" w:hint="eastAsia"/>
          <w:sz w:val="18"/>
          <w:szCs w:val="18"/>
        </w:rPr>
        <w:t>与虐待、加强职业健康安全管理、落实女职工特殊保护等方面持续强化合</w:t>
      </w:r>
      <w:proofErr w:type="gramStart"/>
      <w:r>
        <w:rPr>
          <w:rFonts w:cs="Times New Roman" w:hint="eastAsia"/>
          <w:sz w:val="18"/>
          <w:szCs w:val="18"/>
        </w:rPr>
        <w:t>规</w:t>
      </w:r>
      <w:proofErr w:type="gramEnd"/>
      <w:r>
        <w:rPr>
          <w:rFonts w:cs="Times New Roman" w:hint="eastAsia"/>
          <w:sz w:val="18"/>
          <w:szCs w:val="18"/>
        </w:rPr>
        <w:t>管理。全面推进员工关爱计划，关注员工身心健康与职业发展，针对纺纱工厂女员工较多的特点，制定专项管理措施，切实维护女性员工合法权益。同时，公司高度重视少数民族员工和残疾员工的成长与发展，细化管理服务举措，营造包容、平等的工作环境。对因疾病、灾害等原因导致家庭困难的员工，设立专项关爱基金给予关怀支持，努力让每一位员工在华孚感受到温暖与归属。</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Style w:val="a4"/>
          <w:rFonts w:ascii="Times New Roman" w:hAnsi="Times New Roman" w:cs="Times New Roman"/>
          <w:sz w:val="18"/>
          <w:szCs w:val="18"/>
        </w:rPr>
        <w:t>2.</w:t>
      </w:r>
      <w:r>
        <w:rPr>
          <w:rStyle w:val="a4"/>
          <w:rFonts w:cs="Times New Roman" w:hint="eastAsia"/>
          <w:sz w:val="18"/>
          <w:szCs w:val="18"/>
        </w:rPr>
        <w:t>健全管理体系，推进环保认证</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Fonts w:cs="Times New Roman" w:hint="eastAsia"/>
          <w:sz w:val="18"/>
          <w:szCs w:val="18"/>
        </w:rPr>
        <w:lastRenderedPageBreak/>
        <w:t>公司持续以</w:t>
      </w:r>
      <w:r>
        <w:rPr>
          <w:rFonts w:ascii="Times New Roman" w:hAnsi="Times New Roman" w:cs="Times New Roman"/>
          <w:sz w:val="18"/>
          <w:szCs w:val="18"/>
        </w:rPr>
        <w:t>IS014001</w:t>
      </w:r>
      <w:r>
        <w:rPr>
          <w:rFonts w:cs="Times New Roman" w:hint="eastAsia"/>
          <w:sz w:val="18"/>
          <w:szCs w:val="18"/>
        </w:rPr>
        <w:t>环境管理体系为主线，将环保法律法规与各类国际认证进行有机整合，有效贯彻确立公司环境管理方针，明确管理职责权限，落实管理目标责任；持续加大环保投入，将环保工作贯穿于生产生活、销售经营等各个环节。近年来，华孚持续通过</w:t>
      </w:r>
      <w:r>
        <w:rPr>
          <w:rFonts w:ascii="Times New Roman" w:hAnsi="Times New Roman" w:cs="Times New Roman"/>
          <w:sz w:val="18"/>
          <w:szCs w:val="18"/>
        </w:rPr>
        <w:t xml:space="preserve">IS014001 </w:t>
      </w:r>
      <w:r>
        <w:rPr>
          <w:rFonts w:cs="Times New Roman" w:hint="eastAsia"/>
          <w:sz w:val="18"/>
          <w:szCs w:val="18"/>
        </w:rPr>
        <w:t>环境管理体系审核，通过碳足迹认证，通过</w:t>
      </w:r>
      <w:r>
        <w:rPr>
          <w:rFonts w:ascii="Times New Roman" w:hAnsi="Times New Roman" w:cs="Times New Roman"/>
          <w:sz w:val="18"/>
          <w:szCs w:val="18"/>
        </w:rPr>
        <w:t>Oeko-TexStandard 100</w:t>
      </w:r>
      <w:r>
        <w:rPr>
          <w:rFonts w:cs="Times New Roman" w:hint="eastAsia"/>
          <w:sz w:val="18"/>
          <w:szCs w:val="18"/>
        </w:rPr>
        <w:t>和</w:t>
      </w:r>
      <w:r>
        <w:rPr>
          <w:rFonts w:ascii="Times New Roman" w:hAnsi="Times New Roman" w:cs="Times New Roman"/>
          <w:sz w:val="18"/>
          <w:szCs w:val="18"/>
        </w:rPr>
        <w:t>FSC</w:t>
      </w:r>
      <w:r>
        <w:rPr>
          <w:rFonts w:cs="Times New Roman" w:hint="eastAsia"/>
          <w:sz w:val="18"/>
          <w:szCs w:val="18"/>
        </w:rPr>
        <w:t>森林认证环保产品认证。</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Style w:val="a4"/>
          <w:rFonts w:ascii="Times New Roman" w:hAnsi="Times New Roman" w:cs="Times New Roman"/>
          <w:sz w:val="18"/>
          <w:szCs w:val="18"/>
        </w:rPr>
        <w:t>3.</w:t>
      </w:r>
      <w:r>
        <w:rPr>
          <w:rStyle w:val="a4"/>
          <w:rFonts w:cs="Times New Roman" w:hint="eastAsia"/>
          <w:sz w:val="18"/>
          <w:szCs w:val="18"/>
        </w:rPr>
        <w:t>推进资源利用，实现节能减排</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Fonts w:cs="Times New Roman" w:hint="eastAsia"/>
          <w:sz w:val="18"/>
          <w:szCs w:val="18"/>
        </w:rPr>
        <w:t>公司持续推进对资源能源的重复利用，推进各类先进水处理技术的实际应用，通过中水回用等节能减排措施，冷凝冷却水回收利用，先进中水回用技术运用中水回用率达到</w:t>
      </w:r>
      <w:r>
        <w:rPr>
          <w:rFonts w:ascii="Times New Roman" w:hAnsi="Times New Roman" w:cs="Times New Roman"/>
          <w:sz w:val="18"/>
          <w:szCs w:val="18"/>
        </w:rPr>
        <w:t>50%</w:t>
      </w:r>
      <w:r>
        <w:rPr>
          <w:rFonts w:cs="Times New Roman" w:hint="eastAsia"/>
          <w:sz w:val="18"/>
          <w:szCs w:val="18"/>
        </w:rPr>
        <w:t>以上，单位产品耗水达到，</w:t>
      </w:r>
      <w:r>
        <w:rPr>
          <w:rFonts w:ascii="Times New Roman" w:hAnsi="Times New Roman" w:cs="Times New Roman"/>
          <w:sz w:val="18"/>
          <w:szCs w:val="18"/>
        </w:rPr>
        <w:t>45</w:t>
      </w:r>
      <w:r>
        <w:rPr>
          <w:rFonts w:cs="Times New Roman" w:hint="eastAsia"/>
          <w:sz w:val="18"/>
          <w:szCs w:val="18"/>
        </w:rPr>
        <w:t>㎡</w:t>
      </w:r>
      <w:r>
        <w:rPr>
          <w:rFonts w:ascii="Times New Roman" w:hAnsi="Times New Roman" w:cs="Times New Roman"/>
          <w:sz w:val="18"/>
          <w:szCs w:val="18"/>
        </w:rPr>
        <w:t>/</w:t>
      </w:r>
      <w:proofErr w:type="gramStart"/>
      <w:r>
        <w:rPr>
          <w:rFonts w:cs="Times New Roman" w:hint="eastAsia"/>
          <w:sz w:val="18"/>
          <w:szCs w:val="18"/>
        </w:rPr>
        <w:t>吨以下</w:t>
      </w:r>
      <w:proofErr w:type="gramEnd"/>
      <w:r>
        <w:rPr>
          <w:rFonts w:cs="Times New Roman" w:hint="eastAsia"/>
          <w:sz w:val="18"/>
          <w:szCs w:val="18"/>
        </w:rPr>
        <w:t>的先进水平。</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Style w:val="a4"/>
          <w:rFonts w:ascii="Times New Roman" w:hAnsi="Times New Roman" w:cs="Times New Roman"/>
          <w:sz w:val="18"/>
          <w:szCs w:val="18"/>
        </w:rPr>
        <w:t>4.</w:t>
      </w:r>
      <w:r>
        <w:rPr>
          <w:rStyle w:val="a4"/>
          <w:rFonts w:cs="Times New Roman" w:hint="eastAsia"/>
          <w:sz w:val="18"/>
          <w:szCs w:val="18"/>
        </w:rPr>
        <w:t>升级染色工艺，树立环保标杆</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Fonts w:cs="Times New Roman" w:hint="eastAsia"/>
          <w:sz w:val="18"/>
          <w:szCs w:val="18"/>
        </w:rPr>
        <w:t>公司染色工艺持续提升，高上染率染化料的运用、低温前处理、低温染色、低浊处理、低碱染色和工艺运用推广；研究无盐染色等节能环保工艺；高效节能无盐工艺被越来越多的应用</w:t>
      </w:r>
      <w:r>
        <w:rPr>
          <w:rFonts w:ascii="Times New Roman" w:hAnsi="Times New Roman" w:cs="Times New Roman"/>
          <w:sz w:val="18"/>
          <w:szCs w:val="18"/>
        </w:rPr>
        <w:t>,</w:t>
      </w:r>
      <w:r>
        <w:rPr>
          <w:rFonts w:cs="Times New Roman" w:hint="eastAsia"/>
          <w:sz w:val="18"/>
          <w:szCs w:val="18"/>
        </w:rPr>
        <w:t>并建立了化学品的有效管控制度和流程，旨在控制有害化学物质达到零排放，绿色环保成为行业的标杆。</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Style w:val="a4"/>
          <w:rFonts w:ascii="Times New Roman" w:hAnsi="Times New Roman" w:cs="Times New Roman"/>
          <w:sz w:val="18"/>
          <w:szCs w:val="18"/>
        </w:rPr>
        <w:t>5.</w:t>
      </w:r>
      <w:r>
        <w:rPr>
          <w:rStyle w:val="a4"/>
          <w:rFonts w:cs="Times New Roman" w:hint="eastAsia"/>
          <w:sz w:val="18"/>
          <w:szCs w:val="18"/>
        </w:rPr>
        <w:t>发展绿色能源，降低碳排放</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Fonts w:cs="Times New Roman" w:hint="eastAsia"/>
          <w:sz w:val="18"/>
          <w:szCs w:val="18"/>
        </w:rPr>
        <w:t>公司重视绿色能源使用，推动工厂能源结构的多元化，以降低用能成本。在浙江上虞、安徽淮北、新疆、海外等地生产工厂实施太阳能光伏电站建设项目，同时推广热能回收、中水回用等节能技术。公司推广</w:t>
      </w:r>
      <w:proofErr w:type="gramStart"/>
      <w:r>
        <w:rPr>
          <w:rFonts w:cs="Times New Roman" w:hint="eastAsia"/>
          <w:sz w:val="18"/>
          <w:szCs w:val="18"/>
        </w:rPr>
        <w:t>天燃气</w:t>
      </w:r>
      <w:proofErr w:type="gramEnd"/>
      <w:r>
        <w:rPr>
          <w:rFonts w:cs="Times New Roman" w:hint="eastAsia"/>
          <w:sz w:val="18"/>
          <w:szCs w:val="18"/>
        </w:rPr>
        <w:t>、生物质等环保原料利用，有效地降低了碳排放。</w:t>
      </w:r>
    </w:p>
    <w:p w:rsidR="005C49A8" w:rsidRDefault="005C49A8" w:rsidP="008447BC">
      <w:pPr>
        <w:pStyle w:val="a3"/>
        <w:spacing w:before="0" w:beforeAutospacing="0" w:after="0" w:afterAutospacing="0"/>
        <w:ind w:firstLine="357"/>
        <w:jc w:val="both"/>
        <w:divId w:val="501358271"/>
        <w:rPr>
          <w:rFonts w:ascii="Times New Roman" w:hAnsi="Times New Roman" w:cs="Times New Roman"/>
        </w:rPr>
      </w:pPr>
      <w:r>
        <w:rPr>
          <w:rStyle w:val="a4"/>
          <w:rFonts w:ascii="Times New Roman" w:hAnsi="Times New Roman" w:cs="Times New Roman"/>
          <w:sz w:val="18"/>
          <w:szCs w:val="18"/>
        </w:rPr>
        <w:t>6.</w:t>
      </w:r>
      <w:r>
        <w:rPr>
          <w:rStyle w:val="a4"/>
          <w:rFonts w:cs="Times New Roman" w:hint="eastAsia"/>
          <w:sz w:val="18"/>
          <w:szCs w:val="18"/>
        </w:rPr>
        <w:t>投身公益事业，贡献华孚力量</w:t>
      </w:r>
    </w:p>
    <w:p w:rsidR="005C49A8" w:rsidRDefault="005C49A8" w:rsidP="008447BC">
      <w:pPr>
        <w:pStyle w:val="a3"/>
        <w:spacing w:before="0" w:beforeAutospacing="0" w:after="0" w:afterAutospacing="0"/>
        <w:ind w:firstLine="357"/>
        <w:divId w:val="501358271"/>
        <w:rPr>
          <w:rFonts w:ascii="Times New Roman" w:hAnsi="Times New Roman" w:cs="Times New Roman"/>
        </w:rPr>
      </w:pPr>
      <w:r>
        <w:rPr>
          <w:rFonts w:cs="Times New Roman" w:hint="eastAsia"/>
          <w:sz w:val="18"/>
          <w:szCs w:val="18"/>
        </w:rPr>
        <w:t>公司热心社会公益事业，报告期内，继续保持在乡村振兴、共同富裕、赈灾助困、教育资助等方面通过设立专项慈善基金的方式贡献华孚力量。</w:t>
      </w:r>
    </w:p>
    <w:p w:rsidR="005C49A8" w:rsidRDefault="005C49A8">
      <w:pPr>
        <w:pStyle w:val="a3"/>
        <w:spacing w:before="40" w:beforeAutospacing="0" w:after="40" w:afterAutospacing="0" w:line="400" w:lineRule="atLeast"/>
        <w:ind w:left="40" w:right="40"/>
        <w:divId w:val="501358271"/>
        <w:rPr>
          <w:rFonts w:ascii="Times New Roman" w:hAnsi="Times New Roman" w:cs="Times New Roman"/>
        </w:rPr>
      </w:pPr>
      <w:r>
        <w:rPr>
          <w:rStyle w:val="a5"/>
          <w:rFonts w:hint="eastAsia"/>
          <w:color w:val="DD5353"/>
          <w:sz w:val="21"/>
          <w:szCs w:val="21"/>
        </w:rPr>
        <w:t> </w:t>
      </w:r>
    </w:p>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63" w:name="_Toc988952"/>
      <w:r>
        <w:rPr>
          <w:rFonts w:ascii="宋体" w:eastAsia="宋体" w:hAnsi="宋体" w:cs="宋体"/>
          <w:b/>
          <w:bCs/>
          <w:sz w:val="32"/>
          <w:szCs w:val="32"/>
        </w:rPr>
        <w:lastRenderedPageBreak/>
        <w:t>第五节 重要事项</w:t>
      </w:r>
      <w:bookmarkEnd w:id="63"/>
    </w:p>
    <w:p w:rsidR="008820E4" w:rsidRDefault="005C49A8">
      <w:pPr>
        <w:pStyle w:val="2"/>
        <w:spacing w:before="300" w:after="300" w:line="320" w:lineRule="exact"/>
        <w:rPr>
          <w:rFonts w:ascii="宋体" w:eastAsia="宋体" w:hAnsi="宋体" w:cs="宋体"/>
          <w:b/>
          <w:bCs/>
          <w:sz w:val="24"/>
          <w:szCs w:val="24"/>
        </w:rPr>
      </w:pPr>
      <w:bookmarkStart w:id="64" w:name="_Toc988953"/>
      <w:r>
        <w:rPr>
          <w:rFonts w:ascii="宋体" w:eastAsia="宋体" w:hAnsi="宋体" w:cs="宋体"/>
          <w:b/>
          <w:bCs/>
          <w:sz w:val="24"/>
          <w:szCs w:val="24"/>
        </w:rPr>
        <w:t>一、公司实际控制人、股东、关联方、收购人以及公司等承诺相关方在报告期内履行完毕及截至报告期末超期未履行完毕的承诺事项</w:t>
      </w:r>
      <w:bookmarkEnd w:id="6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公司报告期不存在由公司实际控制人、股东、关联方、收购人以及公司等承诺相关方在报告期内履行完毕及截至报告期末超期未履行完毕的承诺事项。</w:t>
      </w:r>
    </w:p>
    <w:p w:rsidR="008820E4" w:rsidRDefault="005C49A8">
      <w:pPr>
        <w:pStyle w:val="2"/>
        <w:spacing w:before="300" w:after="300" w:line="320" w:lineRule="exact"/>
        <w:rPr>
          <w:rFonts w:ascii="宋体" w:eastAsia="宋体" w:hAnsi="宋体" w:cs="宋体"/>
          <w:b/>
          <w:bCs/>
          <w:sz w:val="24"/>
          <w:szCs w:val="24"/>
        </w:rPr>
      </w:pPr>
      <w:bookmarkStart w:id="65" w:name="_Toc988954"/>
      <w:r>
        <w:rPr>
          <w:rFonts w:ascii="宋体" w:eastAsia="宋体" w:hAnsi="宋体" w:cs="宋体"/>
          <w:b/>
          <w:bCs/>
          <w:sz w:val="24"/>
          <w:szCs w:val="24"/>
        </w:rPr>
        <w:t>二、控股股东及其他关联方对上市公司的非经营性占用资金情况</w:t>
      </w:r>
      <w:bookmarkEnd w:id="6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公司报告期不存在控股股东及其他关联方对上市公司的非经营性占用资金。</w:t>
      </w:r>
    </w:p>
    <w:p w:rsidR="008820E4" w:rsidRDefault="005C49A8">
      <w:pPr>
        <w:pStyle w:val="2"/>
        <w:spacing w:before="300" w:after="300" w:line="320" w:lineRule="exact"/>
        <w:rPr>
          <w:rFonts w:ascii="宋体" w:eastAsia="宋体" w:hAnsi="宋体" w:cs="宋体"/>
          <w:b/>
          <w:bCs/>
          <w:sz w:val="24"/>
          <w:szCs w:val="24"/>
        </w:rPr>
      </w:pPr>
      <w:bookmarkStart w:id="66" w:name="_Toc988955"/>
      <w:r>
        <w:rPr>
          <w:rFonts w:ascii="宋体" w:eastAsia="宋体" w:hAnsi="宋体" w:cs="宋体"/>
          <w:b/>
          <w:bCs/>
          <w:sz w:val="24"/>
          <w:szCs w:val="24"/>
        </w:rPr>
        <w:t>三、违规对外担保情况</w:t>
      </w:r>
      <w:bookmarkEnd w:id="6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公司报告期无违规对外担保情况。</w:t>
      </w:r>
    </w:p>
    <w:p w:rsidR="008820E4" w:rsidRDefault="005C49A8">
      <w:pPr>
        <w:pStyle w:val="2"/>
        <w:spacing w:before="300" w:after="300" w:line="320" w:lineRule="exact"/>
        <w:rPr>
          <w:rFonts w:ascii="宋体" w:eastAsia="宋体" w:hAnsi="宋体" w:cs="宋体"/>
          <w:b/>
          <w:bCs/>
          <w:sz w:val="24"/>
          <w:szCs w:val="24"/>
        </w:rPr>
      </w:pPr>
      <w:bookmarkStart w:id="67" w:name="_Toc988956"/>
      <w:r>
        <w:rPr>
          <w:rFonts w:ascii="宋体" w:eastAsia="宋体" w:hAnsi="宋体" w:cs="宋体"/>
          <w:b/>
          <w:bCs/>
          <w:sz w:val="24"/>
          <w:szCs w:val="24"/>
        </w:rPr>
        <w:t>四、聘任、解聘会计师事务所情况</w:t>
      </w:r>
      <w:bookmarkEnd w:id="6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半年度财务报告是否已经审计</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公司半年度报告未经审计。</w:t>
      </w:r>
    </w:p>
    <w:p w:rsidR="008820E4" w:rsidRDefault="005C49A8">
      <w:pPr>
        <w:pStyle w:val="2"/>
        <w:spacing w:before="300" w:after="300" w:line="320" w:lineRule="exact"/>
        <w:rPr>
          <w:rFonts w:ascii="宋体" w:eastAsia="宋体" w:hAnsi="宋体" w:cs="宋体"/>
          <w:b/>
          <w:bCs/>
          <w:sz w:val="24"/>
          <w:szCs w:val="24"/>
        </w:rPr>
      </w:pPr>
      <w:bookmarkStart w:id="68" w:name="_Toc988957"/>
      <w:r>
        <w:rPr>
          <w:rFonts w:ascii="宋体" w:eastAsia="宋体" w:hAnsi="宋体" w:cs="宋体"/>
          <w:b/>
          <w:bCs/>
          <w:sz w:val="24"/>
          <w:szCs w:val="24"/>
        </w:rPr>
        <w:t>五、董事会、监事会对会计师事务所本报告期“非标准审计报告”的说明</w:t>
      </w:r>
      <w:bookmarkEnd w:id="6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69" w:name="_Toc988958"/>
      <w:r>
        <w:rPr>
          <w:rFonts w:ascii="宋体" w:eastAsia="宋体" w:hAnsi="宋体" w:cs="宋体"/>
          <w:b/>
          <w:bCs/>
          <w:sz w:val="24"/>
          <w:szCs w:val="24"/>
        </w:rPr>
        <w:t>六、董事会对上年度“非标准审计报告”相关情况的说明</w:t>
      </w:r>
      <w:bookmarkEnd w:id="6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70" w:name="_Toc988959"/>
      <w:r>
        <w:rPr>
          <w:rFonts w:ascii="宋体" w:eastAsia="宋体" w:hAnsi="宋体" w:cs="宋体"/>
          <w:b/>
          <w:bCs/>
          <w:sz w:val="24"/>
          <w:szCs w:val="24"/>
        </w:rPr>
        <w:t>七、破产重整相关事项</w:t>
      </w:r>
      <w:bookmarkEnd w:id="7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公司报告期未发生破产重整相关事项。</w:t>
      </w:r>
    </w:p>
    <w:p w:rsidR="008820E4" w:rsidRDefault="005C49A8">
      <w:pPr>
        <w:pStyle w:val="2"/>
        <w:spacing w:before="300" w:after="300" w:line="320" w:lineRule="exact"/>
        <w:rPr>
          <w:rFonts w:ascii="宋体" w:eastAsia="宋体" w:hAnsi="宋体" w:cs="宋体"/>
          <w:b/>
          <w:bCs/>
          <w:sz w:val="24"/>
          <w:szCs w:val="24"/>
        </w:rPr>
      </w:pPr>
      <w:bookmarkStart w:id="71" w:name="_Toc988960"/>
      <w:r>
        <w:rPr>
          <w:rFonts w:ascii="宋体" w:eastAsia="宋体" w:hAnsi="宋体" w:cs="宋体"/>
          <w:b/>
          <w:bCs/>
          <w:sz w:val="24"/>
          <w:szCs w:val="24"/>
        </w:rPr>
        <w:t>八、诉讼事项</w:t>
      </w:r>
      <w:bookmarkEnd w:id="7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重大诉讼仲裁事项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本报告期公司无重大诉讼、仲裁事项。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其他诉讼事项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72" w:name="_Toc988961"/>
      <w:r>
        <w:rPr>
          <w:rFonts w:ascii="宋体" w:eastAsia="宋体" w:hAnsi="宋体" w:cs="宋体"/>
          <w:b/>
          <w:bCs/>
          <w:sz w:val="24"/>
          <w:szCs w:val="24"/>
        </w:rPr>
        <w:lastRenderedPageBreak/>
        <w:t>九、处罚及整改情况</w:t>
      </w:r>
      <w:bookmarkEnd w:id="7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公司报告期不存在处罚及整改情况。</w:t>
      </w:r>
    </w:p>
    <w:p w:rsidR="008820E4" w:rsidRDefault="005C49A8">
      <w:pPr>
        <w:pStyle w:val="2"/>
        <w:spacing w:before="300" w:after="300" w:line="320" w:lineRule="exact"/>
        <w:rPr>
          <w:rFonts w:ascii="宋体" w:eastAsia="宋体" w:hAnsi="宋体" w:cs="宋体"/>
          <w:b/>
          <w:bCs/>
          <w:sz w:val="24"/>
          <w:szCs w:val="24"/>
        </w:rPr>
      </w:pPr>
      <w:bookmarkStart w:id="73" w:name="_Toc988962"/>
      <w:r>
        <w:rPr>
          <w:rFonts w:ascii="宋体" w:eastAsia="宋体" w:hAnsi="宋体" w:cs="宋体"/>
          <w:b/>
          <w:bCs/>
          <w:sz w:val="24"/>
          <w:szCs w:val="24"/>
        </w:rPr>
        <w:t>十、公司及其控股股东、实际控制人的诚信状况</w:t>
      </w:r>
      <w:bookmarkEnd w:id="7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74" w:name="_Toc988963"/>
      <w:r>
        <w:rPr>
          <w:rFonts w:ascii="宋体" w:eastAsia="宋体" w:hAnsi="宋体" w:cs="宋体"/>
          <w:b/>
          <w:bCs/>
          <w:sz w:val="24"/>
          <w:szCs w:val="24"/>
        </w:rPr>
        <w:t>十一、重大关联交易</w:t>
      </w:r>
      <w:bookmarkEnd w:id="74"/>
    </w:p>
    <w:p w:rsidR="008820E4" w:rsidRDefault="005C49A8">
      <w:pPr>
        <w:pStyle w:val="3"/>
        <w:spacing w:line="280" w:lineRule="exact"/>
        <w:jc w:val="left"/>
        <w:rPr>
          <w:rFonts w:ascii="宋体" w:hAnsi="宋体" w:cs="宋体"/>
          <w:b/>
          <w:bCs/>
        </w:rPr>
      </w:pPr>
      <w:bookmarkStart w:id="75" w:name="_Toc988964"/>
      <w:r>
        <w:rPr>
          <w:rFonts w:ascii="宋体" w:hAnsi="宋体" w:cs="宋体"/>
          <w:b/>
          <w:bCs/>
        </w:rPr>
        <w:t>1、与日常经营相关的关联交易</w:t>
      </w:r>
      <w:bookmarkEnd w:id="7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89"/>
        <w:gridCol w:w="689"/>
        <w:gridCol w:w="689"/>
        <w:gridCol w:w="689"/>
        <w:gridCol w:w="689"/>
        <w:gridCol w:w="689"/>
        <w:gridCol w:w="689"/>
        <w:gridCol w:w="672"/>
        <w:gridCol w:w="704"/>
        <w:gridCol w:w="688"/>
        <w:gridCol w:w="688"/>
        <w:gridCol w:w="688"/>
        <w:gridCol w:w="688"/>
        <w:gridCol w:w="688"/>
      </w:tblGrid>
      <w:tr w:rsidR="008820E4" w:rsidTr="001C1FDF">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关联交易方</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关联关系</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关联交易类型</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关联交易内容</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关联交易定价原则</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关联交易价格</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关联交易金额（万元）</w:t>
            </w:r>
          </w:p>
        </w:tc>
        <w:tc>
          <w:tcPr>
            <w:tcW w:w="67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占同类交易金额的比例</w:t>
            </w:r>
          </w:p>
        </w:tc>
        <w:tc>
          <w:tcPr>
            <w:tcW w:w="7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获批的交易额度（万元）</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是否超过获批额度</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关联交易结算方式</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可获得的同类交易市价</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披露日期</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披露索引</w:t>
            </w:r>
          </w:p>
        </w:tc>
      </w:tr>
      <w:tr w:rsidR="008820E4" w:rsidTr="001C1FDF">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联营企业</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购买或销售商品</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原材料采购</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市场价格</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6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70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银行转账、承兑汇票</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2025年4月26日披露在巨潮资讯网、《中国证券报》和《证券时报》的2025-14号公告</w:t>
            </w:r>
          </w:p>
        </w:tc>
      </w:tr>
      <w:tr w:rsidR="008820E4" w:rsidTr="001C1FDF">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联营企业</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接受提供的劳务</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物业服务</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市场价格</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w:t>
            </w:r>
          </w:p>
        </w:tc>
        <w:tc>
          <w:tcPr>
            <w:tcW w:w="6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47.83%</w:t>
            </w:r>
          </w:p>
        </w:tc>
        <w:tc>
          <w:tcPr>
            <w:tcW w:w="70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银行转账、承兑汇票</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2025年4月26日披露在巨潮资讯网、《中国证券报》和《证券时</w:t>
            </w:r>
            <w:r>
              <w:rPr>
                <w:rFonts w:ascii="宋体" w:eastAsia="宋体" w:hAnsi="宋体" w:cs="宋体"/>
                <w:sz w:val="18"/>
                <w:szCs w:val="18"/>
              </w:rPr>
              <w:lastRenderedPageBreak/>
              <w:t>报》的2025-14号公告</w:t>
            </w:r>
          </w:p>
        </w:tc>
      </w:tr>
      <w:tr w:rsidR="008820E4" w:rsidTr="001C1FDF">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浙江华尚产业运营有限公司</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联营企业</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向关联人销售商品</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销售产品</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市场价格</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413.64</w:t>
            </w:r>
          </w:p>
        </w:tc>
        <w:tc>
          <w:tcPr>
            <w:tcW w:w="6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0.13%</w:t>
            </w:r>
          </w:p>
        </w:tc>
        <w:tc>
          <w:tcPr>
            <w:tcW w:w="70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银行转账、承兑汇票</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2025年4月26日披露在巨潮资讯网、《中国证券报》和《证券时报》的2025-14号公告</w:t>
            </w:r>
          </w:p>
        </w:tc>
      </w:tr>
      <w:tr w:rsidR="008820E4" w:rsidTr="001C1FDF">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联营企业</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向关联人提 供劳务</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租赁费</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市场价格</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58.84</w:t>
            </w:r>
          </w:p>
        </w:tc>
        <w:tc>
          <w:tcPr>
            <w:tcW w:w="67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4.52%</w:t>
            </w:r>
          </w:p>
        </w:tc>
        <w:tc>
          <w:tcPr>
            <w:tcW w:w="70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银行转账、承兑汇票</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68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2025年4月26日披露在巨潮资讯网、《中国证券报》和《证券时报》的2025-14号公告</w:t>
            </w:r>
          </w:p>
        </w:tc>
      </w:tr>
      <w:tr w:rsidR="008820E4" w:rsidTr="001C1FDF">
        <w:trPr>
          <w:trHeight w:val="240"/>
        </w:trPr>
        <w:tc>
          <w:tcPr>
            <w:tcW w:w="2756"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672.48</w:t>
            </w:r>
          </w:p>
        </w:tc>
        <w:tc>
          <w:tcPr>
            <w:tcW w:w="67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70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22,700</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68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r w:rsidR="008820E4" w:rsidTr="001C1FDF">
        <w:trPr>
          <w:trHeight w:val="240"/>
        </w:trPr>
        <w:tc>
          <w:tcPr>
            <w:tcW w:w="5495"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大额销货退回的详细情况</w:t>
            </w:r>
          </w:p>
        </w:tc>
        <w:tc>
          <w:tcPr>
            <w:tcW w:w="4144"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w:t>
            </w:r>
          </w:p>
        </w:tc>
      </w:tr>
      <w:tr w:rsidR="008820E4" w:rsidTr="001C1FDF">
        <w:trPr>
          <w:trHeight w:val="240"/>
        </w:trPr>
        <w:tc>
          <w:tcPr>
            <w:tcW w:w="5495"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按类别对本期将发生</w:t>
            </w:r>
            <w:r w:rsidR="001F620C">
              <w:rPr>
                <w:rFonts w:ascii="宋体" w:eastAsia="宋体" w:hAnsi="宋体" w:cs="宋体"/>
                <w:sz w:val="18"/>
                <w:szCs w:val="18"/>
              </w:rPr>
              <w:t>的日常关联交易进行总金额预计的，在报告期内的实际履行情况</w:t>
            </w:r>
          </w:p>
        </w:tc>
        <w:tc>
          <w:tcPr>
            <w:tcW w:w="4144"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w:t>
            </w:r>
          </w:p>
        </w:tc>
      </w:tr>
      <w:tr w:rsidR="008820E4" w:rsidTr="001C1FDF">
        <w:trPr>
          <w:trHeight w:val="240"/>
        </w:trPr>
        <w:tc>
          <w:tcPr>
            <w:tcW w:w="5495"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F620C">
            <w:pPr>
              <w:spacing w:before="40" w:after="40" w:line="0" w:lineRule="atLeast"/>
              <w:rPr>
                <w:rFonts w:ascii="宋体" w:eastAsia="宋体" w:hAnsi="宋体" w:cs="宋体"/>
                <w:sz w:val="18"/>
                <w:szCs w:val="18"/>
              </w:rPr>
            </w:pPr>
            <w:r>
              <w:rPr>
                <w:rFonts w:ascii="宋体" w:eastAsia="宋体" w:hAnsi="宋体" w:cs="宋体"/>
                <w:sz w:val="18"/>
                <w:szCs w:val="18"/>
              </w:rPr>
              <w:t>交易价格与市场参考价格差异较大的原因</w:t>
            </w:r>
          </w:p>
        </w:tc>
        <w:tc>
          <w:tcPr>
            <w:tcW w:w="4144" w:type="dxa"/>
            <w:gridSpan w:val="6"/>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r>
    </w:tbl>
    <w:p w:rsidR="008820E4" w:rsidRDefault="005C49A8">
      <w:pPr>
        <w:pStyle w:val="3"/>
        <w:spacing w:line="280" w:lineRule="exact"/>
        <w:jc w:val="left"/>
        <w:rPr>
          <w:rFonts w:ascii="宋体" w:hAnsi="宋体" w:cs="宋体"/>
          <w:b/>
          <w:bCs/>
        </w:rPr>
      </w:pPr>
      <w:bookmarkStart w:id="76" w:name="_Toc988965"/>
      <w:r>
        <w:rPr>
          <w:rFonts w:ascii="宋体" w:hAnsi="宋体" w:cs="宋体"/>
          <w:b/>
          <w:bCs/>
        </w:rPr>
        <w:t>2、资产或股权收购、出售发生的关联交易</w:t>
      </w:r>
      <w:bookmarkEnd w:id="7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公司报告期未发生资产或股权收购、出售的关联交易。</w:t>
      </w:r>
    </w:p>
    <w:p w:rsidR="008820E4" w:rsidRDefault="005C49A8">
      <w:pPr>
        <w:pStyle w:val="3"/>
        <w:spacing w:line="280" w:lineRule="exact"/>
        <w:jc w:val="left"/>
        <w:rPr>
          <w:rFonts w:ascii="宋体" w:hAnsi="宋体" w:cs="宋体"/>
          <w:b/>
          <w:bCs/>
        </w:rPr>
      </w:pPr>
      <w:bookmarkStart w:id="77" w:name="_Toc988966"/>
      <w:r>
        <w:rPr>
          <w:rFonts w:ascii="宋体" w:hAnsi="宋体" w:cs="宋体"/>
          <w:b/>
          <w:bCs/>
        </w:rPr>
        <w:lastRenderedPageBreak/>
        <w:t>3、共同对外投资的关联交易</w:t>
      </w:r>
      <w:bookmarkEnd w:id="7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公司报告期未发生共同对外投资的关联交易。</w:t>
      </w:r>
    </w:p>
    <w:p w:rsidR="008820E4" w:rsidRDefault="005C49A8">
      <w:pPr>
        <w:pStyle w:val="3"/>
        <w:spacing w:line="280" w:lineRule="exact"/>
        <w:jc w:val="left"/>
        <w:rPr>
          <w:rFonts w:ascii="宋体" w:hAnsi="宋体" w:cs="宋体"/>
          <w:b/>
          <w:bCs/>
        </w:rPr>
      </w:pPr>
      <w:bookmarkStart w:id="78" w:name="_Toc988967"/>
      <w:r>
        <w:rPr>
          <w:rFonts w:ascii="宋体" w:hAnsi="宋体" w:cs="宋体"/>
          <w:b/>
          <w:bCs/>
        </w:rPr>
        <w:t>4、关联债权债务往来</w:t>
      </w:r>
      <w:bookmarkEnd w:id="7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公司报告期不存在关联债权债务往来。</w:t>
      </w:r>
    </w:p>
    <w:p w:rsidR="008820E4" w:rsidRDefault="005C49A8">
      <w:pPr>
        <w:pStyle w:val="3"/>
        <w:spacing w:line="280" w:lineRule="exact"/>
        <w:jc w:val="left"/>
        <w:rPr>
          <w:rFonts w:ascii="宋体" w:hAnsi="宋体" w:cs="宋体"/>
          <w:b/>
          <w:bCs/>
        </w:rPr>
      </w:pPr>
      <w:bookmarkStart w:id="79" w:name="_Toc988968"/>
      <w:r>
        <w:rPr>
          <w:rFonts w:ascii="宋体" w:hAnsi="宋体" w:cs="宋体"/>
          <w:b/>
          <w:bCs/>
        </w:rPr>
        <w:t>5、与存在关联关系的财务公司的往来情况</w:t>
      </w:r>
      <w:bookmarkEnd w:id="7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公司与存在关联关系的财务公司与关联方之间不存在存款、贷款、授信或其他金融业务。</w:t>
      </w:r>
    </w:p>
    <w:p w:rsidR="008820E4" w:rsidRDefault="005C49A8">
      <w:pPr>
        <w:pStyle w:val="3"/>
        <w:spacing w:line="280" w:lineRule="exact"/>
        <w:jc w:val="left"/>
        <w:rPr>
          <w:rFonts w:ascii="宋体" w:hAnsi="宋体" w:cs="宋体"/>
          <w:b/>
          <w:bCs/>
        </w:rPr>
      </w:pPr>
      <w:bookmarkStart w:id="80" w:name="_Toc988969"/>
      <w:r>
        <w:rPr>
          <w:rFonts w:ascii="宋体" w:hAnsi="宋体" w:cs="宋体"/>
          <w:b/>
          <w:bCs/>
        </w:rPr>
        <w:t>6、公司控股的财务公司与关联方的往来情况</w:t>
      </w:r>
      <w:bookmarkEnd w:id="8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公司控股的财务公司与关联方之间不存在存款、贷款、授信或其他金融业务。</w:t>
      </w:r>
    </w:p>
    <w:p w:rsidR="008820E4" w:rsidRDefault="005C49A8">
      <w:pPr>
        <w:pStyle w:val="3"/>
        <w:spacing w:line="280" w:lineRule="exact"/>
        <w:jc w:val="left"/>
        <w:rPr>
          <w:rFonts w:ascii="宋体" w:hAnsi="宋体" w:cs="宋体"/>
          <w:b/>
          <w:bCs/>
        </w:rPr>
      </w:pPr>
      <w:bookmarkStart w:id="81" w:name="_Toc988970"/>
      <w:r>
        <w:rPr>
          <w:rFonts w:ascii="宋体" w:hAnsi="宋体" w:cs="宋体"/>
          <w:b/>
          <w:bCs/>
        </w:rPr>
        <w:t>7、其他重大关联交易</w:t>
      </w:r>
      <w:bookmarkEnd w:id="8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公司报告期无其他重大关联交易。</w:t>
      </w:r>
    </w:p>
    <w:p w:rsidR="008820E4" w:rsidRDefault="005C49A8">
      <w:pPr>
        <w:pStyle w:val="2"/>
        <w:spacing w:before="300" w:after="300" w:line="320" w:lineRule="exact"/>
        <w:rPr>
          <w:rFonts w:ascii="宋体" w:eastAsia="宋体" w:hAnsi="宋体" w:cs="宋体"/>
          <w:b/>
          <w:bCs/>
          <w:sz w:val="24"/>
          <w:szCs w:val="24"/>
        </w:rPr>
      </w:pPr>
      <w:bookmarkStart w:id="82" w:name="_Toc988971"/>
      <w:r>
        <w:rPr>
          <w:rFonts w:ascii="宋体" w:eastAsia="宋体" w:hAnsi="宋体" w:cs="宋体"/>
          <w:b/>
          <w:bCs/>
          <w:sz w:val="24"/>
          <w:szCs w:val="24"/>
        </w:rPr>
        <w:t>十二、重大合同及其履行情况</w:t>
      </w:r>
      <w:bookmarkEnd w:id="82"/>
    </w:p>
    <w:p w:rsidR="008820E4" w:rsidRDefault="005C49A8">
      <w:pPr>
        <w:pStyle w:val="3"/>
        <w:spacing w:line="280" w:lineRule="exact"/>
        <w:jc w:val="left"/>
        <w:rPr>
          <w:rFonts w:ascii="宋体" w:hAnsi="宋体" w:cs="宋体"/>
          <w:b/>
          <w:bCs/>
        </w:rPr>
      </w:pPr>
      <w:bookmarkStart w:id="83" w:name="_Toc988972"/>
      <w:r>
        <w:rPr>
          <w:rFonts w:ascii="宋体" w:hAnsi="宋体" w:cs="宋体"/>
          <w:b/>
          <w:bCs/>
        </w:rPr>
        <w:t>1、托管、承包、租赁事项情况</w:t>
      </w:r>
      <w:bookmarkEnd w:id="83"/>
    </w:p>
    <w:p w:rsidR="008820E4" w:rsidRDefault="005C49A8">
      <w:pPr>
        <w:keepNext/>
        <w:keepLines/>
        <w:spacing w:before="300" w:after="300" w:line="280" w:lineRule="exact"/>
        <w:outlineLvl w:val="3"/>
        <w:rPr>
          <w:rFonts w:ascii="宋体" w:eastAsia="宋体" w:hAnsi="宋体" w:cs="宋体"/>
          <w:b/>
          <w:bCs/>
          <w:sz w:val="18"/>
          <w:szCs w:val="18"/>
        </w:rPr>
      </w:pPr>
      <w:bookmarkStart w:id="84" w:name="_Toc988973"/>
      <w:r>
        <w:rPr>
          <w:rFonts w:ascii="宋体" w:eastAsia="宋体" w:hAnsi="宋体" w:cs="宋体"/>
          <w:b/>
          <w:bCs/>
          <w:sz w:val="18"/>
          <w:szCs w:val="18"/>
        </w:rPr>
        <w:t>（1） 托管情况</w:t>
      </w:r>
      <w:bookmarkEnd w:id="8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公司报告期不存在托管情况。</w:t>
      </w:r>
    </w:p>
    <w:p w:rsidR="008820E4" w:rsidRDefault="005C49A8">
      <w:pPr>
        <w:keepNext/>
        <w:keepLines/>
        <w:spacing w:before="300" w:after="300" w:line="280" w:lineRule="exact"/>
        <w:outlineLvl w:val="3"/>
        <w:rPr>
          <w:rFonts w:ascii="宋体" w:eastAsia="宋体" w:hAnsi="宋体" w:cs="宋体"/>
          <w:b/>
          <w:bCs/>
          <w:sz w:val="18"/>
          <w:szCs w:val="18"/>
        </w:rPr>
      </w:pPr>
      <w:bookmarkStart w:id="85" w:name="_Toc988974"/>
      <w:r>
        <w:rPr>
          <w:rFonts w:ascii="宋体" w:eastAsia="宋体" w:hAnsi="宋体" w:cs="宋体"/>
          <w:b/>
          <w:bCs/>
          <w:sz w:val="18"/>
          <w:szCs w:val="18"/>
        </w:rPr>
        <w:t>（2） 承包情况</w:t>
      </w:r>
      <w:bookmarkEnd w:id="8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公司报告期不存在承包情况。</w:t>
      </w:r>
    </w:p>
    <w:p w:rsidR="008820E4" w:rsidRDefault="005C49A8">
      <w:pPr>
        <w:keepNext/>
        <w:keepLines/>
        <w:spacing w:before="300" w:after="300" w:line="280" w:lineRule="exact"/>
        <w:outlineLvl w:val="3"/>
        <w:rPr>
          <w:rFonts w:ascii="宋体" w:eastAsia="宋体" w:hAnsi="宋体" w:cs="宋体"/>
          <w:b/>
          <w:bCs/>
          <w:sz w:val="18"/>
          <w:szCs w:val="18"/>
        </w:rPr>
      </w:pPr>
      <w:bookmarkStart w:id="86" w:name="_Toc988975"/>
      <w:r>
        <w:rPr>
          <w:rFonts w:ascii="宋体" w:eastAsia="宋体" w:hAnsi="宋体" w:cs="宋体"/>
          <w:b/>
          <w:bCs/>
          <w:sz w:val="18"/>
          <w:szCs w:val="18"/>
        </w:rPr>
        <w:t>（3） 租赁情况</w:t>
      </w:r>
      <w:bookmarkEnd w:id="8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租赁情况说明</w:t>
      </w:r>
    </w:p>
    <w:p w:rsidR="005C49A8" w:rsidRDefault="005C49A8">
      <w:pPr>
        <w:pStyle w:val="a3"/>
        <w:divId w:val="581140018"/>
      </w:pPr>
      <w:r>
        <w:rPr>
          <w:rFonts w:hint="eastAsia"/>
          <w:sz w:val="18"/>
          <w:szCs w:val="18"/>
        </w:rPr>
        <w:t>详见附注第十节七</w:t>
      </w:r>
      <w:proofErr w:type="gramStart"/>
      <w:r>
        <w:rPr>
          <w:rFonts w:hint="eastAsia"/>
          <w:sz w:val="18"/>
          <w:szCs w:val="18"/>
        </w:rPr>
        <w:t>82</w:t>
      </w:r>
      <w:proofErr w:type="gramEnd"/>
      <w:r>
        <w:rPr>
          <w:rFonts w:hint="eastAsia"/>
          <w:sz w:val="18"/>
          <w:szCs w:val="18"/>
        </w:rPr>
        <w:t>、租赁</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为公司带来的损益达到公司报告期利润总额10%以上的项目</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公司报告期不存在为公司带来的损益达到公司报告期利润总额10%以上的租赁项目。</w:t>
      </w:r>
    </w:p>
    <w:p w:rsidR="008820E4" w:rsidRDefault="005C49A8">
      <w:pPr>
        <w:pStyle w:val="3"/>
        <w:spacing w:line="280" w:lineRule="exact"/>
        <w:jc w:val="left"/>
        <w:rPr>
          <w:rFonts w:ascii="宋体" w:hAnsi="宋体" w:cs="宋体"/>
          <w:b/>
          <w:bCs/>
        </w:rPr>
      </w:pPr>
      <w:bookmarkStart w:id="87" w:name="_Toc988976"/>
      <w:r>
        <w:rPr>
          <w:rFonts w:ascii="宋体" w:hAnsi="宋体" w:cs="宋体"/>
          <w:b/>
          <w:bCs/>
        </w:rPr>
        <w:t>2、重大担保</w:t>
      </w:r>
      <w:bookmarkEnd w:id="8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7"/>
        <w:gridCol w:w="876"/>
        <w:gridCol w:w="877"/>
        <w:gridCol w:w="876"/>
        <w:gridCol w:w="830"/>
        <w:gridCol w:w="923"/>
        <w:gridCol w:w="876"/>
        <w:gridCol w:w="876"/>
        <w:gridCol w:w="876"/>
        <w:gridCol w:w="877"/>
      </w:tblGrid>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公司及其子公司对外担保情况（不包括对子公司的担保）</w:t>
            </w:r>
          </w:p>
        </w:tc>
      </w:tr>
      <w:tr w:rsidR="008820E4" w:rsidTr="001C1FDF">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担保对象名称</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担保额度相关公告披露日期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实际担保金额</w:t>
            </w:r>
          </w:p>
        </w:tc>
        <w:tc>
          <w:tcPr>
            <w:tcW w:w="83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担保类型</w:t>
            </w:r>
          </w:p>
        </w:tc>
        <w:tc>
          <w:tcPr>
            <w:tcW w:w="92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jc w:val="center"/>
              <w:rPr>
                <w:rFonts w:ascii="宋体" w:eastAsia="宋体" w:hAnsi="宋体" w:cs="宋体"/>
                <w:sz w:val="18"/>
                <w:szCs w:val="18"/>
              </w:rPr>
            </w:pPr>
            <w:r>
              <w:rPr>
                <w:rFonts w:ascii="宋体" w:eastAsia="宋体" w:hAnsi="宋体" w:cs="宋体"/>
                <w:sz w:val="18"/>
                <w:szCs w:val="18"/>
              </w:rPr>
              <w:t>担保物</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jc w:val="center"/>
              <w:rPr>
                <w:rFonts w:ascii="宋体" w:eastAsia="宋体" w:hAnsi="宋体" w:cs="宋体"/>
                <w:sz w:val="18"/>
                <w:szCs w:val="18"/>
              </w:rPr>
            </w:pPr>
            <w:r>
              <w:rPr>
                <w:rFonts w:ascii="宋体" w:eastAsia="宋体" w:hAnsi="宋体" w:cs="宋体"/>
                <w:sz w:val="18"/>
                <w:szCs w:val="18"/>
              </w:rPr>
              <w:t>反担保情况</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是否履行完毕</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是否为关联方担保</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公司对子公司的担保情况</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担保对象名称</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担保额度相关公告披露日期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实际担保金额</w:t>
            </w:r>
          </w:p>
        </w:tc>
        <w:tc>
          <w:tcPr>
            <w:tcW w:w="83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担保类型</w:t>
            </w:r>
          </w:p>
        </w:tc>
        <w:tc>
          <w:tcPr>
            <w:tcW w:w="92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jc w:val="center"/>
              <w:rPr>
                <w:rFonts w:ascii="宋体" w:eastAsia="宋体" w:hAnsi="宋体" w:cs="宋体"/>
                <w:sz w:val="18"/>
                <w:szCs w:val="18"/>
              </w:rPr>
            </w:pPr>
            <w:r>
              <w:rPr>
                <w:rFonts w:ascii="宋体" w:eastAsia="宋体" w:hAnsi="宋体" w:cs="宋体"/>
                <w:sz w:val="18"/>
                <w:szCs w:val="18"/>
              </w:rPr>
              <w:t>担保物</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jc w:val="center"/>
              <w:rPr>
                <w:rFonts w:ascii="宋体" w:eastAsia="宋体" w:hAnsi="宋体" w:cs="宋体"/>
                <w:sz w:val="18"/>
                <w:szCs w:val="18"/>
              </w:rPr>
            </w:pPr>
            <w:r>
              <w:rPr>
                <w:rFonts w:ascii="宋体" w:eastAsia="宋体" w:hAnsi="宋体" w:cs="宋体"/>
                <w:sz w:val="18"/>
                <w:szCs w:val="18"/>
              </w:rPr>
              <w:t>反担保情况</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是否履行完毕</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是否为关联方担保</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2024年09月20日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180,700</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2025年04月28日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27,960</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2025年05月28日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29,833</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2024年05月24日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176,096</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2019年04月25日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2019年07月30日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14,381</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2021年04月28日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2021年08月31日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16,000</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新疆六孚纺织工业</w:t>
            </w:r>
            <w:proofErr w:type="gramEnd"/>
            <w:r>
              <w:rPr>
                <w:rFonts w:ascii="宋体" w:eastAsia="宋体" w:hAnsi="宋体" w:cs="宋体"/>
                <w:sz w:val="18"/>
                <w:szCs w:val="18"/>
              </w:rPr>
              <w:t>园有限公司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2025年02月28日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27,000</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2025年04月26日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2025年06月13日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5,120</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4812B5">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2025年01月03日</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57,480</w:t>
            </w:r>
          </w:p>
        </w:tc>
        <w:tc>
          <w:tcPr>
            <w:tcW w:w="83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连带责任担保</w:t>
            </w:r>
          </w:p>
        </w:tc>
        <w:tc>
          <w:tcPr>
            <w:tcW w:w="92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C1FDF">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报告期内审批对子</w:t>
            </w:r>
            <w:r>
              <w:rPr>
                <w:rFonts w:ascii="宋体" w:eastAsia="宋体" w:hAnsi="宋体" w:cs="宋体"/>
                <w:sz w:val="18"/>
                <w:szCs w:val="18"/>
              </w:rPr>
              <w:lastRenderedPageBreak/>
              <w:t>公司担保额度合计（B1）</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1,090,000</w:t>
            </w:r>
          </w:p>
        </w:tc>
        <w:tc>
          <w:tcPr>
            <w:tcW w:w="17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报告期内对子公司</w:t>
            </w:r>
            <w:r>
              <w:rPr>
                <w:rFonts w:ascii="宋体" w:eastAsia="宋体" w:hAnsi="宋体" w:cs="宋体"/>
                <w:sz w:val="18"/>
                <w:szCs w:val="18"/>
              </w:rPr>
              <w:lastRenderedPageBreak/>
              <w:t>担保实际发生额合计（B2）</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147,393</w:t>
            </w:r>
          </w:p>
        </w:tc>
      </w:tr>
      <w:tr w:rsidR="008820E4" w:rsidTr="001C1FDF">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报告</w:t>
            </w:r>
            <w:proofErr w:type="gramStart"/>
            <w:r>
              <w:rPr>
                <w:rFonts w:ascii="宋体" w:eastAsia="宋体" w:hAnsi="宋体" w:cs="宋体"/>
                <w:sz w:val="18"/>
                <w:szCs w:val="18"/>
              </w:rPr>
              <w:t>期末已</w:t>
            </w:r>
            <w:proofErr w:type="gramEnd"/>
            <w:r>
              <w:rPr>
                <w:rFonts w:ascii="宋体" w:eastAsia="宋体" w:hAnsi="宋体" w:cs="宋体"/>
                <w:sz w:val="18"/>
                <w:szCs w:val="18"/>
              </w:rPr>
              <w:t>审批的对子公司担保额度合计（B3）</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1,090,000</w:t>
            </w:r>
          </w:p>
        </w:tc>
        <w:tc>
          <w:tcPr>
            <w:tcW w:w="17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w:t>
            </w:r>
            <w:proofErr w:type="gramStart"/>
            <w:r>
              <w:rPr>
                <w:rFonts w:ascii="宋体" w:eastAsia="宋体" w:hAnsi="宋体" w:cs="宋体"/>
                <w:sz w:val="18"/>
                <w:szCs w:val="18"/>
              </w:rPr>
              <w:t>期末对</w:t>
            </w:r>
            <w:proofErr w:type="gramEnd"/>
            <w:r>
              <w:rPr>
                <w:rFonts w:ascii="宋体" w:eastAsia="宋体" w:hAnsi="宋体" w:cs="宋体"/>
                <w:sz w:val="18"/>
                <w:szCs w:val="18"/>
              </w:rPr>
              <w:t>子公司实际担保余额合计（B4）</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534,569.6</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子公司对子公司的担保情况</w:t>
            </w:r>
          </w:p>
        </w:tc>
      </w:tr>
      <w:tr w:rsidR="008820E4" w:rsidTr="001C1FDF">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担保对象名称</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担保额度相关公告披露日期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实际担保金额</w:t>
            </w:r>
          </w:p>
        </w:tc>
        <w:tc>
          <w:tcPr>
            <w:tcW w:w="83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担保类型</w:t>
            </w:r>
          </w:p>
        </w:tc>
        <w:tc>
          <w:tcPr>
            <w:tcW w:w="92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jc w:val="center"/>
              <w:rPr>
                <w:rFonts w:ascii="宋体" w:eastAsia="宋体" w:hAnsi="宋体" w:cs="宋体"/>
                <w:sz w:val="18"/>
                <w:szCs w:val="18"/>
              </w:rPr>
            </w:pPr>
            <w:r>
              <w:rPr>
                <w:rFonts w:ascii="宋体" w:eastAsia="宋体" w:hAnsi="宋体" w:cs="宋体"/>
                <w:sz w:val="18"/>
                <w:szCs w:val="18"/>
              </w:rPr>
              <w:t>担保物</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jc w:val="center"/>
              <w:rPr>
                <w:rFonts w:ascii="宋体" w:eastAsia="宋体" w:hAnsi="宋体" w:cs="宋体"/>
                <w:sz w:val="18"/>
                <w:szCs w:val="18"/>
              </w:rPr>
            </w:pPr>
            <w:r>
              <w:rPr>
                <w:rFonts w:ascii="宋体" w:eastAsia="宋体" w:hAnsi="宋体" w:cs="宋体"/>
                <w:sz w:val="18"/>
                <w:szCs w:val="18"/>
              </w:rPr>
              <w:t>反担保情况</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是否履行完毕</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是否为关联方担保</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公司担保总额（即前三大项的合计）</w:t>
            </w:r>
          </w:p>
        </w:tc>
      </w:tr>
      <w:tr w:rsidR="008820E4" w:rsidTr="001C1FDF">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报告期内审批担保额度合计（A1+B1+C1）</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1,090,000</w:t>
            </w:r>
          </w:p>
        </w:tc>
        <w:tc>
          <w:tcPr>
            <w:tcW w:w="17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报告期内担保实际发生额合计（A2+B2+C2）</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147,393</w:t>
            </w:r>
          </w:p>
        </w:tc>
      </w:tr>
      <w:tr w:rsidR="008820E4" w:rsidTr="001C1FDF">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w:t>
            </w:r>
            <w:proofErr w:type="gramStart"/>
            <w:r>
              <w:rPr>
                <w:rFonts w:ascii="宋体" w:eastAsia="宋体" w:hAnsi="宋体" w:cs="宋体"/>
                <w:sz w:val="18"/>
                <w:szCs w:val="18"/>
              </w:rPr>
              <w:t>期末已</w:t>
            </w:r>
            <w:proofErr w:type="gramEnd"/>
            <w:r>
              <w:rPr>
                <w:rFonts w:ascii="宋体" w:eastAsia="宋体" w:hAnsi="宋体" w:cs="宋体"/>
                <w:sz w:val="18"/>
                <w:szCs w:val="18"/>
              </w:rPr>
              <w:t>审批的担保额度合计（A3+B3+C3）</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1,090,000</w:t>
            </w:r>
          </w:p>
        </w:tc>
        <w:tc>
          <w:tcPr>
            <w:tcW w:w="17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报告期末实际担保余额合计（A4+B4+C4）</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534,569.6</w:t>
            </w:r>
          </w:p>
        </w:tc>
      </w:tr>
      <w:tr w:rsidR="008820E4" w:rsidTr="001C1FDF">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实际担保总额（即A4+B4+C4）占公司净资产的比例</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93.22%</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r>
      <w:tr w:rsidR="008820E4" w:rsidTr="004812B5">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为股东、实际控制人及其关联方提供担保的余额（D）</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直接或间接为资产负债率超过70%的被担保对象提供的债务担保余额（E）</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271,260</w:t>
            </w:r>
          </w:p>
        </w:tc>
      </w:tr>
      <w:tr w:rsidR="008820E4" w:rsidTr="004812B5">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担保总额超过净资产50%部分的金额（F）</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4812B5" w:rsidP="004812B5">
            <w:pPr>
              <w:spacing w:line="0" w:lineRule="atLeast"/>
              <w:jc w:val="right"/>
              <w:rPr>
                <w:rFonts w:ascii="宋体" w:eastAsia="宋体" w:hAnsi="宋体" w:cs="宋体"/>
                <w:sz w:val="18"/>
                <w:szCs w:val="18"/>
              </w:rPr>
            </w:pPr>
            <w:r>
              <w:rPr>
                <w:rFonts w:ascii="宋体" w:eastAsia="宋体" w:hAnsi="宋体" w:cs="宋体"/>
                <w:sz w:val="18"/>
                <w:szCs w:val="18"/>
              </w:rPr>
              <w:t>247,83</w:t>
            </w:r>
            <w:r>
              <w:rPr>
                <w:rFonts w:ascii="宋体" w:eastAsia="宋体" w:hAnsi="宋体" w:cs="宋体" w:hint="eastAsia"/>
                <w:sz w:val="18"/>
                <w:szCs w:val="18"/>
              </w:rPr>
              <w:t>7</w:t>
            </w:r>
            <w:r>
              <w:rPr>
                <w:rFonts w:ascii="宋体" w:eastAsia="宋体" w:hAnsi="宋体" w:cs="宋体"/>
                <w:sz w:val="18"/>
                <w:szCs w:val="18"/>
              </w:rPr>
              <w:t>.</w:t>
            </w:r>
            <w:r>
              <w:rPr>
                <w:rFonts w:ascii="宋体" w:eastAsia="宋体" w:hAnsi="宋体" w:cs="宋体" w:hint="eastAsia"/>
                <w:sz w:val="18"/>
                <w:szCs w:val="18"/>
              </w:rPr>
              <w:t>67</w:t>
            </w:r>
          </w:p>
        </w:tc>
      </w:tr>
      <w:tr w:rsidR="008820E4" w:rsidTr="004812B5">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上述三项担保金额合计（D+E+F）</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4812B5" w:rsidP="004812B5">
            <w:pPr>
              <w:spacing w:line="0" w:lineRule="atLeast"/>
              <w:jc w:val="right"/>
              <w:rPr>
                <w:rFonts w:ascii="宋体" w:eastAsia="宋体" w:hAnsi="宋体" w:cs="宋体"/>
                <w:sz w:val="18"/>
                <w:szCs w:val="18"/>
              </w:rPr>
            </w:pPr>
            <w:r>
              <w:rPr>
                <w:rFonts w:ascii="宋体" w:eastAsia="宋体" w:hAnsi="宋体" w:cs="宋体"/>
                <w:sz w:val="18"/>
                <w:szCs w:val="18"/>
              </w:rPr>
              <w:t>519,09</w:t>
            </w:r>
            <w:r>
              <w:rPr>
                <w:rFonts w:ascii="宋体" w:eastAsia="宋体" w:hAnsi="宋体" w:cs="宋体" w:hint="eastAsia"/>
                <w:sz w:val="18"/>
                <w:szCs w:val="18"/>
              </w:rPr>
              <w:t>7</w:t>
            </w:r>
            <w:r>
              <w:rPr>
                <w:rFonts w:ascii="宋体" w:eastAsia="宋体" w:hAnsi="宋体" w:cs="宋体"/>
                <w:sz w:val="18"/>
                <w:szCs w:val="18"/>
              </w:rPr>
              <w:t>.</w:t>
            </w:r>
            <w:r>
              <w:rPr>
                <w:rFonts w:ascii="宋体" w:eastAsia="宋体" w:hAnsi="宋体" w:cs="宋体" w:hint="eastAsia"/>
                <w:sz w:val="18"/>
                <w:szCs w:val="18"/>
              </w:rPr>
              <w:t>67</w:t>
            </w:r>
          </w:p>
        </w:tc>
      </w:tr>
      <w:tr w:rsidR="008820E4" w:rsidTr="004812B5">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rPr>
                <w:rFonts w:ascii="宋体" w:eastAsia="宋体" w:hAnsi="宋体" w:cs="宋体"/>
                <w:sz w:val="18"/>
                <w:szCs w:val="18"/>
              </w:rPr>
            </w:pPr>
            <w:r>
              <w:rPr>
                <w:rFonts w:ascii="宋体" w:eastAsia="宋体" w:hAnsi="宋体" w:cs="宋体"/>
                <w:sz w:val="18"/>
                <w:szCs w:val="18"/>
              </w:rPr>
              <w:t>对未到期担保合同，报告期内发生担保责任或有证据表明有可能承担连带清偿责任的情况说明</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无</w:t>
            </w:r>
          </w:p>
        </w:tc>
      </w:tr>
      <w:tr w:rsidR="008820E4" w:rsidTr="004812B5">
        <w:trPr>
          <w:trHeight w:val="240"/>
        </w:trPr>
        <w:tc>
          <w:tcPr>
            <w:tcW w:w="5211"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rPr>
                <w:rFonts w:ascii="宋体" w:eastAsia="宋体" w:hAnsi="宋体" w:cs="宋体"/>
                <w:sz w:val="18"/>
                <w:szCs w:val="18"/>
              </w:rPr>
            </w:pPr>
            <w:r>
              <w:rPr>
                <w:rFonts w:ascii="宋体" w:eastAsia="宋体" w:hAnsi="宋体" w:cs="宋体"/>
                <w:sz w:val="18"/>
                <w:szCs w:val="18"/>
              </w:rPr>
              <w:t>违反规定程序对外提供担保的说明</w:t>
            </w:r>
          </w:p>
        </w:tc>
        <w:tc>
          <w:tcPr>
            <w:tcW w:w="4428" w:type="dxa"/>
            <w:gridSpan w:val="5"/>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无</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公司需遵守《深圳证券交易所上市公司自律监管指引第3号——行业信息披露》中纺织服装相关业的披露要求</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公司是否存在为经销商提供担保或财务资助</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sidR="004812B5">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3"/>
        <w:spacing w:line="280" w:lineRule="exact"/>
        <w:jc w:val="left"/>
        <w:rPr>
          <w:rFonts w:ascii="宋体" w:hAnsi="宋体" w:cs="宋体"/>
          <w:b/>
          <w:bCs/>
        </w:rPr>
      </w:pPr>
      <w:bookmarkStart w:id="88" w:name="_Toc988977"/>
      <w:r>
        <w:rPr>
          <w:rFonts w:ascii="宋体" w:hAnsi="宋体" w:cs="宋体"/>
          <w:b/>
          <w:bCs/>
        </w:rPr>
        <w:t>3、委托理财</w:t>
      </w:r>
      <w:bookmarkEnd w:id="8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7"/>
        <w:gridCol w:w="1608"/>
        <w:gridCol w:w="1606"/>
        <w:gridCol w:w="1606"/>
        <w:gridCol w:w="1606"/>
        <w:gridCol w:w="1606"/>
      </w:tblGrid>
      <w:tr w:rsidR="008820E4" w:rsidTr="004812B5">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具体类型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委托理财的资金来源</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委托理财发生额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未到期余额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逾期未收回的金额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逾期未收回理财已计提减值金额</w:t>
            </w:r>
          </w:p>
        </w:tc>
      </w:tr>
      <w:tr w:rsidR="008820E4" w:rsidTr="004812B5">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银行理财产品</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自有资金</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49,359.76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trPr>
          <w:trHeight w:val="240"/>
        </w:trPr>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49,359.76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单项金额重大或安全性较低、流动性较差的高风险委托理财具体情况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委托理财出现预期无法收回本金或存在其他可能导致减值的情形</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89" w:name="_Toc988978"/>
      <w:r>
        <w:rPr>
          <w:rFonts w:ascii="宋体" w:hAnsi="宋体" w:cs="宋体"/>
          <w:b/>
          <w:bCs/>
        </w:rPr>
        <w:t>4、其他重大合同</w:t>
      </w:r>
      <w:bookmarkEnd w:id="8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公司报告期不存在其他重大合同。</w:t>
      </w:r>
    </w:p>
    <w:p w:rsidR="008820E4" w:rsidRDefault="005C49A8">
      <w:pPr>
        <w:pStyle w:val="2"/>
        <w:spacing w:before="300" w:after="300" w:line="320" w:lineRule="exact"/>
        <w:rPr>
          <w:rFonts w:ascii="宋体" w:eastAsia="宋体" w:hAnsi="宋体" w:cs="宋体"/>
          <w:b/>
          <w:bCs/>
          <w:sz w:val="24"/>
          <w:szCs w:val="24"/>
        </w:rPr>
      </w:pPr>
      <w:bookmarkStart w:id="90" w:name="_Toc988979"/>
      <w:r>
        <w:rPr>
          <w:rFonts w:ascii="宋体" w:eastAsia="宋体" w:hAnsi="宋体" w:cs="宋体"/>
          <w:b/>
          <w:bCs/>
          <w:sz w:val="24"/>
          <w:szCs w:val="24"/>
        </w:rPr>
        <w:t>十三、其他重大事项的说明</w:t>
      </w:r>
      <w:bookmarkEnd w:id="9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5C49A8" w:rsidRDefault="005C49A8" w:rsidP="004812B5">
      <w:pPr>
        <w:pStyle w:val="a3"/>
        <w:ind w:firstLineChars="200" w:firstLine="360"/>
        <w:divId w:val="2032995798"/>
        <w:rPr>
          <w:sz w:val="18"/>
          <w:szCs w:val="18"/>
        </w:rPr>
      </w:pPr>
      <w:r>
        <w:rPr>
          <w:rFonts w:hint="eastAsia"/>
          <w:sz w:val="18"/>
          <w:szCs w:val="18"/>
        </w:rPr>
        <w:t>公司于2024年4月25日召开第八届董事会第七次会议审议通过《关于投资新疆智能算力集群项目的议案》，公司通过下属子公司新疆华孚人工智能科技有限公司投资新疆阿克苏城市</w:t>
      </w:r>
      <w:proofErr w:type="gramStart"/>
      <w:r>
        <w:rPr>
          <w:rFonts w:hint="eastAsia"/>
          <w:sz w:val="18"/>
          <w:szCs w:val="18"/>
        </w:rPr>
        <w:t>公共算力平台</w:t>
      </w:r>
      <w:proofErr w:type="gramEnd"/>
      <w:r>
        <w:rPr>
          <w:rFonts w:hint="eastAsia"/>
          <w:sz w:val="18"/>
          <w:szCs w:val="18"/>
        </w:rPr>
        <w:t>项目。详见公司于《证券时报》《中国证券报》及巨潮资讯网披露的《关于投资新疆智能算力集群项目的公告》（2024-32）。截至本公告披露日，</w:t>
      </w:r>
      <w:r w:rsidRPr="004812B5">
        <w:rPr>
          <w:rFonts w:hint="eastAsia"/>
          <w:sz w:val="18"/>
          <w:szCs w:val="18"/>
        </w:rPr>
        <w:t>阿克苏城市</w:t>
      </w:r>
      <w:proofErr w:type="gramStart"/>
      <w:r w:rsidRPr="004812B5">
        <w:rPr>
          <w:rFonts w:hint="eastAsia"/>
          <w:sz w:val="18"/>
          <w:szCs w:val="18"/>
        </w:rPr>
        <w:t>公共算力平台</w:t>
      </w:r>
      <w:proofErr w:type="gramEnd"/>
      <w:r w:rsidRPr="004812B5">
        <w:rPr>
          <w:rFonts w:hint="eastAsia"/>
          <w:sz w:val="18"/>
          <w:szCs w:val="18"/>
        </w:rPr>
        <w:t>项目已完成土建招标工作，施工设备已进场，正在正常推进中。该项目尚未建设完成，敬请投资者注意投资风险。</w:t>
      </w:r>
    </w:p>
    <w:p w:rsidR="008820E4" w:rsidRDefault="005C49A8">
      <w:pPr>
        <w:pStyle w:val="2"/>
        <w:spacing w:before="300" w:after="300" w:line="320" w:lineRule="exact"/>
        <w:rPr>
          <w:rFonts w:ascii="宋体" w:eastAsia="宋体" w:hAnsi="宋体" w:cs="宋体"/>
          <w:b/>
          <w:bCs/>
          <w:sz w:val="24"/>
          <w:szCs w:val="24"/>
        </w:rPr>
      </w:pPr>
      <w:bookmarkStart w:id="91" w:name="_Toc988980"/>
      <w:r>
        <w:rPr>
          <w:rFonts w:ascii="宋体" w:eastAsia="宋体" w:hAnsi="宋体" w:cs="宋体"/>
          <w:b/>
          <w:bCs/>
          <w:sz w:val="24"/>
          <w:szCs w:val="24"/>
        </w:rPr>
        <w:t>十四、公司子公司重大事项</w:t>
      </w:r>
      <w:bookmarkEnd w:id="9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92" w:name="_Toc988981"/>
      <w:r>
        <w:rPr>
          <w:rFonts w:ascii="宋体" w:eastAsia="宋体" w:hAnsi="宋体" w:cs="宋体"/>
          <w:b/>
          <w:bCs/>
          <w:sz w:val="32"/>
          <w:szCs w:val="32"/>
        </w:rPr>
        <w:lastRenderedPageBreak/>
        <w:t>第六节 股份变动及股东情况</w:t>
      </w:r>
      <w:bookmarkEnd w:id="92"/>
    </w:p>
    <w:p w:rsidR="008820E4" w:rsidRDefault="005C49A8">
      <w:pPr>
        <w:pStyle w:val="2"/>
        <w:spacing w:before="300" w:after="300" w:line="320" w:lineRule="exact"/>
        <w:rPr>
          <w:rFonts w:ascii="宋体" w:eastAsia="宋体" w:hAnsi="宋体" w:cs="宋体"/>
          <w:b/>
          <w:bCs/>
          <w:sz w:val="24"/>
          <w:szCs w:val="24"/>
        </w:rPr>
      </w:pPr>
      <w:bookmarkStart w:id="93" w:name="_Toc988982"/>
      <w:r>
        <w:rPr>
          <w:rFonts w:ascii="宋体" w:eastAsia="宋体" w:hAnsi="宋体" w:cs="宋体"/>
          <w:b/>
          <w:bCs/>
          <w:sz w:val="24"/>
          <w:szCs w:val="24"/>
        </w:rPr>
        <w:t>一、股份变动情况</w:t>
      </w:r>
      <w:bookmarkEnd w:id="93"/>
    </w:p>
    <w:p w:rsidR="008820E4" w:rsidRDefault="005C49A8">
      <w:pPr>
        <w:pStyle w:val="3"/>
        <w:spacing w:line="280" w:lineRule="exact"/>
        <w:jc w:val="left"/>
        <w:rPr>
          <w:rFonts w:ascii="宋体" w:hAnsi="宋体" w:cs="宋体"/>
          <w:b/>
          <w:bCs/>
        </w:rPr>
      </w:pPr>
      <w:bookmarkStart w:id="94" w:name="_Toc988983"/>
      <w:r>
        <w:rPr>
          <w:rFonts w:ascii="宋体" w:hAnsi="宋体" w:cs="宋体"/>
          <w:b/>
          <w:bCs/>
        </w:rPr>
        <w:t>1、股份变动情况</w:t>
      </w:r>
      <w:bookmarkEnd w:id="9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235"/>
        <w:gridCol w:w="1417"/>
        <w:gridCol w:w="851"/>
        <w:gridCol w:w="708"/>
        <w:gridCol w:w="426"/>
        <w:gridCol w:w="850"/>
        <w:gridCol w:w="425"/>
        <w:gridCol w:w="426"/>
        <w:gridCol w:w="1417"/>
        <w:gridCol w:w="884"/>
      </w:tblGrid>
      <w:tr w:rsidR="008820E4" w:rsidTr="004812B5">
        <w:trPr>
          <w:trHeight w:val="240"/>
        </w:trPr>
        <w:tc>
          <w:tcPr>
            <w:tcW w:w="223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26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本次变动前</w:t>
            </w:r>
          </w:p>
        </w:tc>
        <w:tc>
          <w:tcPr>
            <w:tcW w:w="2835"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本次变动增减（＋，－）</w:t>
            </w:r>
          </w:p>
        </w:tc>
        <w:tc>
          <w:tcPr>
            <w:tcW w:w="2301"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本次变动后</w:t>
            </w:r>
          </w:p>
        </w:tc>
      </w:tr>
      <w:tr w:rsidR="008820E4" w:rsidTr="004812B5">
        <w:trPr>
          <w:trHeight w:val="240"/>
        </w:trPr>
        <w:tc>
          <w:tcPr>
            <w:tcW w:w="223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数量</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发行新股</w:t>
            </w:r>
          </w:p>
        </w:tc>
        <w:tc>
          <w:tcPr>
            <w:tcW w:w="42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送股</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公积金转股</w:t>
            </w:r>
          </w:p>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42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数量</w:t>
            </w:r>
          </w:p>
        </w:tc>
        <w:tc>
          <w:tcPr>
            <w:tcW w:w="88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一、有限</w:t>
            </w:r>
            <w:proofErr w:type="gramStart"/>
            <w:r>
              <w:rPr>
                <w:rFonts w:ascii="宋体" w:eastAsia="宋体" w:hAnsi="宋体" w:cs="宋体"/>
                <w:sz w:val="18"/>
                <w:szCs w:val="18"/>
              </w:rPr>
              <w:t>售条件</w:t>
            </w:r>
            <w:proofErr w:type="gramEnd"/>
            <w:r>
              <w:rPr>
                <w:rFonts w:ascii="宋体" w:eastAsia="宋体" w:hAnsi="宋体" w:cs="宋体"/>
                <w:sz w:val="18"/>
                <w:szCs w:val="18"/>
              </w:rPr>
              <w:t>股份</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1、国家持股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2、国有法人持股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3、其他内资持股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其中：境内法人持股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境内自然人持股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4、外资持股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其中：境外法人持股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境外自然人持股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二、无限</w:t>
            </w:r>
            <w:proofErr w:type="gramStart"/>
            <w:r>
              <w:rPr>
                <w:rFonts w:ascii="宋体" w:eastAsia="宋体" w:hAnsi="宋体" w:cs="宋体"/>
                <w:sz w:val="18"/>
                <w:szCs w:val="18"/>
              </w:rPr>
              <w:t>售条件</w:t>
            </w:r>
            <w:proofErr w:type="gramEnd"/>
            <w:r>
              <w:rPr>
                <w:rFonts w:ascii="宋体" w:eastAsia="宋体" w:hAnsi="宋体" w:cs="宋体"/>
                <w:sz w:val="18"/>
                <w:szCs w:val="18"/>
              </w:rPr>
              <w:t>股份</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1、人民币普通股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2、境内上市的外资股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3、境外上市的外资股</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4、其他</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4812B5">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三、股份总数</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42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w:t>
            </w:r>
          </w:p>
        </w:tc>
        <w:tc>
          <w:tcPr>
            <w:tcW w:w="8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股份变动的原因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股份变动的批准情况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股份变动的过户情况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股份回购的实施进展情况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采用集中竞价方式减持回购股份的实施进展情况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股份变动对最近一年和最近一期基本每股收益和稀释每股收益、归属于公司普通股股东的每股净资产等财务指标的影响</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公司认为必要或证券监管机构要求披露的其他内容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95" w:name="_Toc988984"/>
      <w:r>
        <w:rPr>
          <w:rFonts w:ascii="宋体" w:hAnsi="宋体" w:cs="宋体"/>
          <w:b/>
          <w:bCs/>
        </w:rPr>
        <w:lastRenderedPageBreak/>
        <w:t>2、限售股份变动情况</w:t>
      </w:r>
      <w:bookmarkEnd w:id="9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96" w:name="_Toc988985"/>
      <w:r>
        <w:rPr>
          <w:rFonts w:ascii="宋体" w:eastAsia="宋体" w:hAnsi="宋体" w:cs="宋体"/>
          <w:b/>
          <w:bCs/>
          <w:sz w:val="24"/>
          <w:szCs w:val="24"/>
        </w:rPr>
        <w:t>二、证券发行与上市情况</w:t>
      </w:r>
      <w:bookmarkEnd w:id="9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97" w:name="_Toc988986"/>
      <w:r>
        <w:rPr>
          <w:rFonts w:ascii="宋体" w:eastAsia="宋体" w:hAnsi="宋体" w:cs="宋体"/>
          <w:b/>
          <w:bCs/>
          <w:sz w:val="24"/>
          <w:szCs w:val="24"/>
        </w:rPr>
        <w:t>三、公司股东数量及持股情况</w:t>
      </w:r>
      <w:bookmarkEnd w:id="97"/>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84"/>
        <w:gridCol w:w="758"/>
        <w:gridCol w:w="376"/>
        <w:gridCol w:w="851"/>
        <w:gridCol w:w="283"/>
        <w:gridCol w:w="632"/>
        <w:gridCol w:w="219"/>
        <w:gridCol w:w="1275"/>
        <w:gridCol w:w="709"/>
        <w:gridCol w:w="284"/>
        <w:gridCol w:w="726"/>
        <w:gridCol w:w="549"/>
        <w:gridCol w:w="993"/>
        <w:gridCol w:w="600"/>
      </w:tblGrid>
      <w:tr w:rsidR="008820E4">
        <w:trPr>
          <w:trHeight w:val="240"/>
        </w:trPr>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报告期末普通股股东总数</w:t>
            </w:r>
          </w:p>
        </w:tc>
        <w:tc>
          <w:tcPr>
            <w:tcW w:w="2142" w:type="dxa"/>
            <w:gridSpan w:val="4"/>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33,455</w:t>
            </w:r>
          </w:p>
        </w:tc>
        <w:tc>
          <w:tcPr>
            <w:tcW w:w="3213"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F620C">
            <w:pPr>
              <w:spacing w:before="40" w:after="40" w:line="0" w:lineRule="atLeast"/>
              <w:rPr>
                <w:rFonts w:ascii="宋体" w:eastAsia="宋体" w:hAnsi="宋体" w:cs="宋体"/>
                <w:sz w:val="18"/>
                <w:szCs w:val="18"/>
              </w:rPr>
            </w:pPr>
            <w:r>
              <w:rPr>
                <w:rFonts w:ascii="宋体" w:eastAsia="宋体" w:hAnsi="宋体" w:cs="宋体"/>
                <w:sz w:val="18"/>
                <w:szCs w:val="18"/>
              </w:rPr>
              <w:t>报告期末表决权恢复的优先股股东总数（参见注8）</w:t>
            </w:r>
          </w:p>
        </w:tc>
        <w:tc>
          <w:tcPr>
            <w:tcW w:w="2142"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trPr>
          <w:trHeight w:val="240"/>
        </w:trPr>
        <w:tc>
          <w:tcPr>
            <w:tcW w:w="9639" w:type="dxa"/>
            <w:gridSpan w:val="1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持股5%以上的股东或前10名股东持股情况（不含通过转融通出借股份）</w:t>
            </w:r>
          </w:p>
        </w:tc>
      </w:tr>
      <w:tr w:rsidR="008820E4" w:rsidTr="004812B5">
        <w:trPr>
          <w:trHeight w:val="240"/>
        </w:trPr>
        <w:tc>
          <w:tcPr>
            <w:tcW w:w="138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股东名称</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股东性质</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持股比例</w:t>
            </w:r>
          </w:p>
        </w:tc>
        <w:tc>
          <w:tcPr>
            <w:tcW w:w="1134" w:type="dxa"/>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报告期末持股数量</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报告期内增减变动情况</w:t>
            </w:r>
          </w:p>
        </w:tc>
        <w:tc>
          <w:tcPr>
            <w:tcW w:w="993"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持有有限</w:t>
            </w:r>
            <w:proofErr w:type="gramStart"/>
            <w:r>
              <w:rPr>
                <w:rFonts w:ascii="宋体" w:eastAsia="宋体" w:hAnsi="宋体" w:cs="宋体"/>
                <w:sz w:val="18"/>
                <w:szCs w:val="18"/>
              </w:rPr>
              <w:t>售条件</w:t>
            </w:r>
            <w:proofErr w:type="gramEnd"/>
            <w:r>
              <w:rPr>
                <w:rFonts w:ascii="宋体" w:eastAsia="宋体" w:hAnsi="宋体" w:cs="宋体"/>
                <w:sz w:val="18"/>
                <w:szCs w:val="18"/>
              </w:rPr>
              <w:t>的股份数量</w:t>
            </w:r>
          </w:p>
        </w:tc>
        <w:tc>
          <w:tcPr>
            <w:tcW w:w="1275"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持有无限</w:t>
            </w:r>
            <w:proofErr w:type="gramStart"/>
            <w:r>
              <w:rPr>
                <w:rFonts w:ascii="宋体" w:eastAsia="宋体" w:hAnsi="宋体" w:cs="宋体"/>
                <w:sz w:val="18"/>
                <w:szCs w:val="18"/>
              </w:rPr>
              <w:t>售条件</w:t>
            </w:r>
            <w:proofErr w:type="gramEnd"/>
            <w:r>
              <w:rPr>
                <w:rFonts w:ascii="宋体" w:eastAsia="宋体" w:hAnsi="宋体" w:cs="宋体"/>
                <w:sz w:val="18"/>
                <w:szCs w:val="18"/>
              </w:rPr>
              <w:t>的股份数量</w:t>
            </w:r>
          </w:p>
        </w:tc>
        <w:tc>
          <w:tcPr>
            <w:tcW w:w="159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质押、标记或冻结情况</w:t>
            </w:r>
          </w:p>
        </w:tc>
      </w:tr>
      <w:tr w:rsidR="008820E4" w:rsidTr="004812B5">
        <w:trPr>
          <w:trHeight w:val="240"/>
        </w:trPr>
        <w:tc>
          <w:tcPr>
            <w:tcW w:w="138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134"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5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134" w:type="dxa"/>
            <w:gridSpan w:val="3"/>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7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993"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75"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股份状态</w:t>
            </w:r>
          </w:p>
        </w:tc>
        <w:tc>
          <w:tcPr>
            <w:tcW w:w="6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数量</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境内非国有法人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29.50%</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501,655,862</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501,655,862</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安徽飞亚纺织有限公司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境内非国有法人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7.59%</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129,058,312</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129,058,312</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深圳市华人投资有限公司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境内非国有法人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4.82%</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81,973,588</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81,973,588</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徐国新</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1.64%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27,932,200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17,916,200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27,932,200</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蒋国华</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1.18%</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20,095,550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20,095,550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20,095,550</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许双青</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1.02%</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17,406,750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3,296,300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17,406,750</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杭州金蟾蜍投资管理有限公司－金蟾蜍</w:t>
            </w:r>
            <w:proofErr w:type="gramStart"/>
            <w:r>
              <w:rPr>
                <w:rFonts w:ascii="宋体" w:eastAsia="宋体" w:hAnsi="宋体" w:cs="宋体"/>
                <w:sz w:val="18"/>
                <w:szCs w:val="18"/>
              </w:rPr>
              <w:t>睿</w:t>
            </w:r>
            <w:proofErr w:type="gramEnd"/>
            <w:r>
              <w:rPr>
                <w:rFonts w:ascii="宋体" w:eastAsia="宋体" w:hAnsi="宋体" w:cs="宋体"/>
                <w:sz w:val="18"/>
                <w:szCs w:val="18"/>
              </w:rPr>
              <w:t>达一号私募证券投资基金</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0.98%</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16,703,700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3,630,900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16,703,700</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张文彬</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0.91%</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15,405,900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11,954,600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15,405,900</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香港中央结算有限公司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境外法人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0.79%</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13,422,816</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-742,860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13,422,816</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许守忠</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851"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0.59%</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10,066,700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896,700</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rsidP="004812B5">
            <w:pPr>
              <w:spacing w:line="0" w:lineRule="atLeast"/>
              <w:jc w:val="right"/>
              <w:rPr>
                <w:rFonts w:ascii="宋体" w:eastAsia="宋体" w:hAnsi="宋体" w:cs="宋体"/>
                <w:sz w:val="18"/>
                <w:szCs w:val="18"/>
              </w:rPr>
            </w:pPr>
            <w:r>
              <w:rPr>
                <w:rFonts w:ascii="宋体" w:eastAsia="宋体" w:hAnsi="宋体" w:cs="宋体"/>
                <w:sz w:val="18"/>
                <w:szCs w:val="18"/>
              </w:rPr>
              <w:t>10,066,700</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4812B5">
        <w:trPr>
          <w:trHeight w:val="240"/>
        </w:trPr>
        <w:tc>
          <w:tcPr>
            <w:tcW w:w="251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战略投资者或一般法人因配售新股成为前10</w:t>
            </w:r>
            <w:r w:rsidR="001F620C">
              <w:rPr>
                <w:rFonts w:ascii="宋体" w:eastAsia="宋体" w:hAnsi="宋体" w:cs="宋体"/>
                <w:sz w:val="18"/>
                <w:szCs w:val="18"/>
              </w:rPr>
              <w:t>名股东的情况</w:t>
            </w:r>
            <w:r>
              <w:rPr>
                <w:rFonts w:ascii="宋体" w:eastAsia="宋体" w:hAnsi="宋体" w:cs="宋体"/>
                <w:sz w:val="18"/>
                <w:szCs w:val="18"/>
              </w:rPr>
              <w:t>（参见注3）</w:t>
            </w:r>
          </w:p>
        </w:tc>
        <w:tc>
          <w:tcPr>
            <w:tcW w:w="7121" w:type="dxa"/>
            <w:gridSpan w:val="11"/>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不适用</w:t>
            </w:r>
          </w:p>
        </w:tc>
      </w:tr>
      <w:tr w:rsidR="008820E4" w:rsidTr="004812B5">
        <w:trPr>
          <w:trHeight w:val="240"/>
        </w:trPr>
        <w:tc>
          <w:tcPr>
            <w:tcW w:w="251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上述股东关联关系或一致行动的说明</w:t>
            </w:r>
          </w:p>
        </w:tc>
        <w:tc>
          <w:tcPr>
            <w:tcW w:w="7121" w:type="dxa"/>
            <w:gridSpan w:val="11"/>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上述股东中华</w:t>
            </w:r>
            <w:proofErr w:type="gramStart"/>
            <w:r>
              <w:rPr>
                <w:rFonts w:ascii="宋体" w:eastAsia="宋体" w:hAnsi="宋体" w:cs="宋体"/>
                <w:sz w:val="18"/>
                <w:szCs w:val="18"/>
              </w:rPr>
              <w:t>孚</w:t>
            </w:r>
            <w:proofErr w:type="gramEnd"/>
            <w:r>
              <w:rPr>
                <w:rFonts w:ascii="宋体" w:eastAsia="宋体" w:hAnsi="宋体" w:cs="宋体"/>
                <w:sz w:val="18"/>
                <w:szCs w:val="18"/>
              </w:rPr>
              <w:t>控股有限公司、安徽飞亚纺织有限公司、深圳市华人投资有限公司为公司控股股东</w:t>
            </w:r>
            <w:proofErr w:type="gramStart"/>
            <w:r>
              <w:rPr>
                <w:rFonts w:ascii="宋体" w:eastAsia="宋体" w:hAnsi="宋体" w:cs="宋体"/>
                <w:sz w:val="18"/>
                <w:szCs w:val="18"/>
              </w:rPr>
              <w:t>及一致</w:t>
            </w:r>
            <w:proofErr w:type="gramEnd"/>
            <w:r>
              <w:rPr>
                <w:rFonts w:ascii="宋体" w:eastAsia="宋体" w:hAnsi="宋体" w:cs="宋体"/>
                <w:sz w:val="18"/>
                <w:szCs w:val="18"/>
              </w:rPr>
              <w:t>行动人，其余流通股东与控股股东之间不存在关联关系，也不属于一致行动人。未知其余流通股股东之间是否存在关联关系或是否属于一致行动人。</w:t>
            </w:r>
          </w:p>
        </w:tc>
      </w:tr>
      <w:tr w:rsidR="008820E4" w:rsidTr="004812B5">
        <w:trPr>
          <w:trHeight w:val="240"/>
        </w:trPr>
        <w:tc>
          <w:tcPr>
            <w:tcW w:w="251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上述股东涉及委托/受托表决权、放弃表决权情况的说明</w:t>
            </w:r>
          </w:p>
        </w:tc>
        <w:tc>
          <w:tcPr>
            <w:tcW w:w="7121" w:type="dxa"/>
            <w:gridSpan w:val="11"/>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w:t>
            </w:r>
          </w:p>
        </w:tc>
      </w:tr>
      <w:tr w:rsidR="008820E4" w:rsidTr="004812B5">
        <w:trPr>
          <w:trHeight w:val="240"/>
        </w:trPr>
        <w:tc>
          <w:tcPr>
            <w:tcW w:w="251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前10</w:t>
            </w:r>
            <w:r w:rsidR="001F620C">
              <w:rPr>
                <w:rFonts w:ascii="宋体" w:eastAsia="宋体" w:hAnsi="宋体" w:cs="宋体"/>
                <w:sz w:val="18"/>
                <w:szCs w:val="18"/>
              </w:rPr>
              <w:t>名股东中存在回购专户的特别说明</w:t>
            </w:r>
            <w:r>
              <w:rPr>
                <w:rFonts w:ascii="宋体" w:eastAsia="宋体" w:hAnsi="宋体" w:cs="宋体"/>
                <w:sz w:val="18"/>
                <w:szCs w:val="18"/>
              </w:rPr>
              <w:t>（参见注11）</w:t>
            </w:r>
          </w:p>
        </w:tc>
        <w:tc>
          <w:tcPr>
            <w:tcW w:w="7121" w:type="dxa"/>
            <w:gridSpan w:val="11"/>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公司本期报告前十名股东中含有回购专户，但根据披露要求不纳入前十名股东列示。截至6月30日，回购专户持股数量为95,478,485股，占比5.61%。</w:t>
            </w:r>
          </w:p>
        </w:tc>
      </w:tr>
      <w:tr w:rsidR="008820E4">
        <w:trPr>
          <w:trHeight w:val="240"/>
        </w:trPr>
        <w:tc>
          <w:tcPr>
            <w:tcW w:w="9639" w:type="dxa"/>
            <w:gridSpan w:val="1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前10名无限</w:t>
            </w:r>
            <w:proofErr w:type="gramStart"/>
            <w:r>
              <w:rPr>
                <w:rFonts w:ascii="宋体" w:eastAsia="宋体" w:hAnsi="宋体" w:cs="宋体"/>
                <w:sz w:val="18"/>
                <w:szCs w:val="18"/>
              </w:rPr>
              <w:t>售条件</w:t>
            </w:r>
            <w:proofErr w:type="gramEnd"/>
            <w:r>
              <w:rPr>
                <w:rFonts w:ascii="宋体" w:eastAsia="宋体" w:hAnsi="宋体" w:cs="宋体"/>
                <w:sz w:val="18"/>
                <w:szCs w:val="18"/>
              </w:rPr>
              <w:t>股东持股情况（不含通过转融通出借股份、高管锁定股）</w:t>
            </w:r>
          </w:p>
        </w:tc>
      </w:tr>
      <w:tr w:rsidR="008820E4" w:rsidTr="004812B5">
        <w:trPr>
          <w:trHeight w:val="240"/>
        </w:trPr>
        <w:tc>
          <w:tcPr>
            <w:tcW w:w="4503" w:type="dxa"/>
            <w:gridSpan w:val="7"/>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股东名称</w:t>
            </w:r>
          </w:p>
        </w:tc>
        <w:tc>
          <w:tcPr>
            <w:tcW w:w="1984"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报告期末持有无限</w:t>
            </w:r>
            <w:proofErr w:type="gramStart"/>
            <w:r>
              <w:rPr>
                <w:rFonts w:ascii="宋体" w:eastAsia="宋体" w:hAnsi="宋体" w:cs="宋体"/>
                <w:sz w:val="18"/>
                <w:szCs w:val="18"/>
              </w:rPr>
              <w:t>售条件</w:t>
            </w:r>
            <w:proofErr w:type="gramEnd"/>
            <w:r>
              <w:rPr>
                <w:rFonts w:ascii="宋体" w:eastAsia="宋体" w:hAnsi="宋体" w:cs="宋体"/>
                <w:sz w:val="18"/>
                <w:szCs w:val="18"/>
              </w:rPr>
              <w:t>股份数量</w:t>
            </w:r>
          </w:p>
        </w:tc>
        <w:tc>
          <w:tcPr>
            <w:tcW w:w="315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股份种类</w:t>
            </w:r>
          </w:p>
        </w:tc>
      </w:tr>
      <w:tr w:rsidR="008820E4" w:rsidTr="004812B5">
        <w:trPr>
          <w:trHeight w:val="240"/>
        </w:trPr>
        <w:tc>
          <w:tcPr>
            <w:tcW w:w="4503" w:type="dxa"/>
            <w:gridSpan w:val="7"/>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84"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55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股份种类</w:t>
            </w:r>
          </w:p>
        </w:tc>
        <w:tc>
          <w:tcPr>
            <w:tcW w:w="159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数量</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501,655,862</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501,655,862</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安徽飞亚纺织有限公司</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129,058,312</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129,058,312</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深圳市华人投资有限公司</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81,973,588</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81,973,588</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徐国新</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27,932,200</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27,932,200</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蒋国华</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20,095,550</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20,095,550</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许双青</w:t>
            </w:r>
            <w:proofErr w:type="gramEnd"/>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17,406,750</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17,406,750</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杭州金蟾蜍投资管理有限公司－金蟾蜍</w:t>
            </w:r>
            <w:proofErr w:type="gramStart"/>
            <w:r>
              <w:rPr>
                <w:rFonts w:ascii="宋体" w:eastAsia="宋体" w:hAnsi="宋体" w:cs="宋体"/>
                <w:sz w:val="18"/>
                <w:szCs w:val="18"/>
              </w:rPr>
              <w:t>睿</w:t>
            </w:r>
            <w:proofErr w:type="gramEnd"/>
            <w:r>
              <w:rPr>
                <w:rFonts w:ascii="宋体" w:eastAsia="宋体" w:hAnsi="宋体" w:cs="宋体"/>
                <w:sz w:val="18"/>
                <w:szCs w:val="18"/>
              </w:rPr>
              <w:t>达一号私募证券投资基金</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16,703,700</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16,703,700</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张文彬</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15,405,900</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15,405,900</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香港中央结算有限公司</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13,422,816</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13,422,816</w:t>
            </w:r>
          </w:p>
        </w:tc>
      </w:tr>
      <w:tr w:rsidR="008820E4" w:rsidTr="004812B5">
        <w:trPr>
          <w:trHeight w:val="240"/>
        </w:trPr>
        <w:tc>
          <w:tcPr>
            <w:tcW w:w="4503"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许守忠</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10,066,700</w:t>
            </w:r>
          </w:p>
        </w:tc>
        <w:tc>
          <w:tcPr>
            <w:tcW w:w="1559" w:type="dxa"/>
            <w:gridSpan w:val="3"/>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人民币普通股</w:t>
            </w:r>
          </w:p>
        </w:tc>
        <w:tc>
          <w:tcPr>
            <w:tcW w:w="1593"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10,066,700</w:t>
            </w:r>
          </w:p>
        </w:tc>
      </w:tr>
      <w:tr w:rsidR="008820E4" w:rsidTr="004812B5">
        <w:trPr>
          <w:trHeight w:val="240"/>
        </w:trPr>
        <w:tc>
          <w:tcPr>
            <w:tcW w:w="365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前10名无限</w:t>
            </w:r>
            <w:proofErr w:type="gramStart"/>
            <w:r>
              <w:rPr>
                <w:rFonts w:ascii="宋体" w:eastAsia="宋体" w:hAnsi="宋体" w:cs="宋体"/>
                <w:sz w:val="18"/>
                <w:szCs w:val="18"/>
              </w:rPr>
              <w:t>售条件</w:t>
            </w:r>
            <w:proofErr w:type="gramEnd"/>
            <w:r>
              <w:rPr>
                <w:rFonts w:ascii="宋体" w:eastAsia="宋体" w:hAnsi="宋体" w:cs="宋体"/>
                <w:sz w:val="18"/>
                <w:szCs w:val="18"/>
              </w:rPr>
              <w:t>股东之间，以及前10名无限</w:t>
            </w:r>
            <w:proofErr w:type="gramStart"/>
            <w:r>
              <w:rPr>
                <w:rFonts w:ascii="宋体" w:eastAsia="宋体" w:hAnsi="宋体" w:cs="宋体"/>
                <w:sz w:val="18"/>
                <w:szCs w:val="18"/>
              </w:rPr>
              <w:t>售条件</w:t>
            </w:r>
            <w:proofErr w:type="gramEnd"/>
            <w:r>
              <w:rPr>
                <w:rFonts w:ascii="宋体" w:eastAsia="宋体" w:hAnsi="宋体" w:cs="宋体"/>
                <w:sz w:val="18"/>
                <w:szCs w:val="18"/>
              </w:rPr>
              <w:t>股东和前10名股东之间关联关系或一致行动的说明</w:t>
            </w:r>
          </w:p>
        </w:tc>
        <w:tc>
          <w:tcPr>
            <w:tcW w:w="5987" w:type="dxa"/>
            <w:gridSpan w:val="9"/>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前10名无限</w:t>
            </w:r>
            <w:proofErr w:type="gramStart"/>
            <w:r>
              <w:rPr>
                <w:rFonts w:ascii="宋体" w:eastAsia="宋体" w:hAnsi="宋体" w:cs="宋体"/>
                <w:sz w:val="18"/>
                <w:szCs w:val="18"/>
              </w:rPr>
              <w:t>售流通</w:t>
            </w:r>
            <w:proofErr w:type="gramEnd"/>
            <w:r>
              <w:rPr>
                <w:rFonts w:ascii="宋体" w:eastAsia="宋体" w:hAnsi="宋体" w:cs="宋体"/>
                <w:sz w:val="18"/>
                <w:szCs w:val="18"/>
              </w:rPr>
              <w:t>股股东中华</w:t>
            </w:r>
            <w:proofErr w:type="gramStart"/>
            <w:r>
              <w:rPr>
                <w:rFonts w:ascii="宋体" w:eastAsia="宋体" w:hAnsi="宋体" w:cs="宋体"/>
                <w:sz w:val="18"/>
                <w:szCs w:val="18"/>
              </w:rPr>
              <w:t>孚</w:t>
            </w:r>
            <w:proofErr w:type="gramEnd"/>
            <w:r>
              <w:rPr>
                <w:rFonts w:ascii="宋体" w:eastAsia="宋体" w:hAnsi="宋体" w:cs="宋体"/>
                <w:sz w:val="18"/>
                <w:szCs w:val="18"/>
              </w:rPr>
              <w:t>控股有限公司、安徽飞亚纺织有限公司、深圳市华人投资有限公司为公司控股股东</w:t>
            </w:r>
            <w:proofErr w:type="gramStart"/>
            <w:r>
              <w:rPr>
                <w:rFonts w:ascii="宋体" w:eastAsia="宋体" w:hAnsi="宋体" w:cs="宋体"/>
                <w:sz w:val="18"/>
                <w:szCs w:val="18"/>
              </w:rPr>
              <w:t>及一致</w:t>
            </w:r>
            <w:proofErr w:type="gramEnd"/>
            <w:r>
              <w:rPr>
                <w:rFonts w:ascii="宋体" w:eastAsia="宋体" w:hAnsi="宋体" w:cs="宋体"/>
                <w:sz w:val="18"/>
                <w:szCs w:val="18"/>
              </w:rPr>
              <w:t>行动人，其余流通股东与控股股东之间不存在关联关系，也不属于一致行动人。未知其余流通股股东之间是否存在关联关系或是否属于一致行动人。</w:t>
            </w:r>
          </w:p>
        </w:tc>
      </w:tr>
      <w:tr w:rsidR="008820E4" w:rsidTr="004812B5">
        <w:trPr>
          <w:trHeight w:val="240"/>
        </w:trPr>
        <w:tc>
          <w:tcPr>
            <w:tcW w:w="365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前10</w:t>
            </w:r>
            <w:r w:rsidR="001F620C">
              <w:rPr>
                <w:rFonts w:ascii="宋体" w:eastAsia="宋体" w:hAnsi="宋体" w:cs="宋体"/>
                <w:sz w:val="18"/>
                <w:szCs w:val="18"/>
              </w:rPr>
              <w:t>名普通股股东参与融资融券业务情况说明</w:t>
            </w:r>
            <w:r>
              <w:rPr>
                <w:rFonts w:ascii="宋体" w:eastAsia="宋体" w:hAnsi="宋体" w:cs="宋体"/>
                <w:sz w:val="18"/>
                <w:szCs w:val="18"/>
              </w:rPr>
              <w:t>（参见注4）</w:t>
            </w:r>
          </w:p>
        </w:tc>
        <w:tc>
          <w:tcPr>
            <w:tcW w:w="5987" w:type="dxa"/>
            <w:gridSpan w:val="9"/>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持股5%以上股东、前10名股东及前10名无限</w:t>
      </w:r>
      <w:proofErr w:type="gramStart"/>
      <w:r>
        <w:rPr>
          <w:rFonts w:ascii="宋体" w:eastAsia="宋体" w:hAnsi="宋体" w:cs="宋体"/>
          <w:sz w:val="18"/>
          <w:szCs w:val="18"/>
        </w:rPr>
        <w:t>售流通</w:t>
      </w:r>
      <w:proofErr w:type="gramEnd"/>
      <w:r>
        <w:rPr>
          <w:rFonts w:ascii="宋体" w:eastAsia="宋体" w:hAnsi="宋体" w:cs="宋体"/>
          <w:sz w:val="18"/>
          <w:szCs w:val="18"/>
        </w:rPr>
        <w:t>股股东参与转融通业务出借股份情况</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前10名股东及前10名无限</w:t>
      </w:r>
      <w:proofErr w:type="gramStart"/>
      <w:r>
        <w:rPr>
          <w:rFonts w:ascii="宋体" w:eastAsia="宋体" w:hAnsi="宋体" w:cs="宋体"/>
          <w:sz w:val="18"/>
          <w:szCs w:val="18"/>
        </w:rPr>
        <w:t>售流通</w:t>
      </w:r>
      <w:proofErr w:type="gramEnd"/>
      <w:r>
        <w:rPr>
          <w:rFonts w:ascii="宋体" w:eastAsia="宋体" w:hAnsi="宋体" w:cs="宋体"/>
          <w:sz w:val="18"/>
          <w:szCs w:val="18"/>
        </w:rPr>
        <w:t>股股东因转融通出借/归还原因导致较上期发生变化</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公司前10名普通股股东、前10名无限</w:t>
      </w:r>
      <w:proofErr w:type="gramStart"/>
      <w:r>
        <w:rPr>
          <w:rFonts w:ascii="宋体" w:eastAsia="宋体" w:hAnsi="宋体" w:cs="宋体"/>
          <w:sz w:val="18"/>
          <w:szCs w:val="18"/>
        </w:rPr>
        <w:t>售条件</w:t>
      </w:r>
      <w:proofErr w:type="gramEnd"/>
      <w:r>
        <w:rPr>
          <w:rFonts w:ascii="宋体" w:eastAsia="宋体" w:hAnsi="宋体" w:cs="宋体"/>
          <w:sz w:val="18"/>
          <w:szCs w:val="18"/>
        </w:rPr>
        <w:t>普通股股东在报告期内是否进行约定购回交易</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□是 □否</w:t>
      </w:r>
    </w:p>
    <w:p w:rsidR="008820E4" w:rsidRDefault="005C49A8">
      <w:pPr>
        <w:pStyle w:val="2"/>
        <w:spacing w:before="300" w:after="300" w:line="320" w:lineRule="exact"/>
        <w:rPr>
          <w:rFonts w:ascii="宋体" w:eastAsia="宋体" w:hAnsi="宋体" w:cs="宋体"/>
          <w:b/>
          <w:bCs/>
          <w:sz w:val="24"/>
          <w:szCs w:val="24"/>
        </w:rPr>
      </w:pPr>
      <w:bookmarkStart w:id="98" w:name="_Toc988987"/>
      <w:r>
        <w:rPr>
          <w:rFonts w:ascii="宋体" w:eastAsia="宋体" w:hAnsi="宋体" w:cs="宋体"/>
          <w:b/>
          <w:bCs/>
          <w:sz w:val="24"/>
          <w:szCs w:val="24"/>
        </w:rPr>
        <w:t>四、董事、监事和高级管理人员持股变动</w:t>
      </w:r>
      <w:bookmarkEnd w:id="9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公司董事、监事和高级管理人员在报告期持股情况没有发生变动，具体可参见2024年年报。</w:t>
      </w:r>
    </w:p>
    <w:p w:rsidR="008820E4" w:rsidRDefault="005C49A8">
      <w:pPr>
        <w:pStyle w:val="2"/>
        <w:spacing w:before="300" w:after="300" w:line="320" w:lineRule="exact"/>
        <w:rPr>
          <w:rFonts w:ascii="宋体" w:eastAsia="宋体" w:hAnsi="宋体" w:cs="宋体"/>
          <w:b/>
          <w:bCs/>
          <w:sz w:val="24"/>
          <w:szCs w:val="24"/>
        </w:rPr>
      </w:pPr>
      <w:bookmarkStart w:id="99" w:name="_Toc988988"/>
      <w:r>
        <w:rPr>
          <w:rFonts w:ascii="宋体" w:eastAsia="宋体" w:hAnsi="宋体" w:cs="宋体"/>
          <w:b/>
          <w:bCs/>
          <w:sz w:val="24"/>
          <w:szCs w:val="24"/>
        </w:rPr>
        <w:t>五、控股股东或实际控制人变更情况</w:t>
      </w:r>
      <w:bookmarkEnd w:id="99"/>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控股股东报告期内变更</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公司报告期控股股东未发生变更。</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实际控制人报告期内变更</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公司报告期实际控制人未发生变更。</w:t>
      </w:r>
    </w:p>
    <w:p w:rsidR="008820E4" w:rsidRDefault="005C49A8">
      <w:r>
        <w:br w:type="page"/>
      </w:r>
    </w:p>
    <w:p w:rsidR="008820E4" w:rsidRDefault="005C49A8">
      <w:pPr>
        <w:pStyle w:val="2"/>
        <w:spacing w:before="300" w:after="300" w:line="320" w:lineRule="exact"/>
        <w:rPr>
          <w:rFonts w:ascii="宋体" w:eastAsia="宋体" w:hAnsi="宋体" w:cs="宋体"/>
          <w:b/>
          <w:bCs/>
          <w:sz w:val="24"/>
          <w:szCs w:val="24"/>
        </w:rPr>
      </w:pPr>
      <w:bookmarkStart w:id="100" w:name="_Toc988989"/>
      <w:r>
        <w:rPr>
          <w:rFonts w:ascii="宋体" w:eastAsia="宋体" w:hAnsi="宋体" w:cs="宋体"/>
          <w:b/>
          <w:bCs/>
          <w:sz w:val="24"/>
          <w:szCs w:val="24"/>
        </w:rPr>
        <w:lastRenderedPageBreak/>
        <w:t>六、优先股相关情况</w:t>
      </w:r>
      <w:bookmarkEnd w:id="10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报告期公司不存在优先股。</w:t>
      </w:r>
    </w:p>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101" w:name="_Toc988990"/>
      <w:r>
        <w:rPr>
          <w:rFonts w:ascii="宋体" w:eastAsia="宋体" w:hAnsi="宋体" w:cs="宋体"/>
          <w:b/>
          <w:bCs/>
          <w:sz w:val="32"/>
          <w:szCs w:val="32"/>
        </w:rPr>
        <w:lastRenderedPageBreak/>
        <w:t>第七节 债券相关情况</w:t>
      </w:r>
      <w:bookmarkEnd w:id="10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102" w:name="_Toc988991"/>
      <w:r>
        <w:rPr>
          <w:rFonts w:ascii="宋体" w:eastAsia="宋体" w:hAnsi="宋体" w:cs="宋体"/>
          <w:b/>
          <w:bCs/>
          <w:sz w:val="32"/>
          <w:szCs w:val="32"/>
        </w:rPr>
        <w:lastRenderedPageBreak/>
        <w:t>第八节 财务报告</w:t>
      </w:r>
      <w:bookmarkEnd w:id="102"/>
    </w:p>
    <w:p w:rsidR="008820E4" w:rsidRDefault="005C49A8">
      <w:pPr>
        <w:pStyle w:val="2"/>
        <w:spacing w:before="300" w:after="300" w:line="320" w:lineRule="exact"/>
        <w:rPr>
          <w:rFonts w:ascii="宋体" w:eastAsia="宋体" w:hAnsi="宋体" w:cs="宋体"/>
          <w:b/>
          <w:bCs/>
          <w:sz w:val="24"/>
          <w:szCs w:val="24"/>
        </w:rPr>
      </w:pPr>
      <w:bookmarkStart w:id="103" w:name="_Toc988992"/>
      <w:r>
        <w:rPr>
          <w:rFonts w:ascii="宋体" w:eastAsia="宋体" w:hAnsi="宋体" w:cs="宋体"/>
          <w:b/>
          <w:bCs/>
          <w:sz w:val="24"/>
          <w:szCs w:val="24"/>
        </w:rPr>
        <w:t>一、审计报告</w:t>
      </w:r>
      <w:bookmarkEnd w:id="10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半年度报告是否经过审计</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公司半年度财务报告未经审计。</w:t>
      </w:r>
    </w:p>
    <w:p w:rsidR="008820E4" w:rsidRDefault="005C49A8">
      <w:pPr>
        <w:pStyle w:val="2"/>
        <w:spacing w:before="300" w:after="300" w:line="320" w:lineRule="exact"/>
        <w:rPr>
          <w:rFonts w:ascii="宋体" w:eastAsia="宋体" w:hAnsi="宋体" w:cs="宋体"/>
          <w:b/>
          <w:bCs/>
          <w:sz w:val="24"/>
          <w:szCs w:val="24"/>
        </w:rPr>
      </w:pPr>
      <w:bookmarkStart w:id="104" w:name="_Toc988993"/>
      <w:r>
        <w:rPr>
          <w:rFonts w:ascii="宋体" w:eastAsia="宋体" w:hAnsi="宋体" w:cs="宋体"/>
          <w:b/>
          <w:bCs/>
          <w:sz w:val="24"/>
          <w:szCs w:val="24"/>
        </w:rPr>
        <w:t>二、财务报表</w:t>
      </w:r>
      <w:bookmarkEnd w:id="10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财务附注中报表的单位为：元</w:t>
      </w:r>
    </w:p>
    <w:p w:rsidR="008820E4" w:rsidRDefault="005C49A8">
      <w:pPr>
        <w:pStyle w:val="3"/>
        <w:spacing w:line="280" w:lineRule="exact"/>
        <w:jc w:val="left"/>
        <w:rPr>
          <w:rFonts w:ascii="宋体" w:hAnsi="宋体" w:cs="宋体"/>
          <w:b/>
          <w:bCs/>
        </w:rPr>
      </w:pPr>
      <w:bookmarkStart w:id="105" w:name="_Toc988994"/>
      <w:r>
        <w:rPr>
          <w:rFonts w:ascii="宋体" w:hAnsi="宋体" w:cs="宋体"/>
          <w:b/>
          <w:bCs/>
        </w:rPr>
        <w:t>1、合并资产负债表</w:t>
      </w:r>
      <w:bookmarkEnd w:id="105"/>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编制单位：华孚时尚股份有限公司</w:t>
      </w:r>
    </w:p>
    <w:p w:rsidR="008820E4" w:rsidRDefault="005C49A8">
      <w:pPr>
        <w:spacing w:line="240" w:lineRule="exact"/>
        <w:jc w:val="center"/>
        <w:rPr>
          <w:rFonts w:ascii="宋体" w:eastAsia="宋体" w:hAnsi="宋体" w:cs="宋体"/>
          <w:sz w:val="18"/>
          <w:szCs w:val="18"/>
        </w:rPr>
      </w:pPr>
      <w:r>
        <w:rPr>
          <w:rFonts w:ascii="宋体" w:eastAsia="宋体" w:hAnsi="宋体" w:cs="宋体"/>
          <w:sz w:val="18"/>
          <w:szCs w:val="18"/>
        </w:rPr>
        <w:t>2025年06月30日</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4,037,623,872.92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2,495,550,845.58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231,193,994.30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994,609,994.76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796,363,179.47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3,907,753,676.34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4,761,974,722.16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267,494,507.30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193,526,358.08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11,521,242,243.66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10,170,894,634.26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386,648.41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229,309.79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113,138,490.87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81,709,147.94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4,343,396,060.69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25,494,816.54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29,160,426.37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804,569,022.80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878,643,973.35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148,450,528.33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131,930,528.33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11,073,269.19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11,621,038.46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217,861,688.07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213,210,116.57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158,088,354.94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170,652,289.73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6,705,129,329.53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7,008,343,985.67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18,226,371,573.19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17,179,238,619.93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8,350,049,855.01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7,771,483,075.58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74,869,282.09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66,703,857.91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1,049,959,297.04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878,825,537.78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11,132,758.67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7,589,549.18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57,262,182.97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71,223,091.40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48,833,787.73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42,713,403.37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445,767,125.98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317,816,873.42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51,230,493.75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60,619,344.22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10,829,040,589.80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9,930,930,463.53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985,344,410.29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818,855,854.27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22,597,601.45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23,335,579.97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23,128,726.08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14,335,999.28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1,345,364,568.29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1,174,267,805.47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12,174,405,158.09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11,105,198,269.00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-185,713,746.81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1,440,664,626.77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5,734,638,621.07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317,327,794.03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291,121,567.71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6,051,966,415.10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6,074,040,350.93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18,226,371,573.19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17,179,238,619.93</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法定代表人：孙伟挺   </w:t>
      </w:r>
      <w:r w:rsidR="004812B5">
        <w:rPr>
          <w:rFonts w:ascii="宋体" w:eastAsia="宋体" w:hAnsi="宋体" w:cs="宋体" w:hint="eastAsia"/>
          <w:sz w:val="18"/>
          <w:szCs w:val="18"/>
        </w:rPr>
        <w:t xml:space="preserve">             </w:t>
      </w:r>
      <w:r>
        <w:rPr>
          <w:rFonts w:ascii="宋体" w:eastAsia="宋体" w:hAnsi="宋体" w:cs="宋体"/>
          <w:sz w:val="18"/>
          <w:szCs w:val="18"/>
        </w:rPr>
        <w:t xml:space="preserve"> 主管会计工作负责人：陈玲芬   </w:t>
      </w:r>
      <w:r w:rsidR="004812B5">
        <w:rPr>
          <w:rFonts w:ascii="宋体" w:eastAsia="宋体" w:hAnsi="宋体" w:cs="宋体" w:hint="eastAsia"/>
          <w:sz w:val="18"/>
          <w:szCs w:val="18"/>
        </w:rPr>
        <w:t xml:space="preserve">               </w:t>
      </w:r>
      <w:r>
        <w:rPr>
          <w:rFonts w:ascii="宋体" w:eastAsia="宋体" w:hAnsi="宋体" w:cs="宋体"/>
          <w:sz w:val="18"/>
          <w:szCs w:val="18"/>
        </w:rPr>
        <w:t xml:space="preserve">   会计机构负责人：王国友</w:t>
      </w:r>
    </w:p>
    <w:p w:rsidR="008820E4" w:rsidRDefault="005C49A8">
      <w:pPr>
        <w:pStyle w:val="3"/>
        <w:spacing w:line="320" w:lineRule="exact"/>
        <w:jc w:val="left"/>
        <w:rPr>
          <w:rFonts w:ascii="宋体" w:hAnsi="宋体" w:cs="宋体"/>
          <w:b/>
          <w:bCs/>
          <w:sz w:val="24"/>
          <w:szCs w:val="24"/>
        </w:rPr>
      </w:pPr>
      <w:bookmarkStart w:id="106" w:name="_Toc988995"/>
      <w:r>
        <w:rPr>
          <w:rFonts w:ascii="宋体" w:hAnsi="宋体" w:cs="宋体"/>
          <w:b/>
          <w:bCs/>
          <w:sz w:val="24"/>
          <w:szCs w:val="24"/>
        </w:rPr>
        <w:t>2、母公司资产负债表</w:t>
      </w:r>
      <w:bookmarkEnd w:id="10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400,988,173.88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115,021,547.26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38,844,670.10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37,354,670.10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117,837,080.06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7,210,307.45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786,009,839.63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1,106,281,125.37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177,520,442.03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151,466,130.47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59,815,061.48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61,059,875.11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1,653,687,478.47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1,509,418,245.25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89,742,490.87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58,313,147.94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36,672,943.98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37,555,447.98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671,116,645.60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694,534,003.45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198,788,246.82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201,632,450.37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1,098,976.94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12,808,821.78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12,808,821.78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9,855,022.79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21,023,963.79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5,401,812,409.66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5,389,286,717.08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7,055,499,888.13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6,898,704,962.33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205,159,291.66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170,159,988.89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512,820,000.00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359,628,423.89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864,605,193.49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1,331,618.84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4,475,575.56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6,291,494.68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4,854,762.55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1,073,757.65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4,065,239.16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22,736,502.14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20,153,552.36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139,942,658.17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60,499,895.19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1,042.30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1,248,983,747.03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1,128,815,249.50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354,534,266.80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357,825,412.46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46,297,518.67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48,776,994.67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7,719,354.13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3,004,952.69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408,551,139.60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409,607,359.82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1,657,534,886.63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1,538,422,609.32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60,545,686.07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33,830,744.58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520,745,208.50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509,777,501.50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5,397,965,001.50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5,360,282,353.01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EA52D0">
            <w:pPr>
              <w:spacing w:line="0" w:lineRule="atLeast"/>
              <w:jc w:val="right"/>
              <w:rPr>
                <w:rFonts w:ascii="宋体" w:eastAsia="宋体" w:hAnsi="宋体" w:cs="宋体"/>
                <w:sz w:val="18"/>
                <w:szCs w:val="18"/>
              </w:rPr>
            </w:pPr>
            <w:r w:rsidRPr="00EA52D0">
              <w:rPr>
                <w:rFonts w:ascii="宋体" w:eastAsia="宋体" w:hAnsi="宋体" w:cs="宋体"/>
                <w:sz w:val="18"/>
                <w:szCs w:val="18"/>
              </w:rPr>
              <w:t>7,055,499,888.13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6,898,704,962.33</w:t>
            </w:r>
          </w:p>
        </w:tc>
      </w:tr>
    </w:tbl>
    <w:p w:rsidR="008820E4" w:rsidRDefault="005C49A8">
      <w:pPr>
        <w:pStyle w:val="3"/>
        <w:spacing w:line="280" w:lineRule="exact"/>
        <w:jc w:val="left"/>
        <w:rPr>
          <w:rFonts w:ascii="宋体" w:hAnsi="宋体" w:cs="宋体"/>
          <w:b/>
          <w:bCs/>
        </w:rPr>
      </w:pPr>
      <w:bookmarkStart w:id="107" w:name="_Toc988996"/>
      <w:r>
        <w:rPr>
          <w:rFonts w:ascii="宋体" w:hAnsi="宋体" w:cs="宋体"/>
          <w:b/>
          <w:bCs/>
        </w:rPr>
        <w:t>3、合并利润表</w:t>
      </w:r>
      <w:bookmarkEnd w:id="10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lastRenderedPageBreak/>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6,015,512,810.59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6,526,556,917.66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6,117,898,603.32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41,181,403.05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40,234,045.22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54,598,732.88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52,789,991.86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157,722,589.96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156,860,189.02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64,132,053.44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56,859,805.33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93,080,933.20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101,914,282.91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97,500,107.36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88,505,950.88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11,881,046.74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8,464,181.30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41,764,407.62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23,457,818.12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5,650,906.95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800" w:firstLine="1440"/>
              <w:rPr>
                <w:rFonts w:ascii="宋体" w:eastAsia="宋体" w:hAnsi="宋体" w:cs="宋体"/>
                <w:sz w:val="18"/>
                <w:szCs w:val="18"/>
              </w:rPr>
            </w:pPr>
            <w:r>
              <w:rPr>
                <w:rFonts w:ascii="宋体" w:eastAsia="宋体" w:hAnsi="宋体" w:cs="宋体"/>
                <w:sz w:val="18"/>
                <w:szCs w:val="18"/>
              </w:rPr>
              <w:t>以摊</w:t>
            </w:r>
            <w:proofErr w:type="gramStart"/>
            <w:r>
              <w:rPr>
                <w:rFonts w:ascii="宋体" w:eastAsia="宋体" w:hAnsi="宋体" w:cs="宋体"/>
                <w:sz w:val="18"/>
                <w:szCs w:val="18"/>
              </w:rPr>
              <w:t>余成本</w:t>
            </w:r>
            <w:proofErr w:type="gramEnd"/>
            <w:r>
              <w:rPr>
                <w:rFonts w:ascii="宋体" w:eastAsia="宋体" w:hAnsi="宋体" w:cs="宋体"/>
                <w:sz w:val="18"/>
                <w:szCs w:val="18"/>
              </w:rPr>
              <w:t>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-12,171,480.20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3,057,845.75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-2,318,531.43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39,798,767.60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67,854,234.81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997,577.95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1,849,627.52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2,942,568.17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38,496,510.34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66,761,294.16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11,527,174.10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31,303,997.61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55,234,120.06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1.持续经营净利润（净亏损以</w:t>
            </w:r>
            <w:r>
              <w:rPr>
                <w:rFonts w:ascii="宋体" w:eastAsia="宋体" w:hAnsi="宋体" w:cs="宋体"/>
                <w:sz w:val="18"/>
                <w:szCs w:val="18"/>
              </w:rPr>
              <w:lastRenderedPageBreak/>
              <w:t>“—”号填列）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lastRenderedPageBreak/>
              <w:t>2.终止经营净利润（净亏损以“—”号填列）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44,804,621.17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2.少数股东损益（净亏损以“—”号填列）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6,206,226.32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10,429,498.89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-66,991,784.24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-66,991,784.24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28,039,515.77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-67,916,889.12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-67,916,889.12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-42,073,935.83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-11,757,664.18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-48,280,162.15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-22,187,163.07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6,206,226.32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10,429,498.89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r>
    </w:tbl>
    <w:p w:rsidR="008820E4" w:rsidRDefault="005C49A8" w:rsidP="00CF103B">
      <w:pPr>
        <w:spacing w:before="100" w:after="100" w:line="240" w:lineRule="exact"/>
        <w:ind w:firstLineChars="200" w:firstLine="360"/>
        <w:rPr>
          <w:rFonts w:ascii="宋体" w:eastAsia="宋体" w:hAnsi="宋体" w:cs="宋体"/>
          <w:sz w:val="18"/>
          <w:szCs w:val="18"/>
        </w:rPr>
      </w:pPr>
      <w:r>
        <w:rPr>
          <w:rFonts w:ascii="宋体" w:eastAsia="宋体" w:hAnsi="宋体" w:cs="宋体"/>
          <w:sz w:val="18"/>
          <w:szCs w:val="18"/>
        </w:rPr>
        <w:t>本期发生同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下企业合并的，被合并方在合并前实现的净利润为：0.00元，上期被合并方实现的净利润为：0.00元。</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法定代表人：孙伟挺    </w:t>
      </w:r>
      <w:r w:rsidR="00CF103B">
        <w:rPr>
          <w:rFonts w:ascii="宋体" w:eastAsia="宋体" w:hAnsi="宋体" w:cs="宋体" w:hint="eastAsia"/>
          <w:sz w:val="18"/>
          <w:szCs w:val="18"/>
        </w:rPr>
        <w:t xml:space="preserve">                </w:t>
      </w:r>
      <w:r>
        <w:rPr>
          <w:rFonts w:ascii="宋体" w:eastAsia="宋体" w:hAnsi="宋体" w:cs="宋体"/>
          <w:sz w:val="18"/>
          <w:szCs w:val="18"/>
        </w:rPr>
        <w:t xml:space="preserve">主管会计工作负责人：陈玲芬    </w:t>
      </w:r>
      <w:r w:rsidR="00CF103B">
        <w:rPr>
          <w:rFonts w:ascii="宋体" w:eastAsia="宋体" w:hAnsi="宋体" w:cs="宋体" w:hint="eastAsia"/>
          <w:sz w:val="18"/>
          <w:szCs w:val="18"/>
        </w:rPr>
        <w:t xml:space="preserve">              </w:t>
      </w:r>
      <w:r>
        <w:rPr>
          <w:rFonts w:ascii="宋体" w:eastAsia="宋体" w:hAnsi="宋体" w:cs="宋体"/>
          <w:sz w:val="18"/>
          <w:szCs w:val="18"/>
        </w:rPr>
        <w:t>会计机构负责人：王国友</w:t>
      </w:r>
    </w:p>
    <w:p w:rsidR="008820E4" w:rsidRDefault="005C49A8">
      <w:pPr>
        <w:pStyle w:val="3"/>
        <w:spacing w:line="280" w:lineRule="exact"/>
        <w:jc w:val="left"/>
        <w:rPr>
          <w:rFonts w:ascii="宋体" w:hAnsi="宋体" w:cs="宋体"/>
          <w:b/>
          <w:bCs/>
        </w:rPr>
      </w:pPr>
      <w:bookmarkStart w:id="108" w:name="_Toc988997"/>
      <w:r>
        <w:rPr>
          <w:rFonts w:ascii="宋体" w:hAnsi="宋体" w:cs="宋体"/>
          <w:b/>
          <w:bCs/>
        </w:rPr>
        <w:t>4、母公司利润表</w:t>
      </w:r>
      <w:bookmarkEnd w:id="10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522,707,909.71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424,899,507.08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5,918,473.92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5,406,256.19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1,567,235.67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1,673,722.91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lastRenderedPageBreak/>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15,313,833.53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12,007,196.87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29,761,545.83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21,862,656.28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12,351,549.08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9,371,009.27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11,067,716.24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5,263,710.45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700" w:firstLine="126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168,035.02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1,036,781.23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4,056,220.94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2,913,461.69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60,835,141.32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840,863.69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700" w:firstLine="1260"/>
              <w:rPr>
                <w:rFonts w:ascii="宋体" w:eastAsia="宋体" w:hAnsi="宋体" w:cs="宋体"/>
                <w:sz w:val="18"/>
                <w:szCs w:val="18"/>
              </w:rPr>
            </w:pPr>
            <w:r>
              <w:rPr>
                <w:rFonts w:ascii="宋体" w:eastAsia="宋体" w:hAnsi="宋体" w:cs="宋体"/>
                <w:sz w:val="18"/>
                <w:szCs w:val="18"/>
              </w:rPr>
              <w:t>以摊</w:t>
            </w:r>
            <w:proofErr w:type="gramStart"/>
            <w:r>
              <w:rPr>
                <w:rFonts w:ascii="宋体" w:eastAsia="宋体" w:hAnsi="宋体" w:cs="宋体"/>
                <w:sz w:val="18"/>
                <w:szCs w:val="18"/>
              </w:rPr>
              <w:t>余成本</w:t>
            </w:r>
            <w:proofErr w:type="gramEnd"/>
            <w:r>
              <w:rPr>
                <w:rFonts w:ascii="宋体" w:eastAsia="宋体" w:hAnsi="宋体" w:cs="宋体"/>
                <w:sz w:val="18"/>
                <w:szCs w:val="18"/>
              </w:rPr>
              <w:t>计量的金融资产终止确认收益（损失以“—”号填列）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82,227.04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-7,023,114.50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394,675.29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50,868.73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-25,931.21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10,922,987.24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51,692,857.61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80,295.02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2,679.42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35,575.26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571,601.55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51,123,935.48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-1,518,859.80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四、净利润（净亏损以“—”号填列）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lastRenderedPageBreak/>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37,682,648.49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53,567,900.16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七、每股收益：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pStyle w:val="3"/>
        <w:spacing w:line="280" w:lineRule="exact"/>
        <w:jc w:val="left"/>
        <w:rPr>
          <w:rFonts w:ascii="宋体" w:hAnsi="宋体" w:cs="宋体"/>
          <w:b/>
          <w:bCs/>
        </w:rPr>
      </w:pPr>
      <w:bookmarkStart w:id="109" w:name="_Toc988998"/>
      <w:r>
        <w:rPr>
          <w:rFonts w:ascii="宋体" w:hAnsi="宋体" w:cs="宋体"/>
          <w:b/>
          <w:bCs/>
        </w:rPr>
        <w:t>5、合并现金流量表</w:t>
      </w:r>
      <w:bookmarkEnd w:id="10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7,637,426,690.92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7,433,540,349.56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6,755,335.74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8,417,045.56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730,810,203.00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561,046,643.88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8,374,992,229.66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8,003,004,039.00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6,075,962,269.85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5,655,063,802.73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421,500,691.91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401,139,783.32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158,381,273.46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190,636,894.26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486,619,178.36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662,991,344.06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7,142,463,413.58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6,909,831,824.37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1,093,172,214.63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510,171,476.56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345,957,416.88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33,396,930.23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20,263,620.99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73,309,644.64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6,333,987.02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2,601,000.00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618,878,051.43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375,156,024.89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86,317,426.26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352,319,925.52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926,149,059.70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340,729,630.86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16,713,514.33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1,029,180,000.29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693,549,556.38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-410,301,948.86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-318,393,531.49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6,992,315,723.01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5,988,280,421.01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19,529,385.69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19,918,769.82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7,031,845,108.70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6,008,199,190.83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6,195,360,426.48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5,458,843,788.25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90,542,501.50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91,931,370.83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2,499,184,227.24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1,809,510,292.02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8,785,087,155.22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7,360,285,451.10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-1,753,242,046.52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-1,352,086,260.27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-6,593,634.91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8,296,609.75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-937,608,814.21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-569,010,967.38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2,183,880,557.50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1,614,869,590.12</w:t>
            </w:r>
          </w:p>
        </w:tc>
      </w:tr>
    </w:tbl>
    <w:p w:rsidR="008820E4" w:rsidRDefault="005C49A8">
      <w:pPr>
        <w:pStyle w:val="3"/>
        <w:spacing w:line="280" w:lineRule="exact"/>
        <w:jc w:val="left"/>
        <w:rPr>
          <w:rFonts w:ascii="宋体" w:hAnsi="宋体" w:cs="宋体"/>
          <w:b/>
          <w:bCs/>
        </w:rPr>
      </w:pPr>
      <w:bookmarkStart w:id="110" w:name="_Toc988999"/>
      <w:r>
        <w:rPr>
          <w:rFonts w:ascii="宋体" w:hAnsi="宋体" w:cs="宋体"/>
          <w:b/>
          <w:bCs/>
        </w:rPr>
        <w:t>6、母公司现金流量表</w:t>
      </w:r>
      <w:bookmarkEnd w:id="110"/>
    </w:p>
    <w:p w:rsidR="008820E4" w:rsidRDefault="005C49A8">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2025年半年度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561,296,185.25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694,364,931.68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64,981,226.94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38,027,016.40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626,277,412.19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732,391,948.08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269,272,747.17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368,403,618.31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37,398,208.03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35,608,674.47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15,534,603.09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30,608,916.00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58,628,641.02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58,038,629.78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380,834,199.31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492,659,838.56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245,443,212.88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239,732,109.52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1,880,275.87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4,868.14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1,601,000.00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1,885,144.01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w:t>
            </w:r>
            <w:r>
              <w:rPr>
                <w:rFonts w:ascii="宋体" w:eastAsia="宋体" w:hAnsi="宋体" w:cs="宋体"/>
                <w:sz w:val="18"/>
                <w:szCs w:val="18"/>
              </w:rPr>
              <w:lastRenderedPageBreak/>
              <w:t>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62,175,701.69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103,930,415.50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lastRenderedPageBreak/>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62,175,701.69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103,930,415.50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-60,574,701.69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-102,045,271.49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234,808,997.83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111,316,182.95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234,808,997.83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111,316,182.95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12,104,752.26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8,727,886.74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209,727,671.77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133,704,752.26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248,455,558.51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101,104,245.57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-137,139,375.56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-6,130.14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8,318.91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285,966,626.62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555,781.38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ind w:firstLineChars="100" w:firstLine="180"/>
              <w:rPr>
                <w:rFonts w:ascii="宋体" w:eastAsia="宋体" w:hAnsi="宋体" w:cs="宋体"/>
                <w:sz w:val="18"/>
                <w:szCs w:val="18"/>
              </w:rPr>
            </w:pPr>
            <w:r>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107,541,226.83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35,219,200.57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393,507,853.45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35,774,981.95</w:t>
            </w:r>
          </w:p>
        </w:tc>
      </w:tr>
    </w:tbl>
    <w:p w:rsidR="008820E4" w:rsidRDefault="005C49A8">
      <w:pPr>
        <w:pStyle w:val="3"/>
        <w:spacing w:line="280" w:lineRule="exact"/>
        <w:jc w:val="left"/>
        <w:rPr>
          <w:rFonts w:ascii="宋体" w:hAnsi="宋体" w:cs="宋体"/>
          <w:b/>
          <w:bCs/>
        </w:rPr>
      </w:pPr>
      <w:bookmarkStart w:id="111" w:name="_Toc989000"/>
      <w:r>
        <w:rPr>
          <w:rFonts w:ascii="宋体" w:hAnsi="宋体" w:cs="宋体"/>
          <w:b/>
          <w:bCs/>
        </w:rPr>
        <w:t>7、合并所有者权益变动表</w:t>
      </w:r>
      <w:bookmarkEnd w:id="11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98"/>
        <w:gridCol w:w="562"/>
        <w:gridCol w:w="562"/>
        <w:gridCol w:w="562"/>
        <w:gridCol w:w="562"/>
        <w:gridCol w:w="563"/>
        <w:gridCol w:w="563"/>
        <w:gridCol w:w="563"/>
        <w:gridCol w:w="563"/>
        <w:gridCol w:w="563"/>
        <w:gridCol w:w="563"/>
        <w:gridCol w:w="563"/>
        <w:gridCol w:w="563"/>
        <w:gridCol w:w="563"/>
        <w:gridCol w:w="563"/>
        <w:gridCol w:w="563"/>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314"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归属于母公司所有者权益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168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专项储备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一般风险准备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291,121,567.71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6,074,040,350.93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5,782,918,783.22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291,121,567.71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6,074,040,350.93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三、本期增减变动金额（减少以“—”号填列）</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-48,280,162.15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26,206,226.32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-22,073,935.83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（一）综合收益总额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-48,280,162.15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6,206,226.32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-42,073,935.83</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（二）所有者投入和减少资本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1．所有者投入的普通股</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2．其他权益工具持有者投入资本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2．提取一般风险准备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3．对所有者（或股东）的分配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2．盈余公积转增资本（或股本）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w:t>
            </w:r>
            <w:r>
              <w:rPr>
                <w:rFonts w:ascii="宋体" w:eastAsia="宋体" w:hAnsi="宋体" w:cs="宋体"/>
                <w:sz w:val="18"/>
                <w:szCs w:val="18"/>
              </w:rPr>
              <w:lastRenderedPageBreak/>
              <w:t>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5．其他综合收益结转留存收益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6．其他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-185,713,746.81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1,440,664,626.77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5,734,638,621.07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317,327,794.03</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6,051,966,415.10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98"/>
        <w:gridCol w:w="562"/>
        <w:gridCol w:w="562"/>
        <w:gridCol w:w="562"/>
        <w:gridCol w:w="562"/>
        <w:gridCol w:w="563"/>
        <w:gridCol w:w="563"/>
        <w:gridCol w:w="563"/>
        <w:gridCol w:w="563"/>
        <w:gridCol w:w="563"/>
        <w:gridCol w:w="563"/>
        <w:gridCol w:w="563"/>
        <w:gridCol w:w="563"/>
        <w:gridCol w:w="563"/>
        <w:gridCol w:w="563"/>
        <w:gridCol w:w="563"/>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314"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归属于母公司所有者权益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少数股东权益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168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专项储备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一般风险准备</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56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56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-96,153,506.00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339,467,737.72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6,156,565,539.90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291,949,555.56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6,448,515,095.46</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-96,153,506.00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339,467,737.72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6,156,565,539.90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291,949,555.56</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6,448,515,095.46</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三、本期增减变动金额（减少以“—”号填列）</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-66,991,784.24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44,804,621.17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-122,220,277.55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5,591,280.59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-116,628,996.96</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w:t>
            </w:r>
            <w:r>
              <w:rPr>
                <w:rFonts w:ascii="宋体" w:eastAsia="宋体" w:hAnsi="宋体" w:cs="宋体"/>
                <w:sz w:val="18"/>
                <w:szCs w:val="18"/>
              </w:rPr>
              <w:lastRenderedPageBreak/>
              <w:t>收益总额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66,991,784.24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w:t>
            </w:r>
            <w:r>
              <w:rPr>
                <w:rFonts w:ascii="宋体" w:eastAsia="宋体" w:hAnsi="宋体" w:cs="宋体"/>
                <w:sz w:val="18"/>
                <w:szCs w:val="18"/>
              </w:rPr>
              <w:lastRenderedPageBreak/>
              <w:t>804,621.17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22,187,163.07</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w:t>
            </w:r>
            <w:r>
              <w:rPr>
                <w:rFonts w:ascii="宋体" w:eastAsia="宋体" w:hAnsi="宋体" w:cs="宋体"/>
                <w:sz w:val="18"/>
                <w:szCs w:val="18"/>
              </w:rPr>
              <w:lastRenderedPageBreak/>
              <w:t>429,498.89</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11,757,664.18</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（二）所有者投入和减少资本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-4,838,218.30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-104,871,332.78</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1．所有者投入的普通股</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2．其他权益工具持有者投入资本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-4,838,218.30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-104,871,332.78</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2．提取一般风险准备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3．对所有者（或股东）的分配</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2．盈余公积转增资本（或股本）</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5．其他综合收益结转</w:t>
            </w:r>
            <w:r>
              <w:rPr>
                <w:rFonts w:ascii="宋体" w:eastAsia="宋体" w:hAnsi="宋体" w:cs="宋体"/>
                <w:sz w:val="18"/>
                <w:szCs w:val="18"/>
              </w:rPr>
              <w:lastRenderedPageBreak/>
              <w:t>留存收益</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6．其他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-163,145,290.24</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339,467,737.72</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1,719,096,713.91</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6,034,345,262.35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297,540,836.15</w:t>
            </w:r>
          </w:p>
        </w:tc>
        <w:tc>
          <w:tcPr>
            <w:tcW w:w="56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6,331,886,098.50</w:t>
            </w:r>
          </w:p>
        </w:tc>
      </w:tr>
    </w:tbl>
    <w:p w:rsidR="008820E4" w:rsidRDefault="005C49A8">
      <w:pPr>
        <w:pStyle w:val="3"/>
        <w:spacing w:line="280" w:lineRule="exact"/>
        <w:jc w:val="left"/>
        <w:rPr>
          <w:rFonts w:ascii="宋体" w:hAnsi="宋体" w:cs="宋体"/>
          <w:b/>
          <w:bCs/>
        </w:rPr>
      </w:pPr>
      <w:bookmarkStart w:id="112" w:name="_Toc989001"/>
      <w:r>
        <w:rPr>
          <w:rFonts w:ascii="宋体" w:hAnsi="宋体" w:cs="宋体"/>
          <w:b/>
          <w:bCs/>
        </w:rPr>
        <w:t>8、母公司所有者权益变动表</w:t>
      </w:r>
      <w:bookmarkEnd w:id="11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0"/>
        <w:gridCol w:w="703"/>
        <w:gridCol w:w="703"/>
        <w:gridCol w:w="703"/>
        <w:gridCol w:w="704"/>
        <w:gridCol w:w="703"/>
        <w:gridCol w:w="703"/>
        <w:gridCol w:w="703"/>
        <w:gridCol w:w="703"/>
        <w:gridCol w:w="703"/>
        <w:gridCol w:w="703"/>
        <w:gridCol w:w="703"/>
        <w:gridCol w:w="705"/>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2025年半年度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2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专项储备</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33,830,744.58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509,777,501.50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5,360,282,353.01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33,830,744.58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509,777,501.50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5,360,282,353.01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三、本期增减变动金额（减少以“—”号填列）</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37,682,648.49</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（一）综合收益总额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10,967,707.00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37,682,648.49</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（二）所有者投入和减少资本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w:t>
            </w:r>
            <w:r>
              <w:rPr>
                <w:rFonts w:ascii="宋体" w:eastAsia="宋体" w:hAnsi="宋体" w:cs="宋体"/>
                <w:sz w:val="18"/>
                <w:szCs w:val="18"/>
              </w:rPr>
              <w:lastRenderedPageBreak/>
              <w:t>股</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2．其他权益工具持有者投入资本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2．对所有者（或股东）的分配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2．盈余公积转增资本（或股本）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5．其他综合收益结转留存收益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6．其他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60,545,686.07</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309,166,201.62</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520,745,208.50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5,397,965,001.50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上年金额</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0"/>
        <w:gridCol w:w="703"/>
        <w:gridCol w:w="703"/>
        <w:gridCol w:w="703"/>
        <w:gridCol w:w="704"/>
        <w:gridCol w:w="703"/>
        <w:gridCol w:w="703"/>
        <w:gridCol w:w="703"/>
        <w:gridCol w:w="703"/>
        <w:gridCol w:w="703"/>
        <w:gridCol w:w="703"/>
        <w:gridCol w:w="703"/>
        <w:gridCol w:w="705"/>
      </w:tblGrid>
      <w:tr w:rsidR="008820E4">
        <w:trPr>
          <w:trHeight w:val="240"/>
        </w:trPr>
        <w:tc>
          <w:tcPr>
            <w:tcW w:w="120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84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2024年半年度</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股本</w:t>
            </w:r>
          </w:p>
        </w:tc>
        <w:tc>
          <w:tcPr>
            <w:tcW w:w="21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其他权益工具</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资本公积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减：库存股</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专项储备</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盈余公积</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未分配利润</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所有者权益合计</w:t>
            </w:r>
          </w:p>
        </w:tc>
      </w:tr>
      <w:tr w:rsidR="008820E4">
        <w:trPr>
          <w:trHeight w:val="240"/>
        </w:trPr>
        <w:tc>
          <w:tcPr>
            <w:tcW w:w="120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优先股</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永续债</w:t>
            </w:r>
          </w:p>
        </w:tc>
        <w:tc>
          <w:tcPr>
            <w:tcW w:w="7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70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一、上年期末余额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14,003,424.37</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307,872,299.19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547,798,739.86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5,477,215,483.21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加：会计政策变更</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前期差错更正</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二、本年期初余额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200,071,093.36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14,003,424.37</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307,872,299.19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547,798,739.86</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5,477,215,483.21</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三、本期增减变动金额（减少以“—”号填列）</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-46,465,214.32</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（一）综合收益总额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925,104.88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52,642,795.28</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-46,465,214.32</w:t>
            </w: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（二）所有者投入和减少资本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1．所有者投入的普通股</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2．其他权益工具持有者投入资本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3．股份支付计入所有者权益的金额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（三）利润分配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1．提取盈余公积</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2．对所有者（或股东）的分配</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（四）所有者权益内部结转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1．资本公积转增资本</w:t>
            </w:r>
            <w:r>
              <w:rPr>
                <w:rFonts w:ascii="宋体" w:eastAsia="宋体" w:hAnsi="宋体" w:cs="宋体"/>
                <w:sz w:val="18"/>
                <w:szCs w:val="18"/>
              </w:rPr>
              <w:lastRenderedPageBreak/>
              <w:t>（或股本）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2．盈余公积转增资本（或股本）</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3．盈余公积弥补亏损</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4．设定受益计划变动额结转留存收益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5．其他综合收益结转留存收益</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6．其他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（五）专项储备</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1．本期提取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2．本期使用</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（六）其他</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20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四、本期期末余额</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3,106,930,758.15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14,928,529.25</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307,872,299.19</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600,441,535.14</w:t>
            </w: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5,430,750,268.89</w:t>
            </w:r>
          </w:p>
        </w:tc>
      </w:tr>
    </w:tbl>
    <w:p w:rsidR="008820E4" w:rsidRDefault="005C49A8">
      <w:pPr>
        <w:pStyle w:val="2"/>
        <w:spacing w:before="300" w:after="300" w:line="320" w:lineRule="exact"/>
        <w:rPr>
          <w:rFonts w:ascii="宋体" w:eastAsia="宋体" w:hAnsi="宋体" w:cs="宋体"/>
          <w:b/>
          <w:bCs/>
          <w:sz w:val="24"/>
          <w:szCs w:val="24"/>
        </w:rPr>
      </w:pPr>
      <w:bookmarkStart w:id="113" w:name="_Toc989002"/>
      <w:r>
        <w:rPr>
          <w:rFonts w:ascii="宋体" w:eastAsia="宋体" w:hAnsi="宋体" w:cs="宋体"/>
          <w:b/>
          <w:bCs/>
          <w:sz w:val="24"/>
          <w:szCs w:val="24"/>
        </w:rPr>
        <w:t>三、公司基本情况</w:t>
      </w:r>
      <w:bookmarkEnd w:id="113"/>
    </w:p>
    <w:p w:rsidR="005C49A8" w:rsidRDefault="005C49A8" w:rsidP="004812B5">
      <w:pPr>
        <w:widowControl/>
        <w:ind w:firstLineChars="236" w:firstLine="425"/>
        <w:divId w:val="608320730"/>
        <w:rPr>
          <w:sz w:val="18"/>
          <w:szCs w:val="18"/>
        </w:rPr>
      </w:pPr>
      <w:r>
        <w:rPr>
          <w:rFonts w:hint="eastAsia"/>
          <w:sz w:val="18"/>
          <w:szCs w:val="18"/>
        </w:rPr>
        <w:t>公司注册地、组织形式和总部地址</w:t>
      </w:r>
    </w:p>
    <w:p w:rsidR="005C49A8" w:rsidRDefault="005C49A8">
      <w:pPr>
        <w:pStyle w:val="a3"/>
        <w:spacing w:before="0" w:beforeAutospacing="0" w:after="0" w:afterAutospacing="0"/>
        <w:ind w:firstLine="420"/>
        <w:jc w:val="both"/>
        <w:divId w:val="608320730"/>
      </w:pPr>
      <w:r>
        <w:rPr>
          <w:rFonts w:hint="eastAsia"/>
          <w:sz w:val="18"/>
          <w:szCs w:val="18"/>
        </w:rPr>
        <w:t>华孚时尚股份有限公司（以下简称“公司”或“本公司”）前身系于2000年10月经安徽省体改委【皖体改函[2000]79号】、安徽省人民政府【皖府股字[2000]第37号】文批准，由安徽飞亚纺织集团有限公司(以下简称“飞亚集团”)作为主发起人，联合上海东华大学科技园发展有限公司、淮北印染集团公司、上海市纺织科学研究院、安徽省国有资产运营有限公司、淮北市国有资产运营有限公司等五家企业共同发起，采用募集方式设立的股份有限公司。并于2000年10月31日在安徽省工商行政管理局登记注册，注册资本为6,000.00万元。根据本公司2003年第一次临时股东大会决议，并经中国证券监督管理委员会证</w:t>
      </w:r>
      <w:proofErr w:type="gramStart"/>
      <w:r>
        <w:rPr>
          <w:rFonts w:hint="eastAsia"/>
          <w:sz w:val="18"/>
          <w:szCs w:val="18"/>
        </w:rPr>
        <w:t>监发行字</w:t>
      </w:r>
      <w:proofErr w:type="gramEnd"/>
      <w:r>
        <w:rPr>
          <w:rFonts w:hint="eastAsia"/>
          <w:sz w:val="18"/>
          <w:szCs w:val="18"/>
        </w:rPr>
        <w:t>[2005]9号文核准，本公司于2005年4月向社会公众公开发行股票4,000万股，2005年4月27日在深圳证券交易所挂牌上市。</w:t>
      </w:r>
    </w:p>
    <w:p w:rsidR="005C49A8" w:rsidRDefault="005C49A8">
      <w:pPr>
        <w:pStyle w:val="a3"/>
        <w:spacing w:before="0" w:beforeAutospacing="0" w:after="0" w:afterAutospacing="0"/>
        <w:ind w:firstLine="420"/>
        <w:jc w:val="both"/>
        <w:divId w:val="608320730"/>
      </w:pPr>
      <w:r>
        <w:rPr>
          <w:rFonts w:hint="eastAsia"/>
          <w:sz w:val="18"/>
          <w:szCs w:val="18"/>
        </w:rPr>
        <w:t>2008年1月22日淮北市人民政府国有资产监督管理委员会与华孚控股有限公司(以下简称“华孚控股”)签订《产权交易合同》，华孚控股拟收购淮北市人民政府国有资产监督管理委员会持有的飞亚集团100%的股权，飞亚集团持有本公司40.55%的股权。</w:t>
      </w:r>
    </w:p>
    <w:p w:rsidR="005C49A8" w:rsidRDefault="005C49A8">
      <w:pPr>
        <w:pStyle w:val="a3"/>
        <w:spacing w:before="0" w:beforeAutospacing="0" w:after="0" w:afterAutospacing="0"/>
        <w:ind w:firstLine="420"/>
        <w:jc w:val="both"/>
        <w:divId w:val="608320730"/>
      </w:pPr>
      <w:r>
        <w:rPr>
          <w:rFonts w:hint="eastAsia"/>
          <w:sz w:val="18"/>
          <w:szCs w:val="18"/>
        </w:rPr>
        <w:t>上述转让经2008年4月6日国务院国有资产监督管理委员会国资产权［2008］357号《关于安徽飞亚纺织发展股份有限公司间接转让涉及的国有股东性质变更有关问题的批复》以及2008年6月27日中国证券监督管理委员会证监许可［2008］849号《关于核准华孚控股有限公司公告安徽飞亚纺织发展股份有限公司收购报告书的批复》批准。2008年12月10日完成工商变更登记手续，飞亚集团变更为华孚控股全资子公司。</w:t>
      </w:r>
    </w:p>
    <w:p w:rsidR="005C49A8" w:rsidRDefault="005C49A8">
      <w:pPr>
        <w:pStyle w:val="a3"/>
        <w:spacing w:before="0" w:beforeAutospacing="0" w:after="0" w:afterAutospacing="0"/>
        <w:ind w:firstLine="420"/>
        <w:jc w:val="both"/>
        <w:divId w:val="608320730"/>
      </w:pPr>
      <w:r>
        <w:rPr>
          <w:rFonts w:hint="eastAsia"/>
          <w:sz w:val="18"/>
          <w:szCs w:val="18"/>
        </w:rPr>
        <w:t>2008年1月30日，飞亚集团分别与受让方廖煜、赵伟光和陈敏签署了股权转让协议。飞亚集团以协议转让方式分别向廖煜、赵伟光和陈敏转让499万股本公司股权，合计转让1,497万股权，占本公司总股本的14.97%。飞亚集团减持后持有本公司2,557.91万股，占总股本的25.58%，该转让于2008年12月3日完成股权过户手续。</w:t>
      </w:r>
    </w:p>
    <w:p w:rsidR="005C49A8" w:rsidRDefault="005C49A8">
      <w:pPr>
        <w:pStyle w:val="a3"/>
        <w:spacing w:before="0" w:beforeAutospacing="0" w:after="0" w:afterAutospacing="0"/>
        <w:ind w:firstLine="420"/>
        <w:jc w:val="both"/>
        <w:divId w:val="608320730"/>
      </w:pPr>
      <w:r>
        <w:rPr>
          <w:rFonts w:hint="eastAsia"/>
          <w:sz w:val="18"/>
          <w:szCs w:val="18"/>
        </w:rPr>
        <w:t>本公司2008年5月15日与华孚控股、深圳市华人投资有限公司及朱翠云、宋江、顾振华、潘金平、齐昌玮、张小荷、项小岳、王斌签署了《非公开发行股份与资产购买协议书》，并经2008年第三届董事会第三次会议决议、2008年</w:t>
      </w:r>
      <w:r>
        <w:rPr>
          <w:rFonts w:hint="eastAsia"/>
          <w:sz w:val="18"/>
          <w:szCs w:val="18"/>
        </w:rPr>
        <w:lastRenderedPageBreak/>
        <w:t>第二次临时股东大会决议通过，本公司以通过非公开发行13,511.10万股普通股为对价，认购华孚控股、深圳市华人投资有限公司及朱翠云、宋江、顾振华、潘金平、齐昌玮、张小荷、项小岳、王斌八位自然人合计持有的深圳市华孚进出口有限公司100%股权；认购华孚控股持有的江西华孚色纺有限公司40%股权、持有的浙江缙云华孚纺织有限公司29.70%股权以及持有的浙江金棉纺织有限公司37.50%股权(以下简称“标的资产”)。</w:t>
      </w:r>
    </w:p>
    <w:p w:rsidR="005C49A8" w:rsidRDefault="005C49A8">
      <w:pPr>
        <w:pStyle w:val="a3"/>
        <w:spacing w:before="0" w:beforeAutospacing="0" w:after="0" w:afterAutospacing="0"/>
        <w:ind w:firstLine="420"/>
        <w:jc w:val="both"/>
        <w:divId w:val="608320730"/>
      </w:pPr>
      <w:r>
        <w:rPr>
          <w:rFonts w:hint="eastAsia"/>
          <w:sz w:val="18"/>
          <w:szCs w:val="18"/>
        </w:rPr>
        <w:t>2008年12月29日，根据中国证券监督管理委员会上市公司并购重组审核委员会审核结果，本公司发行股份购买资产暨关联交易获得有条件通过。</w:t>
      </w:r>
    </w:p>
    <w:p w:rsidR="005C49A8" w:rsidRDefault="005C49A8">
      <w:pPr>
        <w:pStyle w:val="a3"/>
        <w:spacing w:before="0" w:beforeAutospacing="0" w:after="0" w:afterAutospacing="0"/>
        <w:ind w:firstLine="420"/>
        <w:jc w:val="both"/>
        <w:divId w:val="608320730"/>
      </w:pPr>
      <w:r>
        <w:rPr>
          <w:rFonts w:hint="eastAsia"/>
          <w:sz w:val="18"/>
          <w:szCs w:val="18"/>
        </w:rPr>
        <w:t>2008年12月31日，本公司召开2008年第四次临时股东大会，决议通过《关于变更公司注册名称的议案》，本公司注册名称拟由“安徽飞亚纺织发展股份有限公司”变更为“安徽华孚色纺股份有限公司”，并于2009年1月5日完成工商变更登记手续。</w:t>
      </w:r>
    </w:p>
    <w:p w:rsidR="005C49A8" w:rsidRDefault="005C49A8">
      <w:pPr>
        <w:pStyle w:val="a3"/>
        <w:spacing w:before="0" w:beforeAutospacing="0" w:after="0" w:afterAutospacing="0"/>
        <w:ind w:firstLine="420"/>
        <w:jc w:val="both"/>
        <w:divId w:val="608320730"/>
      </w:pPr>
      <w:r>
        <w:rPr>
          <w:rFonts w:hint="eastAsia"/>
          <w:sz w:val="18"/>
          <w:szCs w:val="18"/>
        </w:rPr>
        <w:t>2009年3月19日，本公司召开2008年度股东大会，决议通过《关于变更公司注册名称的议案》，本公司注册名称拟由“安徽华孚色纺股份有限公司”变更为“华孚色纺股份有限公司”。</w:t>
      </w:r>
    </w:p>
    <w:p w:rsidR="005C49A8" w:rsidRDefault="005C49A8">
      <w:pPr>
        <w:pStyle w:val="a3"/>
        <w:spacing w:before="0" w:beforeAutospacing="0" w:after="0" w:afterAutospacing="0"/>
        <w:ind w:firstLine="420"/>
        <w:jc w:val="both"/>
        <w:divId w:val="608320730"/>
      </w:pPr>
      <w:r>
        <w:rPr>
          <w:rFonts w:hint="eastAsia"/>
          <w:sz w:val="18"/>
          <w:szCs w:val="18"/>
        </w:rPr>
        <w:t>本公司2017年8月23日召开第六届董事会第八次会议、2017年9月12日召开2017年第二次临时股东大会审议通过了《关于拟变更公司名称、证券简称及修订〈公司章程〉的议案》，公司名称由华孚色纺股份有限公司变更为华孚时尚股份有限公司，现持有统一社会信用代码为9134060072553187XK的营业执照。</w:t>
      </w:r>
    </w:p>
    <w:p w:rsidR="005C49A8" w:rsidRDefault="005C49A8">
      <w:pPr>
        <w:pStyle w:val="a3"/>
        <w:spacing w:before="0" w:beforeAutospacing="0" w:after="0" w:afterAutospacing="0"/>
        <w:ind w:firstLine="420"/>
        <w:jc w:val="both"/>
        <w:divId w:val="608320730"/>
      </w:pPr>
      <w:r>
        <w:rPr>
          <w:rFonts w:hint="eastAsia"/>
          <w:sz w:val="18"/>
          <w:szCs w:val="18"/>
        </w:rPr>
        <w:t>经过历年的派送红股、配售新股、转增股本及增发新股，截止2024年12月31日，本公司累计发行股本总数170,068.1355万股，注册资本为170,068.1355万元，注册地址：淮北经济开发区新区石山路6号，总部地址：广东省深圳市福田区</w:t>
      </w:r>
      <w:proofErr w:type="gramStart"/>
      <w:r>
        <w:rPr>
          <w:rFonts w:hint="eastAsia"/>
          <w:sz w:val="18"/>
          <w:szCs w:val="18"/>
        </w:rPr>
        <w:t>市花路</w:t>
      </w:r>
      <w:proofErr w:type="gramEnd"/>
      <w:r>
        <w:rPr>
          <w:rFonts w:hint="eastAsia"/>
          <w:sz w:val="18"/>
          <w:szCs w:val="18"/>
        </w:rPr>
        <w:t>5号</w:t>
      </w:r>
      <w:proofErr w:type="gramStart"/>
      <w:r>
        <w:rPr>
          <w:rFonts w:hint="eastAsia"/>
          <w:sz w:val="18"/>
          <w:szCs w:val="18"/>
        </w:rPr>
        <w:t>长富金茂</w:t>
      </w:r>
      <w:proofErr w:type="gramEnd"/>
      <w:r>
        <w:rPr>
          <w:rFonts w:hint="eastAsia"/>
          <w:sz w:val="18"/>
          <w:szCs w:val="18"/>
        </w:rPr>
        <w:t>大厦59楼，母公司为华孚控股有限公司，最终实际控制人为孙伟挺、陈玲芬。</w:t>
      </w:r>
    </w:p>
    <w:p w:rsidR="005C49A8" w:rsidRDefault="005C49A8">
      <w:pPr>
        <w:pStyle w:val="a3"/>
        <w:spacing w:before="0" w:beforeAutospacing="0" w:after="0" w:afterAutospacing="0"/>
        <w:ind w:firstLine="540"/>
        <w:divId w:val="608320730"/>
      </w:pPr>
      <w:r>
        <w:rPr>
          <w:rFonts w:hint="eastAsia"/>
          <w:sz w:val="18"/>
          <w:szCs w:val="18"/>
        </w:rPr>
        <w:t>财务报表的批准报出</w:t>
      </w:r>
    </w:p>
    <w:p w:rsidR="005C49A8" w:rsidRDefault="005C49A8">
      <w:pPr>
        <w:pStyle w:val="a3"/>
        <w:spacing w:before="0" w:beforeAutospacing="0" w:after="0" w:afterAutospacing="0"/>
        <w:ind w:firstLine="420"/>
        <w:jc w:val="both"/>
        <w:divId w:val="608320730"/>
      </w:pPr>
      <w:r>
        <w:rPr>
          <w:rFonts w:hint="eastAsia"/>
          <w:sz w:val="18"/>
          <w:szCs w:val="18"/>
        </w:rPr>
        <w:t>本财务报表业经公司董事会于2025年8月30日批准报出。</w:t>
      </w:r>
    </w:p>
    <w:p w:rsidR="008820E4" w:rsidRDefault="005C49A8">
      <w:pPr>
        <w:pStyle w:val="2"/>
        <w:spacing w:before="300" w:after="300" w:line="320" w:lineRule="exact"/>
        <w:rPr>
          <w:rFonts w:ascii="宋体" w:eastAsia="宋体" w:hAnsi="宋体" w:cs="宋体"/>
          <w:b/>
          <w:bCs/>
          <w:sz w:val="24"/>
          <w:szCs w:val="24"/>
        </w:rPr>
      </w:pPr>
      <w:bookmarkStart w:id="114" w:name="_Toc989003"/>
      <w:r>
        <w:rPr>
          <w:rFonts w:ascii="宋体" w:eastAsia="宋体" w:hAnsi="宋体" w:cs="宋体"/>
          <w:b/>
          <w:bCs/>
          <w:sz w:val="24"/>
          <w:szCs w:val="24"/>
        </w:rPr>
        <w:t>四、财务报表的编制基础</w:t>
      </w:r>
      <w:bookmarkEnd w:id="114"/>
    </w:p>
    <w:p w:rsidR="008820E4" w:rsidRDefault="005C49A8">
      <w:pPr>
        <w:pStyle w:val="3"/>
        <w:spacing w:line="280" w:lineRule="exact"/>
        <w:jc w:val="left"/>
        <w:rPr>
          <w:rFonts w:ascii="宋体" w:hAnsi="宋体" w:cs="宋体"/>
          <w:b/>
          <w:bCs/>
        </w:rPr>
      </w:pPr>
      <w:bookmarkStart w:id="115" w:name="_Toc989004"/>
      <w:r>
        <w:rPr>
          <w:rFonts w:ascii="宋体" w:hAnsi="宋体" w:cs="宋体"/>
          <w:b/>
          <w:bCs/>
        </w:rPr>
        <w:t>1、编制基础</w:t>
      </w:r>
      <w:bookmarkEnd w:id="115"/>
    </w:p>
    <w:p w:rsidR="005C49A8" w:rsidRDefault="005C49A8">
      <w:pPr>
        <w:pStyle w:val="a3"/>
        <w:spacing w:before="0" w:beforeAutospacing="0" w:after="0" w:afterAutospacing="0"/>
        <w:ind w:firstLine="420"/>
        <w:jc w:val="both"/>
        <w:divId w:val="78135446"/>
      </w:pPr>
      <w:r>
        <w:rPr>
          <w:rFonts w:hint="eastAsia"/>
          <w:sz w:val="18"/>
          <w:szCs w:val="18"/>
        </w:rPr>
        <w:t>本公司根据实际发生的交易和事项，按照财政部颁布的《企业会计准则——基本准则》和具体企业会计准则、企业会计准则应用指南、企业会计准则解释及其他相关规定（以下合称“企业会计准则”）进行确认和计量，在此基础上，结合中国证券监督管理委员会《公开发行证券的公司信息披露编报规则第15号——财务报告的一般规定》（2023年修订）的规定，编制财务报表。</w:t>
      </w:r>
    </w:p>
    <w:p w:rsidR="008820E4" w:rsidRDefault="005C49A8">
      <w:pPr>
        <w:pStyle w:val="3"/>
        <w:spacing w:line="280" w:lineRule="exact"/>
        <w:jc w:val="left"/>
        <w:rPr>
          <w:rFonts w:ascii="宋体" w:hAnsi="宋体" w:cs="宋体"/>
          <w:b/>
          <w:bCs/>
        </w:rPr>
      </w:pPr>
      <w:bookmarkStart w:id="116" w:name="_Toc989005"/>
      <w:r>
        <w:rPr>
          <w:rFonts w:ascii="宋体" w:hAnsi="宋体" w:cs="宋体"/>
          <w:b/>
          <w:bCs/>
        </w:rPr>
        <w:t>2、持续经营</w:t>
      </w:r>
      <w:bookmarkEnd w:id="116"/>
    </w:p>
    <w:p w:rsidR="005C49A8" w:rsidRDefault="005C49A8">
      <w:pPr>
        <w:pStyle w:val="a3"/>
        <w:spacing w:before="0" w:beforeAutospacing="0" w:after="0" w:afterAutospacing="0"/>
        <w:ind w:firstLine="420"/>
        <w:jc w:val="both"/>
        <w:divId w:val="1691183574"/>
      </w:pPr>
      <w:r>
        <w:rPr>
          <w:rFonts w:hint="eastAsia"/>
          <w:sz w:val="18"/>
          <w:szCs w:val="18"/>
        </w:rPr>
        <w:t>本公司对报告</w:t>
      </w:r>
      <w:proofErr w:type="gramStart"/>
      <w:r>
        <w:rPr>
          <w:rFonts w:hint="eastAsia"/>
          <w:sz w:val="18"/>
          <w:szCs w:val="18"/>
        </w:rPr>
        <w:t>期末起</w:t>
      </w:r>
      <w:proofErr w:type="gramEnd"/>
      <w:r>
        <w:rPr>
          <w:rFonts w:hint="eastAsia"/>
          <w:sz w:val="18"/>
          <w:szCs w:val="18"/>
        </w:rPr>
        <w:t>6个月的持续经营能力进行了评价，未发现对持续经营能力产生重大怀疑的事项或情况。因此，本财务报表系在持续经营假设的基础上编制。</w:t>
      </w:r>
    </w:p>
    <w:p w:rsidR="008820E4" w:rsidRDefault="005C49A8">
      <w:pPr>
        <w:pStyle w:val="2"/>
        <w:spacing w:before="300" w:after="300" w:line="560" w:lineRule="exact"/>
        <w:rPr>
          <w:rFonts w:ascii="宋体" w:eastAsia="宋体" w:hAnsi="宋体" w:cs="宋体"/>
          <w:b/>
          <w:bCs/>
          <w:sz w:val="24"/>
          <w:szCs w:val="24"/>
        </w:rPr>
      </w:pPr>
      <w:bookmarkStart w:id="117" w:name="_Toc989006"/>
      <w:r>
        <w:rPr>
          <w:rFonts w:ascii="宋体" w:eastAsia="宋体" w:hAnsi="宋体" w:cs="宋体"/>
          <w:b/>
          <w:bCs/>
          <w:sz w:val="24"/>
          <w:szCs w:val="24"/>
        </w:rPr>
        <w:t>五、重要会计政策及会计估计</w:t>
      </w:r>
      <w:bookmarkEnd w:id="11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具体会计政策和会计估计提示：</w:t>
      </w:r>
    </w:p>
    <w:p w:rsidR="005C49A8" w:rsidRDefault="005C49A8">
      <w:pPr>
        <w:pStyle w:val="a3"/>
        <w:spacing w:before="0" w:beforeAutospacing="0" w:after="0" w:afterAutospacing="0"/>
        <w:ind w:firstLine="420"/>
        <w:jc w:val="both"/>
        <w:divId w:val="1302537440"/>
      </w:pPr>
      <w:r>
        <w:rPr>
          <w:rFonts w:hint="eastAsia"/>
          <w:sz w:val="18"/>
          <w:szCs w:val="18"/>
        </w:rPr>
        <w:t>无变更。</w:t>
      </w:r>
    </w:p>
    <w:p w:rsidR="008820E4" w:rsidRDefault="005C49A8">
      <w:pPr>
        <w:pStyle w:val="3"/>
        <w:spacing w:line="280" w:lineRule="exact"/>
        <w:jc w:val="left"/>
        <w:rPr>
          <w:rFonts w:ascii="宋体" w:hAnsi="宋体" w:cs="宋体"/>
          <w:b/>
          <w:bCs/>
        </w:rPr>
      </w:pPr>
      <w:bookmarkStart w:id="118" w:name="_Toc989007"/>
      <w:r>
        <w:rPr>
          <w:rFonts w:ascii="宋体" w:hAnsi="宋体" w:cs="宋体"/>
          <w:b/>
          <w:bCs/>
        </w:rPr>
        <w:t>1、遵循企业会计准则的声明</w:t>
      </w:r>
      <w:bookmarkEnd w:id="118"/>
    </w:p>
    <w:p w:rsidR="005C49A8" w:rsidRDefault="005C49A8">
      <w:pPr>
        <w:pStyle w:val="a3"/>
        <w:spacing w:before="0" w:beforeAutospacing="0" w:after="0" w:afterAutospacing="0"/>
        <w:ind w:firstLine="420"/>
        <w:jc w:val="both"/>
        <w:divId w:val="1222255951"/>
      </w:pPr>
      <w:r>
        <w:rPr>
          <w:rFonts w:hint="eastAsia"/>
          <w:sz w:val="18"/>
          <w:szCs w:val="18"/>
        </w:rPr>
        <w:t>本公司所编制的财务报表符合企业会计准则的要求，真实、完整地反映了报告期公司的财务状况、经营成果、现金流量等有关信息。</w:t>
      </w:r>
    </w:p>
    <w:p w:rsidR="008820E4" w:rsidRDefault="005C49A8">
      <w:pPr>
        <w:pStyle w:val="3"/>
        <w:spacing w:line="280" w:lineRule="exact"/>
        <w:jc w:val="left"/>
        <w:rPr>
          <w:rFonts w:ascii="宋体" w:hAnsi="宋体" w:cs="宋体"/>
          <w:b/>
          <w:bCs/>
        </w:rPr>
      </w:pPr>
      <w:bookmarkStart w:id="119" w:name="_Toc989008"/>
      <w:r>
        <w:rPr>
          <w:rFonts w:ascii="宋体" w:hAnsi="宋体" w:cs="宋体"/>
          <w:b/>
          <w:bCs/>
        </w:rPr>
        <w:lastRenderedPageBreak/>
        <w:t>2、会计期间</w:t>
      </w:r>
      <w:bookmarkEnd w:id="119"/>
    </w:p>
    <w:p w:rsidR="005C49A8" w:rsidRDefault="005C49A8">
      <w:pPr>
        <w:pStyle w:val="a3"/>
        <w:spacing w:before="0" w:beforeAutospacing="0" w:after="0" w:afterAutospacing="0"/>
        <w:ind w:firstLine="420"/>
        <w:jc w:val="both"/>
        <w:divId w:val="1440291658"/>
      </w:pPr>
      <w:r>
        <w:rPr>
          <w:rFonts w:hint="eastAsia"/>
          <w:sz w:val="18"/>
          <w:szCs w:val="18"/>
        </w:rPr>
        <w:t>本公司所编制的财务报表符合企业会计准则的要求，真实、完整地反映了报告期公司的财务状况、经营成果、现金流量等有关信息。</w:t>
      </w:r>
    </w:p>
    <w:p w:rsidR="008820E4" w:rsidRDefault="005C49A8">
      <w:pPr>
        <w:pStyle w:val="3"/>
        <w:spacing w:line="280" w:lineRule="exact"/>
        <w:jc w:val="left"/>
        <w:rPr>
          <w:rFonts w:ascii="宋体" w:hAnsi="宋体" w:cs="宋体"/>
          <w:b/>
          <w:bCs/>
        </w:rPr>
      </w:pPr>
      <w:bookmarkStart w:id="120" w:name="_Toc989009"/>
      <w:r>
        <w:rPr>
          <w:rFonts w:ascii="宋体" w:hAnsi="宋体" w:cs="宋体"/>
          <w:b/>
          <w:bCs/>
        </w:rPr>
        <w:t>3、营业周期</w:t>
      </w:r>
      <w:bookmarkEnd w:id="120"/>
    </w:p>
    <w:p w:rsidR="005C49A8" w:rsidRDefault="005C49A8">
      <w:pPr>
        <w:pStyle w:val="a3"/>
        <w:spacing w:before="0" w:beforeAutospacing="0" w:after="0" w:afterAutospacing="0"/>
        <w:ind w:firstLine="420"/>
        <w:jc w:val="both"/>
        <w:divId w:val="1929729795"/>
      </w:pPr>
      <w:r>
        <w:rPr>
          <w:rFonts w:hint="eastAsia"/>
          <w:sz w:val="18"/>
          <w:szCs w:val="18"/>
        </w:rPr>
        <w:t>营业周期是指企业从购买用于加工的资产起</w:t>
      </w:r>
      <w:proofErr w:type="gramStart"/>
      <w:r>
        <w:rPr>
          <w:rFonts w:hint="eastAsia"/>
          <w:sz w:val="18"/>
          <w:szCs w:val="18"/>
        </w:rPr>
        <w:t>至实现</w:t>
      </w:r>
      <w:proofErr w:type="gramEnd"/>
      <w:r>
        <w:rPr>
          <w:rFonts w:hint="eastAsia"/>
          <w:sz w:val="18"/>
          <w:szCs w:val="18"/>
        </w:rPr>
        <w:t>现金或现金等价物的期间。本公司以12个月作为一个营业周期，并以其作为资产和负债的流动性划分标准。</w:t>
      </w:r>
    </w:p>
    <w:p w:rsidR="008820E4" w:rsidRDefault="005C49A8">
      <w:pPr>
        <w:pStyle w:val="3"/>
        <w:spacing w:line="280" w:lineRule="exact"/>
        <w:jc w:val="left"/>
        <w:rPr>
          <w:rFonts w:ascii="宋体" w:hAnsi="宋体" w:cs="宋体"/>
          <w:b/>
          <w:bCs/>
        </w:rPr>
      </w:pPr>
      <w:bookmarkStart w:id="121" w:name="_Toc989010"/>
      <w:r>
        <w:rPr>
          <w:rFonts w:ascii="宋体" w:hAnsi="宋体" w:cs="宋体"/>
          <w:b/>
          <w:bCs/>
        </w:rPr>
        <w:t>4、记账本位币</w:t>
      </w:r>
      <w:bookmarkEnd w:id="121"/>
    </w:p>
    <w:p w:rsidR="005C49A8" w:rsidRDefault="005C49A8">
      <w:pPr>
        <w:pStyle w:val="a3"/>
        <w:spacing w:before="0" w:beforeAutospacing="0" w:after="0" w:afterAutospacing="0"/>
        <w:ind w:firstLine="420"/>
        <w:jc w:val="both"/>
        <w:divId w:val="829980262"/>
      </w:pPr>
      <w:r>
        <w:rPr>
          <w:rFonts w:hint="eastAsia"/>
          <w:sz w:val="18"/>
          <w:szCs w:val="18"/>
        </w:rPr>
        <w:t>采用人民币为记账本位币。境外子公司以其经营所处的主要经济环境中的货币为记账本位币，编制财务报表时折算为人民币。</w:t>
      </w:r>
    </w:p>
    <w:p w:rsidR="008820E4" w:rsidRDefault="005C49A8">
      <w:pPr>
        <w:pStyle w:val="3"/>
        <w:spacing w:line="280" w:lineRule="exact"/>
        <w:jc w:val="left"/>
        <w:rPr>
          <w:rFonts w:ascii="宋体" w:hAnsi="宋体" w:cs="宋体"/>
          <w:b/>
          <w:bCs/>
        </w:rPr>
      </w:pPr>
      <w:bookmarkStart w:id="122" w:name="_Toc989011"/>
      <w:r>
        <w:rPr>
          <w:rFonts w:ascii="宋体" w:hAnsi="宋体" w:cs="宋体"/>
          <w:b/>
          <w:bCs/>
        </w:rPr>
        <w:t>5、重要性标准确定方法和选择依据</w:t>
      </w:r>
      <w:bookmarkEnd w:id="12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重要性标准</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重要的单项计提坏账准备的应收款项</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本期重要的应收款项核销</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本期坏账准备收回或转回金额重要的应收账款</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账龄超过一年的重要应付款项</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金额≥100万元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重要的在建工程</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期末或</w:t>
            </w:r>
            <w:proofErr w:type="gramEnd"/>
            <w:r>
              <w:rPr>
                <w:rFonts w:ascii="宋体" w:eastAsia="宋体" w:hAnsi="宋体" w:cs="宋体"/>
                <w:sz w:val="18"/>
                <w:szCs w:val="18"/>
              </w:rPr>
              <w:t>期初余额≥1,000万元</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重要的非合资子公司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少数股东权益≥1,000万元</w:t>
            </w:r>
          </w:p>
        </w:tc>
      </w:tr>
    </w:tbl>
    <w:p w:rsidR="008820E4" w:rsidRDefault="005C49A8">
      <w:pPr>
        <w:pStyle w:val="3"/>
        <w:spacing w:line="280" w:lineRule="exact"/>
        <w:jc w:val="left"/>
        <w:rPr>
          <w:rFonts w:ascii="宋体" w:hAnsi="宋体" w:cs="宋体"/>
          <w:b/>
          <w:bCs/>
        </w:rPr>
      </w:pPr>
      <w:bookmarkStart w:id="123" w:name="_Toc989012"/>
      <w:r>
        <w:rPr>
          <w:rFonts w:ascii="宋体" w:hAnsi="宋体" w:cs="宋体"/>
          <w:b/>
          <w:bCs/>
        </w:rPr>
        <w:t>6、同</w:t>
      </w:r>
      <w:proofErr w:type="gramStart"/>
      <w:r>
        <w:rPr>
          <w:rFonts w:ascii="宋体" w:hAnsi="宋体" w:cs="宋体"/>
          <w:b/>
          <w:bCs/>
        </w:rPr>
        <w:t>一控制</w:t>
      </w:r>
      <w:proofErr w:type="gramEnd"/>
      <w:r>
        <w:rPr>
          <w:rFonts w:ascii="宋体" w:hAnsi="宋体" w:cs="宋体"/>
          <w:b/>
          <w:bCs/>
        </w:rPr>
        <w:t>下和非同</w:t>
      </w:r>
      <w:proofErr w:type="gramStart"/>
      <w:r>
        <w:rPr>
          <w:rFonts w:ascii="宋体" w:hAnsi="宋体" w:cs="宋体"/>
          <w:b/>
          <w:bCs/>
        </w:rPr>
        <w:t>一控制</w:t>
      </w:r>
      <w:proofErr w:type="gramEnd"/>
      <w:r>
        <w:rPr>
          <w:rFonts w:ascii="宋体" w:hAnsi="宋体" w:cs="宋体"/>
          <w:b/>
          <w:bCs/>
        </w:rPr>
        <w:t>下企业合并的会计处理方法</w:t>
      </w:r>
      <w:bookmarkEnd w:id="123"/>
    </w:p>
    <w:p w:rsidR="005C49A8" w:rsidRDefault="005C49A8" w:rsidP="00C50357">
      <w:pPr>
        <w:widowControl/>
        <w:numPr>
          <w:ilvl w:val="0"/>
          <w:numId w:val="1"/>
        </w:numPr>
        <w:spacing w:before="100" w:beforeAutospacing="1" w:after="100" w:afterAutospacing="1"/>
        <w:divId w:val="1638804738"/>
        <w:rPr>
          <w:sz w:val="18"/>
          <w:szCs w:val="18"/>
        </w:rPr>
      </w:pPr>
      <w:r>
        <w:rPr>
          <w:rFonts w:hint="eastAsia"/>
          <w:sz w:val="18"/>
          <w:szCs w:val="18"/>
        </w:rPr>
        <w:t>分步实现企业合并过程中的各项交易的条款、条件以及经济影响符合以下一种或多种情况，将多次交易事项作为一揽子交易进行会计处理</w:t>
      </w:r>
    </w:p>
    <w:p w:rsidR="005C49A8" w:rsidRDefault="005C49A8">
      <w:pPr>
        <w:pStyle w:val="a3"/>
        <w:spacing w:before="50" w:beforeAutospacing="0" w:after="0" w:afterAutospacing="0"/>
        <w:ind w:firstLine="420"/>
        <w:jc w:val="both"/>
        <w:divId w:val="1638804738"/>
      </w:pPr>
      <w:r>
        <w:rPr>
          <w:rFonts w:hint="eastAsia"/>
          <w:sz w:val="18"/>
          <w:szCs w:val="18"/>
        </w:rPr>
        <w:t>（1）这些交易是同时或者在考虑了彼此影响的情况下订立的；</w:t>
      </w:r>
    </w:p>
    <w:p w:rsidR="005C49A8" w:rsidRDefault="005C49A8">
      <w:pPr>
        <w:pStyle w:val="a3"/>
        <w:spacing w:before="50" w:beforeAutospacing="0" w:after="0" w:afterAutospacing="0"/>
        <w:ind w:firstLine="420"/>
        <w:jc w:val="both"/>
        <w:divId w:val="1638804738"/>
      </w:pPr>
      <w:r>
        <w:rPr>
          <w:rFonts w:hint="eastAsia"/>
          <w:sz w:val="18"/>
          <w:szCs w:val="18"/>
        </w:rPr>
        <w:t>（2）这些交易整体才能达成一项完整的商业结果；</w:t>
      </w:r>
    </w:p>
    <w:p w:rsidR="005C49A8" w:rsidRDefault="005C49A8">
      <w:pPr>
        <w:pStyle w:val="a3"/>
        <w:spacing w:before="50" w:beforeAutospacing="0" w:after="0" w:afterAutospacing="0"/>
        <w:ind w:firstLine="420"/>
        <w:jc w:val="both"/>
        <w:divId w:val="1638804738"/>
      </w:pPr>
      <w:r>
        <w:rPr>
          <w:rFonts w:hint="eastAsia"/>
          <w:sz w:val="18"/>
          <w:szCs w:val="18"/>
        </w:rPr>
        <w:t>（3）一项交易的发生取决于其他至少一项交易的发生；</w:t>
      </w:r>
    </w:p>
    <w:p w:rsidR="005C49A8" w:rsidRDefault="005C49A8">
      <w:pPr>
        <w:pStyle w:val="a3"/>
        <w:spacing w:before="50" w:beforeAutospacing="0" w:after="0" w:afterAutospacing="0"/>
        <w:ind w:firstLine="420"/>
        <w:jc w:val="both"/>
        <w:divId w:val="1638804738"/>
      </w:pPr>
      <w:r>
        <w:rPr>
          <w:rFonts w:hint="eastAsia"/>
          <w:sz w:val="18"/>
          <w:szCs w:val="18"/>
        </w:rPr>
        <w:t>（4）一项交易单独看是不经济的，但是和其他交易一并考虑时是经济的。</w:t>
      </w:r>
    </w:p>
    <w:p w:rsidR="005C49A8" w:rsidRDefault="005C49A8" w:rsidP="00C50357">
      <w:pPr>
        <w:widowControl/>
        <w:numPr>
          <w:ilvl w:val="0"/>
          <w:numId w:val="2"/>
        </w:numPr>
        <w:spacing w:before="100" w:beforeAutospacing="1" w:after="100" w:afterAutospacing="1"/>
        <w:divId w:val="1638804738"/>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下的企业合并</w:t>
      </w:r>
    </w:p>
    <w:p w:rsidR="005C49A8" w:rsidRDefault="005C49A8">
      <w:pPr>
        <w:pStyle w:val="a3"/>
        <w:spacing w:before="50" w:beforeAutospacing="0" w:after="0" w:afterAutospacing="0"/>
        <w:ind w:firstLine="420"/>
        <w:jc w:val="both"/>
        <w:divId w:val="1638804738"/>
      </w:pPr>
      <w:r>
        <w:rPr>
          <w:rFonts w:hint="eastAsia"/>
          <w:sz w:val="18"/>
          <w:szCs w:val="18"/>
        </w:rPr>
        <w:t>本公司在企业合并中取得的资产和负债，按照</w:t>
      </w:r>
      <w:proofErr w:type="gramStart"/>
      <w:r>
        <w:rPr>
          <w:rFonts w:hint="eastAsia"/>
          <w:sz w:val="18"/>
          <w:szCs w:val="18"/>
        </w:rPr>
        <w:t>合并日</w:t>
      </w:r>
      <w:proofErr w:type="gramEnd"/>
      <w:r>
        <w:rPr>
          <w:rFonts w:hint="eastAsia"/>
          <w:sz w:val="18"/>
          <w:szCs w:val="18"/>
        </w:rPr>
        <w:t>在被合并方资产、负债（包括最终控制</w:t>
      </w:r>
      <w:proofErr w:type="gramStart"/>
      <w:r>
        <w:rPr>
          <w:rFonts w:hint="eastAsia"/>
          <w:sz w:val="18"/>
          <w:szCs w:val="18"/>
        </w:rPr>
        <w:t>方收购</w:t>
      </w:r>
      <w:proofErr w:type="gramEnd"/>
      <w:r>
        <w:rPr>
          <w:rFonts w:hint="eastAsia"/>
          <w:sz w:val="18"/>
          <w:szCs w:val="18"/>
        </w:rPr>
        <w:t>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rsidR="005C49A8" w:rsidRDefault="005C49A8">
      <w:pPr>
        <w:pStyle w:val="a3"/>
        <w:spacing w:before="50" w:beforeAutospacing="0" w:after="0" w:afterAutospacing="0"/>
        <w:ind w:firstLine="420"/>
        <w:jc w:val="both"/>
        <w:divId w:val="1638804738"/>
      </w:pPr>
      <w:r>
        <w:rPr>
          <w:rFonts w:hint="eastAsia"/>
          <w:sz w:val="18"/>
          <w:szCs w:val="18"/>
        </w:rPr>
        <w:t>如果存在或有对价并需要确认预计负债或资产，该预计负债或资产金额与后续或有对价结算金额的差额，调整资本公积（资本溢价或股本溢价），资本公</w:t>
      </w:r>
      <w:proofErr w:type="gramStart"/>
      <w:r>
        <w:rPr>
          <w:rFonts w:hint="eastAsia"/>
          <w:sz w:val="18"/>
          <w:szCs w:val="18"/>
        </w:rPr>
        <w:t>积不足</w:t>
      </w:r>
      <w:proofErr w:type="gramEnd"/>
      <w:r>
        <w:rPr>
          <w:rFonts w:hint="eastAsia"/>
          <w:sz w:val="18"/>
          <w:szCs w:val="18"/>
        </w:rPr>
        <w:t>的，调整留存收益。</w:t>
      </w:r>
    </w:p>
    <w:p w:rsidR="005C49A8" w:rsidRDefault="005C49A8">
      <w:pPr>
        <w:pStyle w:val="a3"/>
        <w:spacing w:before="50" w:beforeAutospacing="0" w:after="0" w:afterAutospacing="0"/>
        <w:ind w:firstLine="420"/>
        <w:jc w:val="both"/>
        <w:divId w:val="1638804738"/>
      </w:pPr>
      <w:r>
        <w:rPr>
          <w:rFonts w:hint="eastAsia"/>
          <w:sz w:val="18"/>
          <w:szCs w:val="18"/>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w:t>
      </w:r>
      <w:proofErr w:type="gramStart"/>
      <w:r>
        <w:rPr>
          <w:rFonts w:hint="eastAsia"/>
          <w:sz w:val="18"/>
          <w:szCs w:val="18"/>
        </w:rPr>
        <w:t>合并日</w:t>
      </w:r>
      <w:proofErr w:type="gramEnd"/>
      <w:r>
        <w:rPr>
          <w:rFonts w:hint="eastAsia"/>
          <w:sz w:val="18"/>
          <w:szCs w:val="18"/>
        </w:rPr>
        <w:t>进一步取得股份新支付对价的账面价值之和的差额，调整资本公积；资本公</w:t>
      </w:r>
      <w:proofErr w:type="gramStart"/>
      <w:r>
        <w:rPr>
          <w:rFonts w:hint="eastAsia"/>
          <w:sz w:val="18"/>
          <w:szCs w:val="18"/>
        </w:rPr>
        <w:t>积不足</w:t>
      </w:r>
      <w:proofErr w:type="gramEnd"/>
      <w:r>
        <w:rPr>
          <w:rFonts w:hint="eastAsia"/>
          <w:sz w:val="18"/>
          <w:szCs w:val="18"/>
        </w:rPr>
        <w:t>冲减的，调整留存收益。对于</w:t>
      </w:r>
      <w:proofErr w:type="gramStart"/>
      <w:r>
        <w:rPr>
          <w:rFonts w:hint="eastAsia"/>
          <w:sz w:val="18"/>
          <w:szCs w:val="18"/>
        </w:rPr>
        <w:t>合并</w:t>
      </w:r>
      <w:r>
        <w:rPr>
          <w:rFonts w:hint="eastAsia"/>
          <w:sz w:val="18"/>
          <w:szCs w:val="18"/>
        </w:rPr>
        <w:lastRenderedPageBreak/>
        <w:t>日</w:t>
      </w:r>
      <w:proofErr w:type="gramEnd"/>
      <w:r>
        <w:rPr>
          <w:rFonts w:hint="eastAsia"/>
          <w:sz w:val="18"/>
          <w:szCs w:val="18"/>
        </w:rPr>
        <w:t>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rsidR="005C49A8" w:rsidRDefault="005C49A8" w:rsidP="00C50357">
      <w:pPr>
        <w:widowControl/>
        <w:numPr>
          <w:ilvl w:val="0"/>
          <w:numId w:val="3"/>
        </w:numPr>
        <w:spacing w:before="100" w:beforeAutospacing="1" w:after="100" w:afterAutospacing="1"/>
        <w:divId w:val="1638804738"/>
        <w:rPr>
          <w:sz w:val="18"/>
          <w:szCs w:val="18"/>
        </w:rPr>
      </w:pPr>
      <w:r>
        <w:rPr>
          <w:rFonts w:hint="eastAsia"/>
          <w:sz w:val="18"/>
          <w:szCs w:val="18"/>
        </w:rPr>
        <w:t>．非同</w:t>
      </w:r>
      <w:proofErr w:type="gramStart"/>
      <w:r>
        <w:rPr>
          <w:rFonts w:hint="eastAsia"/>
          <w:sz w:val="18"/>
          <w:szCs w:val="18"/>
        </w:rPr>
        <w:t>一控制</w:t>
      </w:r>
      <w:proofErr w:type="gramEnd"/>
      <w:r>
        <w:rPr>
          <w:rFonts w:hint="eastAsia"/>
          <w:sz w:val="18"/>
          <w:szCs w:val="18"/>
        </w:rPr>
        <w:t>下的企业合并</w:t>
      </w:r>
    </w:p>
    <w:p w:rsidR="005C49A8" w:rsidRDefault="005C49A8">
      <w:pPr>
        <w:pStyle w:val="a3"/>
        <w:spacing w:before="50" w:beforeAutospacing="0" w:after="0" w:afterAutospacing="0"/>
        <w:ind w:firstLine="420"/>
        <w:jc w:val="both"/>
        <w:divId w:val="1638804738"/>
      </w:pPr>
      <w:r>
        <w:rPr>
          <w:rFonts w:hint="eastAsia"/>
          <w:sz w:val="18"/>
          <w:szCs w:val="18"/>
        </w:rPr>
        <w:t>购买日是指本公司实际取得对被购买方控制权的日期，即被购买方的净资产或生产经营决策的控制权转移给本公司的日期。同时满足下列条件时，本公司一般认为实现了控制权的转移：</w:t>
      </w:r>
    </w:p>
    <w:p w:rsidR="005C49A8" w:rsidRDefault="005C49A8">
      <w:pPr>
        <w:pStyle w:val="a3"/>
        <w:spacing w:before="50" w:beforeAutospacing="0" w:after="0" w:afterAutospacing="0"/>
        <w:ind w:firstLine="420"/>
        <w:jc w:val="both"/>
        <w:divId w:val="1638804738"/>
      </w:pPr>
      <w:r>
        <w:rPr>
          <w:rFonts w:hint="eastAsia"/>
          <w:sz w:val="18"/>
          <w:szCs w:val="18"/>
        </w:rPr>
        <w:t>（1）企业合并合同或协议已获本公司内部权力机构通过。</w:t>
      </w:r>
    </w:p>
    <w:p w:rsidR="005C49A8" w:rsidRDefault="005C49A8">
      <w:pPr>
        <w:pStyle w:val="a3"/>
        <w:spacing w:before="50" w:beforeAutospacing="0" w:after="0" w:afterAutospacing="0"/>
        <w:ind w:firstLine="420"/>
        <w:jc w:val="both"/>
        <w:divId w:val="1638804738"/>
      </w:pPr>
      <w:r>
        <w:rPr>
          <w:rFonts w:hint="eastAsia"/>
          <w:sz w:val="18"/>
          <w:szCs w:val="18"/>
        </w:rPr>
        <w:t>（2）企业合并事项需要经过国家有关主管部门审批的，已获得批准。</w:t>
      </w:r>
    </w:p>
    <w:p w:rsidR="005C49A8" w:rsidRDefault="005C49A8">
      <w:pPr>
        <w:pStyle w:val="a3"/>
        <w:spacing w:before="50" w:beforeAutospacing="0" w:after="0" w:afterAutospacing="0"/>
        <w:ind w:firstLine="420"/>
        <w:jc w:val="both"/>
        <w:divId w:val="1638804738"/>
      </w:pPr>
      <w:r>
        <w:rPr>
          <w:rFonts w:hint="eastAsia"/>
          <w:sz w:val="18"/>
          <w:szCs w:val="18"/>
        </w:rPr>
        <w:t>（3）已办理了必要的财产权转移手续。</w:t>
      </w:r>
    </w:p>
    <w:p w:rsidR="005C49A8" w:rsidRDefault="005C49A8">
      <w:pPr>
        <w:pStyle w:val="a3"/>
        <w:spacing w:before="50" w:beforeAutospacing="0" w:after="0" w:afterAutospacing="0"/>
        <w:ind w:firstLine="420"/>
        <w:jc w:val="both"/>
        <w:divId w:val="1638804738"/>
      </w:pPr>
      <w:r>
        <w:rPr>
          <w:rFonts w:hint="eastAsia"/>
          <w:sz w:val="18"/>
          <w:szCs w:val="18"/>
        </w:rPr>
        <w:t>（4）本公司已支付了合并价款的大部分，并且有能力、有计划支付剩余款项。</w:t>
      </w:r>
    </w:p>
    <w:p w:rsidR="005C49A8" w:rsidRDefault="005C49A8">
      <w:pPr>
        <w:pStyle w:val="a3"/>
        <w:spacing w:before="50" w:beforeAutospacing="0" w:after="0" w:afterAutospacing="0"/>
        <w:ind w:firstLine="420"/>
        <w:jc w:val="both"/>
        <w:divId w:val="1638804738"/>
      </w:pPr>
      <w:r>
        <w:rPr>
          <w:rFonts w:hint="eastAsia"/>
          <w:sz w:val="18"/>
          <w:szCs w:val="18"/>
        </w:rPr>
        <w:t>（5）本公司实际上已经控制了被购买方的财务和经营政策，并享有相应的利益、承担相应的风险。</w:t>
      </w:r>
    </w:p>
    <w:p w:rsidR="005C49A8" w:rsidRDefault="005C49A8">
      <w:pPr>
        <w:pStyle w:val="a3"/>
        <w:spacing w:before="50" w:beforeAutospacing="0" w:after="0" w:afterAutospacing="0"/>
        <w:ind w:firstLine="420"/>
        <w:jc w:val="both"/>
        <w:divId w:val="1638804738"/>
      </w:pPr>
      <w:r>
        <w:rPr>
          <w:rFonts w:hint="eastAsia"/>
          <w:sz w:val="18"/>
          <w:szCs w:val="18"/>
        </w:rPr>
        <w:t>本公司在购买日对作为企业合并对价付出的资产、发生或承担的负债按照公允价值计量，公允价值与其账面价值的差额，计入当期损益。</w:t>
      </w:r>
    </w:p>
    <w:p w:rsidR="005C49A8" w:rsidRDefault="005C49A8">
      <w:pPr>
        <w:pStyle w:val="a3"/>
        <w:spacing w:before="50" w:beforeAutospacing="0" w:after="0" w:afterAutospacing="0"/>
        <w:ind w:firstLine="420"/>
        <w:jc w:val="both"/>
        <w:divId w:val="1638804738"/>
      </w:pPr>
      <w:r>
        <w:rPr>
          <w:rFonts w:hint="eastAsia"/>
          <w:sz w:val="18"/>
          <w:szCs w:val="18"/>
        </w:rPr>
        <w:t>本公司对合并成本大于合并中取得的被购买方可辨认净资产公允价值份额的差额，确认为商誉；合并成本小于合并中取得的被购买方可辨认净资产公允价值份额的，首先对取得的被购买</w:t>
      </w:r>
      <w:proofErr w:type="gramStart"/>
      <w:r>
        <w:rPr>
          <w:rFonts w:hint="eastAsia"/>
          <w:sz w:val="18"/>
          <w:szCs w:val="18"/>
        </w:rPr>
        <w:t>方各项</w:t>
      </w:r>
      <w:proofErr w:type="gramEnd"/>
      <w:r>
        <w:rPr>
          <w:rFonts w:hint="eastAsia"/>
          <w:sz w:val="18"/>
          <w:szCs w:val="18"/>
        </w:rPr>
        <w:t>可辨认资产、负债及或有负债的公允价值以及合并成本的计量进行复核，复核后合并成本仍小于合并中取得的被购买方可辨认净资产公允价值份额的，计入当期损益。</w:t>
      </w:r>
    </w:p>
    <w:p w:rsidR="005C49A8" w:rsidRDefault="005C49A8">
      <w:pPr>
        <w:pStyle w:val="a3"/>
        <w:spacing w:before="50" w:beforeAutospacing="0" w:after="0" w:afterAutospacing="0"/>
        <w:ind w:firstLine="420"/>
        <w:jc w:val="both"/>
        <w:divId w:val="1638804738"/>
      </w:pPr>
      <w:r>
        <w:rPr>
          <w:rFonts w:hint="eastAsia"/>
          <w:sz w:val="18"/>
          <w:szCs w:val="18"/>
        </w:rPr>
        <w:t>通过多次交换交易分步实现的非同</w:t>
      </w:r>
      <w:proofErr w:type="gramStart"/>
      <w:r>
        <w:rPr>
          <w:rFonts w:hint="eastAsia"/>
          <w:sz w:val="18"/>
          <w:szCs w:val="18"/>
        </w:rPr>
        <w:t>一控制</w:t>
      </w:r>
      <w:proofErr w:type="gramEnd"/>
      <w:r>
        <w:rPr>
          <w:rFonts w:hint="eastAsia"/>
          <w:sz w:val="18"/>
          <w:szCs w:val="18"/>
        </w:rPr>
        <w:t>下企业合并，属于一揽子交易的，将各项交易作为一项取得控制权的交易进行会计处理；不属于一揽子交易的，</w:t>
      </w:r>
      <w:proofErr w:type="gramStart"/>
      <w:r>
        <w:rPr>
          <w:rFonts w:hint="eastAsia"/>
          <w:sz w:val="18"/>
          <w:szCs w:val="18"/>
        </w:rPr>
        <w:t>合并日</w:t>
      </w:r>
      <w:proofErr w:type="gramEnd"/>
      <w:r>
        <w:rPr>
          <w:rFonts w:hint="eastAsia"/>
          <w:sz w:val="18"/>
          <w:szCs w:val="18"/>
        </w:rPr>
        <w:t>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w:t>
      </w:r>
      <w:proofErr w:type="gramStart"/>
      <w:r>
        <w:rPr>
          <w:rFonts w:hint="eastAsia"/>
          <w:sz w:val="18"/>
          <w:szCs w:val="18"/>
        </w:rPr>
        <w:t>合并日</w:t>
      </w:r>
      <w:proofErr w:type="gramEnd"/>
      <w:r>
        <w:rPr>
          <w:rFonts w:hint="eastAsia"/>
          <w:sz w:val="18"/>
          <w:szCs w:val="18"/>
        </w:rPr>
        <w:t>之前持有的股权投资采用金融工具确认和计量准则核算的，以该股权投资在</w:t>
      </w:r>
      <w:proofErr w:type="gramStart"/>
      <w:r>
        <w:rPr>
          <w:rFonts w:hint="eastAsia"/>
          <w:sz w:val="18"/>
          <w:szCs w:val="18"/>
        </w:rPr>
        <w:t>合并日</w:t>
      </w:r>
      <w:proofErr w:type="gramEnd"/>
      <w:r>
        <w:rPr>
          <w:rFonts w:hint="eastAsia"/>
          <w:sz w:val="18"/>
          <w:szCs w:val="18"/>
        </w:rPr>
        <w:t>的公允价值加上新增投资成本之和，作为</w:t>
      </w:r>
      <w:proofErr w:type="gramStart"/>
      <w:r>
        <w:rPr>
          <w:rFonts w:hint="eastAsia"/>
          <w:sz w:val="18"/>
          <w:szCs w:val="18"/>
        </w:rPr>
        <w:t>合并日</w:t>
      </w:r>
      <w:proofErr w:type="gramEnd"/>
      <w:r>
        <w:rPr>
          <w:rFonts w:hint="eastAsia"/>
          <w:sz w:val="18"/>
          <w:szCs w:val="18"/>
        </w:rPr>
        <w:t>的初始投资成本。原持有股权的公允价值与账面价值之间的差额以及原计入其他综合收益的累计公允价值变动应全部转入</w:t>
      </w:r>
      <w:proofErr w:type="gramStart"/>
      <w:r>
        <w:rPr>
          <w:rFonts w:hint="eastAsia"/>
          <w:sz w:val="18"/>
          <w:szCs w:val="18"/>
        </w:rPr>
        <w:t>合并日</w:t>
      </w:r>
      <w:proofErr w:type="gramEnd"/>
      <w:r>
        <w:rPr>
          <w:rFonts w:hint="eastAsia"/>
          <w:sz w:val="18"/>
          <w:szCs w:val="18"/>
        </w:rPr>
        <w:t>当期的投资收益。</w:t>
      </w:r>
    </w:p>
    <w:p w:rsidR="005C49A8" w:rsidRDefault="005C49A8" w:rsidP="00C50357">
      <w:pPr>
        <w:widowControl/>
        <w:numPr>
          <w:ilvl w:val="0"/>
          <w:numId w:val="4"/>
        </w:numPr>
        <w:spacing w:before="100" w:beforeAutospacing="1" w:after="100" w:afterAutospacing="1"/>
        <w:divId w:val="1638804738"/>
        <w:rPr>
          <w:sz w:val="18"/>
          <w:szCs w:val="18"/>
        </w:rPr>
      </w:pPr>
      <w:r>
        <w:rPr>
          <w:rFonts w:hint="eastAsia"/>
          <w:sz w:val="18"/>
          <w:szCs w:val="18"/>
        </w:rPr>
        <w:t>．为合并发生的相关费用</w:t>
      </w:r>
    </w:p>
    <w:p w:rsidR="005C49A8" w:rsidRDefault="005C49A8">
      <w:pPr>
        <w:pStyle w:val="a3"/>
        <w:spacing w:before="50" w:beforeAutospacing="0" w:after="0" w:afterAutospacing="0"/>
        <w:ind w:firstLine="420"/>
        <w:jc w:val="both"/>
        <w:divId w:val="1638804738"/>
      </w:pPr>
      <w:r>
        <w:rPr>
          <w:rFonts w:hint="eastAsia"/>
          <w:sz w:val="18"/>
          <w:szCs w:val="18"/>
        </w:rPr>
        <w:t>为企业合并发生的审计、法律服务、评估咨询等中介费用以及其他直接相关费用，于发生时计入当期损益；为企业合并而发行权益</w:t>
      </w:r>
      <w:proofErr w:type="gramStart"/>
      <w:r>
        <w:rPr>
          <w:rFonts w:hint="eastAsia"/>
          <w:sz w:val="18"/>
          <w:szCs w:val="18"/>
        </w:rPr>
        <w:t>性证券</w:t>
      </w:r>
      <w:proofErr w:type="gramEnd"/>
      <w:r>
        <w:rPr>
          <w:rFonts w:hint="eastAsia"/>
          <w:sz w:val="18"/>
          <w:szCs w:val="18"/>
        </w:rPr>
        <w:t>的交易费用，可直接归属于权益性交易的从权益中扣减。</w:t>
      </w:r>
    </w:p>
    <w:p w:rsidR="008820E4" w:rsidRDefault="005C49A8">
      <w:pPr>
        <w:pStyle w:val="3"/>
        <w:spacing w:line="280" w:lineRule="exact"/>
        <w:jc w:val="left"/>
        <w:rPr>
          <w:rFonts w:ascii="宋体" w:hAnsi="宋体" w:cs="宋体"/>
          <w:b/>
          <w:bCs/>
        </w:rPr>
      </w:pPr>
      <w:bookmarkStart w:id="124" w:name="_Toc989013"/>
      <w:r>
        <w:rPr>
          <w:rFonts w:ascii="宋体" w:hAnsi="宋体" w:cs="宋体"/>
          <w:b/>
          <w:bCs/>
        </w:rPr>
        <w:t>7、控制的判断标准和合并财务报表的编制方法</w:t>
      </w:r>
      <w:bookmarkEnd w:id="124"/>
    </w:p>
    <w:p w:rsidR="005C49A8" w:rsidRDefault="005C49A8" w:rsidP="00C50357">
      <w:pPr>
        <w:widowControl/>
        <w:numPr>
          <w:ilvl w:val="0"/>
          <w:numId w:val="5"/>
        </w:numPr>
        <w:spacing w:before="100" w:beforeAutospacing="1" w:after="100" w:afterAutospacing="1"/>
        <w:divId w:val="631447948"/>
        <w:rPr>
          <w:sz w:val="18"/>
          <w:szCs w:val="18"/>
        </w:rPr>
      </w:pPr>
      <w:r>
        <w:rPr>
          <w:rStyle w:val="a4"/>
          <w:rFonts w:hint="eastAsia"/>
          <w:sz w:val="18"/>
          <w:szCs w:val="18"/>
        </w:rPr>
        <w:t>控制的判断标准</w:t>
      </w:r>
    </w:p>
    <w:p w:rsidR="005C49A8" w:rsidRDefault="005C49A8">
      <w:pPr>
        <w:pStyle w:val="a3"/>
        <w:spacing w:before="0" w:beforeAutospacing="0" w:after="0" w:afterAutospacing="0"/>
        <w:ind w:firstLine="420"/>
        <w:jc w:val="both"/>
        <w:divId w:val="631447948"/>
      </w:pPr>
      <w:r>
        <w:rPr>
          <w:rFonts w:hint="eastAsia"/>
          <w:sz w:val="18"/>
          <w:szCs w:val="18"/>
        </w:rPr>
        <w:t>控制，是指投资方拥有对被投资方的权力</w:t>
      </w:r>
      <w:r>
        <w:rPr>
          <w:rFonts w:ascii="Arial Narrow" w:hAnsi="Arial Narrow"/>
          <w:sz w:val="18"/>
          <w:szCs w:val="18"/>
        </w:rPr>
        <w:t>,</w:t>
      </w:r>
      <w:r>
        <w:rPr>
          <w:rFonts w:hint="eastAsia"/>
          <w:sz w:val="18"/>
          <w:szCs w:val="18"/>
        </w:rPr>
        <w:t>通过参与被投资方的相关活动而享有可变回报，并且有能力运用对被投资方的权力影响其回报金额。</w:t>
      </w:r>
    </w:p>
    <w:p w:rsidR="005C49A8" w:rsidRDefault="005C49A8">
      <w:pPr>
        <w:pStyle w:val="a3"/>
        <w:spacing w:before="0" w:beforeAutospacing="0" w:after="0" w:afterAutospacing="0"/>
        <w:ind w:firstLine="420"/>
        <w:jc w:val="both"/>
        <w:divId w:val="631447948"/>
      </w:pPr>
      <w:r>
        <w:rPr>
          <w:rFonts w:hint="eastAsia"/>
          <w:sz w:val="18"/>
          <w:szCs w:val="18"/>
        </w:rPr>
        <w:t>本公司在综合考虑所有相关事实和情况的基础上对是否控制被投资方进行判断。一旦相关事实和情况的变化导致对控制定义所涉及的相关要素发生变化的，本公司会进行重新评估。相关事实和情况主要包括：</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1</w:t>
      </w:r>
      <w:r>
        <w:rPr>
          <w:rFonts w:hint="eastAsia"/>
          <w:sz w:val="18"/>
          <w:szCs w:val="18"/>
        </w:rPr>
        <w:t>）被投资方的设立目的。</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2</w:t>
      </w:r>
      <w:r>
        <w:rPr>
          <w:rFonts w:hint="eastAsia"/>
          <w:sz w:val="18"/>
          <w:szCs w:val="18"/>
        </w:rPr>
        <w:t>）被投资方的相关活动以及如何对相关活动</w:t>
      </w:r>
      <w:proofErr w:type="gramStart"/>
      <w:r>
        <w:rPr>
          <w:rFonts w:hint="eastAsia"/>
          <w:sz w:val="18"/>
          <w:szCs w:val="18"/>
        </w:rPr>
        <w:t>作出</w:t>
      </w:r>
      <w:proofErr w:type="gramEnd"/>
      <w:r>
        <w:rPr>
          <w:rFonts w:hint="eastAsia"/>
          <w:sz w:val="18"/>
          <w:szCs w:val="18"/>
        </w:rPr>
        <w:t>决策。</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3</w:t>
      </w:r>
      <w:r>
        <w:rPr>
          <w:rFonts w:hint="eastAsia"/>
          <w:sz w:val="18"/>
          <w:szCs w:val="18"/>
        </w:rPr>
        <w:t>）投资方享有的权利是否使其目前有能力主导被投资方的相关活动。</w:t>
      </w:r>
    </w:p>
    <w:p w:rsidR="005C49A8" w:rsidRDefault="005C49A8">
      <w:pPr>
        <w:pStyle w:val="a3"/>
        <w:spacing w:before="0" w:beforeAutospacing="0" w:after="0" w:afterAutospacing="0"/>
        <w:ind w:firstLine="420"/>
        <w:jc w:val="both"/>
        <w:divId w:val="631447948"/>
      </w:pPr>
      <w:r>
        <w:rPr>
          <w:rFonts w:hint="eastAsia"/>
          <w:sz w:val="18"/>
          <w:szCs w:val="18"/>
        </w:rPr>
        <w:lastRenderedPageBreak/>
        <w:t>（</w:t>
      </w:r>
      <w:r>
        <w:rPr>
          <w:rFonts w:ascii="Arial Narrow" w:hAnsi="Arial Narrow"/>
          <w:sz w:val="18"/>
          <w:szCs w:val="18"/>
        </w:rPr>
        <w:t>4</w:t>
      </w:r>
      <w:r>
        <w:rPr>
          <w:rFonts w:hint="eastAsia"/>
          <w:sz w:val="18"/>
          <w:szCs w:val="18"/>
        </w:rPr>
        <w:t>）投资方是否通过参与被投资方的相关活动而享有可变回报。</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5</w:t>
      </w:r>
      <w:r>
        <w:rPr>
          <w:rFonts w:hint="eastAsia"/>
          <w:sz w:val="18"/>
          <w:szCs w:val="18"/>
        </w:rPr>
        <w:t>）投资方是否有能力运用对被投资方的权力影响其回报金额。</w:t>
      </w:r>
    </w:p>
    <w:p w:rsidR="005C49A8" w:rsidRDefault="005C49A8">
      <w:pPr>
        <w:pStyle w:val="a3"/>
        <w:spacing w:before="0" w:beforeAutospacing="0" w:after="0" w:afterAutospacing="0"/>
        <w:ind w:firstLine="420"/>
        <w:jc w:val="both"/>
        <w:divId w:val="631447948"/>
      </w:pPr>
      <w:r>
        <w:rPr>
          <w:rFonts w:hint="eastAsia"/>
          <w:sz w:val="18"/>
          <w:szCs w:val="18"/>
        </w:rPr>
        <w:t>（</w:t>
      </w:r>
      <w:r>
        <w:rPr>
          <w:rFonts w:ascii="Arial Narrow" w:hAnsi="Arial Narrow"/>
          <w:sz w:val="18"/>
          <w:szCs w:val="18"/>
        </w:rPr>
        <w:t>6</w:t>
      </w:r>
      <w:r>
        <w:rPr>
          <w:rFonts w:hint="eastAsia"/>
          <w:sz w:val="18"/>
          <w:szCs w:val="18"/>
        </w:rPr>
        <w:t>）投资方与其他方的关系。</w:t>
      </w:r>
    </w:p>
    <w:p w:rsidR="005C49A8" w:rsidRDefault="005C49A8" w:rsidP="00C50357">
      <w:pPr>
        <w:widowControl/>
        <w:numPr>
          <w:ilvl w:val="0"/>
          <w:numId w:val="6"/>
        </w:numPr>
        <w:spacing w:before="100" w:beforeAutospacing="1" w:after="100" w:afterAutospacing="1"/>
        <w:divId w:val="631447948"/>
        <w:rPr>
          <w:sz w:val="18"/>
          <w:szCs w:val="18"/>
        </w:rPr>
      </w:pPr>
      <w:r>
        <w:rPr>
          <w:rFonts w:hint="eastAsia"/>
          <w:sz w:val="18"/>
          <w:szCs w:val="18"/>
        </w:rPr>
        <w:t>．</w:t>
      </w:r>
      <w:r>
        <w:rPr>
          <w:rStyle w:val="a4"/>
          <w:rFonts w:hint="eastAsia"/>
          <w:sz w:val="18"/>
          <w:szCs w:val="18"/>
        </w:rPr>
        <w:t>合并范围</w:t>
      </w:r>
    </w:p>
    <w:p w:rsidR="005C49A8" w:rsidRDefault="005C49A8">
      <w:pPr>
        <w:pStyle w:val="a3"/>
        <w:spacing w:before="0" w:beforeAutospacing="0" w:after="0" w:afterAutospacing="0"/>
        <w:ind w:firstLine="420"/>
        <w:jc w:val="both"/>
        <w:divId w:val="631447948"/>
      </w:pPr>
      <w:r>
        <w:rPr>
          <w:rFonts w:hint="eastAsia"/>
          <w:sz w:val="18"/>
          <w:szCs w:val="18"/>
        </w:rPr>
        <w:t>本公司合并财务报表的合并范围以控制为基础确定，所有子公司（包括本公司所控制的单独主体）均纳入合并财务报表。</w:t>
      </w:r>
    </w:p>
    <w:p w:rsidR="005C49A8" w:rsidRDefault="005C49A8" w:rsidP="00C50357">
      <w:pPr>
        <w:widowControl/>
        <w:numPr>
          <w:ilvl w:val="0"/>
          <w:numId w:val="7"/>
        </w:numPr>
        <w:spacing w:before="100" w:beforeAutospacing="1" w:after="100" w:afterAutospacing="1"/>
        <w:divId w:val="631447948"/>
        <w:rPr>
          <w:sz w:val="18"/>
          <w:szCs w:val="18"/>
        </w:rPr>
      </w:pPr>
      <w:r>
        <w:rPr>
          <w:rFonts w:hint="eastAsia"/>
          <w:sz w:val="18"/>
          <w:szCs w:val="18"/>
        </w:rPr>
        <w:t>．</w:t>
      </w:r>
      <w:r>
        <w:rPr>
          <w:rStyle w:val="a4"/>
          <w:rFonts w:hint="eastAsia"/>
          <w:sz w:val="18"/>
          <w:szCs w:val="18"/>
        </w:rPr>
        <w:t>合并程序</w:t>
      </w:r>
    </w:p>
    <w:p w:rsidR="005C49A8" w:rsidRDefault="005C49A8">
      <w:pPr>
        <w:pStyle w:val="a3"/>
        <w:spacing w:before="50" w:beforeAutospacing="0" w:after="0" w:afterAutospacing="0"/>
        <w:ind w:firstLine="420"/>
        <w:jc w:val="both"/>
        <w:divId w:val="631447948"/>
      </w:pPr>
      <w:r>
        <w:rPr>
          <w:rFonts w:hint="eastAsia"/>
          <w:sz w:val="18"/>
          <w:szCs w:val="18"/>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rsidR="005C49A8" w:rsidRDefault="005C49A8">
      <w:pPr>
        <w:pStyle w:val="a3"/>
        <w:spacing w:before="50" w:beforeAutospacing="0" w:after="0" w:afterAutospacing="0"/>
        <w:ind w:firstLine="420"/>
        <w:jc w:val="both"/>
        <w:divId w:val="631447948"/>
      </w:pPr>
      <w:r>
        <w:rPr>
          <w:rFonts w:hint="eastAsia"/>
          <w:sz w:val="18"/>
          <w:szCs w:val="18"/>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rsidR="005C49A8" w:rsidRDefault="005C49A8">
      <w:pPr>
        <w:pStyle w:val="a3"/>
        <w:spacing w:before="50" w:beforeAutospacing="0" w:after="0" w:afterAutospacing="0"/>
        <w:ind w:firstLine="420"/>
        <w:jc w:val="both"/>
        <w:divId w:val="631447948"/>
      </w:pPr>
      <w:r>
        <w:rPr>
          <w:rFonts w:hint="eastAsia"/>
          <w:sz w:val="18"/>
          <w:szCs w:val="18"/>
        </w:rPr>
        <w:t>合并财务报表时</w:t>
      </w:r>
      <w:proofErr w:type="gramStart"/>
      <w:r>
        <w:rPr>
          <w:rFonts w:hint="eastAsia"/>
          <w:sz w:val="18"/>
          <w:szCs w:val="18"/>
        </w:rPr>
        <w:t>抵销</w:t>
      </w:r>
      <w:proofErr w:type="gramEnd"/>
      <w:r>
        <w:rPr>
          <w:rFonts w:hint="eastAsia"/>
          <w:sz w:val="18"/>
          <w:szCs w:val="18"/>
        </w:rPr>
        <w:t>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rsidR="005C49A8" w:rsidRDefault="005C49A8">
      <w:pPr>
        <w:pStyle w:val="a3"/>
        <w:spacing w:before="50" w:beforeAutospacing="0" w:after="0" w:afterAutospacing="0"/>
        <w:ind w:firstLine="420"/>
        <w:jc w:val="both"/>
        <w:divId w:val="631447948"/>
      </w:pPr>
      <w:r>
        <w:rPr>
          <w:rFonts w:hint="eastAsia"/>
          <w:sz w:val="18"/>
          <w:szCs w:val="18"/>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w:t>
      </w:r>
      <w:proofErr w:type="gramStart"/>
      <w:r>
        <w:rPr>
          <w:rFonts w:hint="eastAsia"/>
          <w:sz w:val="18"/>
          <w:szCs w:val="18"/>
        </w:rPr>
        <w:t>冲减少</w:t>
      </w:r>
      <w:proofErr w:type="gramEnd"/>
      <w:r>
        <w:rPr>
          <w:rFonts w:hint="eastAsia"/>
          <w:sz w:val="18"/>
          <w:szCs w:val="18"/>
        </w:rPr>
        <w:t>数股东权益。</w:t>
      </w:r>
    </w:p>
    <w:p w:rsidR="005C49A8" w:rsidRDefault="005C49A8">
      <w:pPr>
        <w:pStyle w:val="a3"/>
        <w:spacing w:before="50" w:beforeAutospacing="0" w:after="0" w:afterAutospacing="0"/>
        <w:ind w:firstLine="420"/>
        <w:jc w:val="both"/>
        <w:divId w:val="631447948"/>
      </w:pPr>
      <w:r>
        <w:rPr>
          <w:rFonts w:hint="eastAsia"/>
          <w:sz w:val="18"/>
          <w:szCs w:val="18"/>
        </w:rPr>
        <w:t>对于同</w:t>
      </w:r>
      <w:proofErr w:type="gramStart"/>
      <w:r>
        <w:rPr>
          <w:rFonts w:hint="eastAsia"/>
          <w:sz w:val="18"/>
          <w:szCs w:val="18"/>
        </w:rPr>
        <w:t>一控制</w:t>
      </w:r>
      <w:proofErr w:type="gramEnd"/>
      <w:r>
        <w:rPr>
          <w:rFonts w:hint="eastAsia"/>
          <w:sz w:val="18"/>
          <w:szCs w:val="18"/>
        </w:rPr>
        <w:t>下企业合并取得的子公司，以其资产、负债（包括最终控制</w:t>
      </w:r>
      <w:proofErr w:type="gramStart"/>
      <w:r>
        <w:rPr>
          <w:rFonts w:hint="eastAsia"/>
          <w:sz w:val="18"/>
          <w:szCs w:val="18"/>
        </w:rPr>
        <w:t>方收购</w:t>
      </w:r>
      <w:proofErr w:type="gramEnd"/>
      <w:r>
        <w:rPr>
          <w:rFonts w:hint="eastAsia"/>
          <w:sz w:val="18"/>
          <w:szCs w:val="18"/>
        </w:rPr>
        <w:t>该子公司而形成的商誉）在最终控制方财务报表中的账面价值为基础对其财务报表进行调整。</w:t>
      </w:r>
    </w:p>
    <w:p w:rsidR="005C49A8" w:rsidRDefault="005C49A8">
      <w:pPr>
        <w:pStyle w:val="a3"/>
        <w:spacing w:before="50" w:beforeAutospacing="0" w:after="0" w:afterAutospacing="0"/>
        <w:ind w:firstLine="420"/>
        <w:jc w:val="both"/>
        <w:divId w:val="631447948"/>
      </w:pPr>
      <w:r>
        <w:rPr>
          <w:rFonts w:hint="eastAsia"/>
          <w:sz w:val="18"/>
          <w:szCs w:val="18"/>
        </w:rPr>
        <w:t>对于非同</w:t>
      </w:r>
      <w:proofErr w:type="gramStart"/>
      <w:r>
        <w:rPr>
          <w:rFonts w:hint="eastAsia"/>
          <w:sz w:val="18"/>
          <w:szCs w:val="18"/>
        </w:rPr>
        <w:t>一控制</w:t>
      </w:r>
      <w:proofErr w:type="gramEnd"/>
      <w:r>
        <w:rPr>
          <w:rFonts w:hint="eastAsia"/>
          <w:sz w:val="18"/>
          <w:szCs w:val="18"/>
        </w:rPr>
        <w:t>下企业合并取得的子公司，以购买日可辨认净资产公允价值为基础对其财务报表进行调整</w:t>
      </w:r>
    </w:p>
    <w:p w:rsidR="005C49A8" w:rsidRDefault="005C49A8" w:rsidP="00C50357">
      <w:pPr>
        <w:widowControl/>
        <w:numPr>
          <w:ilvl w:val="0"/>
          <w:numId w:val="8"/>
        </w:numPr>
        <w:divId w:val="631447948"/>
        <w:rPr>
          <w:rFonts w:ascii="Calibri" w:hAnsi="Calibri" w:cs="Calibri"/>
          <w:szCs w:val="21"/>
        </w:rPr>
      </w:pPr>
      <w:r>
        <w:rPr>
          <w:rFonts w:cs="Calibri" w:hint="eastAsia"/>
          <w:sz w:val="18"/>
          <w:szCs w:val="18"/>
        </w:rPr>
        <w:t>增加子公司或业务</w:t>
      </w:r>
    </w:p>
    <w:p w:rsidR="005C49A8" w:rsidRDefault="005C49A8">
      <w:pPr>
        <w:pStyle w:val="a3"/>
        <w:spacing w:before="50" w:beforeAutospacing="0" w:after="0" w:afterAutospacing="0"/>
        <w:ind w:firstLine="420"/>
        <w:jc w:val="both"/>
        <w:divId w:val="631447948"/>
      </w:pPr>
      <w:r>
        <w:rPr>
          <w:rFonts w:hint="eastAsia"/>
          <w:sz w:val="18"/>
          <w:szCs w:val="18"/>
        </w:rPr>
        <w:t>在报告期内，若因同</w:t>
      </w:r>
      <w:proofErr w:type="gramStart"/>
      <w:r>
        <w:rPr>
          <w:rFonts w:hint="eastAsia"/>
          <w:sz w:val="18"/>
          <w:szCs w:val="18"/>
        </w:rPr>
        <w:t>一控制</w:t>
      </w:r>
      <w:proofErr w:type="gramEnd"/>
      <w:r>
        <w:rPr>
          <w:rFonts w:hint="eastAsia"/>
          <w:sz w:val="18"/>
          <w:szCs w:val="18"/>
        </w:rPr>
        <w:t>下企业合并增加子公司或业务的，则调整合并资产负债表的期初数；将子公司或业务合并当期期初</w:t>
      </w:r>
      <w:proofErr w:type="gramStart"/>
      <w:r>
        <w:rPr>
          <w:rFonts w:hint="eastAsia"/>
          <w:sz w:val="18"/>
          <w:szCs w:val="18"/>
        </w:rPr>
        <w:t>至报告</w:t>
      </w:r>
      <w:proofErr w:type="gramEnd"/>
      <w:r>
        <w:rPr>
          <w:rFonts w:hint="eastAsia"/>
          <w:sz w:val="18"/>
          <w:szCs w:val="18"/>
        </w:rPr>
        <w:t>期末的收入、费用、利润纳入合并利润表；将子公司或业务合并当期期初</w:t>
      </w:r>
      <w:proofErr w:type="gramStart"/>
      <w:r>
        <w:rPr>
          <w:rFonts w:hint="eastAsia"/>
          <w:sz w:val="18"/>
          <w:szCs w:val="18"/>
        </w:rPr>
        <w:t>至报告</w:t>
      </w:r>
      <w:proofErr w:type="gramEnd"/>
      <w:r>
        <w:rPr>
          <w:rFonts w:hint="eastAsia"/>
          <w:sz w:val="18"/>
          <w:szCs w:val="18"/>
        </w:rPr>
        <w:t>期末的现金流量纳入合并现金流量表，同时对比较报表的相关项目进行调整，视同合并后的报告主体</w:t>
      </w:r>
      <w:proofErr w:type="gramStart"/>
      <w:r>
        <w:rPr>
          <w:rFonts w:hint="eastAsia"/>
          <w:sz w:val="18"/>
          <w:szCs w:val="18"/>
        </w:rPr>
        <w:t>自最终</w:t>
      </w:r>
      <w:proofErr w:type="gramEnd"/>
      <w:r>
        <w:rPr>
          <w:rFonts w:hint="eastAsia"/>
          <w:sz w:val="18"/>
          <w:szCs w:val="18"/>
        </w:rPr>
        <w:t>控制方开始控制时点起一直存在。</w:t>
      </w:r>
    </w:p>
    <w:p w:rsidR="005C49A8" w:rsidRDefault="005C49A8">
      <w:pPr>
        <w:pStyle w:val="a3"/>
        <w:spacing w:before="50" w:beforeAutospacing="0" w:after="0" w:afterAutospacing="0"/>
        <w:ind w:firstLine="420"/>
        <w:jc w:val="both"/>
        <w:divId w:val="631447948"/>
      </w:pPr>
      <w:r>
        <w:rPr>
          <w:rFonts w:hint="eastAsia"/>
          <w:sz w:val="18"/>
          <w:szCs w:val="18"/>
        </w:rPr>
        <w:t>因追加投资等原因能够对同</w:t>
      </w:r>
      <w:proofErr w:type="gramStart"/>
      <w:r>
        <w:rPr>
          <w:rFonts w:hint="eastAsia"/>
          <w:sz w:val="18"/>
          <w:szCs w:val="18"/>
        </w:rPr>
        <w:t>一控制</w:t>
      </w:r>
      <w:proofErr w:type="gramEnd"/>
      <w:r>
        <w:rPr>
          <w:rFonts w:hint="eastAsia"/>
          <w:sz w:val="18"/>
          <w:szCs w:val="18"/>
        </w:rPr>
        <w:t>下的被投资方实施控制的，视同参与合并的各方在最终控制方开始控制时即以目前的状态存在进行调整。在取得被合并方控制权之前持有的股权投资，在取得原股权之日与合并方和被合并方同处于同</w:t>
      </w:r>
      <w:proofErr w:type="gramStart"/>
      <w:r>
        <w:rPr>
          <w:rFonts w:hint="eastAsia"/>
          <w:sz w:val="18"/>
          <w:szCs w:val="18"/>
        </w:rPr>
        <w:t>一控制之日孰晚日</w:t>
      </w:r>
      <w:proofErr w:type="gramEnd"/>
      <w:r>
        <w:rPr>
          <w:rFonts w:hint="eastAsia"/>
          <w:sz w:val="18"/>
          <w:szCs w:val="18"/>
        </w:rPr>
        <w:t>起至</w:t>
      </w:r>
      <w:proofErr w:type="gramStart"/>
      <w:r>
        <w:rPr>
          <w:rFonts w:hint="eastAsia"/>
          <w:sz w:val="18"/>
          <w:szCs w:val="18"/>
        </w:rPr>
        <w:t>合并日</w:t>
      </w:r>
      <w:proofErr w:type="gramEnd"/>
      <w:r>
        <w:rPr>
          <w:rFonts w:hint="eastAsia"/>
          <w:sz w:val="18"/>
          <w:szCs w:val="18"/>
        </w:rPr>
        <w:t>之间已确认有关损益、其他综合收益以及其他净资产变动，分别冲减比较报表期间的期初留存收益或当期损益。</w:t>
      </w:r>
    </w:p>
    <w:p w:rsidR="005C49A8" w:rsidRDefault="005C49A8">
      <w:pPr>
        <w:pStyle w:val="a3"/>
        <w:spacing w:before="50" w:beforeAutospacing="0" w:after="0" w:afterAutospacing="0"/>
        <w:ind w:firstLine="420"/>
        <w:jc w:val="both"/>
        <w:divId w:val="631447948"/>
      </w:pPr>
      <w:r>
        <w:rPr>
          <w:rFonts w:hint="eastAsia"/>
          <w:sz w:val="18"/>
          <w:szCs w:val="18"/>
        </w:rPr>
        <w:t>在报告期内，若因非同</w:t>
      </w:r>
      <w:proofErr w:type="gramStart"/>
      <w:r>
        <w:rPr>
          <w:rFonts w:hint="eastAsia"/>
          <w:sz w:val="18"/>
          <w:szCs w:val="18"/>
        </w:rPr>
        <w:t>一控制</w:t>
      </w:r>
      <w:proofErr w:type="gramEnd"/>
      <w:r>
        <w:rPr>
          <w:rFonts w:hint="eastAsia"/>
          <w:sz w:val="18"/>
          <w:szCs w:val="18"/>
        </w:rPr>
        <w:t>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rsidR="005C49A8" w:rsidRDefault="005C49A8">
      <w:pPr>
        <w:pStyle w:val="a3"/>
        <w:spacing w:before="50" w:beforeAutospacing="0" w:after="0" w:afterAutospacing="0"/>
        <w:ind w:firstLine="420"/>
        <w:jc w:val="both"/>
        <w:divId w:val="631447948"/>
      </w:pPr>
      <w:r>
        <w:rPr>
          <w:rFonts w:hint="eastAsia"/>
          <w:sz w:val="18"/>
          <w:szCs w:val="18"/>
        </w:rPr>
        <w:t>因追加投资等原因能够对非同</w:t>
      </w:r>
      <w:proofErr w:type="gramStart"/>
      <w:r>
        <w:rPr>
          <w:rFonts w:hint="eastAsia"/>
          <w:sz w:val="18"/>
          <w:szCs w:val="18"/>
        </w:rPr>
        <w:t>一控制</w:t>
      </w:r>
      <w:proofErr w:type="gramEnd"/>
      <w:r>
        <w:rPr>
          <w:rFonts w:hint="eastAsia"/>
          <w:sz w:val="18"/>
          <w:szCs w:val="18"/>
        </w:rPr>
        <w:t>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rsidR="005C49A8" w:rsidRDefault="005C49A8" w:rsidP="00C50357">
      <w:pPr>
        <w:widowControl/>
        <w:numPr>
          <w:ilvl w:val="0"/>
          <w:numId w:val="9"/>
        </w:numPr>
        <w:divId w:val="631447948"/>
        <w:rPr>
          <w:rFonts w:ascii="Calibri" w:hAnsi="Calibri" w:cs="Calibri"/>
          <w:szCs w:val="21"/>
        </w:rPr>
      </w:pPr>
      <w:r>
        <w:rPr>
          <w:rFonts w:cs="Calibri" w:hint="eastAsia"/>
          <w:sz w:val="18"/>
          <w:szCs w:val="18"/>
        </w:rPr>
        <w:t>处置子公司或业务</w:t>
      </w:r>
    </w:p>
    <w:p w:rsidR="005C49A8" w:rsidRDefault="005C49A8">
      <w:pPr>
        <w:pStyle w:val="a3"/>
        <w:spacing w:before="0" w:beforeAutospacing="0" w:after="0" w:afterAutospacing="0"/>
        <w:ind w:firstLine="420"/>
        <w:jc w:val="both"/>
        <w:divId w:val="631447948"/>
      </w:pPr>
      <w:r>
        <w:rPr>
          <w:rFonts w:hint="eastAsia"/>
          <w:sz w:val="18"/>
          <w:szCs w:val="18"/>
        </w:rPr>
        <w:t>1）一般处理方法</w:t>
      </w:r>
    </w:p>
    <w:p w:rsidR="005C49A8" w:rsidRDefault="005C49A8">
      <w:pPr>
        <w:pStyle w:val="a3"/>
        <w:spacing w:before="0" w:beforeAutospacing="0" w:after="0" w:afterAutospacing="0"/>
        <w:ind w:firstLine="420"/>
        <w:jc w:val="both"/>
        <w:divId w:val="631447948"/>
      </w:pPr>
      <w:r>
        <w:rPr>
          <w:rFonts w:hint="eastAsia"/>
          <w:sz w:val="18"/>
          <w:szCs w:val="18"/>
        </w:rPr>
        <w:lastRenderedPageBreak/>
        <w:t>在报告期内，本公司处置子公司或业务，则该子公司或业务期初至</w:t>
      </w:r>
      <w:proofErr w:type="gramStart"/>
      <w:r>
        <w:rPr>
          <w:rFonts w:hint="eastAsia"/>
          <w:sz w:val="18"/>
          <w:szCs w:val="18"/>
        </w:rPr>
        <w:t>处置日</w:t>
      </w:r>
      <w:proofErr w:type="gramEnd"/>
      <w:r>
        <w:rPr>
          <w:rFonts w:hint="eastAsia"/>
          <w:sz w:val="18"/>
          <w:szCs w:val="18"/>
        </w:rPr>
        <w:t>的收入、费用、利润纳入合并利润表；该子公司或业务期初至</w:t>
      </w:r>
      <w:proofErr w:type="gramStart"/>
      <w:r>
        <w:rPr>
          <w:rFonts w:hint="eastAsia"/>
          <w:sz w:val="18"/>
          <w:szCs w:val="18"/>
        </w:rPr>
        <w:t>处置日</w:t>
      </w:r>
      <w:proofErr w:type="gramEnd"/>
      <w:r>
        <w:rPr>
          <w:rFonts w:hint="eastAsia"/>
          <w:sz w:val="18"/>
          <w:szCs w:val="18"/>
        </w:rPr>
        <w:t>的现金流量纳入合并现金流量表。</w:t>
      </w:r>
    </w:p>
    <w:p w:rsidR="005C49A8" w:rsidRDefault="005C49A8">
      <w:pPr>
        <w:pStyle w:val="a3"/>
        <w:spacing w:before="0" w:beforeAutospacing="0" w:after="0" w:afterAutospacing="0"/>
        <w:ind w:firstLine="420"/>
        <w:jc w:val="both"/>
        <w:divId w:val="631447948"/>
      </w:pPr>
      <w:r>
        <w:rPr>
          <w:rFonts w:hint="eastAsia"/>
          <w:sz w:val="18"/>
          <w:szCs w:val="18"/>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w:t>
      </w:r>
      <w:proofErr w:type="gramStart"/>
      <w:r>
        <w:rPr>
          <w:rFonts w:hint="eastAsia"/>
          <w:sz w:val="18"/>
          <w:szCs w:val="18"/>
        </w:rPr>
        <w:t>合并日</w:t>
      </w:r>
      <w:proofErr w:type="gramEnd"/>
      <w:r>
        <w:rPr>
          <w:rFonts w:hint="eastAsia"/>
          <w:sz w:val="18"/>
          <w:szCs w:val="18"/>
        </w:rPr>
        <w:t>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rsidR="005C49A8" w:rsidRDefault="005C49A8">
      <w:pPr>
        <w:pStyle w:val="a3"/>
        <w:spacing w:before="0" w:beforeAutospacing="0" w:after="0" w:afterAutospacing="0"/>
        <w:ind w:firstLine="420"/>
        <w:jc w:val="both"/>
        <w:divId w:val="631447948"/>
      </w:pPr>
      <w:r>
        <w:rPr>
          <w:rFonts w:hint="eastAsia"/>
          <w:sz w:val="18"/>
          <w:szCs w:val="18"/>
        </w:rPr>
        <w:t>2）分步处置子公司</w:t>
      </w:r>
    </w:p>
    <w:p w:rsidR="005C49A8" w:rsidRDefault="005C49A8">
      <w:pPr>
        <w:pStyle w:val="a3"/>
        <w:spacing w:before="0" w:beforeAutospacing="0" w:after="0" w:afterAutospacing="0"/>
        <w:ind w:firstLine="420"/>
        <w:jc w:val="both"/>
        <w:divId w:val="631447948"/>
      </w:pPr>
      <w:r>
        <w:rPr>
          <w:rFonts w:hint="eastAsia"/>
          <w:sz w:val="18"/>
          <w:szCs w:val="18"/>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rsidR="005C49A8" w:rsidRDefault="005C49A8">
      <w:pPr>
        <w:pStyle w:val="a3"/>
        <w:spacing w:before="0" w:beforeAutospacing="0" w:after="0" w:afterAutospacing="0"/>
        <w:ind w:firstLine="420"/>
        <w:jc w:val="both"/>
        <w:divId w:val="631447948"/>
      </w:pPr>
      <w:r>
        <w:rPr>
          <w:rFonts w:hint="eastAsia"/>
          <w:sz w:val="18"/>
          <w:szCs w:val="18"/>
        </w:rPr>
        <w:t>A.这些交易是同时或者在考虑了彼此影响的情况下订立的；</w:t>
      </w:r>
    </w:p>
    <w:p w:rsidR="005C49A8" w:rsidRDefault="005C49A8">
      <w:pPr>
        <w:pStyle w:val="a3"/>
        <w:spacing w:before="0" w:beforeAutospacing="0" w:after="0" w:afterAutospacing="0"/>
        <w:ind w:firstLine="420"/>
        <w:jc w:val="both"/>
        <w:divId w:val="631447948"/>
      </w:pPr>
      <w:r>
        <w:rPr>
          <w:rFonts w:hint="eastAsia"/>
          <w:sz w:val="18"/>
          <w:szCs w:val="18"/>
        </w:rPr>
        <w:t>B.这些交易整体才能达成一项完整的商业结果；</w:t>
      </w:r>
    </w:p>
    <w:p w:rsidR="005C49A8" w:rsidRDefault="005C49A8">
      <w:pPr>
        <w:pStyle w:val="a3"/>
        <w:spacing w:before="0" w:beforeAutospacing="0" w:after="0" w:afterAutospacing="0"/>
        <w:ind w:firstLine="420"/>
        <w:jc w:val="both"/>
        <w:divId w:val="631447948"/>
      </w:pPr>
      <w:r>
        <w:rPr>
          <w:rFonts w:hint="eastAsia"/>
          <w:sz w:val="18"/>
          <w:szCs w:val="18"/>
        </w:rPr>
        <w:t>C.一项交易的发生取决于其他至少一项交易的发生；</w:t>
      </w:r>
    </w:p>
    <w:p w:rsidR="005C49A8" w:rsidRDefault="005C49A8">
      <w:pPr>
        <w:pStyle w:val="a3"/>
        <w:spacing w:before="0" w:beforeAutospacing="0" w:after="0" w:afterAutospacing="0"/>
        <w:ind w:firstLine="420"/>
        <w:jc w:val="both"/>
        <w:divId w:val="631447948"/>
      </w:pPr>
      <w:r>
        <w:rPr>
          <w:rFonts w:hint="eastAsia"/>
          <w:sz w:val="18"/>
          <w:szCs w:val="18"/>
        </w:rPr>
        <w:t>D.一项交易单独看是不经济的，但是和其他交易一并考虑时是经济的。</w:t>
      </w:r>
    </w:p>
    <w:p w:rsidR="005C49A8" w:rsidRDefault="005C49A8">
      <w:pPr>
        <w:pStyle w:val="a3"/>
        <w:spacing w:before="0" w:beforeAutospacing="0" w:after="0" w:afterAutospacing="0"/>
        <w:ind w:firstLine="420"/>
        <w:jc w:val="both"/>
        <w:divId w:val="631447948"/>
      </w:pPr>
      <w:r>
        <w:rPr>
          <w:rFonts w:hint="eastAsia"/>
          <w:sz w:val="18"/>
          <w:szCs w:val="18"/>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5C49A8" w:rsidRDefault="005C49A8">
      <w:pPr>
        <w:pStyle w:val="a3"/>
        <w:spacing w:before="0" w:beforeAutospacing="0" w:after="0" w:afterAutospacing="0"/>
        <w:ind w:firstLine="420"/>
        <w:jc w:val="both"/>
        <w:divId w:val="631447948"/>
      </w:pPr>
      <w:r>
        <w:rPr>
          <w:rFonts w:hint="eastAsia"/>
          <w:sz w:val="18"/>
          <w:szCs w:val="18"/>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rsidR="005C49A8" w:rsidRDefault="005C49A8" w:rsidP="00C50357">
      <w:pPr>
        <w:widowControl/>
        <w:numPr>
          <w:ilvl w:val="0"/>
          <w:numId w:val="10"/>
        </w:numPr>
        <w:divId w:val="631447948"/>
        <w:rPr>
          <w:rFonts w:ascii="Calibri" w:hAnsi="Calibri" w:cs="Calibri"/>
          <w:szCs w:val="21"/>
        </w:rPr>
      </w:pPr>
      <w:r>
        <w:rPr>
          <w:rFonts w:cs="Calibri" w:hint="eastAsia"/>
          <w:sz w:val="18"/>
          <w:szCs w:val="18"/>
        </w:rPr>
        <w:t>购买子公司少数股权</w:t>
      </w:r>
    </w:p>
    <w:p w:rsidR="005C49A8" w:rsidRDefault="005C49A8">
      <w:pPr>
        <w:pStyle w:val="a3"/>
        <w:spacing w:before="0" w:beforeAutospacing="0" w:after="0" w:afterAutospacing="0"/>
        <w:ind w:firstLine="420"/>
        <w:jc w:val="both"/>
        <w:divId w:val="631447948"/>
      </w:pPr>
      <w:r>
        <w:rPr>
          <w:rFonts w:hint="eastAsia"/>
          <w:sz w:val="18"/>
          <w:szCs w:val="18"/>
        </w:rPr>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rsidR="005C49A8" w:rsidRDefault="005C49A8" w:rsidP="00C50357">
      <w:pPr>
        <w:widowControl/>
        <w:numPr>
          <w:ilvl w:val="0"/>
          <w:numId w:val="11"/>
        </w:numPr>
        <w:divId w:val="631447948"/>
        <w:rPr>
          <w:rFonts w:ascii="Calibri" w:hAnsi="Calibri" w:cs="Calibri"/>
          <w:szCs w:val="21"/>
        </w:rPr>
      </w:pPr>
      <w:r>
        <w:rPr>
          <w:rFonts w:cs="Calibri" w:hint="eastAsia"/>
          <w:sz w:val="18"/>
          <w:szCs w:val="18"/>
        </w:rPr>
        <w:t>不丧失控制权的情况下部分处置对子公司的股权投资</w:t>
      </w:r>
    </w:p>
    <w:p w:rsidR="005C49A8" w:rsidRDefault="005C49A8">
      <w:pPr>
        <w:pStyle w:val="a3"/>
        <w:divId w:val="631447948"/>
      </w:pPr>
      <w:r>
        <w:rPr>
          <w:rFonts w:hint="eastAsia"/>
          <w:sz w:val="18"/>
          <w:szCs w:val="18"/>
        </w:rPr>
        <w:t>在不丧失控制权的情况下因部分处置对子公司的长期股权投资而取得的处置价款与处置长期股权投资相对应享有子公司自购买日或</w:t>
      </w:r>
      <w:proofErr w:type="gramStart"/>
      <w:r>
        <w:rPr>
          <w:rFonts w:hint="eastAsia"/>
          <w:sz w:val="18"/>
          <w:szCs w:val="18"/>
        </w:rPr>
        <w:t>合并日</w:t>
      </w:r>
      <w:proofErr w:type="gramEnd"/>
      <w:r>
        <w:rPr>
          <w:rFonts w:hint="eastAsia"/>
          <w:sz w:val="18"/>
          <w:szCs w:val="18"/>
        </w:rPr>
        <w:t>开始持续计算的净资产份额之间的差额，调整合并资产负债表中的资本公积中的股本溢价，资本公积中的股本溢价不足冲减的，调整留存收益。</w:t>
      </w:r>
    </w:p>
    <w:p w:rsidR="008820E4" w:rsidRDefault="005C49A8">
      <w:pPr>
        <w:pStyle w:val="3"/>
        <w:spacing w:line="280" w:lineRule="exact"/>
        <w:jc w:val="left"/>
        <w:rPr>
          <w:rFonts w:ascii="宋体" w:hAnsi="宋体" w:cs="宋体"/>
          <w:b/>
          <w:bCs/>
        </w:rPr>
      </w:pPr>
      <w:bookmarkStart w:id="125" w:name="_Toc989014"/>
      <w:r>
        <w:rPr>
          <w:rFonts w:ascii="宋体" w:hAnsi="宋体" w:cs="宋体"/>
          <w:b/>
          <w:bCs/>
        </w:rPr>
        <w:t>8、合营安排分类及共同经营会计处理方法</w:t>
      </w:r>
      <w:bookmarkEnd w:id="125"/>
    </w:p>
    <w:p w:rsidR="005C49A8" w:rsidRDefault="005C49A8" w:rsidP="00C50357">
      <w:pPr>
        <w:widowControl/>
        <w:numPr>
          <w:ilvl w:val="0"/>
          <w:numId w:val="12"/>
        </w:numPr>
        <w:spacing w:before="100" w:beforeAutospacing="1" w:after="100" w:afterAutospacing="1"/>
        <w:divId w:val="1825001478"/>
        <w:rPr>
          <w:sz w:val="18"/>
          <w:szCs w:val="18"/>
        </w:rPr>
      </w:pPr>
      <w:r>
        <w:rPr>
          <w:rStyle w:val="a4"/>
          <w:rFonts w:hint="eastAsia"/>
          <w:sz w:val="18"/>
          <w:szCs w:val="18"/>
        </w:rPr>
        <w:t>合营安排的分类</w:t>
      </w:r>
    </w:p>
    <w:p w:rsidR="005C49A8" w:rsidRDefault="005C49A8">
      <w:pPr>
        <w:pStyle w:val="a3"/>
        <w:spacing w:before="0" w:beforeAutospacing="0" w:after="0" w:afterAutospacing="0"/>
        <w:ind w:firstLine="420"/>
        <w:jc w:val="both"/>
        <w:divId w:val="1825001478"/>
      </w:pPr>
      <w:r>
        <w:rPr>
          <w:rFonts w:hint="eastAsia"/>
          <w:sz w:val="18"/>
          <w:szCs w:val="18"/>
        </w:rPr>
        <w:t>本公司根据合营安排的结构、法律形式以及合营安排中约定的条款、其他相关事实和情况等因素，将合营安排分为共同经营和合营企业。</w:t>
      </w:r>
    </w:p>
    <w:p w:rsidR="005C49A8" w:rsidRDefault="005C49A8">
      <w:pPr>
        <w:pStyle w:val="a3"/>
        <w:spacing w:before="0" w:beforeAutospacing="0" w:after="0" w:afterAutospacing="0"/>
        <w:ind w:firstLine="420"/>
        <w:jc w:val="both"/>
        <w:divId w:val="1825001478"/>
      </w:pPr>
      <w:r>
        <w:rPr>
          <w:rFonts w:hint="eastAsia"/>
          <w:sz w:val="18"/>
          <w:szCs w:val="18"/>
        </w:rPr>
        <w:t>未通过单独主体达成的合营安排，划分为共同经营；通过单独主体达成的合营安排，通常划分为合营企业；但有确凿证据表明满足下列任</w:t>
      </w:r>
      <w:proofErr w:type="gramStart"/>
      <w:r>
        <w:rPr>
          <w:rFonts w:hint="eastAsia"/>
          <w:sz w:val="18"/>
          <w:szCs w:val="18"/>
        </w:rPr>
        <w:t>一</w:t>
      </w:r>
      <w:proofErr w:type="gramEnd"/>
      <w:r>
        <w:rPr>
          <w:rFonts w:hint="eastAsia"/>
          <w:sz w:val="18"/>
          <w:szCs w:val="18"/>
        </w:rPr>
        <w:t>条件并且符合相关法律法规规定的合营安排划分为共同经营：</w:t>
      </w:r>
    </w:p>
    <w:p w:rsidR="005C49A8" w:rsidRDefault="005C49A8" w:rsidP="00CF103B">
      <w:pPr>
        <w:widowControl/>
        <w:ind w:left="426"/>
        <w:divId w:val="1825001478"/>
        <w:rPr>
          <w:rFonts w:ascii="Calibri" w:hAnsi="Calibri" w:cs="Calibri"/>
          <w:szCs w:val="21"/>
        </w:rPr>
      </w:pPr>
      <w:r>
        <w:rPr>
          <w:rFonts w:cs="Calibri" w:hint="eastAsia"/>
          <w:sz w:val="18"/>
          <w:szCs w:val="18"/>
        </w:rPr>
        <w:t>合营安排的法律形式表明，合营方对该安排中的相关资产和负债分别享有权利和承担义务。</w:t>
      </w:r>
    </w:p>
    <w:p w:rsidR="005C49A8" w:rsidRDefault="005C49A8" w:rsidP="00CF103B">
      <w:pPr>
        <w:widowControl/>
        <w:ind w:left="426"/>
        <w:divId w:val="1825001478"/>
        <w:rPr>
          <w:rFonts w:ascii="Calibri" w:hAnsi="Calibri" w:cs="Calibri"/>
          <w:szCs w:val="21"/>
        </w:rPr>
      </w:pPr>
      <w:r>
        <w:rPr>
          <w:rFonts w:cs="Calibri" w:hint="eastAsia"/>
          <w:sz w:val="18"/>
          <w:szCs w:val="18"/>
        </w:rPr>
        <w:t>合营安排的合同条款约定，合营方对该安排中的相关资产和负债分别享有权利和承担义务。</w:t>
      </w:r>
    </w:p>
    <w:p w:rsidR="005C49A8" w:rsidRDefault="005C49A8" w:rsidP="00CF103B">
      <w:pPr>
        <w:widowControl/>
        <w:ind w:left="426"/>
        <w:divId w:val="1825001478"/>
        <w:rPr>
          <w:rFonts w:ascii="Calibri" w:hAnsi="Calibri" w:cs="Calibri"/>
          <w:szCs w:val="21"/>
        </w:rPr>
      </w:pPr>
      <w:r>
        <w:rPr>
          <w:rFonts w:cs="Calibri" w:hint="eastAsia"/>
          <w:sz w:val="18"/>
          <w:szCs w:val="18"/>
        </w:rPr>
        <w:t>其他相关事实和情况表明，合营方对该安排中的相关资产和负债分别享有权利和承担义务，如合营方享有与合营安排相关的几乎所有产出，并且该安排中负债的清偿持续依赖于合营方的支持。</w:t>
      </w:r>
    </w:p>
    <w:p w:rsidR="005C49A8" w:rsidRDefault="005C49A8" w:rsidP="00C50357">
      <w:pPr>
        <w:widowControl/>
        <w:numPr>
          <w:ilvl w:val="0"/>
          <w:numId w:val="14"/>
        </w:numPr>
        <w:spacing w:before="100" w:beforeAutospacing="1" w:after="100" w:afterAutospacing="1"/>
        <w:divId w:val="1825001478"/>
        <w:rPr>
          <w:rFonts w:ascii="宋体" w:hAnsi="宋体" w:cs="宋体"/>
          <w:sz w:val="18"/>
          <w:szCs w:val="18"/>
        </w:rPr>
      </w:pPr>
      <w:r>
        <w:rPr>
          <w:rFonts w:hint="eastAsia"/>
          <w:sz w:val="18"/>
          <w:szCs w:val="18"/>
        </w:rPr>
        <w:t>．</w:t>
      </w:r>
      <w:r>
        <w:rPr>
          <w:rStyle w:val="a4"/>
          <w:rFonts w:hint="eastAsia"/>
          <w:sz w:val="18"/>
          <w:szCs w:val="18"/>
        </w:rPr>
        <w:t>共同经营会计处理方法</w:t>
      </w:r>
    </w:p>
    <w:p w:rsidR="005C49A8" w:rsidRDefault="005C49A8">
      <w:pPr>
        <w:pStyle w:val="a3"/>
        <w:spacing w:before="0" w:beforeAutospacing="0" w:after="0" w:afterAutospacing="0"/>
        <w:ind w:firstLine="420"/>
        <w:jc w:val="both"/>
        <w:divId w:val="1825001478"/>
      </w:pPr>
      <w:r>
        <w:rPr>
          <w:rFonts w:hint="eastAsia"/>
          <w:sz w:val="18"/>
          <w:szCs w:val="18"/>
        </w:rPr>
        <w:lastRenderedPageBreak/>
        <w:t>本公司确认共同经营中利益份额中与本公司相关的下列项目，并按照相关企业会计准则的规定进行会计处理：</w:t>
      </w:r>
    </w:p>
    <w:p w:rsidR="005C49A8" w:rsidRDefault="005C49A8" w:rsidP="00CF103B">
      <w:pPr>
        <w:widowControl/>
        <w:ind w:left="426"/>
        <w:divId w:val="1825001478"/>
        <w:rPr>
          <w:rFonts w:ascii="Calibri" w:hAnsi="Calibri" w:cs="Calibri"/>
          <w:szCs w:val="21"/>
        </w:rPr>
      </w:pPr>
      <w:r>
        <w:rPr>
          <w:rFonts w:cs="Calibri" w:hint="eastAsia"/>
          <w:sz w:val="18"/>
          <w:szCs w:val="18"/>
        </w:rPr>
        <w:t>确认单独所持有的资产，以及按其份额确认共同持有的资产；</w:t>
      </w:r>
    </w:p>
    <w:p w:rsidR="005C49A8" w:rsidRDefault="005C49A8" w:rsidP="00CF103B">
      <w:pPr>
        <w:widowControl/>
        <w:ind w:left="426"/>
        <w:divId w:val="1825001478"/>
        <w:rPr>
          <w:rFonts w:ascii="Calibri" w:hAnsi="Calibri" w:cs="Calibri"/>
          <w:szCs w:val="21"/>
        </w:rPr>
      </w:pPr>
      <w:r>
        <w:rPr>
          <w:rFonts w:cs="Calibri" w:hint="eastAsia"/>
          <w:sz w:val="18"/>
          <w:szCs w:val="18"/>
        </w:rPr>
        <w:t>确认单独所承担的负债，以及按其份额确认共同承担的负债；</w:t>
      </w:r>
    </w:p>
    <w:p w:rsidR="005C49A8" w:rsidRDefault="005C49A8" w:rsidP="00CF103B">
      <w:pPr>
        <w:widowControl/>
        <w:ind w:left="426"/>
        <w:divId w:val="1825001478"/>
        <w:rPr>
          <w:rFonts w:ascii="Calibri" w:hAnsi="Calibri" w:cs="Calibri"/>
          <w:szCs w:val="21"/>
        </w:rPr>
      </w:pPr>
      <w:r>
        <w:rPr>
          <w:rFonts w:cs="Calibri" w:hint="eastAsia"/>
          <w:sz w:val="18"/>
          <w:szCs w:val="18"/>
        </w:rPr>
        <w:t>确认出售其享有的共同经营产出份额所产生的收入；</w:t>
      </w:r>
    </w:p>
    <w:p w:rsidR="005C49A8" w:rsidRDefault="005C49A8" w:rsidP="00CF103B">
      <w:pPr>
        <w:widowControl/>
        <w:ind w:left="426"/>
        <w:divId w:val="1825001478"/>
        <w:rPr>
          <w:rFonts w:ascii="Calibri" w:hAnsi="Calibri" w:cs="Calibri"/>
          <w:szCs w:val="21"/>
        </w:rPr>
      </w:pPr>
      <w:r>
        <w:rPr>
          <w:rFonts w:cs="Calibri" w:hint="eastAsia"/>
          <w:sz w:val="18"/>
          <w:szCs w:val="18"/>
        </w:rPr>
        <w:t>按其份额确认共同经营因出售产出所产生的收入；</w:t>
      </w:r>
    </w:p>
    <w:p w:rsidR="005C49A8" w:rsidRDefault="005C49A8" w:rsidP="00CF103B">
      <w:pPr>
        <w:widowControl/>
        <w:ind w:left="426"/>
        <w:divId w:val="1825001478"/>
        <w:rPr>
          <w:rFonts w:ascii="Calibri" w:hAnsi="Calibri" w:cs="Calibri"/>
          <w:szCs w:val="21"/>
        </w:rPr>
      </w:pPr>
      <w:r>
        <w:rPr>
          <w:rFonts w:cs="Calibri" w:hint="eastAsia"/>
          <w:sz w:val="18"/>
          <w:szCs w:val="18"/>
        </w:rPr>
        <w:t>确认单独所发生的费用，以及按其份额确认共同经营发生的费用。</w:t>
      </w:r>
    </w:p>
    <w:p w:rsidR="005C49A8" w:rsidRDefault="005C49A8">
      <w:pPr>
        <w:pStyle w:val="a3"/>
        <w:spacing w:before="0" w:beforeAutospacing="0" w:after="0" w:afterAutospacing="0"/>
        <w:ind w:firstLine="420"/>
        <w:jc w:val="both"/>
        <w:divId w:val="1825001478"/>
      </w:pPr>
      <w:r>
        <w:rPr>
          <w:rFonts w:hint="eastAsia"/>
          <w:sz w:val="18"/>
          <w:szCs w:val="18"/>
        </w:rPr>
        <w:t>本公司向共同经营投出或出售资产等（该资产构成业务的除外），在该资产等由共同经营出售给第三方之前，仅</w:t>
      </w:r>
      <w:proofErr w:type="gramStart"/>
      <w:r>
        <w:rPr>
          <w:rFonts w:hint="eastAsia"/>
          <w:sz w:val="18"/>
          <w:szCs w:val="18"/>
        </w:rPr>
        <w:t>确认因</w:t>
      </w:r>
      <w:proofErr w:type="gramEnd"/>
      <w:r>
        <w:rPr>
          <w:rFonts w:hint="eastAsia"/>
          <w:sz w:val="18"/>
          <w:szCs w:val="18"/>
        </w:rPr>
        <w:t>该交易产生的损益中归属于共同经营其他参与方的部分。投出或出售的资产发生符合《企业会计准则第</w:t>
      </w:r>
      <w:r>
        <w:rPr>
          <w:rFonts w:ascii="Times New Roman" w:hAnsi="Times New Roman" w:cs="Times New Roman"/>
          <w:sz w:val="18"/>
          <w:szCs w:val="18"/>
        </w:rPr>
        <w:t>8</w:t>
      </w:r>
      <w:r>
        <w:rPr>
          <w:rFonts w:hint="eastAsia"/>
          <w:sz w:val="18"/>
          <w:szCs w:val="18"/>
        </w:rPr>
        <w:t>号——资产减值》等规定的资产减值损失的，本公司全额确认该损失。</w:t>
      </w:r>
    </w:p>
    <w:p w:rsidR="005C49A8" w:rsidRDefault="005C49A8">
      <w:pPr>
        <w:pStyle w:val="a3"/>
        <w:spacing w:before="0" w:beforeAutospacing="0" w:after="0" w:afterAutospacing="0"/>
        <w:ind w:firstLine="420"/>
        <w:jc w:val="both"/>
        <w:divId w:val="1825001478"/>
      </w:pPr>
      <w:r>
        <w:rPr>
          <w:rFonts w:hint="eastAsia"/>
          <w:sz w:val="18"/>
          <w:szCs w:val="18"/>
        </w:rPr>
        <w:t>本公司</w:t>
      </w:r>
      <w:proofErr w:type="gramStart"/>
      <w:r>
        <w:rPr>
          <w:rFonts w:hint="eastAsia"/>
          <w:sz w:val="18"/>
          <w:szCs w:val="18"/>
        </w:rPr>
        <w:t>自共同</w:t>
      </w:r>
      <w:proofErr w:type="gramEnd"/>
      <w:r>
        <w:rPr>
          <w:rFonts w:hint="eastAsia"/>
          <w:sz w:val="18"/>
          <w:szCs w:val="18"/>
        </w:rPr>
        <w:t>经营购买资产等（该资产构成业务的除外），在将该资产等出售给第三方之前，仅</w:t>
      </w:r>
      <w:proofErr w:type="gramStart"/>
      <w:r>
        <w:rPr>
          <w:rFonts w:hint="eastAsia"/>
          <w:sz w:val="18"/>
          <w:szCs w:val="18"/>
        </w:rPr>
        <w:t>确认因</w:t>
      </w:r>
      <w:proofErr w:type="gramEnd"/>
      <w:r>
        <w:rPr>
          <w:rFonts w:hint="eastAsia"/>
          <w:sz w:val="18"/>
          <w:szCs w:val="18"/>
        </w:rPr>
        <w:t>该交易产生的损益中归属于共同经营其他参与方的部分。购入的资产发生符合《企业会计准则第</w:t>
      </w:r>
      <w:r>
        <w:rPr>
          <w:rFonts w:ascii="Times New Roman" w:hAnsi="Times New Roman" w:cs="Times New Roman"/>
          <w:sz w:val="18"/>
          <w:szCs w:val="18"/>
        </w:rPr>
        <w:t>8</w:t>
      </w:r>
      <w:r>
        <w:rPr>
          <w:rFonts w:hint="eastAsia"/>
          <w:sz w:val="18"/>
          <w:szCs w:val="18"/>
        </w:rPr>
        <w:t>号——资产减值》等规定的资产减值损失的，本公司按承担的份额确认该部分损失。</w:t>
      </w:r>
    </w:p>
    <w:p w:rsidR="005C49A8" w:rsidRDefault="005C49A8">
      <w:pPr>
        <w:pStyle w:val="a3"/>
        <w:spacing w:before="0" w:beforeAutospacing="0" w:after="0" w:afterAutospacing="0"/>
        <w:ind w:firstLine="420"/>
        <w:jc w:val="both"/>
        <w:divId w:val="1825001478"/>
      </w:pPr>
      <w:r>
        <w:rPr>
          <w:rFonts w:hint="eastAsia"/>
          <w:sz w:val="18"/>
          <w:szCs w:val="18"/>
        </w:rPr>
        <w:t>本公司对共同经营不享有共同控制，如果本公司享有</w:t>
      </w:r>
      <w:proofErr w:type="gramStart"/>
      <w:r>
        <w:rPr>
          <w:rFonts w:hint="eastAsia"/>
          <w:sz w:val="18"/>
          <w:szCs w:val="18"/>
        </w:rPr>
        <w:t>该共同</w:t>
      </w:r>
      <w:proofErr w:type="gramEnd"/>
      <w:r>
        <w:rPr>
          <w:rFonts w:hint="eastAsia"/>
          <w:sz w:val="18"/>
          <w:szCs w:val="18"/>
        </w:rPr>
        <w:t>经营相关资产且承担</w:t>
      </w:r>
      <w:proofErr w:type="gramStart"/>
      <w:r>
        <w:rPr>
          <w:rFonts w:hint="eastAsia"/>
          <w:sz w:val="18"/>
          <w:szCs w:val="18"/>
        </w:rPr>
        <w:t>该共同</w:t>
      </w:r>
      <w:proofErr w:type="gramEnd"/>
      <w:r>
        <w:rPr>
          <w:rFonts w:hint="eastAsia"/>
          <w:sz w:val="18"/>
          <w:szCs w:val="18"/>
        </w:rPr>
        <w:t>经营相关负债的，仍按上述原则进行会计处理，否则，应当按照相关企业会计准则的规定进行会计处理。</w:t>
      </w:r>
    </w:p>
    <w:p w:rsidR="008820E4" w:rsidRDefault="005C49A8">
      <w:pPr>
        <w:pStyle w:val="3"/>
        <w:spacing w:line="280" w:lineRule="exact"/>
        <w:jc w:val="left"/>
        <w:rPr>
          <w:rFonts w:ascii="宋体" w:hAnsi="宋体" w:cs="宋体"/>
          <w:b/>
          <w:bCs/>
        </w:rPr>
      </w:pPr>
      <w:bookmarkStart w:id="126" w:name="_Toc989015"/>
      <w:r>
        <w:rPr>
          <w:rFonts w:ascii="宋体" w:hAnsi="宋体" w:cs="宋体"/>
          <w:b/>
          <w:bCs/>
        </w:rPr>
        <w:t>9、现金及现金等价物的确定标准</w:t>
      </w:r>
      <w:bookmarkEnd w:id="126"/>
    </w:p>
    <w:p w:rsidR="005C49A8" w:rsidRDefault="005C49A8" w:rsidP="004742E9">
      <w:pPr>
        <w:pStyle w:val="a3"/>
        <w:ind w:firstLineChars="200" w:firstLine="360"/>
        <w:divId w:val="134445532"/>
        <w:rPr>
          <w:sz w:val="18"/>
          <w:szCs w:val="18"/>
        </w:rPr>
      </w:pPr>
      <w:r>
        <w:rPr>
          <w:rFonts w:hint="eastAsia"/>
          <w:sz w:val="18"/>
          <w:szCs w:val="18"/>
        </w:rPr>
        <w:t>在编制现金流量表时，将本公司库存现金以及可以随时用于支付的存款确认为现金。将同时具备期限短（一般从购买日起三个月内到期）、流动性强、易于转换为已知金额的现金、价值变动风险很小四个条件的投资，确定为现金等价物。</w:t>
      </w:r>
    </w:p>
    <w:p w:rsidR="008820E4" w:rsidRDefault="005C49A8">
      <w:pPr>
        <w:pStyle w:val="3"/>
        <w:spacing w:line="280" w:lineRule="exact"/>
        <w:jc w:val="left"/>
        <w:rPr>
          <w:rFonts w:ascii="宋体" w:hAnsi="宋体" w:cs="宋体"/>
          <w:b/>
          <w:bCs/>
        </w:rPr>
      </w:pPr>
      <w:bookmarkStart w:id="127" w:name="_Toc989016"/>
      <w:r>
        <w:rPr>
          <w:rFonts w:ascii="宋体" w:hAnsi="宋体" w:cs="宋体"/>
          <w:b/>
          <w:bCs/>
        </w:rPr>
        <w:t>10、外币业务和外币报表折算</w:t>
      </w:r>
      <w:bookmarkEnd w:id="127"/>
    </w:p>
    <w:p w:rsidR="005C49A8" w:rsidRDefault="005C49A8" w:rsidP="00C50357">
      <w:pPr>
        <w:widowControl/>
        <w:numPr>
          <w:ilvl w:val="0"/>
          <w:numId w:val="16"/>
        </w:numPr>
        <w:spacing w:before="100" w:beforeAutospacing="1" w:after="100" w:afterAutospacing="1"/>
        <w:divId w:val="1651132089"/>
        <w:rPr>
          <w:sz w:val="18"/>
          <w:szCs w:val="18"/>
        </w:rPr>
      </w:pPr>
      <w:r>
        <w:rPr>
          <w:rFonts w:hint="eastAsia"/>
          <w:sz w:val="18"/>
          <w:szCs w:val="18"/>
        </w:rPr>
        <w:t>．</w:t>
      </w:r>
      <w:r>
        <w:rPr>
          <w:rFonts w:ascii="Times New Roman" w:hAnsi="Times New Roman" w:cs="Times New Roman"/>
          <w:sz w:val="14"/>
          <w:szCs w:val="14"/>
        </w:rPr>
        <w:t xml:space="preserve">  </w:t>
      </w:r>
      <w:r>
        <w:rPr>
          <w:rStyle w:val="a4"/>
          <w:rFonts w:hint="eastAsia"/>
          <w:sz w:val="18"/>
          <w:szCs w:val="18"/>
        </w:rPr>
        <w:t>合营安排的分类</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根据合营安排的结构、法律形式以及合营安排中约定的条款、其他相关事实和情况等因素，将合营安排分为共同经营和合营企业。共同经营，是指合营方享有该安排相关资产且承担该安排相关负债的合营安排。合营企业是指合营方仅对该安排的净资产享有权利的合营安排。</w:t>
      </w:r>
    </w:p>
    <w:p w:rsidR="005C49A8" w:rsidRDefault="005C49A8" w:rsidP="00C50357">
      <w:pPr>
        <w:widowControl/>
        <w:numPr>
          <w:ilvl w:val="0"/>
          <w:numId w:val="17"/>
        </w:numPr>
        <w:spacing w:before="100" w:beforeAutospacing="1" w:after="100" w:afterAutospacing="1"/>
        <w:divId w:val="1651132089"/>
        <w:rPr>
          <w:sz w:val="18"/>
          <w:szCs w:val="18"/>
        </w:rPr>
      </w:pPr>
      <w:r>
        <w:rPr>
          <w:rFonts w:hint="eastAsia"/>
          <w:sz w:val="18"/>
          <w:szCs w:val="18"/>
        </w:rPr>
        <w:t>．</w:t>
      </w:r>
      <w:r>
        <w:rPr>
          <w:rFonts w:ascii="Times New Roman" w:hAnsi="Times New Roman" w:cs="Times New Roman"/>
          <w:sz w:val="14"/>
          <w:szCs w:val="14"/>
        </w:rPr>
        <w:t xml:space="preserve">  </w:t>
      </w:r>
      <w:r>
        <w:rPr>
          <w:rStyle w:val="a4"/>
          <w:rFonts w:hint="eastAsia"/>
          <w:sz w:val="18"/>
          <w:szCs w:val="18"/>
        </w:rPr>
        <w:t>共同经营会计处理方法</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本公司确认共同经营中利益份额中与本公司相关的下列项目，并按照相关企业会计准则的规定进行会计处理：</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确认单独所持有的资产，以及按其份额确认共同持有的资产；</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确认单独所承担的负债，以及按其份额确认共同承担的负债；</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确认出售其享有的共同经营产出份额所产生的收入；</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按其份额确认共同经营因出售产出所产生的收入；</w:t>
      </w:r>
    </w:p>
    <w:p w:rsidR="005C49A8" w:rsidRDefault="005C49A8" w:rsidP="004742E9">
      <w:pPr>
        <w:pStyle w:val="a3"/>
        <w:spacing w:before="0" w:beforeAutospacing="0" w:after="0" w:afterAutospacing="0"/>
        <w:ind w:firstLine="420"/>
        <w:jc w:val="both"/>
        <w:divId w:val="1651132089"/>
        <w:rPr>
          <w:sz w:val="18"/>
          <w:szCs w:val="18"/>
        </w:rPr>
      </w:pPr>
      <w:r>
        <w:rPr>
          <w:rFonts w:hint="eastAsia"/>
          <w:sz w:val="18"/>
          <w:szCs w:val="18"/>
        </w:rPr>
        <w:t>确认单独所发生的费用，以及按其份额确认共同经营发生的费用。</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本公司向共同经营投出或出售资产等（该资产构成业务的除外），在该资产等由共同经营出售给第三方之前，仅</w:t>
      </w:r>
      <w:proofErr w:type="gramStart"/>
      <w:r w:rsidRPr="004742E9">
        <w:rPr>
          <w:rFonts w:hint="eastAsia"/>
          <w:sz w:val="18"/>
          <w:szCs w:val="18"/>
        </w:rPr>
        <w:t>确认因</w:t>
      </w:r>
      <w:proofErr w:type="gramEnd"/>
      <w:r w:rsidRPr="004742E9">
        <w:rPr>
          <w:rFonts w:hint="eastAsia"/>
          <w:sz w:val="18"/>
          <w:szCs w:val="18"/>
        </w:rPr>
        <w:t>该交易产生的损益中归属于共同经营其他参与方的部分。投出或出售的资产发生资产减值损失的，本公司全额确认该损失。</w:t>
      </w:r>
    </w:p>
    <w:p w:rsidR="005C49A8" w:rsidRPr="004742E9" w:rsidRDefault="005C49A8" w:rsidP="004742E9">
      <w:pPr>
        <w:pStyle w:val="a3"/>
        <w:spacing w:before="0" w:beforeAutospacing="0" w:after="0" w:afterAutospacing="0"/>
        <w:ind w:firstLine="420"/>
        <w:jc w:val="both"/>
        <w:divId w:val="1651132089"/>
        <w:rPr>
          <w:sz w:val="18"/>
          <w:szCs w:val="18"/>
        </w:rPr>
      </w:pPr>
      <w:r w:rsidRPr="004742E9">
        <w:rPr>
          <w:rFonts w:hint="eastAsia"/>
          <w:sz w:val="18"/>
          <w:szCs w:val="18"/>
        </w:rPr>
        <w:t>本公司</w:t>
      </w:r>
      <w:proofErr w:type="gramStart"/>
      <w:r w:rsidRPr="004742E9">
        <w:rPr>
          <w:rFonts w:hint="eastAsia"/>
          <w:sz w:val="18"/>
          <w:szCs w:val="18"/>
        </w:rPr>
        <w:t>自共同</w:t>
      </w:r>
      <w:proofErr w:type="gramEnd"/>
      <w:r w:rsidRPr="004742E9">
        <w:rPr>
          <w:rFonts w:hint="eastAsia"/>
          <w:sz w:val="18"/>
          <w:szCs w:val="18"/>
        </w:rPr>
        <w:t>经营购买资产等（该资产构成业务的除外），在将该资产等出售给第三方之前，仅</w:t>
      </w:r>
      <w:proofErr w:type="gramStart"/>
      <w:r w:rsidRPr="004742E9">
        <w:rPr>
          <w:rFonts w:hint="eastAsia"/>
          <w:sz w:val="18"/>
          <w:szCs w:val="18"/>
        </w:rPr>
        <w:t>确认因</w:t>
      </w:r>
      <w:proofErr w:type="gramEnd"/>
      <w:r w:rsidRPr="004742E9">
        <w:rPr>
          <w:rFonts w:hint="eastAsia"/>
          <w:sz w:val="18"/>
          <w:szCs w:val="18"/>
        </w:rPr>
        <w:t>该交易产生的损益中归属于共同经营其他参与方的部分。购入的资产发生资产减值损失的，本公司按承担的份额确认该部分损失。</w:t>
      </w:r>
    </w:p>
    <w:p w:rsidR="008820E4" w:rsidRDefault="005C49A8">
      <w:pPr>
        <w:pStyle w:val="3"/>
        <w:spacing w:line="280" w:lineRule="exact"/>
        <w:jc w:val="left"/>
        <w:rPr>
          <w:rFonts w:ascii="宋体" w:hAnsi="宋体" w:cs="宋体"/>
          <w:b/>
          <w:bCs/>
        </w:rPr>
      </w:pPr>
      <w:bookmarkStart w:id="128" w:name="_Toc989017"/>
      <w:r>
        <w:rPr>
          <w:rFonts w:ascii="宋体" w:hAnsi="宋体" w:cs="宋体"/>
          <w:b/>
          <w:bCs/>
        </w:rPr>
        <w:lastRenderedPageBreak/>
        <w:t>11、金融工具</w:t>
      </w:r>
      <w:bookmarkEnd w:id="128"/>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本公司在成为金融工具合同的一方时确认一项金融资产或金融负债。</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实际利率法是指计算金融资产或金融负债的摊</w:t>
      </w:r>
      <w:proofErr w:type="gramStart"/>
      <w:r w:rsidRPr="004742E9">
        <w:rPr>
          <w:rFonts w:hint="eastAsia"/>
          <w:sz w:val="18"/>
          <w:szCs w:val="18"/>
        </w:rPr>
        <w:t>余成本</w:t>
      </w:r>
      <w:proofErr w:type="gramEnd"/>
      <w:r w:rsidRPr="004742E9">
        <w:rPr>
          <w:rFonts w:hint="eastAsia"/>
          <w:sz w:val="18"/>
          <w:szCs w:val="18"/>
        </w:rPr>
        <w:t>以及将利息收入或利息费用分摊计入各会计期间的方法。</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实际利率，是指将金融资产或金融负债在预计存续期的估计未来现金流量，折现为该金融资产账面余额或该金融负债摊</w:t>
      </w:r>
      <w:proofErr w:type="gramStart"/>
      <w:r w:rsidRPr="004742E9">
        <w:rPr>
          <w:rFonts w:hint="eastAsia"/>
          <w:sz w:val="18"/>
          <w:szCs w:val="18"/>
        </w:rPr>
        <w:t>余成本</w:t>
      </w:r>
      <w:proofErr w:type="gramEnd"/>
      <w:r w:rsidRPr="004742E9">
        <w:rPr>
          <w:rFonts w:hint="eastAsia"/>
          <w:sz w:val="18"/>
          <w:szCs w:val="18"/>
        </w:rPr>
        <w:t>所使用的利率。在确定实际利率时，在考虑金融资产或金融负债所有合同条款</w:t>
      </w:r>
      <w:r w:rsidRPr="004742E9">
        <w:rPr>
          <w:sz w:val="18"/>
          <w:szCs w:val="18"/>
        </w:rPr>
        <w:t>(</w:t>
      </w:r>
      <w:r w:rsidRPr="004742E9">
        <w:rPr>
          <w:rFonts w:hint="eastAsia"/>
          <w:sz w:val="18"/>
          <w:szCs w:val="18"/>
        </w:rPr>
        <w:t>如提前还款、展期、看涨期权或其他类似期权等</w:t>
      </w:r>
      <w:r w:rsidRPr="004742E9">
        <w:rPr>
          <w:sz w:val="18"/>
          <w:szCs w:val="18"/>
        </w:rPr>
        <w:t>)</w:t>
      </w:r>
      <w:r w:rsidRPr="004742E9">
        <w:rPr>
          <w:rFonts w:hint="eastAsia"/>
          <w:sz w:val="18"/>
          <w:szCs w:val="18"/>
        </w:rPr>
        <w:t>的基础上估计预期现金流量，但不考虑预期信用损失。</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金融资产或金融负债的摊</w:t>
      </w:r>
      <w:proofErr w:type="gramStart"/>
      <w:r w:rsidRPr="004742E9">
        <w:rPr>
          <w:rFonts w:hint="eastAsia"/>
          <w:sz w:val="18"/>
          <w:szCs w:val="18"/>
        </w:rPr>
        <w:t>余成本</w:t>
      </w:r>
      <w:proofErr w:type="gramEnd"/>
      <w:r w:rsidRPr="004742E9">
        <w:rPr>
          <w:rFonts w:hint="eastAsia"/>
          <w:sz w:val="18"/>
          <w:szCs w:val="18"/>
        </w:rPr>
        <w:t>是以该金融资产或金融负债的初始确认金额扣除已偿还的本金，加上或减去采用实际利率法将该初始确认金额与到期</w:t>
      </w:r>
      <w:proofErr w:type="gramStart"/>
      <w:r w:rsidRPr="004742E9">
        <w:rPr>
          <w:rFonts w:hint="eastAsia"/>
          <w:sz w:val="18"/>
          <w:szCs w:val="18"/>
        </w:rPr>
        <w:t>日金额</w:t>
      </w:r>
      <w:proofErr w:type="gramEnd"/>
      <w:r w:rsidRPr="004742E9">
        <w:rPr>
          <w:rFonts w:hint="eastAsia"/>
          <w:sz w:val="18"/>
          <w:szCs w:val="18"/>
        </w:rPr>
        <w:t>之间的差额进行摊销形成的累计摊销额，再扣除累计计提的损失准备</w:t>
      </w:r>
      <w:r w:rsidRPr="004742E9">
        <w:rPr>
          <w:sz w:val="18"/>
          <w:szCs w:val="18"/>
        </w:rPr>
        <w:t>(</w:t>
      </w:r>
      <w:r w:rsidRPr="004742E9">
        <w:rPr>
          <w:rFonts w:hint="eastAsia"/>
          <w:sz w:val="18"/>
          <w:szCs w:val="18"/>
        </w:rPr>
        <w:t>仅适用于金融资产</w:t>
      </w:r>
      <w:r w:rsidRPr="004742E9">
        <w:rPr>
          <w:sz w:val="18"/>
          <w:szCs w:val="18"/>
        </w:rPr>
        <w:t>)</w:t>
      </w:r>
      <w:r w:rsidRPr="004742E9">
        <w:rPr>
          <w:rFonts w:hint="eastAsia"/>
          <w:sz w:val="18"/>
          <w:szCs w:val="18"/>
        </w:rPr>
        <w:t>。</w:t>
      </w:r>
    </w:p>
    <w:p w:rsidR="005C49A8" w:rsidRDefault="005C49A8" w:rsidP="00C50357">
      <w:pPr>
        <w:widowControl/>
        <w:numPr>
          <w:ilvl w:val="0"/>
          <w:numId w:val="18"/>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金融资产的分类、确认和计量</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本公司根据所管理金融资产的业务模式和金融资产的合同现金流量特征，将金融资产划分为以下三类：</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以摊</w:t>
      </w:r>
      <w:proofErr w:type="gramStart"/>
      <w:r>
        <w:rPr>
          <w:rFonts w:hint="eastAsia"/>
          <w:sz w:val="18"/>
          <w:szCs w:val="18"/>
        </w:rPr>
        <w:t>余成本</w:t>
      </w:r>
      <w:proofErr w:type="gramEnd"/>
      <w:r>
        <w:rPr>
          <w:rFonts w:hint="eastAsia"/>
          <w:sz w:val="18"/>
          <w:szCs w:val="18"/>
        </w:rPr>
        <w:t>计量的金融资产。</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以公允价值计量且其变动计入其他综合收益的金融资产。</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以公允价值计量且其变动计入当期损益的金融资产。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金融资产在初始确认时以公允价值计量，但是因销售商品或提供服务等产生的应收账款或应收票据未包含重大融资成分或不考虑不超过一年的融资成分的，按照交易价格进行初始计量。</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对于以公允价值计量且其变动计入当期损益的金融资产，相关交易费用直接计入当期损益，其他类别的金融资产相关交易费用计入其初始确认金额。</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金融资产的后续计量取决于其分类，当且仅当本公司改变管理金融资产的业务模式时，才对所有受影响的相关金融资产进行重分类。</w:t>
      </w:r>
    </w:p>
    <w:p w:rsidR="005C49A8" w:rsidRDefault="005C49A8" w:rsidP="00C50357">
      <w:pPr>
        <w:widowControl/>
        <w:numPr>
          <w:ilvl w:val="0"/>
          <w:numId w:val="20"/>
        </w:numPr>
        <w:spacing w:before="100" w:beforeAutospacing="1" w:after="100" w:afterAutospacing="1"/>
        <w:divId w:val="919800037"/>
        <w:rPr>
          <w:sz w:val="18"/>
          <w:szCs w:val="18"/>
        </w:rPr>
      </w:pPr>
      <w:r>
        <w:rPr>
          <w:rFonts w:hint="eastAsia"/>
          <w:sz w:val="18"/>
          <w:szCs w:val="18"/>
        </w:rPr>
        <w:t>分类为以摊</w:t>
      </w:r>
      <w:proofErr w:type="gramStart"/>
      <w:r>
        <w:rPr>
          <w:rFonts w:hint="eastAsia"/>
          <w:sz w:val="18"/>
          <w:szCs w:val="18"/>
        </w:rPr>
        <w:t>余成本</w:t>
      </w:r>
      <w:proofErr w:type="gramEnd"/>
      <w:r>
        <w:rPr>
          <w:rFonts w:hint="eastAsia"/>
          <w:sz w:val="18"/>
          <w:szCs w:val="18"/>
        </w:rPr>
        <w:t>计量的金融资产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金融资产的合同条款规定在特定日期产生的现金流量仅为对本金和以</w:t>
      </w:r>
      <w:proofErr w:type="gramStart"/>
      <w:r w:rsidRPr="004742E9">
        <w:rPr>
          <w:rFonts w:hint="eastAsia"/>
          <w:sz w:val="18"/>
          <w:szCs w:val="18"/>
        </w:rPr>
        <w:t>未偿付本</w:t>
      </w:r>
      <w:proofErr w:type="gramEnd"/>
      <w:r w:rsidRPr="004742E9">
        <w:rPr>
          <w:rFonts w:hint="eastAsia"/>
          <w:sz w:val="18"/>
          <w:szCs w:val="18"/>
        </w:rPr>
        <w:t>金金额为基础的利息的支付，且管理该金融资产的业务模式是以收取合同现金流量为目标，则本公司将该金融资产分类为以摊</w:t>
      </w:r>
      <w:proofErr w:type="gramStart"/>
      <w:r w:rsidRPr="004742E9">
        <w:rPr>
          <w:rFonts w:hint="eastAsia"/>
          <w:sz w:val="18"/>
          <w:szCs w:val="18"/>
        </w:rPr>
        <w:t>余成本</w:t>
      </w:r>
      <w:proofErr w:type="gramEnd"/>
      <w:r w:rsidRPr="004742E9">
        <w:rPr>
          <w:rFonts w:hint="eastAsia"/>
          <w:sz w:val="18"/>
          <w:szCs w:val="18"/>
        </w:rPr>
        <w:t>计量的金融资产。本公司分类为以摊</w:t>
      </w:r>
      <w:proofErr w:type="gramStart"/>
      <w:r w:rsidRPr="004742E9">
        <w:rPr>
          <w:rFonts w:hint="eastAsia"/>
          <w:sz w:val="18"/>
          <w:szCs w:val="18"/>
        </w:rPr>
        <w:t>余成本</w:t>
      </w:r>
      <w:proofErr w:type="gramEnd"/>
      <w:r w:rsidRPr="004742E9">
        <w:rPr>
          <w:rFonts w:hint="eastAsia"/>
          <w:sz w:val="18"/>
          <w:szCs w:val="18"/>
        </w:rPr>
        <w:t>计量的金融资产包括货币资金、应收票据、应收账款、其他应收款、长期应收款等。</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本公司对此类金融资产采用实际利率法确认利息收入，</w:t>
      </w:r>
      <w:proofErr w:type="gramStart"/>
      <w:r w:rsidRPr="004742E9">
        <w:rPr>
          <w:rFonts w:hint="eastAsia"/>
          <w:sz w:val="18"/>
          <w:szCs w:val="18"/>
        </w:rPr>
        <w:t>按摊余成本</w:t>
      </w:r>
      <w:proofErr w:type="gramEnd"/>
      <w:r w:rsidRPr="004742E9">
        <w:rPr>
          <w:rFonts w:hint="eastAsia"/>
          <w:sz w:val="18"/>
          <w:szCs w:val="18"/>
        </w:rPr>
        <w:t>进行后续计量，其发生减值时或终止确认、修改产生的利得或损失，计入当期损益。除下列情况外，本公司根据金融资产账面余额乘以实际利率计算确定利息收入：</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sz w:val="18"/>
          <w:szCs w:val="18"/>
        </w:rPr>
        <w:t>1</w:t>
      </w:r>
      <w:r w:rsidRPr="004742E9">
        <w:rPr>
          <w:rFonts w:hint="eastAsia"/>
          <w:sz w:val="18"/>
          <w:szCs w:val="18"/>
        </w:rPr>
        <w:t>）对于</w:t>
      </w:r>
      <w:proofErr w:type="gramStart"/>
      <w:r w:rsidRPr="004742E9">
        <w:rPr>
          <w:rFonts w:hint="eastAsia"/>
          <w:sz w:val="18"/>
          <w:szCs w:val="18"/>
        </w:rPr>
        <w:t>购入或源生</w:t>
      </w:r>
      <w:proofErr w:type="gramEnd"/>
      <w:r w:rsidRPr="004742E9">
        <w:rPr>
          <w:rFonts w:hint="eastAsia"/>
          <w:sz w:val="18"/>
          <w:szCs w:val="18"/>
        </w:rPr>
        <w:t>的已发生信用减值的金融资产，本公司自初始确认起，按照该金融资产的摊</w:t>
      </w:r>
      <w:proofErr w:type="gramStart"/>
      <w:r w:rsidRPr="004742E9">
        <w:rPr>
          <w:rFonts w:hint="eastAsia"/>
          <w:sz w:val="18"/>
          <w:szCs w:val="18"/>
        </w:rPr>
        <w:t>余成本</w:t>
      </w:r>
      <w:proofErr w:type="gramEnd"/>
      <w:r w:rsidRPr="004742E9">
        <w:rPr>
          <w:rFonts w:hint="eastAsia"/>
          <w:sz w:val="18"/>
          <w:szCs w:val="18"/>
        </w:rPr>
        <w:t>和经信用调整的实际利率计算确定其利息收入。</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sz w:val="18"/>
          <w:szCs w:val="18"/>
        </w:rPr>
        <w:t>2</w:t>
      </w:r>
      <w:r w:rsidRPr="004742E9">
        <w:rPr>
          <w:rFonts w:hint="eastAsia"/>
          <w:sz w:val="18"/>
          <w:szCs w:val="18"/>
        </w:rPr>
        <w:t>）</w:t>
      </w:r>
      <w:r w:rsidRPr="004742E9">
        <w:rPr>
          <w:sz w:val="18"/>
          <w:szCs w:val="18"/>
        </w:rPr>
        <w:t xml:space="preserve"> </w:t>
      </w:r>
      <w:r w:rsidRPr="004742E9">
        <w:rPr>
          <w:rFonts w:hint="eastAsia"/>
          <w:sz w:val="18"/>
          <w:szCs w:val="18"/>
        </w:rPr>
        <w:t>对于</w:t>
      </w:r>
      <w:proofErr w:type="gramStart"/>
      <w:r w:rsidRPr="004742E9">
        <w:rPr>
          <w:rFonts w:hint="eastAsia"/>
          <w:sz w:val="18"/>
          <w:szCs w:val="18"/>
        </w:rPr>
        <w:t>购入或源生</w:t>
      </w:r>
      <w:proofErr w:type="gramEnd"/>
      <w:r w:rsidRPr="004742E9">
        <w:rPr>
          <w:rFonts w:hint="eastAsia"/>
          <w:sz w:val="18"/>
          <w:szCs w:val="18"/>
        </w:rPr>
        <w:t>的未发生信用减值、但在后续期间成为已发生信用减值的金融资产，本公司在后续期间，按照该金融资产的摊</w:t>
      </w:r>
      <w:proofErr w:type="gramStart"/>
      <w:r w:rsidRPr="004742E9">
        <w:rPr>
          <w:rFonts w:hint="eastAsia"/>
          <w:sz w:val="18"/>
          <w:szCs w:val="18"/>
        </w:rPr>
        <w:t>余成本</w:t>
      </w:r>
      <w:proofErr w:type="gramEnd"/>
      <w:r w:rsidRPr="004742E9">
        <w:rPr>
          <w:rFonts w:hint="eastAsia"/>
          <w:sz w:val="18"/>
          <w:szCs w:val="18"/>
        </w:rPr>
        <w:t>和实际利率计算确定其利息收入。若该金融工具在后续期间因其信用风险有所改善而不再存在信用减值，</w:t>
      </w:r>
      <w:proofErr w:type="gramStart"/>
      <w:r w:rsidRPr="004742E9">
        <w:rPr>
          <w:rFonts w:hint="eastAsia"/>
          <w:sz w:val="18"/>
          <w:szCs w:val="18"/>
        </w:rPr>
        <w:t>本公司转按实际</w:t>
      </w:r>
      <w:proofErr w:type="gramEnd"/>
      <w:r w:rsidRPr="004742E9">
        <w:rPr>
          <w:rFonts w:hint="eastAsia"/>
          <w:sz w:val="18"/>
          <w:szCs w:val="18"/>
        </w:rPr>
        <w:t>利率乘以该金融资产账面余额来计算确定利息收入。</w:t>
      </w:r>
    </w:p>
    <w:p w:rsidR="005C49A8" w:rsidRDefault="005C49A8" w:rsidP="00C50357">
      <w:pPr>
        <w:widowControl/>
        <w:numPr>
          <w:ilvl w:val="0"/>
          <w:numId w:val="21"/>
        </w:numPr>
        <w:spacing w:before="100" w:beforeAutospacing="1" w:after="100" w:afterAutospacing="1"/>
        <w:divId w:val="919800037"/>
        <w:rPr>
          <w:sz w:val="18"/>
          <w:szCs w:val="18"/>
        </w:rPr>
      </w:pPr>
      <w:r>
        <w:rPr>
          <w:rFonts w:hint="eastAsia"/>
          <w:sz w:val="18"/>
          <w:szCs w:val="18"/>
        </w:rPr>
        <w:t>分类为以公允价值计量且其变动计入其他综合收益的金融资产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金融资产的合同条款规定在特定日期产生的现金流量仅为对本金和以</w:t>
      </w:r>
      <w:proofErr w:type="gramStart"/>
      <w:r w:rsidRPr="004742E9">
        <w:rPr>
          <w:rFonts w:hint="eastAsia"/>
          <w:sz w:val="18"/>
          <w:szCs w:val="18"/>
        </w:rPr>
        <w:t>未偿付本</w:t>
      </w:r>
      <w:proofErr w:type="gramEnd"/>
      <w:r w:rsidRPr="004742E9">
        <w:rPr>
          <w:rFonts w:hint="eastAsia"/>
          <w:sz w:val="18"/>
          <w:szCs w:val="18"/>
        </w:rPr>
        <w:t>金金额为基础的利息的支付，且管理该金融资产的业务模式既以收取合同现金流量为目标又以出售该金融资产为目标，则本公司将该金融资产分类为以公允价值计量且其变动计入其他综合收益的金融资产。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lastRenderedPageBreak/>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rsidR="005C49A8" w:rsidRDefault="005C49A8" w:rsidP="00C50357">
      <w:pPr>
        <w:widowControl/>
        <w:numPr>
          <w:ilvl w:val="0"/>
          <w:numId w:val="22"/>
        </w:numPr>
        <w:spacing w:before="100" w:beforeAutospacing="1" w:after="100" w:afterAutospacing="1"/>
        <w:divId w:val="919800037"/>
        <w:rPr>
          <w:sz w:val="18"/>
          <w:szCs w:val="18"/>
        </w:rPr>
      </w:pPr>
      <w:r>
        <w:rPr>
          <w:rFonts w:hint="eastAsia"/>
          <w:sz w:val="18"/>
          <w:szCs w:val="18"/>
        </w:rPr>
        <w:t>指定为以公允价值计量且其变动计入其他综合收益的金融资产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在初始确认时，本公司可以单项金融资产为基础不可撤销地将</w:t>
      </w:r>
      <w:proofErr w:type="gramStart"/>
      <w:r w:rsidRPr="004742E9">
        <w:rPr>
          <w:rFonts w:hint="eastAsia"/>
          <w:sz w:val="18"/>
          <w:szCs w:val="18"/>
        </w:rPr>
        <w:t>非交易</w:t>
      </w:r>
      <w:proofErr w:type="gramEnd"/>
      <w:r w:rsidRPr="004742E9">
        <w:rPr>
          <w:rFonts w:hint="eastAsia"/>
          <w:sz w:val="18"/>
          <w:szCs w:val="18"/>
        </w:rPr>
        <w:t>性权益工具投资指定为以公允价值计量且其变动计入其他综合收益的金融资产。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w:t>
      </w:r>
      <w:proofErr w:type="gramStart"/>
      <w:r w:rsidRPr="004742E9">
        <w:rPr>
          <w:rFonts w:hint="eastAsia"/>
          <w:sz w:val="18"/>
          <w:szCs w:val="18"/>
        </w:rPr>
        <w:t>期工具</w:t>
      </w:r>
      <w:proofErr w:type="gramEnd"/>
      <w:r w:rsidRPr="004742E9">
        <w:rPr>
          <w:rFonts w:hint="eastAsia"/>
          <w:sz w:val="18"/>
          <w:szCs w:val="18"/>
        </w:rPr>
        <w:t>的衍生工具除外）。</w:t>
      </w:r>
    </w:p>
    <w:p w:rsidR="005C49A8" w:rsidRDefault="005C49A8" w:rsidP="00C50357">
      <w:pPr>
        <w:widowControl/>
        <w:numPr>
          <w:ilvl w:val="0"/>
          <w:numId w:val="23"/>
        </w:numPr>
        <w:spacing w:before="100" w:beforeAutospacing="1" w:after="100" w:afterAutospacing="1"/>
        <w:divId w:val="919800037"/>
        <w:rPr>
          <w:sz w:val="18"/>
          <w:szCs w:val="18"/>
        </w:rPr>
      </w:pPr>
      <w:r>
        <w:rPr>
          <w:rFonts w:hint="eastAsia"/>
          <w:sz w:val="18"/>
          <w:szCs w:val="18"/>
        </w:rPr>
        <w:t>分类为以公允价值计量且其变动计入当期损益的金融资产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不符合分类为以摊</w:t>
      </w:r>
      <w:proofErr w:type="gramStart"/>
      <w:r w:rsidRPr="004742E9">
        <w:rPr>
          <w:rFonts w:hint="eastAsia"/>
          <w:sz w:val="18"/>
          <w:szCs w:val="18"/>
        </w:rPr>
        <w:t>余成本</w:t>
      </w:r>
      <w:proofErr w:type="gramEnd"/>
      <w:r w:rsidRPr="004742E9">
        <w:rPr>
          <w:rFonts w:hint="eastAsia"/>
          <w:sz w:val="18"/>
          <w:szCs w:val="18"/>
        </w:rPr>
        <w:t>计量或以公允价值计量且其变动计入其他综合收益的金融资产条件、亦不指定为以公允价值计量且其变动计入其他综合收益的金融资产均分类为以公允价值计量且其变动计入当期损益的金融资产。</w:t>
      </w:r>
    </w:p>
    <w:p w:rsidR="005C49A8" w:rsidRPr="004742E9" w:rsidRDefault="005C49A8" w:rsidP="004742E9">
      <w:pPr>
        <w:pStyle w:val="a3"/>
        <w:spacing w:before="0" w:beforeAutospacing="0" w:after="0" w:afterAutospacing="0"/>
        <w:ind w:firstLine="420"/>
        <w:jc w:val="both"/>
        <w:divId w:val="919800037"/>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24"/>
        </w:numPr>
        <w:spacing w:before="100" w:beforeAutospacing="1" w:after="100" w:afterAutospacing="1"/>
        <w:divId w:val="919800037"/>
        <w:rPr>
          <w:sz w:val="18"/>
          <w:szCs w:val="18"/>
        </w:rPr>
      </w:pPr>
      <w:r>
        <w:rPr>
          <w:rFonts w:hint="eastAsia"/>
          <w:sz w:val="18"/>
          <w:szCs w:val="18"/>
        </w:rPr>
        <w:t>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在初始确认时，本公司为了消除或显著减少会计错配，可以单项金融资产为基础不可撤销地将金融资产指定为以公允价值计量且其变动计入当期损益的金融资产。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混合合同包含一项或多项嵌入衍生工具，且其主合同不属于以上金融资产的，本公司可以将其整体指定为以公允价值计量且其变动计入当期损益的金融工具。但下列情况除外：</w:t>
      </w:r>
      <w:r w:rsidRPr="004742E9">
        <w:rPr>
          <w:sz w:val="18"/>
          <w:szCs w:val="18"/>
        </w:rPr>
        <w:t xml:space="preserve"> </w:t>
      </w:r>
    </w:p>
    <w:p w:rsidR="005C49A8" w:rsidRDefault="005C49A8" w:rsidP="00C50357">
      <w:pPr>
        <w:widowControl/>
        <w:numPr>
          <w:ilvl w:val="0"/>
          <w:numId w:val="2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嵌入衍生工具不会对混合合同的现金流量产生重大改变。</w:t>
      </w:r>
    </w:p>
    <w:p w:rsidR="005C49A8" w:rsidRDefault="005C49A8" w:rsidP="00C50357">
      <w:pPr>
        <w:widowControl/>
        <w:numPr>
          <w:ilvl w:val="0"/>
          <w:numId w:val="2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在初次确定类似的混合合同是否需要分拆时，几乎不需分析就能明确其包含的嵌入衍生工具不应分拆。如嵌入贷款的提前还款权，允许持有人以接近摊</w:t>
      </w:r>
      <w:proofErr w:type="gramStart"/>
      <w:r>
        <w:rPr>
          <w:rFonts w:hint="eastAsia"/>
          <w:sz w:val="18"/>
          <w:szCs w:val="18"/>
        </w:rPr>
        <w:t>余成本</w:t>
      </w:r>
      <w:proofErr w:type="gramEnd"/>
      <w:r>
        <w:rPr>
          <w:rFonts w:hint="eastAsia"/>
          <w:sz w:val="18"/>
          <w:szCs w:val="18"/>
        </w:rPr>
        <w:t>的金额提前偿还贷款，该提前还款权不需要分拆。</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2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金融负债的分类、确认和计量</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lastRenderedPageBreak/>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w:t>
      </w:r>
      <w:proofErr w:type="gramStart"/>
      <w:r w:rsidRPr="004742E9">
        <w:rPr>
          <w:rFonts w:hint="eastAsia"/>
          <w:sz w:val="18"/>
          <w:szCs w:val="18"/>
        </w:rPr>
        <w:t>期工具</w:t>
      </w:r>
      <w:proofErr w:type="gramEnd"/>
      <w:r w:rsidRPr="004742E9">
        <w:rPr>
          <w:rFonts w:hint="eastAsia"/>
          <w:sz w:val="18"/>
          <w:szCs w:val="18"/>
        </w:rPr>
        <w:t>的衍生工具。</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金融负债在初始确认时以公允价值计量。对于以公允价值计量且其变动计入当期损益的金融负债，相关的交易费用直接计入当期损益；对于其他类别的金融负债，相关交易费用计入初始确认金额。</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金融负债的后续计量取决于其分类：</w:t>
      </w:r>
    </w:p>
    <w:p w:rsidR="005C49A8" w:rsidRDefault="005C49A8" w:rsidP="00C50357">
      <w:pPr>
        <w:widowControl/>
        <w:numPr>
          <w:ilvl w:val="0"/>
          <w:numId w:val="27"/>
        </w:numPr>
        <w:spacing w:before="100" w:beforeAutospacing="1" w:after="100" w:afterAutospacing="1"/>
        <w:divId w:val="919800037"/>
        <w:rPr>
          <w:sz w:val="18"/>
          <w:szCs w:val="18"/>
        </w:rPr>
      </w:pPr>
      <w:r>
        <w:rPr>
          <w:rFonts w:hint="eastAsia"/>
          <w:sz w:val="18"/>
          <w:szCs w:val="18"/>
        </w:rPr>
        <w:t>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此类金融负债包括交易性金融负债（</w:t>
      </w:r>
      <w:proofErr w:type="gramStart"/>
      <w:r w:rsidRPr="004742E9">
        <w:rPr>
          <w:rFonts w:hint="eastAsia"/>
          <w:sz w:val="18"/>
          <w:szCs w:val="18"/>
        </w:rPr>
        <w:t>含属于</w:t>
      </w:r>
      <w:proofErr w:type="gramEnd"/>
      <w:r w:rsidRPr="004742E9">
        <w:rPr>
          <w:rFonts w:hint="eastAsia"/>
          <w:sz w:val="18"/>
          <w:szCs w:val="18"/>
        </w:rPr>
        <w:t>金融负债的衍生工具）和初始确认时指定为以公允价值计量且其变动计入当期损益的金融负债。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w:t>
      </w:r>
      <w:proofErr w:type="gramStart"/>
      <w:r w:rsidRPr="004742E9">
        <w:rPr>
          <w:rFonts w:hint="eastAsia"/>
          <w:sz w:val="18"/>
          <w:szCs w:val="18"/>
        </w:rPr>
        <w:t>期工具</w:t>
      </w:r>
      <w:proofErr w:type="gramEnd"/>
      <w:r w:rsidRPr="004742E9">
        <w:rPr>
          <w:rFonts w:hint="eastAsia"/>
          <w:sz w:val="18"/>
          <w:szCs w:val="18"/>
        </w:rPr>
        <w:t>的衍生工具、符合财务担保合同的衍生工具除外。交易性金融负债（</w:t>
      </w:r>
      <w:proofErr w:type="gramStart"/>
      <w:r w:rsidRPr="004742E9">
        <w:rPr>
          <w:rFonts w:hint="eastAsia"/>
          <w:sz w:val="18"/>
          <w:szCs w:val="18"/>
        </w:rPr>
        <w:t>含属于</w:t>
      </w:r>
      <w:proofErr w:type="gramEnd"/>
      <w:r w:rsidRPr="004742E9">
        <w:rPr>
          <w:rFonts w:hint="eastAsia"/>
          <w:sz w:val="18"/>
          <w:szCs w:val="18"/>
        </w:rPr>
        <w:t>金融负债的衍生工具），按照公允价值进行后续计量，除与套期会计有关外，所有公允价值变动均计入当期损益。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在初始确认时，为了提供更相关的会计信息，本公司将满足下列条件之一的金融负债不可撤销地指定为以公允价值计量且其变动计入当期损益的金融负债：</w:t>
      </w:r>
    </w:p>
    <w:p w:rsidR="005C49A8" w:rsidRDefault="005C49A8" w:rsidP="00C50357">
      <w:pPr>
        <w:widowControl/>
        <w:numPr>
          <w:ilvl w:val="0"/>
          <w:numId w:val="28"/>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能够消除或显著减少会计错配。</w:t>
      </w:r>
    </w:p>
    <w:p w:rsidR="005C49A8" w:rsidRDefault="005C49A8" w:rsidP="00C50357">
      <w:pPr>
        <w:widowControl/>
        <w:numPr>
          <w:ilvl w:val="0"/>
          <w:numId w:val="28"/>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根据正式书面文件载明的企业风险管理或投资策略，以公允价值为基础对金融负债组合或金融资产和金融负债组合进行管理和业绩评价，并在企业内部以此为基础向关键管理人员报告。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rsidR="005C49A8" w:rsidRDefault="005C49A8" w:rsidP="00C50357">
      <w:pPr>
        <w:widowControl/>
        <w:numPr>
          <w:ilvl w:val="0"/>
          <w:numId w:val="29"/>
        </w:numPr>
        <w:spacing w:before="100" w:beforeAutospacing="1" w:after="100" w:afterAutospacing="1"/>
        <w:divId w:val="919800037"/>
        <w:rPr>
          <w:sz w:val="18"/>
          <w:szCs w:val="18"/>
        </w:rPr>
      </w:pPr>
      <w:r>
        <w:rPr>
          <w:rFonts w:hint="eastAsia"/>
          <w:sz w:val="18"/>
          <w:szCs w:val="18"/>
        </w:rPr>
        <w:t>其他金融负债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除下列各项外，公司将金融负债分类为以摊</w:t>
      </w:r>
      <w:proofErr w:type="gramStart"/>
      <w:r w:rsidRPr="004742E9">
        <w:rPr>
          <w:rFonts w:hint="eastAsia"/>
          <w:sz w:val="18"/>
          <w:szCs w:val="18"/>
        </w:rPr>
        <w:t>余成本</w:t>
      </w:r>
      <w:proofErr w:type="gramEnd"/>
      <w:r w:rsidRPr="004742E9">
        <w:rPr>
          <w:rFonts w:hint="eastAsia"/>
          <w:sz w:val="18"/>
          <w:szCs w:val="18"/>
        </w:rPr>
        <w:t>计量的金融负债，对此类金融负债采用实际利率法，按照摊</w:t>
      </w:r>
      <w:proofErr w:type="gramStart"/>
      <w:r w:rsidRPr="004742E9">
        <w:rPr>
          <w:rFonts w:hint="eastAsia"/>
          <w:sz w:val="18"/>
          <w:szCs w:val="18"/>
        </w:rPr>
        <w:t>余成本</w:t>
      </w:r>
      <w:proofErr w:type="gramEnd"/>
      <w:r w:rsidRPr="004742E9">
        <w:rPr>
          <w:rFonts w:hint="eastAsia"/>
          <w:sz w:val="18"/>
          <w:szCs w:val="18"/>
        </w:rPr>
        <w:t>进行后续计量，终止确认或摊销产生的利得或损失计入当期损益：</w:t>
      </w:r>
    </w:p>
    <w:p w:rsidR="005C49A8" w:rsidRDefault="005C49A8" w:rsidP="00C50357">
      <w:pPr>
        <w:widowControl/>
        <w:numPr>
          <w:ilvl w:val="0"/>
          <w:numId w:val="3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以公允价值计量且其变动计入当期损益的金融负债。</w:t>
      </w:r>
    </w:p>
    <w:p w:rsidR="005C49A8" w:rsidRDefault="005C49A8" w:rsidP="00C50357">
      <w:pPr>
        <w:widowControl/>
        <w:numPr>
          <w:ilvl w:val="0"/>
          <w:numId w:val="3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金融资产转移不符合终止确认条件或继续涉入被转移金融资产所形成的金融负债。</w:t>
      </w:r>
    </w:p>
    <w:p w:rsidR="005C49A8" w:rsidRDefault="005C49A8" w:rsidP="00C50357">
      <w:pPr>
        <w:widowControl/>
        <w:numPr>
          <w:ilvl w:val="0"/>
          <w:numId w:val="3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不属于本条前两类情形的财务担保合同，以及不属于本条第</w:t>
      </w:r>
      <w:r>
        <w:rPr>
          <w:rFonts w:ascii="Arial" w:hAnsi="Arial" w:cs="Arial"/>
          <w:sz w:val="18"/>
          <w:szCs w:val="18"/>
        </w:rPr>
        <w:t>1</w:t>
      </w:r>
      <w:r>
        <w:rPr>
          <w:rFonts w:hint="eastAsia"/>
          <w:sz w:val="18"/>
          <w:szCs w:val="18"/>
        </w:rPr>
        <w:t>）类情形的以低于市场利率贷款的贷款承诺。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lastRenderedPageBreak/>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rsidR="005C49A8" w:rsidRDefault="005C49A8" w:rsidP="00C50357">
      <w:pPr>
        <w:widowControl/>
        <w:numPr>
          <w:ilvl w:val="0"/>
          <w:numId w:val="31"/>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金融资产和金融负债的终止确认</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1</w:t>
      </w:r>
      <w:r w:rsidRPr="004742E9">
        <w:rPr>
          <w:rFonts w:hint="eastAsia"/>
          <w:sz w:val="18"/>
          <w:szCs w:val="18"/>
        </w:rPr>
        <w:t>）金融资产满足下列条件之一的，终止确认金融资产，即从其账户和资产负债表内予以转销：</w:t>
      </w:r>
    </w:p>
    <w:p w:rsidR="005C49A8" w:rsidRDefault="005C49A8" w:rsidP="00C50357">
      <w:pPr>
        <w:widowControl/>
        <w:numPr>
          <w:ilvl w:val="0"/>
          <w:numId w:val="32"/>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收取该金融资产现金流量的合同权利终止。</w:t>
      </w:r>
    </w:p>
    <w:p w:rsidR="005C49A8" w:rsidRDefault="005C49A8" w:rsidP="00C50357">
      <w:pPr>
        <w:widowControl/>
        <w:numPr>
          <w:ilvl w:val="0"/>
          <w:numId w:val="32"/>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该金融资产已转移，且</w:t>
      </w:r>
      <w:proofErr w:type="gramStart"/>
      <w:r>
        <w:rPr>
          <w:rFonts w:hint="eastAsia"/>
          <w:sz w:val="18"/>
          <w:szCs w:val="18"/>
        </w:rPr>
        <w:t>该转移</w:t>
      </w:r>
      <w:proofErr w:type="gramEnd"/>
      <w:r>
        <w:rPr>
          <w:rFonts w:hint="eastAsia"/>
          <w:sz w:val="18"/>
          <w:szCs w:val="18"/>
        </w:rPr>
        <w:t>满足金融资产终止确认的规定。</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2</w:t>
      </w:r>
      <w:r w:rsidRPr="004742E9">
        <w:rPr>
          <w:rFonts w:hint="eastAsia"/>
          <w:sz w:val="18"/>
          <w:szCs w:val="18"/>
        </w:rPr>
        <w:t>）金融负债终止确认条件</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金融负债（或其一部分）的现时义务已经解除的，则终止确认该金融负债（或该部分金融负债）。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本公司与借出方之间签订协议，以承担新金融负债方式替换</w:t>
      </w:r>
      <w:proofErr w:type="gramStart"/>
      <w:r w:rsidRPr="004742E9">
        <w:rPr>
          <w:rFonts w:hint="eastAsia"/>
          <w:sz w:val="18"/>
          <w:szCs w:val="18"/>
        </w:rPr>
        <w:t>原金融</w:t>
      </w:r>
      <w:proofErr w:type="gramEnd"/>
      <w:r w:rsidRPr="004742E9">
        <w:rPr>
          <w:rFonts w:hint="eastAsia"/>
          <w:sz w:val="18"/>
          <w:szCs w:val="18"/>
        </w:rPr>
        <w:t>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计入当期损益。</w:t>
      </w:r>
    </w:p>
    <w:p w:rsidR="005C49A8" w:rsidRDefault="005C49A8" w:rsidP="00C50357">
      <w:pPr>
        <w:widowControl/>
        <w:numPr>
          <w:ilvl w:val="0"/>
          <w:numId w:val="33"/>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金融资产转移的确认依据和计量方法</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本公司在发生金融资产转移时，评估其保留金融资产所有权上的风险和报酬的程度，并分别下列情形处理：</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转移了金融资产所有权上几乎所有风险和报酬的，则终止确认该金融资产，并将转移中产生或保留的权利和义务单独确认为资产或负债。</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保留了金融资产所有权上几乎所有风险和报酬的，则继续确认该金融资产。</w:t>
      </w:r>
    </w:p>
    <w:p w:rsidR="005C49A8" w:rsidRDefault="005C49A8" w:rsidP="00CF103B">
      <w:pPr>
        <w:pStyle w:val="a3"/>
        <w:spacing w:before="0" w:beforeAutospacing="0" w:after="0" w:afterAutospacing="0"/>
        <w:ind w:firstLine="420"/>
        <w:jc w:val="both"/>
        <w:divId w:val="919800037"/>
        <w:rPr>
          <w:sz w:val="18"/>
          <w:szCs w:val="18"/>
        </w:rPr>
      </w:pPr>
      <w:r>
        <w:rPr>
          <w:rFonts w:hint="eastAsia"/>
          <w:sz w:val="18"/>
          <w:szCs w:val="18"/>
        </w:rPr>
        <w:t>既没有转移也没有保留金融资产所有权上几乎所有风险和报酬的（即除本条（</w:t>
      </w:r>
      <w:r w:rsidRPr="00CF103B">
        <w:rPr>
          <w:sz w:val="18"/>
          <w:szCs w:val="18"/>
        </w:rPr>
        <w:t>1</w:t>
      </w:r>
      <w:r>
        <w:rPr>
          <w:rFonts w:hint="eastAsia"/>
          <w:sz w:val="18"/>
          <w:szCs w:val="18"/>
        </w:rPr>
        <w:t>）、（</w:t>
      </w:r>
      <w:r w:rsidRPr="00CF103B">
        <w:rPr>
          <w:sz w:val="18"/>
          <w:szCs w:val="18"/>
        </w:rPr>
        <w:t>2</w:t>
      </w:r>
      <w:r>
        <w:rPr>
          <w:rFonts w:hint="eastAsia"/>
          <w:sz w:val="18"/>
          <w:szCs w:val="18"/>
        </w:rPr>
        <w:t>）之外的其他情形），则根据其是否保留了对金融资产的控制，分别下列情形处理：</w:t>
      </w:r>
    </w:p>
    <w:p w:rsidR="005C49A8" w:rsidRDefault="005C49A8" w:rsidP="00C50357">
      <w:pPr>
        <w:widowControl/>
        <w:numPr>
          <w:ilvl w:val="0"/>
          <w:numId w:val="3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未保留对该金融资产控制的，则终止确认该金融资产，并将转移中产生或保留的权利和义务单独确认为资产或负债。</w:t>
      </w:r>
    </w:p>
    <w:p w:rsidR="005C49A8" w:rsidRDefault="005C49A8" w:rsidP="00C50357">
      <w:pPr>
        <w:widowControl/>
        <w:numPr>
          <w:ilvl w:val="0"/>
          <w:numId w:val="35"/>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在判断金融资产转移是否满足上述金融资产终止确认条件时，采用实质重于形式的原则。公司将金融资产转移区分为金融资产整体转移和部分转移。</w:t>
      </w:r>
    </w:p>
    <w:p w:rsidR="005C49A8" w:rsidRDefault="005C49A8" w:rsidP="00C50357">
      <w:pPr>
        <w:widowControl/>
        <w:numPr>
          <w:ilvl w:val="0"/>
          <w:numId w:val="36"/>
        </w:numPr>
        <w:spacing w:before="100" w:beforeAutospacing="1" w:after="100" w:afterAutospacing="1"/>
        <w:divId w:val="919800037"/>
        <w:rPr>
          <w:sz w:val="18"/>
          <w:szCs w:val="18"/>
        </w:rPr>
      </w:pPr>
      <w:r>
        <w:rPr>
          <w:rFonts w:hint="eastAsia"/>
          <w:sz w:val="18"/>
          <w:szCs w:val="18"/>
        </w:rPr>
        <w:t>金融资产整体转移满足终止确认条件的，将下列两项金额的差额计入当期损益：</w:t>
      </w:r>
    </w:p>
    <w:p w:rsidR="005C49A8" w:rsidRDefault="005C49A8" w:rsidP="00C50357">
      <w:pPr>
        <w:widowControl/>
        <w:numPr>
          <w:ilvl w:val="0"/>
          <w:numId w:val="37"/>
        </w:numPr>
        <w:spacing w:before="100" w:beforeAutospacing="1" w:after="100" w:afterAutospacing="1"/>
        <w:divId w:val="919800037"/>
        <w:rPr>
          <w:sz w:val="18"/>
          <w:szCs w:val="18"/>
        </w:rPr>
      </w:pPr>
      <w:r>
        <w:rPr>
          <w:rFonts w:hint="eastAsia"/>
          <w:sz w:val="18"/>
          <w:szCs w:val="18"/>
        </w:rPr>
        <w:lastRenderedPageBreak/>
        <w:t>）</w:t>
      </w:r>
      <w:r>
        <w:rPr>
          <w:rFonts w:ascii="Times New Roman" w:hAnsi="Times New Roman" w:cs="Times New Roman"/>
          <w:sz w:val="14"/>
          <w:szCs w:val="14"/>
        </w:rPr>
        <w:t xml:space="preserve">  </w:t>
      </w:r>
      <w:r>
        <w:rPr>
          <w:rFonts w:hint="eastAsia"/>
          <w:sz w:val="18"/>
          <w:szCs w:val="18"/>
        </w:rPr>
        <w:t>被转移金融资产在终止确认日的账面价值。</w:t>
      </w:r>
    </w:p>
    <w:p w:rsidR="005C49A8" w:rsidRDefault="005C49A8" w:rsidP="00C50357">
      <w:pPr>
        <w:widowControl/>
        <w:numPr>
          <w:ilvl w:val="0"/>
          <w:numId w:val="37"/>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因转移金融资产而收到的对价，与</w:t>
      </w:r>
      <w:proofErr w:type="gramStart"/>
      <w:r>
        <w:rPr>
          <w:rFonts w:hint="eastAsia"/>
          <w:sz w:val="18"/>
          <w:szCs w:val="18"/>
        </w:rPr>
        <w:t>原直接</w:t>
      </w:r>
      <w:proofErr w:type="gramEnd"/>
      <w:r>
        <w:rPr>
          <w:rFonts w:hint="eastAsia"/>
          <w:sz w:val="18"/>
          <w:szCs w:val="18"/>
        </w:rPr>
        <w:t>计入其他综合收益的公允价值变动累计额中对应终止确认部分的金额（涉及转移的金融资产为以公允价值计量且其变动计入其他综合收益的金融资产）之</w:t>
      </w:r>
      <w:proofErr w:type="gramStart"/>
      <w:r>
        <w:rPr>
          <w:rFonts w:hint="eastAsia"/>
          <w:sz w:val="18"/>
          <w:szCs w:val="18"/>
        </w:rPr>
        <w:t>和</w:t>
      </w:r>
      <w:proofErr w:type="gramEnd"/>
      <w:r>
        <w:rPr>
          <w:rFonts w:hint="eastAsia"/>
          <w:sz w:val="18"/>
          <w:szCs w:val="18"/>
        </w:rPr>
        <w:t>。</w:t>
      </w:r>
    </w:p>
    <w:p w:rsidR="005C49A8" w:rsidRDefault="005C49A8" w:rsidP="00C50357">
      <w:pPr>
        <w:widowControl/>
        <w:numPr>
          <w:ilvl w:val="0"/>
          <w:numId w:val="38"/>
        </w:numPr>
        <w:spacing w:before="100" w:beforeAutospacing="1" w:after="100" w:afterAutospacing="1"/>
        <w:divId w:val="919800037"/>
        <w:rPr>
          <w:sz w:val="18"/>
          <w:szCs w:val="18"/>
        </w:rPr>
      </w:pPr>
      <w:r>
        <w:rPr>
          <w:rFonts w:hint="eastAsia"/>
          <w:sz w:val="18"/>
          <w:szCs w:val="18"/>
        </w:rPr>
        <w:t>金融资产部分转移且该被转移部分整体满足终止确认条件的，将转移前金融资产整体的账面价值，在终止确认部分和继续确认部分（在此种情形下，所保留的服务资产应当视同继续确认金融资产的一部分）之间，按照</w:t>
      </w:r>
      <w:proofErr w:type="gramStart"/>
      <w:r>
        <w:rPr>
          <w:rFonts w:hint="eastAsia"/>
          <w:sz w:val="18"/>
          <w:szCs w:val="18"/>
        </w:rPr>
        <w:t>转移日</w:t>
      </w:r>
      <w:proofErr w:type="gramEnd"/>
      <w:r>
        <w:rPr>
          <w:rFonts w:hint="eastAsia"/>
          <w:sz w:val="18"/>
          <w:szCs w:val="18"/>
        </w:rPr>
        <w:t>各自的相对公允价值进行分摊，并将下列两项金额的差额计入当期损益：</w:t>
      </w:r>
    </w:p>
    <w:p w:rsidR="005C49A8" w:rsidRDefault="005C49A8" w:rsidP="00C50357">
      <w:pPr>
        <w:widowControl/>
        <w:numPr>
          <w:ilvl w:val="0"/>
          <w:numId w:val="39"/>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终止确认部分在终止确认日的账面价值。</w:t>
      </w:r>
    </w:p>
    <w:p w:rsidR="005C49A8" w:rsidRDefault="005C49A8" w:rsidP="00C50357">
      <w:pPr>
        <w:widowControl/>
        <w:numPr>
          <w:ilvl w:val="0"/>
          <w:numId w:val="39"/>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终止确认部分收到的对价，与原计入其他综合收益的公允价值变动累计额中对应终止确认部分的金额（涉及转移的金融资产为以公允价值计量且其变动计入其他综合收益的金融资产）之</w:t>
      </w:r>
      <w:proofErr w:type="gramStart"/>
      <w:r>
        <w:rPr>
          <w:rFonts w:hint="eastAsia"/>
          <w:sz w:val="18"/>
          <w:szCs w:val="18"/>
        </w:rPr>
        <w:t>和</w:t>
      </w:r>
      <w:proofErr w:type="gramEnd"/>
      <w:r>
        <w:rPr>
          <w:rFonts w:hint="eastAsia"/>
          <w:sz w:val="18"/>
          <w:szCs w:val="18"/>
        </w:rPr>
        <w:t>。</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金融资产转移不满足终止确认条件的，继续确认该金融资产，所收到的对价确认为一项金融负债。</w:t>
      </w:r>
    </w:p>
    <w:p w:rsidR="005C49A8" w:rsidRDefault="005C49A8" w:rsidP="00C50357">
      <w:pPr>
        <w:widowControl/>
        <w:numPr>
          <w:ilvl w:val="0"/>
          <w:numId w:val="40"/>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金融资产和金融负债公允价值的确定方法</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初始取得或衍生的金融资产或承担的金融负债，以市场交易价格作为确定其公允价值的基础。</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5C49A8" w:rsidRDefault="005C49A8" w:rsidP="00C50357">
      <w:pPr>
        <w:widowControl/>
        <w:numPr>
          <w:ilvl w:val="0"/>
          <w:numId w:val="41"/>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本公司对以摊</w:t>
      </w:r>
      <w:proofErr w:type="gramStart"/>
      <w:r w:rsidRPr="004742E9">
        <w:rPr>
          <w:rFonts w:hint="eastAsia"/>
          <w:sz w:val="18"/>
          <w:szCs w:val="18"/>
        </w:rPr>
        <w:t>余成本</w:t>
      </w:r>
      <w:proofErr w:type="gramEnd"/>
      <w:r w:rsidRPr="004742E9">
        <w:rPr>
          <w:rFonts w:hint="eastAsia"/>
          <w:sz w:val="18"/>
          <w:szCs w:val="18"/>
        </w:rPr>
        <w:t>计量的金融资产以预期信用损失为基础进行减值会计处理并确认损失准备。</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预期信用损失，是指以发生违约的风险为权重的金融工具信用损失的加权平均值。信用损失，是指本公司按照</w:t>
      </w:r>
      <w:proofErr w:type="gramStart"/>
      <w:r w:rsidRPr="004742E9">
        <w:rPr>
          <w:rFonts w:hint="eastAsia"/>
          <w:sz w:val="18"/>
          <w:szCs w:val="18"/>
        </w:rPr>
        <w:t>原实际</w:t>
      </w:r>
      <w:proofErr w:type="gramEnd"/>
      <w:r w:rsidRPr="004742E9">
        <w:rPr>
          <w:rFonts w:hint="eastAsia"/>
          <w:sz w:val="18"/>
          <w:szCs w:val="18"/>
        </w:rPr>
        <w:t>利率折现的、根据合同应收的所有合同现金流量与预期收取的所有现金流量之间的差额，即全部现金短缺的现值。其中，对于本公司</w:t>
      </w:r>
      <w:proofErr w:type="gramStart"/>
      <w:r w:rsidRPr="004742E9">
        <w:rPr>
          <w:rFonts w:hint="eastAsia"/>
          <w:sz w:val="18"/>
          <w:szCs w:val="18"/>
        </w:rPr>
        <w:t>购买或源生</w:t>
      </w:r>
      <w:proofErr w:type="gramEnd"/>
      <w:r w:rsidRPr="004742E9">
        <w:rPr>
          <w:rFonts w:hint="eastAsia"/>
          <w:sz w:val="18"/>
          <w:szCs w:val="18"/>
        </w:rPr>
        <w:t>的已发生信用减值的金融资产，应按照该金融资产经信用调整的实际利率折现。</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对于</w:t>
      </w:r>
      <w:proofErr w:type="gramStart"/>
      <w:r w:rsidRPr="004742E9">
        <w:rPr>
          <w:rFonts w:hint="eastAsia"/>
          <w:sz w:val="18"/>
          <w:szCs w:val="18"/>
        </w:rPr>
        <w:t>购买或源生</w:t>
      </w:r>
      <w:proofErr w:type="gramEnd"/>
      <w:r w:rsidRPr="004742E9">
        <w:rPr>
          <w:rFonts w:hint="eastAsia"/>
          <w:sz w:val="18"/>
          <w:szCs w:val="18"/>
        </w:rPr>
        <w:t>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lastRenderedPageBreak/>
        <w:t>除上述采用简化计量方法和</w:t>
      </w:r>
      <w:proofErr w:type="gramStart"/>
      <w:r w:rsidRPr="004742E9">
        <w:rPr>
          <w:rFonts w:hint="eastAsia"/>
          <w:sz w:val="18"/>
          <w:szCs w:val="18"/>
        </w:rPr>
        <w:t>购买或源生</w:t>
      </w:r>
      <w:proofErr w:type="gramEnd"/>
      <w:r w:rsidRPr="004742E9">
        <w:rPr>
          <w:rFonts w:hint="eastAsia"/>
          <w:sz w:val="18"/>
          <w:szCs w:val="18"/>
        </w:rPr>
        <w:t>的已发生信用减值以外的其他金融资产，本公司在每个资产负债表日评估相关金融工具的信用风险自初始确认后是否已显著增加，并按照下列情形分别计量其损失准备、确认预期信用损失及其变动：</w:t>
      </w:r>
    </w:p>
    <w:p w:rsidR="005C49A8" w:rsidRDefault="005C49A8" w:rsidP="00C50357">
      <w:pPr>
        <w:widowControl/>
        <w:numPr>
          <w:ilvl w:val="1"/>
          <w:numId w:val="42"/>
        </w:numPr>
        <w:tabs>
          <w:tab w:val="clear" w:pos="1440"/>
          <w:tab w:val="num" w:pos="1276"/>
        </w:tabs>
        <w:spacing w:before="100" w:beforeAutospacing="1" w:after="100" w:afterAutospacing="1"/>
        <w:ind w:left="426"/>
        <w:divId w:val="919800037"/>
        <w:rPr>
          <w:sz w:val="18"/>
          <w:szCs w:val="18"/>
        </w:rPr>
      </w:pPr>
      <w:r>
        <w:rPr>
          <w:rFonts w:hint="eastAsia"/>
          <w:sz w:val="18"/>
          <w:szCs w:val="18"/>
        </w:rPr>
        <w:t>如果该金融工具的信用风险自初始确认后并未显著增加，处于第一阶段，则按照相当于该金融工具未来</w:t>
      </w:r>
      <w:r>
        <w:rPr>
          <w:rFonts w:ascii="Arial" w:hAnsi="Arial" w:cs="Arial"/>
          <w:sz w:val="18"/>
          <w:szCs w:val="18"/>
        </w:rPr>
        <w:t>12</w:t>
      </w:r>
      <w:r>
        <w:rPr>
          <w:rFonts w:hint="eastAsia"/>
          <w:sz w:val="18"/>
          <w:szCs w:val="18"/>
        </w:rPr>
        <w:t>个月内预期信用损失的金额计量其损失准备，并按照账面余额和实际利率计算利息收入。</w:t>
      </w:r>
    </w:p>
    <w:p w:rsidR="005C49A8" w:rsidRDefault="005C49A8" w:rsidP="00C50357">
      <w:pPr>
        <w:widowControl/>
        <w:numPr>
          <w:ilvl w:val="1"/>
          <w:numId w:val="42"/>
        </w:numPr>
        <w:tabs>
          <w:tab w:val="clear" w:pos="1440"/>
          <w:tab w:val="num" w:pos="1276"/>
        </w:tabs>
        <w:spacing w:before="100" w:beforeAutospacing="1" w:after="100" w:afterAutospacing="1"/>
        <w:ind w:left="426"/>
        <w:divId w:val="919800037"/>
        <w:rPr>
          <w:sz w:val="18"/>
          <w:szCs w:val="18"/>
        </w:rPr>
      </w:pPr>
      <w:r>
        <w:rPr>
          <w:rFonts w:hint="eastAsia"/>
          <w:sz w:val="18"/>
          <w:szCs w:val="18"/>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rsidR="005C49A8" w:rsidRDefault="005C49A8" w:rsidP="00C50357">
      <w:pPr>
        <w:widowControl/>
        <w:numPr>
          <w:ilvl w:val="1"/>
          <w:numId w:val="42"/>
        </w:numPr>
        <w:tabs>
          <w:tab w:val="clear" w:pos="1440"/>
          <w:tab w:val="num" w:pos="1276"/>
        </w:tabs>
        <w:spacing w:before="100" w:beforeAutospacing="1" w:after="100" w:afterAutospacing="1"/>
        <w:ind w:left="426"/>
        <w:divId w:val="919800037"/>
        <w:rPr>
          <w:sz w:val="18"/>
          <w:szCs w:val="18"/>
        </w:rPr>
      </w:pPr>
      <w:r>
        <w:rPr>
          <w:rFonts w:hint="eastAsia"/>
          <w:sz w:val="18"/>
          <w:szCs w:val="18"/>
        </w:rPr>
        <w:t>如果该金融工具自初始确认后已经发生信用减值的，处于第三阶段，本公司按照相当于该金融工具整个存续期内预期信用损失的金额计量其损失准备，并按照摊</w:t>
      </w:r>
      <w:proofErr w:type="gramStart"/>
      <w:r>
        <w:rPr>
          <w:rFonts w:hint="eastAsia"/>
          <w:sz w:val="18"/>
          <w:szCs w:val="18"/>
        </w:rPr>
        <w:t>余成本</w:t>
      </w:r>
      <w:proofErr w:type="gramEnd"/>
      <w:r>
        <w:rPr>
          <w:rFonts w:hint="eastAsia"/>
          <w:sz w:val="18"/>
          <w:szCs w:val="18"/>
        </w:rPr>
        <w:t>和实际利率计算利息收入。</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w:t>
      </w:r>
      <w:proofErr w:type="gramStart"/>
      <w:r w:rsidRPr="004742E9">
        <w:rPr>
          <w:rFonts w:hint="eastAsia"/>
          <w:sz w:val="18"/>
          <w:szCs w:val="18"/>
        </w:rPr>
        <w:t>日按照</w:t>
      </w:r>
      <w:proofErr w:type="gramEnd"/>
      <w:r w:rsidRPr="004742E9">
        <w:rPr>
          <w:rFonts w:hint="eastAsia"/>
          <w:sz w:val="18"/>
          <w:szCs w:val="18"/>
        </w:rPr>
        <w:t>相当于未来</w:t>
      </w:r>
      <w:r w:rsidRPr="004742E9">
        <w:rPr>
          <w:sz w:val="18"/>
          <w:szCs w:val="18"/>
        </w:rPr>
        <w:t>12</w:t>
      </w:r>
      <w:r w:rsidRPr="004742E9">
        <w:rPr>
          <w:rFonts w:hint="eastAsia"/>
          <w:sz w:val="18"/>
          <w:szCs w:val="18"/>
        </w:rPr>
        <w:t>个月内预期信用损失的金额计量该金融工具的损失准备，由此形成的损失准备的转回金额作为减值利得计入当期损益。</w:t>
      </w:r>
    </w:p>
    <w:p w:rsidR="005C49A8" w:rsidRDefault="005C49A8" w:rsidP="00C50357">
      <w:pPr>
        <w:widowControl/>
        <w:numPr>
          <w:ilvl w:val="0"/>
          <w:numId w:val="43"/>
        </w:numPr>
        <w:spacing w:before="100" w:beforeAutospacing="1" w:after="100" w:afterAutospacing="1"/>
        <w:divId w:val="919800037"/>
        <w:rPr>
          <w:sz w:val="18"/>
          <w:szCs w:val="18"/>
        </w:rPr>
      </w:pPr>
      <w:r>
        <w:rPr>
          <w:rFonts w:hint="eastAsia"/>
          <w:sz w:val="18"/>
          <w:szCs w:val="18"/>
        </w:rPr>
        <w:t>信用风险显著增加</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本公司在评估信用风险是否显著增加时会考虑如下因素：</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债务人经营成果实际或预期是否发生显著变化；</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债务人所处的监管、经济或技术环境是否发生显著不利变化；</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作为债务抵押的担保物价值或第三方提供的担保或信用增级质量是否发生显著变化，这些变化预期将降低债务人按合同规定期限还款的经济动机或者影响违约概率；</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债务人预期表现和还款行为是否发生显著变化；</w:t>
      </w:r>
    </w:p>
    <w:p w:rsidR="005C49A8" w:rsidRDefault="005C49A8" w:rsidP="00C50357">
      <w:pPr>
        <w:widowControl/>
        <w:numPr>
          <w:ilvl w:val="0"/>
          <w:numId w:val="44"/>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本公司对金融工具信用管理方法是否发生变化等。</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w:t>
      </w:r>
      <w:r w:rsidRPr="004742E9">
        <w:rPr>
          <w:rFonts w:hint="eastAsia"/>
          <w:sz w:val="18"/>
          <w:szCs w:val="18"/>
        </w:rPr>
        <w:lastRenderedPageBreak/>
        <w:t>时期内经济形势和经营环境存在不利变化，但未必一定降低借款人履行其合同现金流量义务的能力，则该金融工具被视为具有较低的信用风险。</w:t>
      </w:r>
    </w:p>
    <w:p w:rsidR="005C49A8" w:rsidRDefault="005C49A8" w:rsidP="00C50357">
      <w:pPr>
        <w:widowControl/>
        <w:numPr>
          <w:ilvl w:val="0"/>
          <w:numId w:val="45"/>
        </w:numPr>
        <w:spacing w:before="100" w:beforeAutospacing="1" w:after="100" w:afterAutospacing="1"/>
        <w:divId w:val="919800037"/>
        <w:rPr>
          <w:sz w:val="18"/>
          <w:szCs w:val="18"/>
        </w:rPr>
      </w:pPr>
      <w:r>
        <w:rPr>
          <w:rFonts w:hint="eastAsia"/>
          <w:sz w:val="18"/>
          <w:szCs w:val="18"/>
        </w:rPr>
        <w:t>已发生信用减值的金融资产</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当对金融资产预期未来现金流量具有不利影响的一项或多项事件发生时，该金融资产成为已发生信用减值的金融资产。金融资产已发生信用减值的证据包括下列可观察信息：</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发行方或债务人发生重大财务困难；</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债务人违反合同，如偿付利息或本金违约或逾期等；</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债权人出于与债务人财务困难有关的经济或合同考虑，给予债务人在任何其他情况下都不会做出的让步；</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债务人很可能破产或进行其他财务重组；</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发行方或债务人财务困难导致该金融资产的活跃市场消失；</w:t>
      </w:r>
    </w:p>
    <w:p w:rsidR="005C49A8" w:rsidRDefault="005C49A8" w:rsidP="00C50357">
      <w:pPr>
        <w:widowControl/>
        <w:numPr>
          <w:ilvl w:val="1"/>
          <w:numId w:val="46"/>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以大幅折扣</w:t>
      </w:r>
      <w:proofErr w:type="gramStart"/>
      <w:r>
        <w:rPr>
          <w:rFonts w:hint="eastAsia"/>
          <w:sz w:val="18"/>
          <w:szCs w:val="18"/>
        </w:rPr>
        <w:t>购买或源生</w:t>
      </w:r>
      <w:proofErr w:type="gramEnd"/>
      <w:r>
        <w:rPr>
          <w:rFonts w:hint="eastAsia"/>
          <w:sz w:val="18"/>
          <w:szCs w:val="18"/>
        </w:rPr>
        <w:t>一项金融资产，该折扣反映了发生信用损失的事实。</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金融资产发生信用减值，有可能是多个事件的共同作用所致，未必是可单独识别的事件所致。</w:t>
      </w:r>
    </w:p>
    <w:p w:rsidR="005C49A8" w:rsidRDefault="005C49A8" w:rsidP="00C50357">
      <w:pPr>
        <w:widowControl/>
        <w:numPr>
          <w:ilvl w:val="0"/>
          <w:numId w:val="47"/>
        </w:numPr>
        <w:spacing w:before="100" w:beforeAutospacing="1" w:after="100" w:afterAutospacing="1"/>
        <w:divId w:val="919800037"/>
        <w:rPr>
          <w:sz w:val="18"/>
          <w:szCs w:val="18"/>
        </w:rPr>
      </w:pPr>
      <w:r>
        <w:rPr>
          <w:rFonts w:hint="eastAsia"/>
          <w:sz w:val="18"/>
          <w:szCs w:val="18"/>
        </w:rPr>
        <w:t>预期信用损失的确定</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本公司基于单项和组合评估金融工具的预期信用损失，在评估预期信用损失时，考虑有关过去事项、当前状况以及未来经济状况预测的合理且有依据的信息。</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本公司以共同信用风险特征为依据，将金融工具分为不同组合。本公司采用的共同信用风险特征包括：金融工具类型、信用风险评级、账龄组合、逾期</w:t>
      </w:r>
      <w:proofErr w:type="gramStart"/>
      <w:r w:rsidRPr="004742E9">
        <w:rPr>
          <w:rFonts w:hint="eastAsia"/>
          <w:sz w:val="18"/>
          <w:szCs w:val="18"/>
        </w:rPr>
        <w:t>账</w:t>
      </w:r>
      <w:proofErr w:type="gramEnd"/>
      <w:r w:rsidRPr="004742E9">
        <w:rPr>
          <w:rFonts w:hint="eastAsia"/>
          <w:sz w:val="18"/>
          <w:szCs w:val="18"/>
        </w:rPr>
        <w:t>龄组合、合同结算周期、债务人所处行业等。相关金融工具的单项评估标准和组合信用风险特征详见相关金融工具的会计政策。</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本公司按照下列方法确定相关金融工具的预期信用损失：</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1</w:t>
      </w:r>
      <w:r w:rsidRPr="004742E9">
        <w:rPr>
          <w:rFonts w:hint="eastAsia"/>
          <w:sz w:val="18"/>
          <w:szCs w:val="18"/>
        </w:rPr>
        <w:t>）对于金融资产，信用损失为本公司应收取的合同现金流量与预期收取的现金流量之间差额的现值。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2</w:t>
      </w:r>
      <w:r w:rsidRPr="004742E9">
        <w:rPr>
          <w:rFonts w:hint="eastAsia"/>
          <w:sz w:val="18"/>
          <w:szCs w:val="18"/>
        </w:rPr>
        <w:t>）对于租赁应收款项，信用损失为本公司应收取的合同现金流量与预期收取的现金流量之间差额的现值。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3</w:t>
      </w:r>
      <w:r w:rsidRPr="004742E9">
        <w:rPr>
          <w:rFonts w:hint="eastAsia"/>
          <w:sz w:val="18"/>
          <w:szCs w:val="18"/>
        </w:rPr>
        <w:t>）对于财务担保合同，信用损失为本公司就该合同持有人发生的信用损失向其做出赔付的预计付款额，减去本公司预期向该合同持有人、债务人或任何其他方收取的金额之间差额的现值。</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sz w:val="18"/>
          <w:szCs w:val="18"/>
        </w:rPr>
        <w:t>4</w:t>
      </w:r>
      <w:r w:rsidRPr="004742E9">
        <w:rPr>
          <w:rFonts w:hint="eastAsia"/>
          <w:sz w:val="18"/>
          <w:szCs w:val="18"/>
        </w:rPr>
        <w:t>）对于资产负债表日已发生信用减值但并非</w:t>
      </w:r>
      <w:proofErr w:type="gramStart"/>
      <w:r w:rsidRPr="004742E9">
        <w:rPr>
          <w:rFonts w:hint="eastAsia"/>
          <w:sz w:val="18"/>
          <w:szCs w:val="18"/>
        </w:rPr>
        <w:t>购买或源生</w:t>
      </w:r>
      <w:proofErr w:type="gramEnd"/>
      <w:r w:rsidRPr="004742E9">
        <w:rPr>
          <w:rFonts w:hint="eastAsia"/>
          <w:sz w:val="18"/>
          <w:szCs w:val="18"/>
        </w:rPr>
        <w:t>已发生信用减值的金融资产，信用损失为该金融资产账面余额与按</w:t>
      </w:r>
      <w:proofErr w:type="gramStart"/>
      <w:r w:rsidRPr="004742E9">
        <w:rPr>
          <w:rFonts w:hint="eastAsia"/>
          <w:sz w:val="18"/>
          <w:szCs w:val="18"/>
        </w:rPr>
        <w:t>原实际</w:t>
      </w:r>
      <w:proofErr w:type="gramEnd"/>
      <w:r w:rsidRPr="004742E9">
        <w:rPr>
          <w:rFonts w:hint="eastAsia"/>
          <w:sz w:val="18"/>
          <w:szCs w:val="18"/>
        </w:rPr>
        <w:t>利率折现的估计未来现金流量的现值之间的差额。</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rsidR="005C49A8" w:rsidRDefault="005C49A8" w:rsidP="00C50357">
      <w:pPr>
        <w:widowControl/>
        <w:numPr>
          <w:ilvl w:val="0"/>
          <w:numId w:val="48"/>
        </w:numPr>
        <w:spacing w:before="100" w:beforeAutospacing="1" w:after="100" w:afterAutospacing="1"/>
        <w:divId w:val="919800037"/>
        <w:rPr>
          <w:sz w:val="18"/>
          <w:szCs w:val="18"/>
        </w:rPr>
      </w:pPr>
      <w:proofErr w:type="gramStart"/>
      <w:r>
        <w:rPr>
          <w:rFonts w:hint="eastAsia"/>
          <w:sz w:val="18"/>
          <w:szCs w:val="18"/>
        </w:rPr>
        <w:lastRenderedPageBreak/>
        <w:t>减记金融资产</w:t>
      </w:r>
      <w:proofErr w:type="gramEnd"/>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当本公司不再合理预期金融资产合同现金流量能够全部或部分收回的，直接</w:t>
      </w:r>
      <w:proofErr w:type="gramStart"/>
      <w:r w:rsidRPr="004742E9">
        <w:rPr>
          <w:rFonts w:hint="eastAsia"/>
          <w:sz w:val="18"/>
          <w:szCs w:val="18"/>
        </w:rPr>
        <w:t>减记该</w:t>
      </w:r>
      <w:proofErr w:type="gramEnd"/>
      <w:r w:rsidRPr="004742E9">
        <w:rPr>
          <w:rFonts w:hint="eastAsia"/>
          <w:sz w:val="18"/>
          <w:szCs w:val="18"/>
        </w:rPr>
        <w:t>金融资产的账面余额。这种</w:t>
      </w:r>
      <w:proofErr w:type="gramStart"/>
      <w:r w:rsidRPr="004742E9">
        <w:rPr>
          <w:rFonts w:hint="eastAsia"/>
          <w:sz w:val="18"/>
          <w:szCs w:val="18"/>
        </w:rPr>
        <w:t>减记构成</w:t>
      </w:r>
      <w:proofErr w:type="gramEnd"/>
      <w:r w:rsidRPr="004742E9">
        <w:rPr>
          <w:rFonts w:hint="eastAsia"/>
          <w:sz w:val="18"/>
          <w:szCs w:val="18"/>
        </w:rPr>
        <w:t>相关金融资产的终止确认。</w:t>
      </w:r>
    </w:p>
    <w:p w:rsidR="005C49A8" w:rsidRDefault="005C49A8" w:rsidP="00C50357">
      <w:pPr>
        <w:widowControl/>
        <w:numPr>
          <w:ilvl w:val="0"/>
          <w:numId w:val="49"/>
        </w:numPr>
        <w:spacing w:before="100" w:beforeAutospacing="1" w:after="100" w:afterAutospacing="1"/>
        <w:divId w:val="919800037"/>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金融资产及金融负债的</w:t>
      </w:r>
      <w:proofErr w:type="gramStart"/>
      <w:r>
        <w:rPr>
          <w:rFonts w:hint="eastAsia"/>
          <w:sz w:val="18"/>
          <w:szCs w:val="18"/>
        </w:rPr>
        <w:t>抵销</w:t>
      </w:r>
      <w:proofErr w:type="gramEnd"/>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金融资产和金融负债在资产负债表内分别列示，没有相互</w:t>
      </w:r>
      <w:proofErr w:type="gramStart"/>
      <w:r w:rsidRPr="004742E9">
        <w:rPr>
          <w:rFonts w:hint="eastAsia"/>
          <w:sz w:val="18"/>
          <w:szCs w:val="18"/>
        </w:rPr>
        <w:t>抵销</w:t>
      </w:r>
      <w:proofErr w:type="gramEnd"/>
      <w:r w:rsidRPr="004742E9">
        <w:rPr>
          <w:rFonts w:hint="eastAsia"/>
          <w:sz w:val="18"/>
          <w:szCs w:val="18"/>
        </w:rPr>
        <w:t>。但是，同时满足下列条件的，以相互</w:t>
      </w:r>
      <w:proofErr w:type="gramStart"/>
      <w:r w:rsidRPr="004742E9">
        <w:rPr>
          <w:rFonts w:hint="eastAsia"/>
          <w:sz w:val="18"/>
          <w:szCs w:val="18"/>
        </w:rPr>
        <w:t>抵销</w:t>
      </w:r>
      <w:proofErr w:type="gramEnd"/>
      <w:r w:rsidRPr="004742E9">
        <w:rPr>
          <w:rFonts w:hint="eastAsia"/>
          <w:sz w:val="18"/>
          <w:szCs w:val="18"/>
        </w:rPr>
        <w:t>后的净额在资产负债表内列示：</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1</w:t>
      </w:r>
      <w:r w:rsidRPr="004742E9">
        <w:rPr>
          <w:rFonts w:hint="eastAsia"/>
          <w:sz w:val="18"/>
          <w:szCs w:val="18"/>
        </w:rPr>
        <w:t>）本公司具有</w:t>
      </w:r>
      <w:proofErr w:type="gramStart"/>
      <w:r w:rsidRPr="004742E9">
        <w:rPr>
          <w:rFonts w:hint="eastAsia"/>
          <w:sz w:val="18"/>
          <w:szCs w:val="18"/>
        </w:rPr>
        <w:t>抵销</w:t>
      </w:r>
      <w:proofErr w:type="gramEnd"/>
      <w:r w:rsidRPr="004742E9">
        <w:rPr>
          <w:rFonts w:hint="eastAsia"/>
          <w:sz w:val="18"/>
          <w:szCs w:val="18"/>
        </w:rPr>
        <w:t>已确认金额的法定权利，且该种法定权利是当前可执行的；</w:t>
      </w:r>
    </w:p>
    <w:p w:rsidR="005C49A8" w:rsidRPr="004742E9" w:rsidRDefault="005C49A8">
      <w:pPr>
        <w:pStyle w:val="a3"/>
        <w:spacing w:before="0" w:beforeAutospacing="0" w:after="0" w:afterAutospacing="0" w:line="360" w:lineRule="auto"/>
        <w:ind w:firstLine="420"/>
        <w:jc w:val="both"/>
        <w:divId w:val="919800037"/>
        <w:rPr>
          <w:sz w:val="18"/>
          <w:szCs w:val="18"/>
        </w:rPr>
      </w:pPr>
      <w:r w:rsidRPr="004742E9">
        <w:rPr>
          <w:rFonts w:hint="eastAsia"/>
          <w:sz w:val="18"/>
          <w:szCs w:val="18"/>
        </w:rPr>
        <w:t>（</w:t>
      </w:r>
      <w:r w:rsidRPr="004742E9">
        <w:rPr>
          <w:sz w:val="18"/>
          <w:szCs w:val="18"/>
        </w:rPr>
        <w:t>2</w:t>
      </w:r>
      <w:r w:rsidRPr="004742E9">
        <w:rPr>
          <w:rFonts w:hint="eastAsia"/>
          <w:sz w:val="18"/>
          <w:szCs w:val="18"/>
        </w:rPr>
        <w:t>）本公司计划以净额结算，或同时变现该金融资产和清偿该金融负债。</w:t>
      </w:r>
    </w:p>
    <w:p w:rsidR="008820E4" w:rsidRDefault="005C49A8">
      <w:pPr>
        <w:pStyle w:val="3"/>
        <w:spacing w:line="280" w:lineRule="exact"/>
        <w:jc w:val="left"/>
        <w:rPr>
          <w:rFonts w:ascii="宋体" w:hAnsi="宋体" w:cs="宋体"/>
          <w:b/>
          <w:bCs/>
        </w:rPr>
      </w:pPr>
      <w:bookmarkStart w:id="129" w:name="_Toc989018"/>
      <w:r>
        <w:rPr>
          <w:rFonts w:ascii="宋体" w:hAnsi="宋体" w:cs="宋体"/>
          <w:b/>
          <w:bCs/>
        </w:rPr>
        <w:t>12、应收票据</w:t>
      </w:r>
      <w:bookmarkEnd w:id="129"/>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本公司在成为金融工具合同的一方时确认一项金融资产或金融负债。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实际利率法是指计算金融资产或金融负债的摊</w:t>
      </w:r>
      <w:proofErr w:type="gramStart"/>
      <w:r w:rsidRPr="004742E9">
        <w:rPr>
          <w:rFonts w:hint="eastAsia"/>
          <w:sz w:val="18"/>
          <w:szCs w:val="18"/>
        </w:rPr>
        <w:t>余成本</w:t>
      </w:r>
      <w:proofErr w:type="gramEnd"/>
      <w:r w:rsidRPr="004742E9">
        <w:rPr>
          <w:rFonts w:hint="eastAsia"/>
          <w:sz w:val="18"/>
          <w:szCs w:val="18"/>
        </w:rPr>
        <w:t>以及将利息收入或利息费用分摊计入各会计期间的方法。</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实际利率，是指将金融资产或金融负债在预计存续期的估计未来现金流量，折现为该金融资产账面余额或该金融负债摊</w:t>
      </w:r>
      <w:proofErr w:type="gramStart"/>
      <w:r w:rsidRPr="004742E9">
        <w:rPr>
          <w:rFonts w:hint="eastAsia"/>
          <w:sz w:val="18"/>
          <w:szCs w:val="18"/>
        </w:rPr>
        <w:t>余成本</w:t>
      </w:r>
      <w:proofErr w:type="gramEnd"/>
      <w:r w:rsidRPr="004742E9">
        <w:rPr>
          <w:rFonts w:hint="eastAsia"/>
          <w:sz w:val="18"/>
          <w:szCs w:val="18"/>
        </w:rPr>
        <w:t>所使用的利率。在确定实际利率时，在考虑金融资产或金融负债所有合同条款</w:t>
      </w:r>
      <w:r w:rsidRPr="004742E9">
        <w:rPr>
          <w:sz w:val="18"/>
          <w:szCs w:val="18"/>
        </w:rPr>
        <w:t>(</w:t>
      </w:r>
      <w:r w:rsidRPr="004742E9">
        <w:rPr>
          <w:rFonts w:hint="eastAsia"/>
          <w:sz w:val="18"/>
          <w:szCs w:val="18"/>
        </w:rPr>
        <w:t>如提前还款、展期、看涨期权或其他类似期权等</w:t>
      </w:r>
      <w:r w:rsidRPr="004742E9">
        <w:rPr>
          <w:sz w:val="18"/>
          <w:szCs w:val="18"/>
        </w:rPr>
        <w:t>)</w:t>
      </w:r>
      <w:r w:rsidRPr="004742E9">
        <w:rPr>
          <w:rFonts w:hint="eastAsia"/>
          <w:sz w:val="18"/>
          <w:szCs w:val="18"/>
        </w:rPr>
        <w:t>的基础上估计预期现金流量，但不考虑预期信用损失。</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金融资产或金融负债的摊</w:t>
      </w:r>
      <w:proofErr w:type="gramStart"/>
      <w:r w:rsidRPr="004742E9">
        <w:rPr>
          <w:rFonts w:hint="eastAsia"/>
          <w:sz w:val="18"/>
          <w:szCs w:val="18"/>
        </w:rPr>
        <w:t>余成本</w:t>
      </w:r>
      <w:proofErr w:type="gramEnd"/>
      <w:r w:rsidRPr="004742E9">
        <w:rPr>
          <w:rFonts w:hint="eastAsia"/>
          <w:sz w:val="18"/>
          <w:szCs w:val="18"/>
        </w:rPr>
        <w:t>是以该金融资产或金融负债的初始确认金额扣除已偿还的本金，加上或减去采用实际利率法将该初始确认金额与到期</w:t>
      </w:r>
      <w:proofErr w:type="gramStart"/>
      <w:r w:rsidRPr="004742E9">
        <w:rPr>
          <w:rFonts w:hint="eastAsia"/>
          <w:sz w:val="18"/>
          <w:szCs w:val="18"/>
        </w:rPr>
        <w:t>日金额</w:t>
      </w:r>
      <w:proofErr w:type="gramEnd"/>
      <w:r w:rsidRPr="004742E9">
        <w:rPr>
          <w:rFonts w:hint="eastAsia"/>
          <w:sz w:val="18"/>
          <w:szCs w:val="18"/>
        </w:rPr>
        <w:t>之间的差额进行摊销形成的累计摊销额，再扣除累计计提的损失准备</w:t>
      </w:r>
      <w:r w:rsidRPr="004742E9">
        <w:rPr>
          <w:sz w:val="18"/>
          <w:szCs w:val="18"/>
        </w:rPr>
        <w:t>(</w:t>
      </w:r>
      <w:r w:rsidRPr="004742E9">
        <w:rPr>
          <w:rFonts w:hint="eastAsia"/>
          <w:sz w:val="18"/>
          <w:szCs w:val="18"/>
        </w:rPr>
        <w:t>仅适用于金融资产</w:t>
      </w:r>
      <w:r w:rsidRPr="004742E9">
        <w:rPr>
          <w:sz w:val="18"/>
          <w:szCs w:val="18"/>
        </w:rPr>
        <w:t>)</w:t>
      </w:r>
      <w:r w:rsidRPr="004742E9">
        <w:rPr>
          <w:rFonts w:hint="eastAsia"/>
          <w:sz w:val="18"/>
          <w:szCs w:val="18"/>
        </w:rPr>
        <w:t>。</w:t>
      </w:r>
    </w:p>
    <w:p w:rsidR="005C49A8" w:rsidRDefault="005C49A8" w:rsidP="00C50357">
      <w:pPr>
        <w:widowControl/>
        <w:numPr>
          <w:ilvl w:val="0"/>
          <w:numId w:val="50"/>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金融资产的分类、确认和计量</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本公司根据所管理金融资产的业务模式和金融资产的合同现金流量特征，将金融资产划分为以下三类：</w:t>
      </w:r>
    </w:p>
    <w:p w:rsidR="005C49A8" w:rsidRDefault="005C49A8" w:rsidP="00C50357">
      <w:pPr>
        <w:widowControl/>
        <w:numPr>
          <w:ilvl w:val="1"/>
          <w:numId w:val="51"/>
        </w:numPr>
        <w:tabs>
          <w:tab w:val="clear" w:pos="1440"/>
          <w:tab w:val="num" w:pos="851"/>
        </w:tabs>
        <w:spacing w:before="100" w:beforeAutospacing="1" w:after="100" w:afterAutospacing="1"/>
        <w:ind w:left="426" w:hanging="426"/>
        <w:divId w:val="1174419743"/>
        <w:rPr>
          <w:sz w:val="18"/>
          <w:szCs w:val="18"/>
        </w:rPr>
      </w:pPr>
      <w:r>
        <w:rPr>
          <w:rFonts w:hint="eastAsia"/>
          <w:sz w:val="18"/>
          <w:szCs w:val="18"/>
        </w:rPr>
        <w:t>以摊</w:t>
      </w:r>
      <w:proofErr w:type="gramStart"/>
      <w:r>
        <w:rPr>
          <w:rFonts w:hint="eastAsia"/>
          <w:sz w:val="18"/>
          <w:szCs w:val="18"/>
        </w:rPr>
        <w:t>余成本</w:t>
      </w:r>
      <w:proofErr w:type="gramEnd"/>
      <w:r>
        <w:rPr>
          <w:rFonts w:hint="eastAsia"/>
          <w:sz w:val="18"/>
          <w:szCs w:val="18"/>
        </w:rPr>
        <w:t>计量的金融资产。</w:t>
      </w:r>
    </w:p>
    <w:p w:rsidR="005C49A8" w:rsidRDefault="005C49A8" w:rsidP="00C50357">
      <w:pPr>
        <w:widowControl/>
        <w:numPr>
          <w:ilvl w:val="1"/>
          <w:numId w:val="51"/>
        </w:numPr>
        <w:tabs>
          <w:tab w:val="clear" w:pos="1440"/>
          <w:tab w:val="num" w:pos="851"/>
        </w:tabs>
        <w:spacing w:before="100" w:beforeAutospacing="1" w:after="100" w:afterAutospacing="1"/>
        <w:ind w:left="426" w:hanging="426"/>
        <w:divId w:val="1174419743"/>
        <w:rPr>
          <w:sz w:val="18"/>
          <w:szCs w:val="18"/>
        </w:rPr>
      </w:pPr>
      <w:r>
        <w:rPr>
          <w:rFonts w:hint="eastAsia"/>
          <w:sz w:val="18"/>
          <w:szCs w:val="18"/>
        </w:rPr>
        <w:t>以公允价值计量且其变动计入其他综合收益的金融资产。</w:t>
      </w:r>
    </w:p>
    <w:p w:rsidR="005C49A8" w:rsidRDefault="005C49A8" w:rsidP="00C50357">
      <w:pPr>
        <w:widowControl/>
        <w:numPr>
          <w:ilvl w:val="1"/>
          <w:numId w:val="51"/>
        </w:numPr>
        <w:tabs>
          <w:tab w:val="clear" w:pos="1440"/>
          <w:tab w:val="num" w:pos="851"/>
        </w:tabs>
        <w:spacing w:before="100" w:beforeAutospacing="1" w:after="100" w:afterAutospacing="1"/>
        <w:ind w:left="426" w:hanging="426"/>
        <w:divId w:val="1174419743"/>
        <w:rPr>
          <w:sz w:val="18"/>
          <w:szCs w:val="18"/>
        </w:rPr>
      </w:pPr>
      <w:r>
        <w:rPr>
          <w:rFonts w:hint="eastAsia"/>
          <w:sz w:val="18"/>
          <w:szCs w:val="18"/>
        </w:rPr>
        <w:t>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金融资产在初始确认时以公允价值计量，但是因销售商品或提供服务等产生的应收账款或应收票据未包含重大融资成分或不考虑不超过一年的融资成分的，按照交易价格进行初始计量。</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对于以公允价值计量且其变动计入当期损益的金融资产，相关交易费用直接计入当期损益，其他类别的金融资产相关交易费用计入其初始确认金额。</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金融资产的后续计量取决于其分类，当且仅当本公司改变管理金融资产的业务模式时，才对所有受影响的相关金融资产进行重分类。</w:t>
      </w:r>
    </w:p>
    <w:p w:rsidR="005C49A8" w:rsidRDefault="005C49A8" w:rsidP="00C50357">
      <w:pPr>
        <w:widowControl/>
        <w:numPr>
          <w:ilvl w:val="0"/>
          <w:numId w:val="52"/>
        </w:numPr>
        <w:spacing w:before="100" w:beforeAutospacing="1" w:after="100" w:afterAutospacing="1"/>
        <w:divId w:val="1174419743"/>
        <w:rPr>
          <w:sz w:val="18"/>
          <w:szCs w:val="18"/>
        </w:rPr>
      </w:pPr>
      <w:r>
        <w:rPr>
          <w:rFonts w:hint="eastAsia"/>
          <w:sz w:val="18"/>
          <w:szCs w:val="18"/>
        </w:rPr>
        <w:t>分类为以摊</w:t>
      </w:r>
      <w:proofErr w:type="gramStart"/>
      <w:r>
        <w:rPr>
          <w:rFonts w:hint="eastAsia"/>
          <w:sz w:val="18"/>
          <w:szCs w:val="18"/>
        </w:rPr>
        <w:t>余成本</w:t>
      </w:r>
      <w:proofErr w:type="gramEnd"/>
      <w:r>
        <w:rPr>
          <w:rFonts w:hint="eastAsia"/>
          <w:sz w:val="18"/>
          <w:szCs w:val="18"/>
        </w:rPr>
        <w:t>计量的金融资产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金融资产的合同条款规定在特定日期产生的现金流量仅为对本金和以</w:t>
      </w:r>
      <w:proofErr w:type="gramStart"/>
      <w:r w:rsidRPr="004742E9">
        <w:rPr>
          <w:rFonts w:hint="eastAsia"/>
          <w:sz w:val="18"/>
          <w:szCs w:val="18"/>
        </w:rPr>
        <w:t>未偿付本</w:t>
      </w:r>
      <w:proofErr w:type="gramEnd"/>
      <w:r w:rsidRPr="004742E9">
        <w:rPr>
          <w:rFonts w:hint="eastAsia"/>
          <w:sz w:val="18"/>
          <w:szCs w:val="18"/>
        </w:rPr>
        <w:t>金金额为基础的利息的支付，且管理该金融资产的业务模式是以收取合同现金流量为目标，则本公司将该金融资产分类为以摊</w:t>
      </w:r>
      <w:proofErr w:type="gramStart"/>
      <w:r w:rsidRPr="004742E9">
        <w:rPr>
          <w:rFonts w:hint="eastAsia"/>
          <w:sz w:val="18"/>
          <w:szCs w:val="18"/>
        </w:rPr>
        <w:t>余成本</w:t>
      </w:r>
      <w:proofErr w:type="gramEnd"/>
      <w:r w:rsidRPr="004742E9">
        <w:rPr>
          <w:rFonts w:hint="eastAsia"/>
          <w:sz w:val="18"/>
          <w:szCs w:val="18"/>
        </w:rPr>
        <w:t>计量的金融资产。本公司分类为以摊</w:t>
      </w:r>
      <w:proofErr w:type="gramStart"/>
      <w:r w:rsidRPr="004742E9">
        <w:rPr>
          <w:rFonts w:hint="eastAsia"/>
          <w:sz w:val="18"/>
          <w:szCs w:val="18"/>
        </w:rPr>
        <w:t>余成本</w:t>
      </w:r>
      <w:proofErr w:type="gramEnd"/>
      <w:r w:rsidRPr="004742E9">
        <w:rPr>
          <w:rFonts w:hint="eastAsia"/>
          <w:sz w:val="18"/>
          <w:szCs w:val="18"/>
        </w:rPr>
        <w:t>计量的金融资产包括货币资金、应收票据、应收账款、其他应收款、长期应收款等。</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本公司对此类金融资产采用实际利率法确认利息收入，</w:t>
      </w:r>
      <w:proofErr w:type="gramStart"/>
      <w:r w:rsidRPr="004742E9">
        <w:rPr>
          <w:rFonts w:hint="eastAsia"/>
          <w:sz w:val="18"/>
          <w:szCs w:val="18"/>
        </w:rPr>
        <w:t>按摊余成本</w:t>
      </w:r>
      <w:proofErr w:type="gramEnd"/>
      <w:r w:rsidRPr="004742E9">
        <w:rPr>
          <w:rFonts w:hint="eastAsia"/>
          <w:sz w:val="18"/>
          <w:szCs w:val="18"/>
        </w:rPr>
        <w:t>进行后续计量，其发生减值时或终止确认、修改产生的利得或损失，计入当期损益。除下列情况外，本公司根据金融资产账面余额乘以实际利率计算确定利息收入：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1</w:t>
      </w:r>
      <w:r w:rsidRPr="004742E9">
        <w:rPr>
          <w:rFonts w:hint="eastAsia"/>
          <w:sz w:val="18"/>
          <w:szCs w:val="18"/>
        </w:rPr>
        <w:t>）对于</w:t>
      </w:r>
      <w:proofErr w:type="gramStart"/>
      <w:r w:rsidRPr="004742E9">
        <w:rPr>
          <w:rFonts w:hint="eastAsia"/>
          <w:sz w:val="18"/>
          <w:szCs w:val="18"/>
        </w:rPr>
        <w:t>购入或源生</w:t>
      </w:r>
      <w:proofErr w:type="gramEnd"/>
      <w:r w:rsidRPr="004742E9">
        <w:rPr>
          <w:rFonts w:hint="eastAsia"/>
          <w:sz w:val="18"/>
          <w:szCs w:val="18"/>
        </w:rPr>
        <w:t>的已发生信用减值的金融资产，本公司自初始确认起，按照该金融资产的摊</w:t>
      </w:r>
      <w:proofErr w:type="gramStart"/>
      <w:r w:rsidRPr="004742E9">
        <w:rPr>
          <w:rFonts w:hint="eastAsia"/>
          <w:sz w:val="18"/>
          <w:szCs w:val="18"/>
        </w:rPr>
        <w:t>余成本</w:t>
      </w:r>
      <w:proofErr w:type="gramEnd"/>
      <w:r w:rsidRPr="004742E9">
        <w:rPr>
          <w:rFonts w:hint="eastAsia"/>
          <w:sz w:val="18"/>
          <w:szCs w:val="18"/>
        </w:rPr>
        <w:t>和经信用调整的实际利率计算确定其利息收入。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2</w:t>
      </w:r>
      <w:r w:rsidRPr="004742E9">
        <w:rPr>
          <w:rFonts w:hint="eastAsia"/>
          <w:sz w:val="18"/>
          <w:szCs w:val="18"/>
        </w:rPr>
        <w:t>）</w:t>
      </w:r>
      <w:r w:rsidRPr="004742E9">
        <w:rPr>
          <w:sz w:val="18"/>
          <w:szCs w:val="18"/>
        </w:rPr>
        <w:t xml:space="preserve"> </w:t>
      </w:r>
      <w:r w:rsidRPr="004742E9">
        <w:rPr>
          <w:rFonts w:hint="eastAsia"/>
          <w:sz w:val="18"/>
          <w:szCs w:val="18"/>
        </w:rPr>
        <w:t>对于</w:t>
      </w:r>
      <w:proofErr w:type="gramStart"/>
      <w:r w:rsidRPr="004742E9">
        <w:rPr>
          <w:rFonts w:hint="eastAsia"/>
          <w:sz w:val="18"/>
          <w:szCs w:val="18"/>
        </w:rPr>
        <w:t>购入或源生</w:t>
      </w:r>
      <w:proofErr w:type="gramEnd"/>
      <w:r w:rsidRPr="004742E9">
        <w:rPr>
          <w:rFonts w:hint="eastAsia"/>
          <w:sz w:val="18"/>
          <w:szCs w:val="18"/>
        </w:rPr>
        <w:t>的未发生信用减值、但在后续期间成为已发生信用减值的金融资产，本公司在后续期间，按照该金融资产的摊</w:t>
      </w:r>
      <w:proofErr w:type="gramStart"/>
      <w:r w:rsidRPr="004742E9">
        <w:rPr>
          <w:rFonts w:hint="eastAsia"/>
          <w:sz w:val="18"/>
          <w:szCs w:val="18"/>
        </w:rPr>
        <w:t>余成本</w:t>
      </w:r>
      <w:proofErr w:type="gramEnd"/>
      <w:r w:rsidRPr="004742E9">
        <w:rPr>
          <w:rFonts w:hint="eastAsia"/>
          <w:sz w:val="18"/>
          <w:szCs w:val="18"/>
        </w:rPr>
        <w:t>和实际利率计算确定其利息收入。若该金融工具在后续期间因其信用风险有所改善而不再存在信用减值，</w:t>
      </w:r>
      <w:proofErr w:type="gramStart"/>
      <w:r w:rsidRPr="004742E9">
        <w:rPr>
          <w:rFonts w:hint="eastAsia"/>
          <w:sz w:val="18"/>
          <w:szCs w:val="18"/>
        </w:rPr>
        <w:t>本公司转按实际</w:t>
      </w:r>
      <w:proofErr w:type="gramEnd"/>
      <w:r w:rsidRPr="004742E9">
        <w:rPr>
          <w:rFonts w:hint="eastAsia"/>
          <w:sz w:val="18"/>
          <w:szCs w:val="18"/>
        </w:rPr>
        <w:t>利率乘以该金融资产账面余额来计算确定利息收入。</w:t>
      </w:r>
    </w:p>
    <w:p w:rsidR="005C49A8" w:rsidRDefault="005C49A8" w:rsidP="00C50357">
      <w:pPr>
        <w:widowControl/>
        <w:numPr>
          <w:ilvl w:val="0"/>
          <w:numId w:val="53"/>
        </w:numPr>
        <w:spacing w:before="100" w:beforeAutospacing="1" w:after="100" w:afterAutospacing="1"/>
        <w:divId w:val="1174419743"/>
        <w:rPr>
          <w:sz w:val="18"/>
          <w:szCs w:val="18"/>
        </w:rPr>
      </w:pPr>
      <w:r>
        <w:rPr>
          <w:rFonts w:hint="eastAsia"/>
          <w:sz w:val="18"/>
          <w:szCs w:val="18"/>
        </w:rPr>
        <w:t>分类为以公允价值计量且其变动计入其他综合收益的金融资产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金融资产的合同条款规定在特定日期产生的现金流量仅为对本金和以</w:t>
      </w:r>
      <w:proofErr w:type="gramStart"/>
      <w:r w:rsidRPr="004742E9">
        <w:rPr>
          <w:rFonts w:hint="eastAsia"/>
          <w:sz w:val="18"/>
          <w:szCs w:val="18"/>
        </w:rPr>
        <w:t>未偿付本</w:t>
      </w:r>
      <w:proofErr w:type="gramEnd"/>
      <w:r w:rsidRPr="004742E9">
        <w:rPr>
          <w:rFonts w:hint="eastAsia"/>
          <w:sz w:val="18"/>
          <w:szCs w:val="18"/>
        </w:rPr>
        <w:t>金金额为基础的利息的支付，且管理该金融资产的业务模式既以收取合同现金流量为目标又以出售该金融资产为目标，则本公司将该金融资产分类为以公允价值计量且其变动计入其他综合收益的金融资产。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rsidR="005C49A8" w:rsidRDefault="005C49A8" w:rsidP="00C50357">
      <w:pPr>
        <w:widowControl/>
        <w:numPr>
          <w:ilvl w:val="0"/>
          <w:numId w:val="54"/>
        </w:numPr>
        <w:spacing w:before="100" w:beforeAutospacing="1" w:after="100" w:afterAutospacing="1"/>
        <w:divId w:val="1174419743"/>
        <w:rPr>
          <w:sz w:val="18"/>
          <w:szCs w:val="18"/>
        </w:rPr>
      </w:pPr>
      <w:r>
        <w:rPr>
          <w:rFonts w:hint="eastAsia"/>
          <w:sz w:val="18"/>
          <w:szCs w:val="18"/>
        </w:rPr>
        <w:t>指定为以公允价值计量且其变动计入其他综合收益的金融资产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在初始确认时，本公司可以单项金融资产为基础不可撤销地将</w:t>
      </w:r>
      <w:proofErr w:type="gramStart"/>
      <w:r w:rsidRPr="004742E9">
        <w:rPr>
          <w:rFonts w:hint="eastAsia"/>
          <w:sz w:val="18"/>
          <w:szCs w:val="18"/>
        </w:rPr>
        <w:t>非交易</w:t>
      </w:r>
      <w:proofErr w:type="gramEnd"/>
      <w:r w:rsidRPr="004742E9">
        <w:rPr>
          <w:rFonts w:hint="eastAsia"/>
          <w:sz w:val="18"/>
          <w:szCs w:val="18"/>
        </w:rPr>
        <w:t>性权益工具投资指定为以公允价值计量且其变动计入其他综合收益的金融资产。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w:t>
      </w:r>
      <w:proofErr w:type="gramStart"/>
      <w:r w:rsidRPr="004742E9">
        <w:rPr>
          <w:rFonts w:hint="eastAsia"/>
          <w:sz w:val="18"/>
          <w:szCs w:val="18"/>
        </w:rPr>
        <w:t>期工具</w:t>
      </w:r>
      <w:proofErr w:type="gramEnd"/>
      <w:r w:rsidRPr="004742E9">
        <w:rPr>
          <w:rFonts w:hint="eastAsia"/>
          <w:sz w:val="18"/>
          <w:szCs w:val="18"/>
        </w:rPr>
        <w:t>的衍生工具除外）。</w:t>
      </w:r>
    </w:p>
    <w:p w:rsidR="005C49A8" w:rsidRDefault="005C49A8" w:rsidP="00C50357">
      <w:pPr>
        <w:widowControl/>
        <w:numPr>
          <w:ilvl w:val="0"/>
          <w:numId w:val="55"/>
        </w:numPr>
        <w:spacing w:before="100" w:beforeAutospacing="1" w:after="100" w:afterAutospacing="1"/>
        <w:divId w:val="1174419743"/>
        <w:rPr>
          <w:sz w:val="18"/>
          <w:szCs w:val="18"/>
        </w:rPr>
      </w:pPr>
      <w:r>
        <w:rPr>
          <w:rFonts w:hint="eastAsia"/>
          <w:sz w:val="18"/>
          <w:szCs w:val="18"/>
        </w:rPr>
        <w:t>分类为以公允价值计量且其变动计入当期损益的金融资产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不符合分类为以摊</w:t>
      </w:r>
      <w:proofErr w:type="gramStart"/>
      <w:r w:rsidRPr="004742E9">
        <w:rPr>
          <w:rFonts w:hint="eastAsia"/>
          <w:sz w:val="18"/>
          <w:szCs w:val="18"/>
        </w:rPr>
        <w:t>余成本</w:t>
      </w:r>
      <w:proofErr w:type="gramEnd"/>
      <w:r w:rsidRPr="004742E9">
        <w:rPr>
          <w:rFonts w:hint="eastAsia"/>
          <w:sz w:val="18"/>
          <w:szCs w:val="18"/>
        </w:rPr>
        <w:t>计量或以公允价值计量且其变动计入其他综合收益的金融资产条件、亦不指定为以公允价值计量且其变动计入其他综合收益的金融资产均分类为以公允价值计量且其变动计入当期损益的金融资产。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56"/>
        </w:numPr>
        <w:spacing w:before="100" w:beforeAutospacing="1" w:after="100" w:afterAutospacing="1"/>
        <w:divId w:val="1174419743"/>
        <w:rPr>
          <w:sz w:val="18"/>
          <w:szCs w:val="18"/>
        </w:rPr>
      </w:pPr>
      <w:r>
        <w:rPr>
          <w:rFonts w:hint="eastAsia"/>
          <w:sz w:val="18"/>
          <w:szCs w:val="18"/>
        </w:rPr>
        <w:t>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在初始确认时，本公司为了消除或显著减少会计错配，可以单项金融资产为基础不可撤销地将金融资产指定为以公允价值计量且其变动计入当期损益的金融资产。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混合合同包含一项或多项嵌入衍生工具，且其主合同不属于以上金融资产的，本公司可以将其整体指定为以公允价值计量且其变动计入当期损益的金融工具。但下列情况除外：</w:t>
      </w:r>
      <w:r w:rsidRPr="004742E9">
        <w:rPr>
          <w:sz w:val="18"/>
          <w:szCs w:val="18"/>
        </w:rPr>
        <w:t xml:space="preserve"> </w:t>
      </w:r>
    </w:p>
    <w:p w:rsidR="005C49A8" w:rsidRDefault="005C49A8" w:rsidP="00C50357">
      <w:pPr>
        <w:widowControl/>
        <w:numPr>
          <w:ilvl w:val="0"/>
          <w:numId w:val="5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嵌入衍生工具不会对混合合同的现金流量产生重大改变。</w:t>
      </w:r>
    </w:p>
    <w:p w:rsidR="005C49A8" w:rsidRDefault="005C49A8" w:rsidP="00C50357">
      <w:pPr>
        <w:widowControl/>
        <w:numPr>
          <w:ilvl w:val="0"/>
          <w:numId w:val="5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在初次确定类似的混合合同是否需要分拆时，几乎不需分析就能明确其包含的嵌入衍生工具不应分拆。如嵌入贷款的提前还款权，允许持有人以接近摊</w:t>
      </w:r>
      <w:proofErr w:type="gramStart"/>
      <w:r>
        <w:rPr>
          <w:rFonts w:hint="eastAsia"/>
          <w:sz w:val="18"/>
          <w:szCs w:val="18"/>
        </w:rPr>
        <w:t>余成本</w:t>
      </w:r>
      <w:proofErr w:type="gramEnd"/>
      <w:r>
        <w:rPr>
          <w:rFonts w:hint="eastAsia"/>
          <w:sz w:val="18"/>
          <w:szCs w:val="18"/>
        </w:rPr>
        <w:t>的金额提前偿还贷款，该提前还款权不需要分拆。</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本公司对此类金融资产采用公允价值进行后续计量，将公允价值变动形成的利得或损失以及与此类金融资产相关的股利和利息收入计入当期损益。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本公司对此类金融资产根据其流动性在交易性金融资产、其他非流动金融资产项目列报。</w:t>
      </w:r>
    </w:p>
    <w:p w:rsidR="005C49A8" w:rsidRDefault="005C49A8" w:rsidP="00C50357">
      <w:pPr>
        <w:widowControl/>
        <w:numPr>
          <w:ilvl w:val="0"/>
          <w:numId w:val="58"/>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金融负债的分类、确认和计量</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w:t>
      </w:r>
      <w:proofErr w:type="gramStart"/>
      <w:r w:rsidRPr="004742E9">
        <w:rPr>
          <w:rFonts w:hint="eastAsia"/>
          <w:sz w:val="18"/>
          <w:szCs w:val="18"/>
        </w:rPr>
        <w:t>期工具</w:t>
      </w:r>
      <w:proofErr w:type="gramEnd"/>
      <w:r w:rsidRPr="004742E9">
        <w:rPr>
          <w:rFonts w:hint="eastAsia"/>
          <w:sz w:val="18"/>
          <w:szCs w:val="18"/>
        </w:rPr>
        <w:t>的衍生工具。</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金融负债在初始确认时以公允价值计量。对于以公允价值计量且其变动计入当期损益的金融负债，相关的交易费用直接计入当期损益；对于其他类别的金融负债，相关交易费用计入初始确认金额。</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金融负债的后续计量取决于其分类：</w:t>
      </w:r>
    </w:p>
    <w:p w:rsidR="005C49A8" w:rsidRDefault="005C49A8" w:rsidP="00C50357">
      <w:pPr>
        <w:widowControl/>
        <w:numPr>
          <w:ilvl w:val="0"/>
          <w:numId w:val="59"/>
        </w:numPr>
        <w:spacing w:before="100" w:beforeAutospacing="1" w:after="100" w:afterAutospacing="1"/>
        <w:divId w:val="1174419743"/>
        <w:rPr>
          <w:sz w:val="18"/>
          <w:szCs w:val="18"/>
        </w:rPr>
      </w:pPr>
      <w:r>
        <w:rPr>
          <w:rFonts w:hint="eastAsia"/>
          <w:sz w:val="18"/>
          <w:szCs w:val="18"/>
        </w:rPr>
        <w:t>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此类金融负债包括交易性金融负债（</w:t>
      </w:r>
      <w:proofErr w:type="gramStart"/>
      <w:r w:rsidRPr="004742E9">
        <w:rPr>
          <w:rFonts w:hint="eastAsia"/>
          <w:sz w:val="18"/>
          <w:szCs w:val="18"/>
        </w:rPr>
        <w:t>含属于</w:t>
      </w:r>
      <w:proofErr w:type="gramEnd"/>
      <w:r w:rsidRPr="004742E9">
        <w:rPr>
          <w:rFonts w:hint="eastAsia"/>
          <w:sz w:val="18"/>
          <w:szCs w:val="18"/>
        </w:rPr>
        <w:t>金融负债的衍生工具）和初始确认时指定为以公允价值计量且其变动计入当期损益的金融负债。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w:t>
      </w:r>
      <w:proofErr w:type="gramStart"/>
      <w:r w:rsidRPr="004742E9">
        <w:rPr>
          <w:rFonts w:hint="eastAsia"/>
          <w:sz w:val="18"/>
          <w:szCs w:val="18"/>
        </w:rPr>
        <w:t>期工具</w:t>
      </w:r>
      <w:proofErr w:type="gramEnd"/>
      <w:r w:rsidRPr="004742E9">
        <w:rPr>
          <w:rFonts w:hint="eastAsia"/>
          <w:sz w:val="18"/>
          <w:szCs w:val="18"/>
        </w:rPr>
        <w:t>的衍生工具、符合财务担保合同的衍生工具除外。交易性金融负债（</w:t>
      </w:r>
      <w:proofErr w:type="gramStart"/>
      <w:r w:rsidRPr="004742E9">
        <w:rPr>
          <w:rFonts w:hint="eastAsia"/>
          <w:sz w:val="18"/>
          <w:szCs w:val="18"/>
        </w:rPr>
        <w:t>含属于</w:t>
      </w:r>
      <w:proofErr w:type="gramEnd"/>
      <w:r w:rsidRPr="004742E9">
        <w:rPr>
          <w:rFonts w:hint="eastAsia"/>
          <w:sz w:val="18"/>
          <w:szCs w:val="18"/>
        </w:rPr>
        <w:t>金融负债的衍生工具），按照公允价值进行后续计量，除与套期会计有关外，所有公允价值变动均计入当期损益。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在初始确认时，为了提供更相关的会计信息，本公司将满足下列条件之一的金融负债不可撤销地指定为以公允价值计量且其变动计入当期损益的金融负债：</w:t>
      </w:r>
    </w:p>
    <w:p w:rsidR="005C49A8" w:rsidRDefault="005C49A8" w:rsidP="00C50357">
      <w:pPr>
        <w:widowControl/>
        <w:numPr>
          <w:ilvl w:val="0"/>
          <w:numId w:val="60"/>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能够消除或显著减少会计错配。</w:t>
      </w:r>
    </w:p>
    <w:p w:rsidR="005C49A8" w:rsidRDefault="005C49A8" w:rsidP="00C50357">
      <w:pPr>
        <w:widowControl/>
        <w:numPr>
          <w:ilvl w:val="0"/>
          <w:numId w:val="60"/>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根据正式书面文件载明的企业风险管理或投资策略，以公允价值为基础对金融负债组合或金融资产和金融负债组合进行管理和业绩评价，并在企业内部以此为基础向关键管理人员报告。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rsidR="005C49A8" w:rsidRDefault="005C49A8" w:rsidP="00C50357">
      <w:pPr>
        <w:widowControl/>
        <w:numPr>
          <w:ilvl w:val="0"/>
          <w:numId w:val="61"/>
        </w:numPr>
        <w:spacing w:before="100" w:beforeAutospacing="1" w:after="100" w:afterAutospacing="1"/>
        <w:divId w:val="1174419743"/>
        <w:rPr>
          <w:sz w:val="18"/>
          <w:szCs w:val="18"/>
        </w:rPr>
      </w:pPr>
      <w:r>
        <w:rPr>
          <w:rFonts w:hint="eastAsia"/>
          <w:sz w:val="18"/>
          <w:szCs w:val="18"/>
        </w:rPr>
        <w:t>其他金融负债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除下列各项外，公司将金融负债分类为以摊</w:t>
      </w:r>
      <w:proofErr w:type="gramStart"/>
      <w:r w:rsidRPr="004742E9">
        <w:rPr>
          <w:rFonts w:hint="eastAsia"/>
          <w:sz w:val="18"/>
          <w:szCs w:val="18"/>
        </w:rPr>
        <w:t>余成本</w:t>
      </w:r>
      <w:proofErr w:type="gramEnd"/>
      <w:r w:rsidRPr="004742E9">
        <w:rPr>
          <w:rFonts w:hint="eastAsia"/>
          <w:sz w:val="18"/>
          <w:szCs w:val="18"/>
        </w:rPr>
        <w:t>计量的金融负债，对此类金融负债采用实际利率法，按照摊</w:t>
      </w:r>
      <w:proofErr w:type="gramStart"/>
      <w:r w:rsidRPr="004742E9">
        <w:rPr>
          <w:rFonts w:hint="eastAsia"/>
          <w:sz w:val="18"/>
          <w:szCs w:val="18"/>
        </w:rPr>
        <w:t>余成本</w:t>
      </w:r>
      <w:proofErr w:type="gramEnd"/>
      <w:r w:rsidRPr="004742E9">
        <w:rPr>
          <w:rFonts w:hint="eastAsia"/>
          <w:sz w:val="18"/>
          <w:szCs w:val="18"/>
        </w:rPr>
        <w:t>进行后续计量，终止确认或摊销产生的利得或损失计入当期损益：</w:t>
      </w:r>
    </w:p>
    <w:p w:rsidR="005C49A8" w:rsidRDefault="005C49A8" w:rsidP="00C50357">
      <w:pPr>
        <w:widowControl/>
        <w:numPr>
          <w:ilvl w:val="0"/>
          <w:numId w:val="6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以公允价值计量且其变动计入当期损益的金融负债。</w:t>
      </w:r>
    </w:p>
    <w:p w:rsidR="005C49A8" w:rsidRDefault="005C49A8" w:rsidP="00C50357">
      <w:pPr>
        <w:widowControl/>
        <w:numPr>
          <w:ilvl w:val="0"/>
          <w:numId w:val="6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金融资产转移不符合终止确认条件或继续涉入被转移金融资产所形成的金融负债。</w:t>
      </w:r>
    </w:p>
    <w:p w:rsidR="005C49A8" w:rsidRDefault="005C49A8" w:rsidP="00C50357">
      <w:pPr>
        <w:widowControl/>
        <w:numPr>
          <w:ilvl w:val="0"/>
          <w:numId w:val="6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不属于本条前两类情形的财务担保合同，以及不属于本条第</w:t>
      </w:r>
      <w:r>
        <w:rPr>
          <w:rFonts w:ascii="Arial" w:hAnsi="Arial" w:cs="Arial"/>
          <w:sz w:val="18"/>
          <w:szCs w:val="18"/>
        </w:rPr>
        <w:t>1</w:t>
      </w:r>
      <w:r>
        <w:rPr>
          <w:rFonts w:hint="eastAsia"/>
          <w:sz w:val="18"/>
          <w:szCs w:val="18"/>
        </w:rPr>
        <w:t>）类情形的以低于市场利率贷款的贷款承诺。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rsidR="005C49A8" w:rsidRDefault="005C49A8" w:rsidP="00C50357">
      <w:pPr>
        <w:widowControl/>
        <w:numPr>
          <w:ilvl w:val="0"/>
          <w:numId w:val="63"/>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金融资产和金融负债的终止确认</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1</w:t>
      </w:r>
      <w:r w:rsidRPr="004742E9">
        <w:rPr>
          <w:rFonts w:hint="eastAsia"/>
          <w:sz w:val="18"/>
          <w:szCs w:val="18"/>
        </w:rPr>
        <w:t>）金融资产满足下列条件之一的，终止确认金融资产，即从其账户和资产负债表内予以转销：</w:t>
      </w:r>
    </w:p>
    <w:p w:rsidR="005C49A8" w:rsidRDefault="005C49A8" w:rsidP="00C50357">
      <w:pPr>
        <w:widowControl/>
        <w:numPr>
          <w:ilvl w:val="0"/>
          <w:numId w:val="64"/>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收取该金融资产现金流量的合同权利终止。</w:t>
      </w:r>
    </w:p>
    <w:p w:rsidR="005C49A8" w:rsidRDefault="005C49A8" w:rsidP="00C50357">
      <w:pPr>
        <w:widowControl/>
        <w:numPr>
          <w:ilvl w:val="0"/>
          <w:numId w:val="64"/>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该金融资产已转移，且</w:t>
      </w:r>
      <w:proofErr w:type="gramStart"/>
      <w:r>
        <w:rPr>
          <w:rFonts w:hint="eastAsia"/>
          <w:sz w:val="18"/>
          <w:szCs w:val="18"/>
        </w:rPr>
        <w:t>该转移</w:t>
      </w:r>
      <w:proofErr w:type="gramEnd"/>
      <w:r>
        <w:rPr>
          <w:rFonts w:hint="eastAsia"/>
          <w:sz w:val="18"/>
          <w:szCs w:val="18"/>
        </w:rPr>
        <w:t>满足金融资产终止确认的规定。</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2</w:t>
      </w:r>
      <w:r w:rsidRPr="004742E9">
        <w:rPr>
          <w:rFonts w:hint="eastAsia"/>
          <w:sz w:val="18"/>
          <w:szCs w:val="18"/>
        </w:rPr>
        <w:t>）金融负债终止确认条件</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金融负债（或其一部分）的现时义务已经解除的，则终止确认该金融负债（或该部分金融负债）。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计入当期损益。</w:t>
      </w:r>
    </w:p>
    <w:p w:rsidR="005C49A8" w:rsidRDefault="005C49A8" w:rsidP="00C50357">
      <w:pPr>
        <w:widowControl/>
        <w:numPr>
          <w:ilvl w:val="0"/>
          <w:numId w:val="65"/>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金融资产转移的确认依据和计量方法</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本公司在发生金融资产转移时，评估其保留金融资产所有权上的风险和报酬的程度，并分别下列情形处理：</w:t>
      </w:r>
    </w:p>
    <w:p w:rsidR="005C49A8" w:rsidRDefault="005C49A8" w:rsidP="00C50357">
      <w:pPr>
        <w:widowControl/>
        <w:numPr>
          <w:ilvl w:val="1"/>
          <w:numId w:val="66"/>
        </w:numPr>
        <w:tabs>
          <w:tab w:val="clear" w:pos="1440"/>
          <w:tab w:val="num" w:pos="1276"/>
        </w:tabs>
        <w:spacing w:before="100" w:beforeAutospacing="1" w:after="100" w:afterAutospacing="1"/>
        <w:ind w:left="426"/>
        <w:divId w:val="1174419743"/>
        <w:rPr>
          <w:sz w:val="18"/>
          <w:szCs w:val="18"/>
        </w:rPr>
      </w:pPr>
      <w:r>
        <w:rPr>
          <w:rFonts w:hint="eastAsia"/>
          <w:sz w:val="18"/>
          <w:szCs w:val="18"/>
        </w:rPr>
        <w:t>转移了金融资产所有权上几乎所有风险和报酬的，则终止确认该金融资产，并将转移中产生或保留的权利和义务单独确认为资产或负债。</w:t>
      </w:r>
    </w:p>
    <w:p w:rsidR="005C49A8" w:rsidRDefault="005C49A8" w:rsidP="00C50357">
      <w:pPr>
        <w:widowControl/>
        <w:numPr>
          <w:ilvl w:val="1"/>
          <w:numId w:val="66"/>
        </w:numPr>
        <w:tabs>
          <w:tab w:val="clear" w:pos="1440"/>
          <w:tab w:val="num" w:pos="1276"/>
        </w:tabs>
        <w:spacing w:before="100" w:beforeAutospacing="1" w:after="100" w:afterAutospacing="1"/>
        <w:ind w:left="426"/>
        <w:divId w:val="1174419743"/>
        <w:rPr>
          <w:sz w:val="18"/>
          <w:szCs w:val="18"/>
        </w:rPr>
      </w:pPr>
      <w:r>
        <w:rPr>
          <w:rFonts w:hint="eastAsia"/>
          <w:sz w:val="18"/>
          <w:szCs w:val="18"/>
        </w:rPr>
        <w:t>保留了金融资产所有权上几乎所有风险和报酬的，则继续确认该金融资产。</w:t>
      </w:r>
    </w:p>
    <w:p w:rsidR="005C49A8" w:rsidRDefault="005C49A8" w:rsidP="00C50357">
      <w:pPr>
        <w:widowControl/>
        <w:numPr>
          <w:ilvl w:val="1"/>
          <w:numId w:val="66"/>
        </w:numPr>
        <w:tabs>
          <w:tab w:val="clear" w:pos="1440"/>
          <w:tab w:val="num" w:pos="1276"/>
        </w:tabs>
        <w:spacing w:before="100" w:beforeAutospacing="1" w:after="100" w:afterAutospacing="1"/>
        <w:ind w:left="426"/>
        <w:divId w:val="1174419743"/>
        <w:rPr>
          <w:sz w:val="18"/>
          <w:szCs w:val="18"/>
        </w:rPr>
      </w:pPr>
      <w:r>
        <w:rPr>
          <w:rFonts w:hint="eastAsia"/>
          <w:sz w:val="18"/>
          <w:szCs w:val="18"/>
        </w:rPr>
        <w:t>既没有转移也没有保留金融资产所有权上几乎所有风险和报酬的（即除本条（</w:t>
      </w:r>
      <w:r>
        <w:rPr>
          <w:rFonts w:ascii="Arial" w:hAnsi="Arial" w:cs="Arial"/>
          <w:sz w:val="18"/>
          <w:szCs w:val="18"/>
        </w:rPr>
        <w:t>1</w:t>
      </w:r>
      <w:r>
        <w:rPr>
          <w:rFonts w:hint="eastAsia"/>
          <w:sz w:val="18"/>
          <w:szCs w:val="18"/>
        </w:rPr>
        <w:t>）、（</w:t>
      </w:r>
      <w:r>
        <w:rPr>
          <w:rFonts w:ascii="Arial" w:hAnsi="Arial" w:cs="Arial"/>
          <w:sz w:val="18"/>
          <w:szCs w:val="18"/>
        </w:rPr>
        <w:t>2</w:t>
      </w:r>
      <w:r>
        <w:rPr>
          <w:rFonts w:hint="eastAsia"/>
          <w:sz w:val="18"/>
          <w:szCs w:val="18"/>
        </w:rPr>
        <w:t>）之外的其他情形），则根据其是否保留了对金融资产的控制，分别下列情形处理：</w:t>
      </w:r>
    </w:p>
    <w:p w:rsidR="005C49A8" w:rsidRDefault="005C49A8" w:rsidP="00C50357">
      <w:pPr>
        <w:widowControl/>
        <w:numPr>
          <w:ilvl w:val="0"/>
          <w:numId w:val="6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未保留对该金融资产控制的，则终止确认该金融资产，并将转移中产生或保留的权利和义务单独确认为资产或负债。</w:t>
      </w:r>
    </w:p>
    <w:p w:rsidR="005C49A8" w:rsidRDefault="005C49A8" w:rsidP="00C50357">
      <w:pPr>
        <w:widowControl/>
        <w:numPr>
          <w:ilvl w:val="0"/>
          <w:numId w:val="67"/>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在判断金融资产转移是否满足上述金融资产终止确认条件时，采用实质重于形式的原则。公司将金融资产转移区分为金融资产整体转移和部分转移。</w:t>
      </w:r>
    </w:p>
    <w:p w:rsidR="005C49A8" w:rsidRDefault="005C49A8" w:rsidP="00C50357">
      <w:pPr>
        <w:widowControl/>
        <w:numPr>
          <w:ilvl w:val="0"/>
          <w:numId w:val="68"/>
        </w:numPr>
        <w:spacing w:before="100" w:beforeAutospacing="1" w:after="100" w:afterAutospacing="1"/>
        <w:divId w:val="1174419743"/>
        <w:rPr>
          <w:sz w:val="18"/>
          <w:szCs w:val="18"/>
        </w:rPr>
      </w:pPr>
      <w:r>
        <w:rPr>
          <w:rFonts w:hint="eastAsia"/>
          <w:sz w:val="18"/>
          <w:szCs w:val="18"/>
        </w:rPr>
        <w:lastRenderedPageBreak/>
        <w:t>金融资产整体转移满足终止确认条件的，将下列两项金额的差额计入当期损益：</w:t>
      </w:r>
    </w:p>
    <w:p w:rsidR="005C49A8" w:rsidRDefault="005C49A8" w:rsidP="00C50357">
      <w:pPr>
        <w:widowControl/>
        <w:numPr>
          <w:ilvl w:val="0"/>
          <w:numId w:val="69"/>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被转移金融资产在终止确认日的账面价值。</w:t>
      </w:r>
    </w:p>
    <w:p w:rsidR="005C49A8" w:rsidRDefault="005C49A8" w:rsidP="00C50357">
      <w:pPr>
        <w:widowControl/>
        <w:numPr>
          <w:ilvl w:val="0"/>
          <w:numId w:val="69"/>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因转移金融资产而收到的对价，与</w:t>
      </w:r>
      <w:proofErr w:type="gramStart"/>
      <w:r>
        <w:rPr>
          <w:rFonts w:hint="eastAsia"/>
          <w:sz w:val="18"/>
          <w:szCs w:val="18"/>
        </w:rPr>
        <w:t>原直接</w:t>
      </w:r>
      <w:proofErr w:type="gramEnd"/>
      <w:r>
        <w:rPr>
          <w:rFonts w:hint="eastAsia"/>
          <w:sz w:val="18"/>
          <w:szCs w:val="18"/>
        </w:rPr>
        <w:t>计入其他综合收益的公允价值变动累计额中对应终止确认部分的金额（涉及转移的金融资产为以公允价值计量且其变动计入其他综合收益的金融资产）之</w:t>
      </w:r>
      <w:proofErr w:type="gramStart"/>
      <w:r>
        <w:rPr>
          <w:rFonts w:hint="eastAsia"/>
          <w:sz w:val="18"/>
          <w:szCs w:val="18"/>
        </w:rPr>
        <w:t>和</w:t>
      </w:r>
      <w:proofErr w:type="gramEnd"/>
      <w:r>
        <w:rPr>
          <w:rFonts w:hint="eastAsia"/>
          <w:sz w:val="18"/>
          <w:szCs w:val="18"/>
        </w:rPr>
        <w:t>。</w:t>
      </w:r>
    </w:p>
    <w:p w:rsidR="005C49A8" w:rsidRDefault="005C49A8" w:rsidP="00C50357">
      <w:pPr>
        <w:widowControl/>
        <w:numPr>
          <w:ilvl w:val="0"/>
          <w:numId w:val="70"/>
        </w:numPr>
        <w:spacing w:before="100" w:beforeAutospacing="1" w:after="100" w:afterAutospacing="1"/>
        <w:divId w:val="1174419743"/>
        <w:rPr>
          <w:sz w:val="18"/>
          <w:szCs w:val="18"/>
        </w:rPr>
      </w:pPr>
      <w:r>
        <w:rPr>
          <w:rFonts w:hint="eastAsia"/>
          <w:sz w:val="18"/>
          <w:szCs w:val="18"/>
        </w:rPr>
        <w:t>金融资产部分转移且该被转移部分整体满足终止确认条件的，将转移前金融资产整体的账面价值，在终止确认部分和继续确认部分（在此种情形下，所保留的服务资产应当视同继续确认金融资产的一部分）之间，按照</w:t>
      </w:r>
      <w:proofErr w:type="gramStart"/>
      <w:r>
        <w:rPr>
          <w:rFonts w:hint="eastAsia"/>
          <w:sz w:val="18"/>
          <w:szCs w:val="18"/>
        </w:rPr>
        <w:t>转移日</w:t>
      </w:r>
      <w:proofErr w:type="gramEnd"/>
      <w:r>
        <w:rPr>
          <w:rFonts w:hint="eastAsia"/>
          <w:sz w:val="18"/>
          <w:szCs w:val="18"/>
        </w:rPr>
        <w:t>各自的相对公允价值进行分摊，并将下列两项金额的差额计入当期损益：</w:t>
      </w:r>
    </w:p>
    <w:p w:rsidR="005C49A8" w:rsidRDefault="005C49A8" w:rsidP="00C50357">
      <w:pPr>
        <w:widowControl/>
        <w:numPr>
          <w:ilvl w:val="0"/>
          <w:numId w:val="71"/>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终止确认部分在终止确认日的账面价值。</w:t>
      </w:r>
    </w:p>
    <w:p w:rsidR="005C49A8" w:rsidRDefault="005C49A8" w:rsidP="00C50357">
      <w:pPr>
        <w:widowControl/>
        <w:numPr>
          <w:ilvl w:val="0"/>
          <w:numId w:val="71"/>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终止确认部分收到的对价，与原计入其他综合收益的公允价值变动累计额中对应终止确认部分的金额（涉及转移的金融资产为以公允价值计量且其变动计入其他综合收益的金融资产）之</w:t>
      </w:r>
      <w:proofErr w:type="gramStart"/>
      <w:r>
        <w:rPr>
          <w:rFonts w:hint="eastAsia"/>
          <w:sz w:val="18"/>
          <w:szCs w:val="18"/>
        </w:rPr>
        <w:t>和</w:t>
      </w:r>
      <w:proofErr w:type="gramEnd"/>
      <w:r>
        <w:rPr>
          <w:rFonts w:hint="eastAsia"/>
          <w:sz w:val="18"/>
          <w:szCs w:val="18"/>
        </w:rPr>
        <w:t>。</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金融资产转移不满足终止确认条件的，继续确认该金融资产，所收到的对价确认为一项金融负债。</w:t>
      </w:r>
    </w:p>
    <w:p w:rsidR="005C49A8" w:rsidRDefault="005C49A8" w:rsidP="00C50357">
      <w:pPr>
        <w:widowControl/>
        <w:numPr>
          <w:ilvl w:val="0"/>
          <w:numId w:val="72"/>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金融资产和金融负债公允价值的确定方法</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初始取得或衍生的金融资产或承担的金融负债，以市场交易价格作为确定其公允价值的基础。</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5C49A8" w:rsidRDefault="005C49A8" w:rsidP="00C50357">
      <w:pPr>
        <w:widowControl/>
        <w:numPr>
          <w:ilvl w:val="0"/>
          <w:numId w:val="73"/>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本公司对以摊</w:t>
      </w:r>
      <w:proofErr w:type="gramStart"/>
      <w:r w:rsidRPr="004742E9">
        <w:rPr>
          <w:rFonts w:hint="eastAsia"/>
          <w:sz w:val="18"/>
          <w:szCs w:val="18"/>
        </w:rPr>
        <w:t>余成本</w:t>
      </w:r>
      <w:proofErr w:type="gramEnd"/>
      <w:r w:rsidRPr="004742E9">
        <w:rPr>
          <w:rFonts w:hint="eastAsia"/>
          <w:sz w:val="18"/>
          <w:szCs w:val="18"/>
        </w:rPr>
        <w:t>计量的金融资产以预期信用损失为基础进行减值会计处理并确认损失准备。</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预期信用损失，是指以发生违约的风险为权重的金融工具信用损失的加权平均值。信用损失，是指本公司按照</w:t>
      </w:r>
      <w:proofErr w:type="gramStart"/>
      <w:r w:rsidRPr="004742E9">
        <w:rPr>
          <w:rFonts w:hint="eastAsia"/>
          <w:sz w:val="18"/>
          <w:szCs w:val="18"/>
        </w:rPr>
        <w:t>原实际</w:t>
      </w:r>
      <w:proofErr w:type="gramEnd"/>
      <w:r w:rsidRPr="004742E9">
        <w:rPr>
          <w:rFonts w:hint="eastAsia"/>
          <w:sz w:val="18"/>
          <w:szCs w:val="18"/>
        </w:rPr>
        <w:t>利率折现的、根据合同应收的所有合同现金流量与预期收取的所有现金流量之间的差额，即全部现金短缺的现值。其中，对于本公司</w:t>
      </w:r>
      <w:proofErr w:type="gramStart"/>
      <w:r w:rsidRPr="004742E9">
        <w:rPr>
          <w:rFonts w:hint="eastAsia"/>
          <w:sz w:val="18"/>
          <w:szCs w:val="18"/>
        </w:rPr>
        <w:t>购买或源生</w:t>
      </w:r>
      <w:proofErr w:type="gramEnd"/>
      <w:r w:rsidRPr="004742E9">
        <w:rPr>
          <w:rFonts w:hint="eastAsia"/>
          <w:sz w:val="18"/>
          <w:szCs w:val="18"/>
        </w:rPr>
        <w:t>的已发生信用减值的金融资产，应按照该金融资产经信用调整的实际利率折现。</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对于</w:t>
      </w:r>
      <w:proofErr w:type="gramStart"/>
      <w:r w:rsidRPr="004742E9">
        <w:rPr>
          <w:rFonts w:hint="eastAsia"/>
          <w:sz w:val="18"/>
          <w:szCs w:val="18"/>
        </w:rPr>
        <w:t>购买或源生</w:t>
      </w:r>
      <w:proofErr w:type="gramEnd"/>
      <w:r w:rsidRPr="004742E9">
        <w:rPr>
          <w:rFonts w:hint="eastAsia"/>
          <w:sz w:val="18"/>
          <w:szCs w:val="18"/>
        </w:rPr>
        <w:t>的已发生信用减值的金融资产，在资产负债表日仅将自初始确认后整个存续期内预期信用损失的累计变动确认为损失准备。在每个资产负债表日，将整个存续期内预期信用损失的变动金</w:t>
      </w:r>
      <w:r>
        <w:rPr>
          <w:rFonts w:hint="eastAsia"/>
          <w:sz w:val="21"/>
          <w:szCs w:val="21"/>
        </w:rPr>
        <w:t>额作为减值损失或利得计入</w:t>
      </w:r>
      <w:r w:rsidRPr="004742E9">
        <w:rPr>
          <w:rFonts w:hint="eastAsia"/>
          <w:sz w:val="18"/>
          <w:szCs w:val="18"/>
        </w:rPr>
        <w:lastRenderedPageBreak/>
        <w:t>当期损益。即使该资产负债表日确定的整个存续期内预期信用损失小于初始确认时估计现金流量所反映的预期信用损失的金额，也将预期信用损失的有利变动确认为减值利得。</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除上述采用简化计量方法和</w:t>
      </w:r>
      <w:proofErr w:type="gramStart"/>
      <w:r w:rsidRPr="004742E9">
        <w:rPr>
          <w:rFonts w:hint="eastAsia"/>
          <w:sz w:val="18"/>
          <w:szCs w:val="18"/>
        </w:rPr>
        <w:t>购买或源生</w:t>
      </w:r>
      <w:proofErr w:type="gramEnd"/>
      <w:r w:rsidRPr="004742E9">
        <w:rPr>
          <w:rFonts w:hint="eastAsia"/>
          <w:sz w:val="18"/>
          <w:szCs w:val="18"/>
        </w:rPr>
        <w:t>的已发生信用减值以外的其他金融资产，本公司在每个资产负债表日评估相关金融工具的信用风险自初始确认后是否已显著增加，并按照下列情形分别计量其损失准备、确认预期信用损失及其变动：</w:t>
      </w:r>
    </w:p>
    <w:p w:rsidR="005C49A8" w:rsidRDefault="005C49A8" w:rsidP="00C50357">
      <w:pPr>
        <w:widowControl/>
        <w:numPr>
          <w:ilvl w:val="1"/>
          <w:numId w:val="74"/>
        </w:numPr>
        <w:tabs>
          <w:tab w:val="clear" w:pos="1440"/>
          <w:tab w:val="num" w:pos="1276"/>
        </w:tabs>
        <w:spacing w:before="100" w:beforeAutospacing="1" w:after="100" w:afterAutospacing="1"/>
        <w:ind w:left="426"/>
        <w:divId w:val="1174419743"/>
        <w:rPr>
          <w:sz w:val="18"/>
          <w:szCs w:val="18"/>
        </w:rPr>
      </w:pPr>
      <w:r>
        <w:rPr>
          <w:rFonts w:hint="eastAsia"/>
          <w:sz w:val="18"/>
          <w:szCs w:val="18"/>
        </w:rPr>
        <w:t>如果该金融工具的信用风险自初始确认后并未显著增加，处于第一阶段，则按照相当于该金融工具未来</w:t>
      </w:r>
      <w:r>
        <w:rPr>
          <w:rFonts w:ascii="Arial" w:hAnsi="Arial" w:cs="Arial"/>
          <w:sz w:val="18"/>
          <w:szCs w:val="18"/>
        </w:rPr>
        <w:t>12</w:t>
      </w:r>
      <w:r>
        <w:rPr>
          <w:rFonts w:hint="eastAsia"/>
          <w:sz w:val="18"/>
          <w:szCs w:val="18"/>
        </w:rPr>
        <w:t>个月内预期信用损失的金额计量其损失准备，并按照账面余额和实际利率计算利息收入。</w:t>
      </w:r>
    </w:p>
    <w:p w:rsidR="005C49A8" w:rsidRDefault="005C49A8" w:rsidP="00C50357">
      <w:pPr>
        <w:widowControl/>
        <w:numPr>
          <w:ilvl w:val="1"/>
          <w:numId w:val="74"/>
        </w:numPr>
        <w:tabs>
          <w:tab w:val="clear" w:pos="1440"/>
          <w:tab w:val="num" w:pos="1276"/>
        </w:tabs>
        <w:spacing w:before="100" w:beforeAutospacing="1" w:after="100" w:afterAutospacing="1"/>
        <w:ind w:left="426"/>
        <w:divId w:val="1174419743"/>
        <w:rPr>
          <w:sz w:val="18"/>
          <w:szCs w:val="18"/>
        </w:rPr>
      </w:pPr>
      <w:r>
        <w:rPr>
          <w:rFonts w:hint="eastAsia"/>
          <w:sz w:val="18"/>
          <w:szCs w:val="18"/>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rsidR="005C49A8" w:rsidRDefault="005C49A8" w:rsidP="00C50357">
      <w:pPr>
        <w:widowControl/>
        <w:numPr>
          <w:ilvl w:val="1"/>
          <w:numId w:val="74"/>
        </w:numPr>
        <w:tabs>
          <w:tab w:val="clear" w:pos="1440"/>
          <w:tab w:val="num" w:pos="1276"/>
        </w:tabs>
        <w:spacing w:before="100" w:beforeAutospacing="1" w:after="100" w:afterAutospacing="1"/>
        <w:ind w:left="426"/>
        <w:divId w:val="1174419743"/>
        <w:rPr>
          <w:sz w:val="18"/>
          <w:szCs w:val="18"/>
        </w:rPr>
      </w:pPr>
      <w:r>
        <w:rPr>
          <w:rFonts w:hint="eastAsia"/>
          <w:sz w:val="18"/>
          <w:szCs w:val="18"/>
        </w:rPr>
        <w:t>如果该金融工具自初始确认后已经发生信用减值的，处于第三阶段，本公司按照相当于该金融工具整个存续期内预期信用损失的金额计量其损失准备，并按照摊</w:t>
      </w:r>
      <w:proofErr w:type="gramStart"/>
      <w:r>
        <w:rPr>
          <w:rFonts w:hint="eastAsia"/>
          <w:sz w:val="18"/>
          <w:szCs w:val="18"/>
        </w:rPr>
        <w:t>余成本</w:t>
      </w:r>
      <w:proofErr w:type="gramEnd"/>
      <w:r>
        <w:rPr>
          <w:rFonts w:hint="eastAsia"/>
          <w:sz w:val="18"/>
          <w:szCs w:val="18"/>
        </w:rPr>
        <w:t>和实际利率计算利息收入。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w:t>
      </w:r>
      <w:proofErr w:type="gramStart"/>
      <w:r w:rsidRPr="004742E9">
        <w:rPr>
          <w:rFonts w:hint="eastAsia"/>
          <w:sz w:val="18"/>
          <w:szCs w:val="18"/>
        </w:rPr>
        <w:t>日按照</w:t>
      </w:r>
      <w:proofErr w:type="gramEnd"/>
      <w:r w:rsidRPr="004742E9">
        <w:rPr>
          <w:rFonts w:hint="eastAsia"/>
          <w:sz w:val="18"/>
          <w:szCs w:val="18"/>
        </w:rPr>
        <w:t>相当于未来</w:t>
      </w:r>
      <w:r w:rsidRPr="004742E9">
        <w:rPr>
          <w:sz w:val="18"/>
          <w:szCs w:val="18"/>
        </w:rPr>
        <w:t>12</w:t>
      </w:r>
      <w:r w:rsidRPr="004742E9">
        <w:rPr>
          <w:rFonts w:hint="eastAsia"/>
          <w:sz w:val="18"/>
          <w:szCs w:val="18"/>
        </w:rPr>
        <w:t>个月内预期信用损失的金额计量该金融工具的损失准备，由此形成的损失准备的转回金额作为减值利得计入当期损益。</w:t>
      </w:r>
    </w:p>
    <w:p w:rsidR="005C49A8" w:rsidRDefault="005C49A8" w:rsidP="00C50357">
      <w:pPr>
        <w:widowControl/>
        <w:numPr>
          <w:ilvl w:val="0"/>
          <w:numId w:val="75"/>
        </w:numPr>
        <w:spacing w:before="100" w:beforeAutospacing="1" w:after="100" w:afterAutospacing="1"/>
        <w:divId w:val="1174419743"/>
        <w:rPr>
          <w:sz w:val="18"/>
          <w:szCs w:val="18"/>
        </w:rPr>
      </w:pPr>
      <w:r>
        <w:rPr>
          <w:rFonts w:hint="eastAsia"/>
          <w:sz w:val="18"/>
          <w:szCs w:val="18"/>
        </w:rPr>
        <w:t>信用风险显著增加</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本公司在评估信用风险是否显著增加时会考虑如下因素：</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债务人经营成果实际或预期是否发生显著变化；</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债务人所处的监管、经济或技术环境是否发生显著不利变化；</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作为债务抵押的担保物价值或第三方提供的担保或信用增级质量是否发生显著变化，这些变化预期将降低债务人按合同规定期限还款的经济动机或者影响违约概率；</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债务人预期表现和还款行为是否发生显著变化；</w:t>
      </w:r>
    </w:p>
    <w:p w:rsidR="005C49A8" w:rsidRDefault="005C49A8" w:rsidP="00C50357">
      <w:pPr>
        <w:widowControl/>
        <w:numPr>
          <w:ilvl w:val="0"/>
          <w:numId w:val="76"/>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本公司对金融工具信用管理方法是否发生变化等。</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rsidR="005C49A8" w:rsidRDefault="005C49A8" w:rsidP="00C50357">
      <w:pPr>
        <w:widowControl/>
        <w:numPr>
          <w:ilvl w:val="0"/>
          <w:numId w:val="77"/>
        </w:numPr>
        <w:spacing w:before="100" w:beforeAutospacing="1" w:after="100" w:afterAutospacing="1"/>
        <w:divId w:val="1174419743"/>
        <w:rPr>
          <w:sz w:val="18"/>
          <w:szCs w:val="18"/>
        </w:rPr>
      </w:pPr>
      <w:r>
        <w:rPr>
          <w:rFonts w:hint="eastAsia"/>
          <w:sz w:val="18"/>
          <w:szCs w:val="18"/>
        </w:rPr>
        <w:t>已发生信用减值的金融资产</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当对金融资产预期未来现金流量具有不利影响的一项或多项事件发生时，该金融资产成为已发生信用减值的金融资产。金融资产已发生信用减值的证据包括下列可观察信息：</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发行方或债务人发生重大财务困难；</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债务人违反合同，如偿付利息或本金违约或逾期等；</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债权人出于与债务人财务困难有关的经济或合同考虑，给予债务人在任何其他情况下都不会做出的让步；</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债务人很可能破产或进行其他财务重组；</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发行方或债务人财务困难导致该金融资产的活跃市场消失；</w:t>
      </w:r>
    </w:p>
    <w:p w:rsidR="005C49A8" w:rsidRDefault="005C49A8" w:rsidP="00C50357">
      <w:pPr>
        <w:widowControl/>
        <w:numPr>
          <w:ilvl w:val="1"/>
          <w:numId w:val="78"/>
        </w:numPr>
        <w:tabs>
          <w:tab w:val="clear" w:pos="1440"/>
          <w:tab w:val="num" w:pos="1276"/>
        </w:tabs>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以大幅折扣</w:t>
      </w:r>
      <w:proofErr w:type="gramStart"/>
      <w:r>
        <w:rPr>
          <w:rFonts w:hint="eastAsia"/>
          <w:sz w:val="18"/>
          <w:szCs w:val="18"/>
        </w:rPr>
        <w:t>购买或源生</w:t>
      </w:r>
      <w:proofErr w:type="gramEnd"/>
      <w:r>
        <w:rPr>
          <w:rFonts w:hint="eastAsia"/>
          <w:sz w:val="18"/>
          <w:szCs w:val="18"/>
        </w:rPr>
        <w:t>一项金融资产，该折扣反映了发生信用损失的事实。</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金融资产发生信用减值，有可能是多个事件的共同作用所致，未必是可单独识别的事件所致。</w:t>
      </w:r>
    </w:p>
    <w:p w:rsidR="005C49A8" w:rsidRDefault="005C49A8" w:rsidP="00C50357">
      <w:pPr>
        <w:widowControl/>
        <w:numPr>
          <w:ilvl w:val="0"/>
          <w:numId w:val="79"/>
        </w:numPr>
        <w:spacing w:before="100" w:beforeAutospacing="1" w:after="100" w:afterAutospacing="1"/>
        <w:divId w:val="1174419743"/>
        <w:rPr>
          <w:sz w:val="18"/>
          <w:szCs w:val="18"/>
        </w:rPr>
      </w:pPr>
      <w:r>
        <w:rPr>
          <w:rFonts w:hint="eastAsia"/>
          <w:sz w:val="18"/>
          <w:szCs w:val="18"/>
        </w:rPr>
        <w:t>预期信用损失的确定</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本公司基于单项和组合评估金融工具的预期信用损失，在评估预期信用损失时，考虑有关过去事项、当前状况以及未来经济状况预测的合理且有依据的信息。</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本公司以共同信用风险特征为依据，将金融工具分为不同组合。本公司采用的共同信用风险特征包括：金融工具类型、信用风险评级、账龄组合、逾期</w:t>
      </w:r>
      <w:proofErr w:type="gramStart"/>
      <w:r w:rsidRPr="004742E9">
        <w:rPr>
          <w:rFonts w:hint="eastAsia"/>
          <w:sz w:val="18"/>
          <w:szCs w:val="18"/>
        </w:rPr>
        <w:t>账</w:t>
      </w:r>
      <w:proofErr w:type="gramEnd"/>
      <w:r w:rsidRPr="004742E9">
        <w:rPr>
          <w:rFonts w:hint="eastAsia"/>
          <w:sz w:val="18"/>
          <w:szCs w:val="18"/>
        </w:rPr>
        <w:t>龄组合、合同结算周期、债务人所处行业等。相关金融工具的单项评估标准和组合信用风险特征详见相关金融工具的会计政策。</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本公司按照下列方法确定相关金融工具的预期信用损失：</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1</w:t>
      </w:r>
      <w:r w:rsidRPr="004742E9">
        <w:rPr>
          <w:rFonts w:hint="eastAsia"/>
          <w:sz w:val="18"/>
          <w:szCs w:val="18"/>
        </w:rPr>
        <w:t>）对于金融资产，信用损失为本公司应收取的合同现金流量与预期收取的现金流量之间差额的现值。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2</w:t>
      </w:r>
      <w:r w:rsidRPr="004742E9">
        <w:rPr>
          <w:rFonts w:hint="eastAsia"/>
          <w:sz w:val="18"/>
          <w:szCs w:val="18"/>
        </w:rPr>
        <w:t>）对于租赁应收款项，信用损失为本公司应收取的合同现金流量与预期收取的现金流量之间差额的现值。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3</w:t>
      </w:r>
      <w:r w:rsidRPr="004742E9">
        <w:rPr>
          <w:rFonts w:hint="eastAsia"/>
          <w:sz w:val="18"/>
          <w:szCs w:val="18"/>
        </w:rPr>
        <w:t>）对于财务担保合同，信用损失为本公司就该合同持有人发生的信用损失向其做出赔付的预计付款额，减去本公司预期向该合同持有人、债务人或任何其他方收取的金额之间差额的现值。</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sz w:val="18"/>
          <w:szCs w:val="18"/>
        </w:rPr>
        <w:t>4</w:t>
      </w:r>
      <w:r w:rsidRPr="004742E9">
        <w:rPr>
          <w:rFonts w:hint="eastAsia"/>
          <w:sz w:val="18"/>
          <w:szCs w:val="18"/>
        </w:rPr>
        <w:t>）对于资产负债表日已发生信用减值但并非</w:t>
      </w:r>
      <w:proofErr w:type="gramStart"/>
      <w:r w:rsidRPr="004742E9">
        <w:rPr>
          <w:rFonts w:hint="eastAsia"/>
          <w:sz w:val="18"/>
          <w:szCs w:val="18"/>
        </w:rPr>
        <w:t>购买或源生</w:t>
      </w:r>
      <w:proofErr w:type="gramEnd"/>
      <w:r w:rsidRPr="004742E9">
        <w:rPr>
          <w:rFonts w:hint="eastAsia"/>
          <w:sz w:val="18"/>
          <w:szCs w:val="18"/>
        </w:rPr>
        <w:t>已发生信用减值的金融资产，信用损失为该金融资产账面余额与按</w:t>
      </w:r>
      <w:proofErr w:type="gramStart"/>
      <w:r w:rsidRPr="004742E9">
        <w:rPr>
          <w:rFonts w:hint="eastAsia"/>
          <w:sz w:val="18"/>
          <w:szCs w:val="18"/>
        </w:rPr>
        <w:t>原实际</w:t>
      </w:r>
      <w:proofErr w:type="gramEnd"/>
      <w:r w:rsidRPr="004742E9">
        <w:rPr>
          <w:rFonts w:hint="eastAsia"/>
          <w:sz w:val="18"/>
          <w:szCs w:val="18"/>
        </w:rPr>
        <w:t>利率折现的估计未来现金流量的现值之间的差额。</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lastRenderedPageBreak/>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rsidR="005C49A8" w:rsidRDefault="005C49A8" w:rsidP="00C50357">
      <w:pPr>
        <w:widowControl/>
        <w:numPr>
          <w:ilvl w:val="0"/>
          <w:numId w:val="80"/>
        </w:numPr>
        <w:spacing w:before="100" w:beforeAutospacing="1" w:after="100" w:afterAutospacing="1"/>
        <w:divId w:val="1174419743"/>
        <w:rPr>
          <w:sz w:val="18"/>
          <w:szCs w:val="18"/>
        </w:rPr>
      </w:pPr>
      <w:proofErr w:type="gramStart"/>
      <w:r>
        <w:rPr>
          <w:rFonts w:hint="eastAsia"/>
          <w:sz w:val="18"/>
          <w:szCs w:val="18"/>
        </w:rPr>
        <w:t>减记金融资产</w:t>
      </w:r>
      <w:proofErr w:type="gramEnd"/>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当本公司不再合理预期金融资产合同现金流量能够全部或部分收回的，直接</w:t>
      </w:r>
      <w:proofErr w:type="gramStart"/>
      <w:r w:rsidRPr="004742E9">
        <w:rPr>
          <w:rFonts w:hint="eastAsia"/>
          <w:sz w:val="18"/>
          <w:szCs w:val="18"/>
        </w:rPr>
        <w:t>减记该</w:t>
      </w:r>
      <w:proofErr w:type="gramEnd"/>
      <w:r w:rsidRPr="004742E9">
        <w:rPr>
          <w:rFonts w:hint="eastAsia"/>
          <w:sz w:val="18"/>
          <w:szCs w:val="18"/>
        </w:rPr>
        <w:t>金融资产的账面余额。这种</w:t>
      </w:r>
      <w:proofErr w:type="gramStart"/>
      <w:r w:rsidRPr="004742E9">
        <w:rPr>
          <w:rFonts w:hint="eastAsia"/>
          <w:sz w:val="18"/>
          <w:szCs w:val="18"/>
        </w:rPr>
        <w:t>减记构成</w:t>
      </w:r>
      <w:proofErr w:type="gramEnd"/>
      <w:r w:rsidRPr="004742E9">
        <w:rPr>
          <w:rFonts w:hint="eastAsia"/>
          <w:sz w:val="18"/>
          <w:szCs w:val="18"/>
        </w:rPr>
        <w:t>相关金融资产的终止确认。</w:t>
      </w:r>
    </w:p>
    <w:p w:rsidR="005C49A8" w:rsidRDefault="005C49A8" w:rsidP="00C50357">
      <w:pPr>
        <w:widowControl/>
        <w:numPr>
          <w:ilvl w:val="0"/>
          <w:numId w:val="81"/>
        </w:numPr>
        <w:spacing w:before="100" w:beforeAutospacing="1" w:after="100" w:afterAutospacing="1"/>
        <w:divId w:val="1174419743"/>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金融资产及金融负债的</w:t>
      </w:r>
      <w:proofErr w:type="gramStart"/>
      <w:r>
        <w:rPr>
          <w:rFonts w:hint="eastAsia"/>
          <w:sz w:val="18"/>
          <w:szCs w:val="18"/>
        </w:rPr>
        <w:t>抵销</w:t>
      </w:r>
      <w:proofErr w:type="gramEnd"/>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金融资产和金融负债在资产负债表内分别列示，没有相互</w:t>
      </w:r>
      <w:proofErr w:type="gramStart"/>
      <w:r w:rsidRPr="004742E9">
        <w:rPr>
          <w:rFonts w:hint="eastAsia"/>
          <w:sz w:val="18"/>
          <w:szCs w:val="18"/>
        </w:rPr>
        <w:t>抵销</w:t>
      </w:r>
      <w:proofErr w:type="gramEnd"/>
      <w:r w:rsidRPr="004742E9">
        <w:rPr>
          <w:rFonts w:hint="eastAsia"/>
          <w:sz w:val="18"/>
          <w:szCs w:val="18"/>
        </w:rPr>
        <w:t>。但是，同时满足下列条件的，以相互</w:t>
      </w:r>
      <w:proofErr w:type="gramStart"/>
      <w:r w:rsidRPr="004742E9">
        <w:rPr>
          <w:rFonts w:hint="eastAsia"/>
          <w:sz w:val="18"/>
          <w:szCs w:val="18"/>
        </w:rPr>
        <w:t>抵销</w:t>
      </w:r>
      <w:proofErr w:type="gramEnd"/>
      <w:r w:rsidRPr="004742E9">
        <w:rPr>
          <w:rFonts w:hint="eastAsia"/>
          <w:sz w:val="18"/>
          <w:szCs w:val="18"/>
        </w:rPr>
        <w:t>后的净额在资产负债表内列示：</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1</w:t>
      </w:r>
      <w:r w:rsidRPr="004742E9">
        <w:rPr>
          <w:rFonts w:hint="eastAsia"/>
          <w:sz w:val="18"/>
          <w:szCs w:val="18"/>
        </w:rPr>
        <w:t>）本公司具有</w:t>
      </w:r>
      <w:proofErr w:type="gramStart"/>
      <w:r w:rsidRPr="004742E9">
        <w:rPr>
          <w:rFonts w:hint="eastAsia"/>
          <w:sz w:val="18"/>
          <w:szCs w:val="18"/>
        </w:rPr>
        <w:t>抵销</w:t>
      </w:r>
      <w:proofErr w:type="gramEnd"/>
      <w:r w:rsidRPr="004742E9">
        <w:rPr>
          <w:rFonts w:hint="eastAsia"/>
          <w:sz w:val="18"/>
          <w:szCs w:val="18"/>
        </w:rPr>
        <w:t>已确认金额的法定权利，且该种法定权利是当前可执行的；</w:t>
      </w:r>
    </w:p>
    <w:p w:rsidR="005C49A8" w:rsidRPr="004742E9" w:rsidRDefault="005C49A8">
      <w:pPr>
        <w:pStyle w:val="a3"/>
        <w:spacing w:before="0" w:beforeAutospacing="0" w:after="0" w:afterAutospacing="0" w:line="360" w:lineRule="auto"/>
        <w:ind w:firstLine="420"/>
        <w:jc w:val="both"/>
        <w:divId w:val="1174419743"/>
        <w:rPr>
          <w:sz w:val="18"/>
          <w:szCs w:val="18"/>
        </w:rPr>
      </w:pPr>
      <w:r w:rsidRPr="004742E9">
        <w:rPr>
          <w:rFonts w:hint="eastAsia"/>
          <w:sz w:val="18"/>
          <w:szCs w:val="18"/>
        </w:rPr>
        <w:t>（</w:t>
      </w:r>
      <w:r w:rsidRPr="004742E9">
        <w:rPr>
          <w:sz w:val="18"/>
          <w:szCs w:val="18"/>
        </w:rPr>
        <w:t>2</w:t>
      </w:r>
      <w:r w:rsidRPr="004742E9">
        <w:rPr>
          <w:rFonts w:hint="eastAsia"/>
          <w:sz w:val="18"/>
          <w:szCs w:val="18"/>
        </w:rPr>
        <w:t>）本公司计划以净额结算，或同时变现该金融资产和清偿该金融负债。</w:t>
      </w:r>
    </w:p>
    <w:p w:rsidR="008820E4" w:rsidRDefault="005C49A8">
      <w:pPr>
        <w:pStyle w:val="3"/>
        <w:spacing w:line="280" w:lineRule="exact"/>
        <w:jc w:val="left"/>
        <w:rPr>
          <w:rFonts w:ascii="宋体" w:hAnsi="宋体" w:cs="宋体"/>
          <w:b/>
          <w:bCs/>
        </w:rPr>
      </w:pPr>
      <w:bookmarkStart w:id="130" w:name="_Toc989019"/>
      <w:r>
        <w:rPr>
          <w:rFonts w:ascii="宋体" w:hAnsi="宋体" w:cs="宋体"/>
          <w:b/>
          <w:bCs/>
        </w:rPr>
        <w:t>13、应收账款</w:t>
      </w:r>
      <w:bookmarkEnd w:id="130"/>
    </w:p>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本公司对应收账款的预期信用损失的确定方法及会计处理方法详见本附注（十）</w:t>
      </w:r>
      <w:r w:rsidRPr="004742E9">
        <w:rPr>
          <w:sz w:val="18"/>
          <w:szCs w:val="18"/>
        </w:rPr>
        <w:t>6.</w:t>
      </w:r>
      <w:r w:rsidRPr="004742E9">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对信用风险与组合信用风险显著不同的应收账款，本公司按单项计提预期信用损失。本公司对单项金额重大且在初始确认后已经发生信用减值的应收账款单独确定其信用损失。</w:t>
      </w:r>
    </w:p>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5000" w:type="pct"/>
        <w:jc w:val="center"/>
        <w:tblCellMar>
          <w:left w:w="0" w:type="dxa"/>
          <w:right w:w="0" w:type="dxa"/>
        </w:tblCellMar>
        <w:tblLook w:val="04A0" w:firstRow="1" w:lastRow="0" w:firstColumn="1" w:lastColumn="0" w:noHBand="0" w:noVBand="1"/>
        <w:tblCaption w:val="D:\大华\华孚\2024年度\TB|0-合并TB-华孚时尚股份有限公司-2024年度.xlsx|W附注模板|_jds6|0|desc|||0|1"/>
      </w:tblPr>
      <w:tblGrid>
        <w:gridCol w:w="959"/>
        <w:gridCol w:w="2977"/>
        <w:gridCol w:w="5917"/>
      </w:tblGrid>
      <w:tr w:rsidR="005C49A8" w:rsidTr="004742E9">
        <w:trPr>
          <w:divId w:val="1102184625"/>
          <w:trHeight w:val="340"/>
          <w:jc w:val="center"/>
        </w:trPr>
        <w:tc>
          <w:tcPr>
            <w:tcW w:w="959"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组合名称</w:t>
            </w:r>
          </w:p>
        </w:tc>
        <w:tc>
          <w:tcPr>
            <w:tcW w:w="2977"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确定组合的依据</w:t>
            </w:r>
          </w:p>
        </w:tc>
        <w:tc>
          <w:tcPr>
            <w:tcW w:w="5917"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计提方法</w:t>
            </w:r>
          </w:p>
        </w:tc>
      </w:tr>
      <w:tr w:rsidR="005C49A8" w:rsidTr="00CF103B">
        <w:trPr>
          <w:divId w:val="1102184625"/>
          <w:trHeight w:val="340"/>
          <w:jc w:val="center"/>
        </w:trPr>
        <w:tc>
          <w:tcPr>
            <w:tcW w:w="959"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预期信用风险组合</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本组合以应收账款的账</w:t>
            </w:r>
            <w:proofErr w:type="gramStart"/>
            <w:r>
              <w:rPr>
                <w:rFonts w:cs="Times New Roman" w:hint="eastAsia"/>
                <w:sz w:val="18"/>
                <w:szCs w:val="18"/>
              </w:rPr>
              <w:t>龄作为</w:t>
            </w:r>
            <w:proofErr w:type="gramEnd"/>
            <w:r>
              <w:rPr>
                <w:rFonts w:cs="Times New Roman" w:hint="eastAsia"/>
                <w:sz w:val="18"/>
                <w:szCs w:val="18"/>
              </w:rPr>
              <w:t>信用风险特征</w:t>
            </w:r>
          </w:p>
        </w:tc>
        <w:tc>
          <w:tcPr>
            <w:tcW w:w="5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sidRPr="004742E9">
              <w:rPr>
                <w:rFonts w:cs="Times New Roman" w:hint="eastAsia"/>
                <w:sz w:val="18"/>
                <w:szCs w:val="18"/>
              </w:rPr>
              <w:t>本公司利用账龄来评估该类组合的预期信用损失。该类组合具有相同的风险特征，账</w:t>
            </w:r>
            <w:proofErr w:type="gramStart"/>
            <w:r w:rsidRPr="004742E9">
              <w:rPr>
                <w:rFonts w:cs="Times New Roman" w:hint="eastAsia"/>
                <w:sz w:val="18"/>
                <w:szCs w:val="18"/>
              </w:rPr>
              <w:t>龄信息</w:t>
            </w:r>
            <w:proofErr w:type="gramEnd"/>
            <w:r w:rsidRPr="004742E9">
              <w:rPr>
                <w:rFonts w:cs="Times New Roman" w:hint="eastAsia"/>
                <w:sz w:val="18"/>
                <w:szCs w:val="18"/>
              </w:rPr>
              <w:t>能反映这类组合与应收款项到期时的偿付能力。于资产负债表日，本公司参考历史信用损失经验，结合当前状况以及对未来经济状况的预测，编制应收账款账龄与预期信用损失率对照表，计算预期信用损失。</w:t>
            </w:r>
          </w:p>
        </w:tc>
      </w:tr>
      <w:tr w:rsidR="005C49A8" w:rsidTr="00CF103B">
        <w:trPr>
          <w:divId w:val="1102184625"/>
          <w:trHeight w:val="340"/>
          <w:jc w:val="center"/>
        </w:trPr>
        <w:tc>
          <w:tcPr>
            <w:tcW w:w="959"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性质组合</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Pr>
                <w:rFonts w:cs="Times New Roman" w:hint="eastAsia"/>
                <w:sz w:val="18"/>
                <w:szCs w:val="18"/>
              </w:rPr>
              <w:t>根据业务性质，认定无信用风险，主要包括合并范围内关联方的款项、信用证结算的销售货款</w:t>
            </w:r>
          </w:p>
        </w:tc>
        <w:tc>
          <w:tcPr>
            <w:tcW w:w="59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Pr="004742E9" w:rsidRDefault="005C49A8">
            <w:pPr>
              <w:pStyle w:val="a3"/>
              <w:spacing w:before="0" w:beforeAutospacing="0" w:after="0" w:afterAutospacing="0"/>
              <w:jc w:val="both"/>
              <w:rPr>
                <w:rFonts w:cs="Times New Roman"/>
                <w:sz w:val="18"/>
                <w:szCs w:val="18"/>
              </w:rPr>
            </w:pPr>
            <w:r w:rsidRPr="004742E9">
              <w:rPr>
                <w:rFonts w:cs="Times New Roman" w:hint="eastAsia"/>
                <w:sz w:val="18"/>
                <w:szCs w:val="18"/>
              </w:rPr>
              <w:t>参考历史信用损失经验，结合当前状况以及对未来经济状况的预测，通过违约风险敞口和整个存续期预期信用损失率，计算预期信用损失</w:t>
            </w:r>
          </w:p>
        </w:tc>
      </w:tr>
    </w:tbl>
    <w:p w:rsidR="005C49A8" w:rsidRPr="004742E9" w:rsidRDefault="005C49A8">
      <w:pPr>
        <w:pStyle w:val="a3"/>
        <w:spacing w:before="0" w:beforeAutospacing="0" w:after="0" w:afterAutospacing="0" w:line="360" w:lineRule="auto"/>
        <w:ind w:firstLine="420"/>
        <w:jc w:val="both"/>
        <w:divId w:val="1102184625"/>
        <w:rPr>
          <w:sz w:val="18"/>
          <w:szCs w:val="18"/>
        </w:rPr>
      </w:pPr>
      <w:proofErr w:type="gramStart"/>
      <w:r w:rsidRPr="004742E9">
        <w:rPr>
          <w:rFonts w:hint="eastAsia"/>
          <w:sz w:val="18"/>
          <w:szCs w:val="18"/>
        </w:rPr>
        <w:t>账</w:t>
      </w:r>
      <w:proofErr w:type="gramEnd"/>
      <w:r w:rsidRPr="004742E9">
        <w:rPr>
          <w:rFonts w:hint="eastAsia"/>
          <w:sz w:val="18"/>
          <w:szCs w:val="18"/>
        </w:rPr>
        <w:t>龄组合的账龄与预期信用损失率对照表如下：</w:t>
      </w:r>
    </w:p>
    <w:tbl>
      <w:tblPr>
        <w:tblW w:w="9889" w:type="dxa"/>
        <w:tblCellMar>
          <w:left w:w="0" w:type="dxa"/>
          <w:right w:w="0" w:type="dxa"/>
        </w:tblCellMar>
        <w:tblLook w:val="04A0" w:firstRow="1" w:lastRow="0" w:firstColumn="1" w:lastColumn="0" w:noHBand="0" w:noVBand="1"/>
      </w:tblPr>
      <w:tblGrid>
        <w:gridCol w:w="3936"/>
        <w:gridCol w:w="5953"/>
      </w:tblGrid>
      <w:tr w:rsidR="005C49A8" w:rsidTr="004742E9">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账龄</w:t>
            </w:r>
          </w:p>
        </w:tc>
        <w:tc>
          <w:tcPr>
            <w:tcW w:w="5953"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应收账款预期信用损失率（</w:t>
            </w:r>
            <w:r>
              <w:rPr>
                <w:rFonts w:ascii="Arial" w:hAnsi="Arial" w:cs="Arial"/>
                <w:sz w:val="18"/>
                <w:szCs w:val="18"/>
              </w:rPr>
              <w:t>%</w:t>
            </w:r>
            <w:r>
              <w:rPr>
                <w:rFonts w:cs="Times New Roman" w:hint="eastAsia"/>
                <w:sz w:val="18"/>
                <w:szCs w:val="18"/>
              </w:rPr>
              <w:t>）</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1</w:t>
            </w:r>
            <w:r>
              <w:rPr>
                <w:rFonts w:cs="Times New Roman" w:hint="eastAsia"/>
                <w:sz w:val="18"/>
                <w:szCs w:val="18"/>
              </w:rPr>
              <w:t>年以内</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5.00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1</w:t>
            </w:r>
            <w:r>
              <w:rPr>
                <w:rFonts w:cs="Times New Roman" w:hint="eastAsia"/>
                <w:sz w:val="18"/>
                <w:szCs w:val="18"/>
              </w:rPr>
              <w:t>－</w:t>
            </w:r>
            <w:r>
              <w:rPr>
                <w:rFonts w:ascii="Arial" w:hAnsi="Arial" w:cs="Arial"/>
                <w:sz w:val="18"/>
                <w:szCs w:val="18"/>
              </w:rPr>
              <w:t>2</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10.00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2</w:t>
            </w:r>
            <w:r>
              <w:rPr>
                <w:rFonts w:cs="Times New Roman" w:hint="eastAsia"/>
                <w:sz w:val="18"/>
                <w:szCs w:val="18"/>
              </w:rPr>
              <w:t>－</w:t>
            </w:r>
            <w:r>
              <w:rPr>
                <w:rFonts w:ascii="Arial" w:hAnsi="Arial" w:cs="Arial"/>
                <w:sz w:val="18"/>
                <w:szCs w:val="18"/>
              </w:rPr>
              <w:t>3</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20.00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lastRenderedPageBreak/>
              <w:t>3</w:t>
            </w:r>
            <w:r>
              <w:rPr>
                <w:rFonts w:cs="Times New Roman" w:hint="eastAsia"/>
                <w:sz w:val="18"/>
                <w:szCs w:val="18"/>
              </w:rPr>
              <w:t>－</w:t>
            </w:r>
            <w:r>
              <w:rPr>
                <w:rFonts w:ascii="Arial" w:hAnsi="Arial" w:cs="Arial"/>
                <w:sz w:val="18"/>
                <w:szCs w:val="18"/>
              </w:rPr>
              <w:t>4</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50.00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4</w:t>
            </w:r>
            <w:r>
              <w:rPr>
                <w:rFonts w:cs="Times New Roman" w:hint="eastAsia"/>
                <w:sz w:val="18"/>
                <w:szCs w:val="18"/>
              </w:rPr>
              <w:t>－</w:t>
            </w:r>
            <w:r>
              <w:rPr>
                <w:rFonts w:ascii="Arial" w:hAnsi="Arial" w:cs="Arial"/>
                <w:sz w:val="18"/>
                <w:szCs w:val="18"/>
              </w:rPr>
              <w:t>5</w:t>
            </w:r>
            <w:r>
              <w:rPr>
                <w:rFonts w:cs="Times New Roman" w:hint="eastAsia"/>
                <w:sz w:val="18"/>
                <w:szCs w:val="18"/>
              </w:rPr>
              <w:t>年</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80.00</w:t>
            </w:r>
          </w:p>
        </w:tc>
      </w:tr>
      <w:tr w:rsidR="005C49A8" w:rsidTr="00CF103B">
        <w:trPr>
          <w:divId w:val="1102184625"/>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ascii="Arial" w:hAnsi="Arial" w:cs="Arial"/>
                <w:sz w:val="18"/>
                <w:szCs w:val="18"/>
              </w:rPr>
              <w:t>5</w:t>
            </w:r>
            <w:r>
              <w:rPr>
                <w:rFonts w:cs="Times New Roman" w:hint="eastAsia"/>
                <w:sz w:val="18"/>
                <w:szCs w:val="18"/>
              </w:rPr>
              <w:t>年以上</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rsidP="004742E9">
            <w:pPr>
              <w:pStyle w:val="a3"/>
              <w:spacing w:before="0" w:beforeAutospacing="0" w:after="0" w:afterAutospacing="0"/>
              <w:jc w:val="right"/>
              <w:textAlignment w:val="bottom"/>
              <w:rPr>
                <w:rFonts w:ascii="Times New Roman" w:hAnsi="Times New Roman" w:cs="Times New Roman"/>
                <w:sz w:val="21"/>
                <w:szCs w:val="21"/>
              </w:rPr>
            </w:pPr>
            <w:r>
              <w:rPr>
                <w:rFonts w:cs="Times New Roman" w:hint="eastAsia"/>
                <w:sz w:val="20"/>
                <w:szCs w:val="20"/>
              </w:rPr>
              <w:t>100.00</w:t>
            </w:r>
          </w:p>
        </w:tc>
      </w:tr>
    </w:tbl>
    <w:p w:rsidR="005C49A8" w:rsidRPr="004742E9" w:rsidRDefault="005C49A8">
      <w:pPr>
        <w:pStyle w:val="a3"/>
        <w:spacing w:before="0" w:beforeAutospacing="0" w:after="0" w:afterAutospacing="0" w:line="360" w:lineRule="auto"/>
        <w:ind w:firstLine="420"/>
        <w:jc w:val="both"/>
        <w:divId w:val="1102184625"/>
        <w:rPr>
          <w:sz w:val="18"/>
          <w:szCs w:val="18"/>
        </w:rPr>
      </w:pPr>
      <w:r w:rsidRPr="004742E9">
        <w:rPr>
          <w:rFonts w:hint="eastAsia"/>
          <w:sz w:val="18"/>
          <w:szCs w:val="18"/>
        </w:rPr>
        <w:t>应收账款</w:t>
      </w:r>
      <w:proofErr w:type="gramStart"/>
      <w:r w:rsidRPr="004742E9">
        <w:rPr>
          <w:rFonts w:hint="eastAsia"/>
          <w:sz w:val="18"/>
          <w:szCs w:val="18"/>
        </w:rPr>
        <w:t>账龄按自</w:t>
      </w:r>
      <w:proofErr w:type="gramEnd"/>
      <w:r w:rsidRPr="004742E9">
        <w:rPr>
          <w:rFonts w:hint="eastAsia"/>
          <w:sz w:val="18"/>
          <w:szCs w:val="18"/>
        </w:rPr>
        <w:t>款项实际发生的月份起算。</w:t>
      </w:r>
    </w:p>
    <w:p w:rsidR="008820E4" w:rsidRDefault="005C49A8">
      <w:pPr>
        <w:pStyle w:val="3"/>
        <w:spacing w:line="280" w:lineRule="exact"/>
        <w:jc w:val="left"/>
        <w:rPr>
          <w:rFonts w:ascii="宋体" w:hAnsi="宋体" w:cs="宋体"/>
          <w:b/>
          <w:bCs/>
        </w:rPr>
      </w:pPr>
      <w:bookmarkStart w:id="131" w:name="_Toc989020"/>
      <w:r>
        <w:rPr>
          <w:rFonts w:ascii="宋体" w:hAnsi="宋体" w:cs="宋体"/>
          <w:b/>
          <w:bCs/>
        </w:rPr>
        <w:t>14、应收款项融资</w:t>
      </w:r>
      <w:bookmarkEnd w:id="131"/>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分类为以公允价值计量且其变动计入其他综合收益的应收票据和应收账款，自初始确认日起到期期限在一年内（含一年）的，列示为应收款项融资；自初始确认日起到期期限在一年以上的，列示为其他债权投资。其相关会计政策详见本附注（十）。</w:t>
      </w:r>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本公司对应收款项融资的预期信用损失的确定方法及会计处理方法详见本附注（十）</w:t>
      </w:r>
      <w:r w:rsidRPr="004742E9">
        <w:rPr>
          <w:sz w:val="18"/>
          <w:szCs w:val="18"/>
        </w:rPr>
        <w:t>6.</w:t>
      </w:r>
      <w:r w:rsidRPr="004742E9">
        <w:rPr>
          <w:rFonts w:hint="eastAsia"/>
          <w:sz w:val="18"/>
          <w:szCs w:val="18"/>
        </w:rPr>
        <w:t>金融工具减值。</w:t>
      </w:r>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对信用风险与组合信用风险显著不同的应收款项融资，本公司按单项计提预期信用损失。本公司对单项金额重大且在初始确认后已经发生信用减值的应收款项融资单独确定其信用损失。</w:t>
      </w:r>
    </w:p>
    <w:p w:rsidR="005C49A8" w:rsidRPr="004742E9" w:rsidRDefault="005C49A8">
      <w:pPr>
        <w:pStyle w:val="a3"/>
        <w:spacing w:before="0" w:beforeAutospacing="0" w:after="0" w:afterAutospacing="0" w:line="360" w:lineRule="auto"/>
        <w:ind w:firstLine="420"/>
        <w:jc w:val="both"/>
        <w:divId w:val="239097704"/>
        <w:rPr>
          <w:sz w:val="18"/>
          <w:szCs w:val="18"/>
        </w:rPr>
      </w:pPr>
      <w:r w:rsidRPr="004742E9">
        <w:rPr>
          <w:rFonts w:hint="eastAsia"/>
          <w:sz w:val="18"/>
          <w:szCs w:val="18"/>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w:t>
      </w:r>
    </w:p>
    <w:p w:rsidR="008820E4" w:rsidRDefault="005C49A8">
      <w:pPr>
        <w:pStyle w:val="3"/>
        <w:spacing w:line="280" w:lineRule="exact"/>
        <w:jc w:val="left"/>
        <w:rPr>
          <w:rFonts w:ascii="宋体" w:hAnsi="宋体" w:cs="宋体"/>
          <w:b/>
          <w:bCs/>
        </w:rPr>
      </w:pPr>
      <w:bookmarkStart w:id="132" w:name="_Toc989021"/>
      <w:r>
        <w:rPr>
          <w:rFonts w:ascii="宋体" w:hAnsi="宋体" w:cs="宋体"/>
          <w:b/>
          <w:bCs/>
        </w:rPr>
        <w:t>15、其他应收款</w:t>
      </w:r>
      <w:bookmarkEnd w:id="13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其他应收款的预期信用损失的确定方法及会计处理方法</w:t>
      </w:r>
    </w:p>
    <w:p w:rsidR="005C49A8" w:rsidRDefault="005C49A8">
      <w:pPr>
        <w:pStyle w:val="a3"/>
        <w:spacing w:before="0" w:beforeAutospacing="0" w:after="0" w:afterAutospacing="0"/>
        <w:ind w:firstLine="420"/>
        <w:jc w:val="both"/>
        <w:divId w:val="536087217"/>
      </w:pPr>
      <w:r>
        <w:rPr>
          <w:rFonts w:hint="eastAsia"/>
          <w:sz w:val="18"/>
          <w:szCs w:val="18"/>
        </w:rPr>
        <w:t>本公司对其他应收款的预期信用损失的确定方法及会计处理方法详见本附注（十）6.金融工具减值。</w:t>
      </w:r>
    </w:p>
    <w:p w:rsidR="005C49A8" w:rsidRDefault="005C49A8">
      <w:pPr>
        <w:pStyle w:val="a3"/>
        <w:spacing w:before="0" w:beforeAutospacing="0" w:after="0" w:afterAutospacing="0"/>
        <w:ind w:firstLine="420"/>
        <w:jc w:val="both"/>
        <w:divId w:val="536087217"/>
      </w:pPr>
      <w:r>
        <w:rPr>
          <w:rFonts w:hint="eastAsia"/>
          <w:sz w:val="18"/>
          <w:szCs w:val="18"/>
        </w:rPr>
        <w:t>对信用风险与组合信用风险显著不同的其他应收款，本公司按单项计提预期信用损失。本公司对单项金额重大且在初始确认后已经发生信用减值的其他应收款单独确定其信用损失。</w:t>
      </w:r>
    </w:p>
    <w:p w:rsidR="005C49A8" w:rsidRDefault="005C49A8">
      <w:pPr>
        <w:pStyle w:val="a3"/>
        <w:spacing w:before="0" w:beforeAutospacing="0" w:after="0" w:afterAutospacing="0"/>
        <w:ind w:firstLine="420"/>
        <w:jc w:val="both"/>
        <w:divId w:val="536087217"/>
      </w:pPr>
      <w:r>
        <w:rPr>
          <w:rFonts w:hint="eastAsia"/>
          <w:sz w:val="18"/>
          <w:szCs w:val="18"/>
        </w:rPr>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W w:w="4850" w:type="pct"/>
        <w:tblCellMar>
          <w:left w:w="0" w:type="dxa"/>
          <w:right w:w="0" w:type="dxa"/>
        </w:tblCellMar>
        <w:tblLook w:val="04A0" w:firstRow="1" w:lastRow="0" w:firstColumn="1" w:lastColumn="0" w:noHBand="0" w:noVBand="1"/>
      </w:tblPr>
      <w:tblGrid>
        <w:gridCol w:w="1375"/>
        <w:gridCol w:w="2526"/>
        <w:gridCol w:w="5656"/>
      </w:tblGrid>
      <w:tr w:rsidR="005C49A8" w:rsidTr="00F7271B">
        <w:trPr>
          <w:divId w:val="536087217"/>
          <w:trHeight w:val="340"/>
          <w:tblHeader/>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组合名称</w:t>
            </w:r>
          </w:p>
        </w:tc>
        <w:tc>
          <w:tcPr>
            <w:tcW w:w="2196"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确定组合的依据</w:t>
            </w:r>
          </w:p>
        </w:tc>
        <w:tc>
          <w:tcPr>
            <w:tcW w:w="4918"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计提方法</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风险组合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本组合以其他应收款的账</w:t>
            </w:r>
            <w:proofErr w:type="gramStart"/>
            <w:r>
              <w:rPr>
                <w:rFonts w:hint="eastAsia"/>
                <w:sz w:val="18"/>
                <w:szCs w:val="18"/>
              </w:rPr>
              <w:t>龄作为</w:t>
            </w:r>
            <w:proofErr w:type="gramEnd"/>
            <w:r>
              <w:rPr>
                <w:rFonts w:hint="eastAsia"/>
                <w:sz w:val="18"/>
                <w:szCs w:val="18"/>
              </w:rPr>
              <w:t>信用风险特征</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本公司利用账龄来评估该类组合的预期信用损失。该类组合具有相同的风险特征，账</w:t>
            </w:r>
            <w:proofErr w:type="gramStart"/>
            <w:r>
              <w:rPr>
                <w:rFonts w:hint="eastAsia"/>
                <w:sz w:val="18"/>
                <w:szCs w:val="18"/>
              </w:rPr>
              <w:t>龄信息</w:t>
            </w:r>
            <w:proofErr w:type="gramEnd"/>
            <w:r>
              <w:rPr>
                <w:rFonts w:hint="eastAsia"/>
                <w:sz w:val="18"/>
                <w:szCs w:val="18"/>
              </w:rPr>
              <w:t>能反映这类组合与应收款项到期时的偿付能力。于资产负债表日，本公司参考历史信用损失经验，结合当前状况以及对未来经济状况的预测，编制其他</w:t>
            </w:r>
            <w:proofErr w:type="gramStart"/>
            <w:r>
              <w:rPr>
                <w:rFonts w:hint="eastAsia"/>
                <w:sz w:val="18"/>
                <w:szCs w:val="18"/>
              </w:rPr>
              <w:t>应收款账龄</w:t>
            </w:r>
            <w:proofErr w:type="gramEnd"/>
            <w:r>
              <w:rPr>
                <w:rFonts w:hint="eastAsia"/>
                <w:sz w:val="18"/>
                <w:szCs w:val="18"/>
              </w:rPr>
              <w:t>与预期信用损失率对照表，计算预期信用损失。</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应收财政款组合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根据业务性质，主要包括出口退税款、政府补助</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参考历史信用损失经验，结合当前状况以及对未来经济状况的预测，通过违约风险敞口和整个存续期预期信用损失率，计算预期信用损失</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性质组合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根据业务性质，主要包括股权转让款</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参考历史信用损失经验，不计提坏准备</w:t>
            </w:r>
          </w:p>
        </w:tc>
      </w:tr>
      <w:tr w:rsidR="005C49A8" w:rsidTr="00CF103B">
        <w:trPr>
          <w:divId w:val="536087217"/>
          <w:trHeight w:val="340"/>
        </w:trPr>
        <w:tc>
          <w:tcPr>
            <w:tcW w:w="119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合并范围内关联方组合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合并范围内关联方</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both"/>
            </w:pPr>
            <w:r>
              <w:rPr>
                <w:rFonts w:hint="eastAsia"/>
                <w:sz w:val="18"/>
                <w:szCs w:val="18"/>
              </w:rPr>
              <w:t>参考历史信用损失经验，不计提坏准备</w:t>
            </w:r>
          </w:p>
        </w:tc>
      </w:tr>
    </w:tbl>
    <w:p w:rsidR="005C49A8" w:rsidRDefault="005C49A8">
      <w:pPr>
        <w:pStyle w:val="a3"/>
        <w:spacing w:before="0" w:beforeAutospacing="0" w:after="0" w:afterAutospacing="0" w:line="360" w:lineRule="auto"/>
        <w:ind w:firstLine="420"/>
        <w:jc w:val="both"/>
        <w:divId w:val="536087217"/>
      </w:pPr>
      <w:proofErr w:type="gramStart"/>
      <w:r>
        <w:rPr>
          <w:rFonts w:hint="eastAsia"/>
          <w:sz w:val="18"/>
          <w:szCs w:val="18"/>
        </w:rPr>
        <w:t>账</w:t>
      </w:r>
      <w:proofErr w:type="gramEnd"/>
      <w:r>
        <w:rPr>
          <w:rFonts w:hint="eastAsia"/>
          <w:sz w:val="18"/>
          <w:szCs w:val="18"/>
        </w:rPr>
        <w:t>龄组合的账龄与预期信用损失率对照表如下：</w:t>
      </w:r>
    </w:p>
    <w:tbl>
      <w:tblPr>
        <w:tblW w:w="9606" w:type="dxa"/>
        <w:tblCellMar>
          <w:left w:w="0" w:type="dxa"/>
          <w:right w:w="0" w:type="dxa"/>
        </w:tblCellMar>
        <w:tblLook w:val="04A0" w:firstRow="1" w:lastRow="0" w:firstColumn="1" w:lastColumn="0" w:noHBand="0" w:noVBand="1"/>
      </w:tblPr>
      <w:tblGrid>
        <w:gridCol w:w="3936"/>
        <w:gridCol w:w="5670"/>
      </w:tblGrid>
      <w:tr w:rsidR="005C49A8" w:rsidTr="00F7271B">
        <w:trPr>
          <w:divId w:val="536087217"/>
          <w:trHeight w:val="340"/>
          <w:tblHeader/>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账龄</w:t>
            </w:r>
          </w:p>
        </w:tc>
        <w:tc>
          <w:tcPr>
            <w:tcW w:w="5670"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其他应收款预期信用损失率（</w:t>
            </w:r>
            <w:r>
              <w:rPr>
                <w:rFonts w:ascii="Arial" w:hAnsi="Arial" w:cs="Arial"/>
                <w:sz w:val="18"/>
                <w:szCs w:val="18"/>
              </w:rPr>
              <w:t>%</w:t>
            </w:r>
            <w:r>
              <w:rPr>
                <w:rFonts w:hint="eastAsia"/>
                <w:sz w:val="18"/>
                <w:szCs w:val="18"/>
              </w:rPr>
              <w:t>）</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1</w:t>
            </w:r>
            <w:r>
              <w:rPr>
                <w:rFonts w:hint="eastAsia"/>
                <w:sz w:val="18"/>
                <w:szCs w:val="18"/>
              </w:rPr>
              <w:t>年以内</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5.00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1</w:t>
            </w:r>
            <w:r>
              <w:rPr>
                <w:rFonts w:hint="eastAsia"/>
                <w:sz w:val="18"/>
                <w:szCs w:val="18"/>
              </w:rPr>
              <w:t>－</w:t>
            </w:r>
            <w:r>
              <w:rPr>
                <w:rFonts w:ascii="Arial" w:hAnsi="Arial" w:cs="Arial"/>
                <w:sz w:val="18"/>
                <w:szCs w:val="18"/>
              </w:rPr>
              <w:t>2</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10.00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lastRenderedPageBreak/>
              <w:t>2</w:t>
            </w:r>
            <w:r>
              <w:rPr>
                <w:rFonts w:hint="eastAsia"/>
                <w:sz w:val="18"/>
                <w:szCs w:val="18"/>
              </w:rPr>
              <w:t>－</w:t>
            </w:r>
            <w:r>
              <w:rPr>
                <w:rFonts w:ascii="Arial" w:hAnsi="Arial" w:cs="Arial"/>
                <w:sz w:val="18"/>
                <w:szCs w:val="18"/>
              </w:rPr>
              <w:t>3</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20.00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3</w:t>
            </w:r>
            <w:r>
              <w:rPr>
                <w:rFonts w:hint="eastAsia"/>
                <w:sz w:val="18"/>
                <w:szCs w:val="18"/>
              </w:rPr>
              <w:t>－</w:t>
            </w:r>
            <w:r>
              <w:rPr>
                <w:rFonts w:ascii="Arial" w:hAnsi="Arial" w:cs="Arial"/>
                <w:sz w:val="18"/>
                <w:szCs w:val="18"/>
              </w:rPr>
              <w:t>4</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50.00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4</w:t>
            </w:r>
            <w:r>
              <w:rPr>
                <w:rFonts w:hint="eastAsia"/>
                <w:sz w:val="18"/>
                <w:szCs w:val="18"/>
              </w:rPr>
              <w:t>－</w:t>
            </w:r>
            <w:r>
              <w:rPr>
                <w:rFonts w:ascii="Arial" w:hAnsi="Arial" w:cs="Arial"/>
                <w:sz w:val="18"/>
                <w:szCs w:val="18"/>
              </w:rPr>
              <w:t>5</w:t>
            </w:r>
            <w:r>
              <w:rPr>
                <w:rFonts w:hint="eastAsia"/>
                <w:sz w:val="18"/>
                <w:szCs w:val="18"/>
              </w:rPr>
              <w:t>年</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80.00</w:t>
            </w:r>
          </w:p>
        </w:tc>
      </w:tr>
      <w:tr w:rsidR="005C49A8" w:rsidTr="00CF103B">
        <w:trPr>
          <w:divId w:val="536087217"/>
          <w:trHeight w:val="340"/>
        </w:trPr>
        <w:tc>
          <w:tcPr>
            <w:tcW w:w="3936"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ascii="Arial" w:hAnsi="Arial" w:cs="Arial"/>
                <w:sz w:val="18"/>
                <w:szCs w:val="18"/>
              </w:rPr>
              <w:t>5</w:t>
            </w:r>
            <w:r>
              <w:rPr>
                <w:rFonts w:hint="eastAsia"/>
                <w:sz w:val="18"/>
                <w:szCs w:val="18"/>
              </w:rPr>
              <w:t>年以上</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C49A8" w:rsidRDefault="005C49A8">
            <w:pPr>
              <w:pStyle w:val="a3"/>
              <w:spacing w:before="0" w:beforeAutospacing="0" w:after="0" w:afterAutospacing="0"/>
              <w:jc w:val="center"/>
              <w:textAlignment w:val="bottom"/>
            </w:pPr>
            <w:r>
              <w:rPr>
                <w:rFonts w:hint="eastAsia"/>
                <w:sz w:val="20"/>
                <w:szCs w:val="20"/>
              </w:rPr>
              <w:t>100.00</w:t>
            </w:r>
          </w:p>
        </w:tc>
      </w:tr>
    </w:tbl>
    <w:p w:rsidR="005C49A8" w:rsidRDefault="005C49A8">
      <w:pPr>
        <w:pStyle w:val="a3"/>
        <w:divId w:val="536087217"/>
        <w:rPr>
          <w:sz w:val="18"/>
          <w:szCs w:val="18"/>
        </w:rPr>
      </w:pPr>
      <w:r>
        <w:rPr>
          <w:rFonts w:hint="eastAsia"/>
          <w:sz w:val="18"/>
          <w:szCs w:val="18"/>
        </w:rPr>
        <w:t>其他应收</w:t>
      </w:r>
      <w:proofErr w:type="gramStart"/>
      <w:r>
        <w:rPr>
          <w:rFonts w:hint="eastAsia"/>
          <w:sz w:val="18"/>
          <w:szCs w:val="18"/>
        </w:rPr>
        <w:t>款账龄按</w:t>
      </w:r>
      <w:proofErr w:type="gramEnd"/>
      <w:r>
        <w:rPr>
          <w:rFonts w:hint="eastAsia"/>
          <w:sz w:val="18"/>
          <w:szCs w:val="18"/>
        </w:rPr>
        <w:t>自款项实际发生的月份起算。</w:t>
      </w:r>
    </w:p>
    <w:p w:rsidR="008820E4" w:rsidRDefault="005C49A8">
      <w:pPr>
        <w:pStyle w:val="3"/>
        <w:spacing w:line="280" w:lineRule="exact"/>
        <w:jc w:val="left"/>
        <w:rPr>
          <w:rFonts w:ascii="宋体" w:hAnsi="宋体" w:cs="宋体"/>
          <w:b/>
          <w:bCs/>
        </w:rPr>
      </w:pPr>
      <w:bookmarkStart w:id="133" w:name="_Toc989022"/>
      <w:r>
        <w:rPr>
          <w:rFonts w:ascii="宋体" w:hAnsi="宋体" w:cs="宋体"/>
          <w:b/>
          <w:bCs/>
        </w:rPr>
        <w:t>16、合同资产</w:t>
      </w:r>
      <w:bookmarkEnd w:id="133"/>
    </w:p>
    <w:p w:rsidR="005C49A8" w:rsidRDefault="005C49A8">
      <w:pPr>
        <w:pStyle w:val="a3"/>
        <w:spacing w:before="0" w:beforeAutospacing="0" w:after="0" w:afterAutospacing="0"/>
        <w:ind w:firstLine="420"/>
        <w:jc w:val="both"/>
        <w:divId w:val="1068767171"/>
      </w:pPr>
      <w:r>
        <w:rPr>
          <w:rFonts w:hint="eastAsia"/>
          <w:sz w:val="18"/>
          <w:szCs w:val="18"/>
        </w:rPr>
        <w:t>本公司已向客户转让商品而有权收取对价的权利，且该权利取决于时间流逝之外的其他因素的，确认为合同资产。本公司拥有的无条件(即，仅取决于时间流逝)向客户收取对价的权利作为应收款项单独列示。</w:t>
      </w:r>
    </w:p>
    <w:p w:rsidR="005C49A8" w:rsidRDefault="005C49A8">
      <w:pPr>
        <w:pStyle w:val="a3"/>
        <w:spacing w:before="0" w:beforeAutospacing="0" w:after="0" w:afterAutospacing="0"/>
        <w:ind w:firstLine="420"/>
        <w:jc w:val="both"/>
        <w:divId w:val="1068767171"/>
      </w:pPr>
      <w:r>
        <w:rPr>
          <w:rFonts w:hint="eastAsia"/>
          <w:sz w:val="18"/>
          <w:szCs w:val="18"/>
        </w:rPr>
        <w:t>本公司对合同资产的预期信用损失的确定方法及会计处理方法详见本附注（十）6.金融工具减值。</w:t>
      </w:r>
    </w:p>
    <w:p w:rsidR="005C49A8" w:rsidRDefault="005C49A8">
      <w:pPr>
        <w:pStyle w:val="a3"/>
        <w:spacing w:before="0" w:beforeAutospacing="0" w:after="0" w:afterAutospacing="0"/>
        <w:ind w:firstLine="420"/>
        <w:jc w:val="both"/>
        <w:divId w:val="1068767171"/>
      </w:pPr>
      <w:r>
        <w:rPr>
          <w:rFonts w:hint="eastAsia"/>
          <w:sz w:val="18"/>
          <w:szCs w:val="18"/>
        </w:rPr>
        <w:t>对信用风险与组合信用风险显著不同的合同资产，本公司按单项计提预期信用损失。本公司对单项金额重大且在初始确认后已经发生信用减值的合同资产单独确定其信用损失。</w:t>
      </w:r>
    </w:p>
    <w:p w:rsidR="005C49A8" w:rsidRDefault="005C49A8">
      <w:pPr>
        <w:pStyle w:val="a3"/>
        <w:spacing w:before="0" w:beforeAutospacing="0" w:after="0" w:afterAutospacing="0"/>
        <w:ind w:firstLine="420"/>
        <w:jc w:val="both"/>
        <w:divId w:val="1068767171"/>
      </w:pPr>
      <w:r>
        <w:rPr>
          <w:rFonts w:hint="eastAsia"/>
          <w:sz w:val="18"/>
          <w:szCs w:val="18"/>
        </w:rPr>
        <w:t>当在单项工具层面无法以合理成本评估预期信用损失的充分证据时，本公司参考历史信用损失经验，结合当前状况以及对未来经济状况的判断，依据信用风险特征将合同资产划分为若干组合，在组合基础上计算预期信用损失。</w:t>
      </w:r>
    </w:p>
    <w:p w:rsidR="005C49A8" w:rsidRDefault="005C49A8">
      <w:pPr>
        <w:pStyle w:val="a3"/>
        <w:spacing w:before="0" w:beforeAutospacing="0" w:after="0" w:afterAutospacing="0"/>
        <w:ind w:firstLine="420"/>
        <w:jc w:val="both"/>
        <w:divId w:val="698776505"/>
      </w:pPr>
      <w:r>
        <w:rPr>
          <w:rFonts w:hint="eastAsia"/>
          <w:sz w:val="18"/>
          <w:szCs w:val="18"/>
        </w:rPr>
        <w:t>当在单项工具层面无法以合理成本评估预期信用损失的充分证据时，本公司参考历史信用损失经验，结合当前状况以及对未来经济状况的判断，依据信用风险特征将合同资产划分为若干组合，在组合基础上计算预期信用损失。</w:t>
      </w:r>
    </w:p>
    <w:p w:rsidR="008820E4" w:rsidRDefault="005C49A8">
      <w:pPr>
        <w:pStyle w:val="3"/>
        <w:spacing w:line="280" w:lineRule="exact"/>
        <w:jc w:val="left"/>
        <w:rPr>
          <w:rFonts w:ascii="宋体" w:hAnsi="宋体" w:cs="宋体"/>
          <w:b/>
          <w:bCs/>
        </w:rPr>
      </w:pPr>
      <w:bookmarkStart w:id="134" w:name="_Toc989023"/>
      <w:r>
        <w:rPr>
          <w:rFonts w:ascii="宋体" w:hAnsi="宋体" w:cs="宋体"/>
          <w:b/>
          <w:bCs/>
        </w:rPr>
        <w:t>17、存货</w:t>
      </w:r>
      <w:bookmarkEnd w:id="134"/>
    </w:p>
    <w:p w:rsidR="005C49A8" w:rsidRDefault="005C49A8" w:rsidP="00C50357">
      <w:pPr>
        <w:widowControl/>
        <w:numPr>
          <w:ilvl w:val="2"/>
          <w:numId w:val="82"/>
        </w:numPr>
        <w:tabs>
          <w:tab w:val="clear" w:pos="2160"/>
          <w:tab w:val="num" w:pos="1985"/>
        </w:tabs>
        <w:spacing w:before="100" w:beforeAutospacing="1" w:after="100" w:afterAutospacing="1"/>
        <w:ind w:left="426"/>
        <w:divId w:val="882526065"/>
        <w:rPr>
          <w:sz w:val="18"/>
          <w:szCs w:val="18"/>
        </w:rPr>
      </w:pPr>
      <w:r>
        <w:rPr>
          <w:rFonts w:hint="eastAsia"/>
          <w:sz w:val="18"/>
          <w:szCs w:val="18"/>
        </w:rPr>
        <w:t>．存货的确认条件</w:t>
      </w:r>
    </w:p>
    <w:p w:rsidR="005C49A8" w:rsidRDefault="005C49A8">
      <w:pPr>
        <w:pStyle w:val="a3"/>
        <w:spacing w:before="0" w:beforeAutospacing="0" w:after="0" w:afterAutospacing="0"/>
        <w:ind w:firstLine="424"/>
        <w:divId w:val="882526065"/>
      </w:pPr>
      <w:r>
        <w:rPr>
          <w:rFonts w:hint="eastAsia"/>
          <w:sz w:val="18"/>
          <w:szCs w:val="18"/>
        </w:rPr>
        <w:t>在满足存货定义的基础上，持有的存货同时满足下列条件的，才能予以确认：</w:t>
      </w:r>
    </w:p>
    <w:p w:rsidR="005C49A8" w:rsidRDefault="005C49A8">
      <w:pPr>
        <w:pStyle w:val="a3"/>
        <w:spacing w:before="0" w:beforeAutospacing="0" w:after="0" w:afterAutospacing="0"/>
        <w:ind w:firstLine="420"/>
        <w:jc w:val="both"/>
        <w:divId w:val="882526065"/>
      </w:pPr>
      <w:r>
        <w:rPr>
          <w:rFonts w:hint="eastAsia"/>
          <w:sz w:val="18"/>
          <w:szCs w:val="18"/>
        </w:rPr>
        <w:t>（1）与该存货有关的经济利益很可能流入企业；；</w:t>
      </w:r>
    </w:p>
    <w:p w:rsidR="005C49A8" w:rsidRDefault="005C49A8">
      <w:pPr>
        <w:pStyle w:val="a3"/>
        <w:spacing w:before="0" w:beforeAutospacing="0" w:after="0" w:afterAutospacing="0"/>
        <w:ind w:firstLine="420"/>
        <w:jc w:val="both"/>
        <w:divId w:val="882526065"/>
      </w:pPr>
      <w:r>
        <w:rPr>
          <w:rFonts w:hint="eastAsia"/>
          <w:sz w:val="18"/>
          <w:szCs w:val="18"/>
        </w:rPr>
        <w:t>（2）该存货的成本能够可靠地计量。</w:t>
      </w:r>
    </w:p>
    <w:p w:rsidR="005C49A8" w:rsidRDefault="005C49A8" w:rsidP="00C50357">
      <w:pPr>
        <w:widowControl/>
        <w:numPr>
          <w:ilvl w:val="2"/>
          <w:numId w:val="83"/>
        </w:numPr>
        <w:tabs>
          <w:tab w:val="clear" w:pos="2160"/>
          <w:tab w:val="num" w:pos="1985"/>
        </w:tabs>
        <w:spacing w:before="100" w:beforeAutospacing="1" w:after="100" w:afterAutospacing="1"/>
        <w:ind w:left="426"/>
        <w:divId w:val="882526065"/>
        <w:rPr>
          <w:sz w:val="18"/>
          <w:szCs w:val="18"/>
        </w:rPr>
      </w:pPr>
      <w:r>
        <w:rPr>
          <w:rFonts w:hint="eastAsia"/>
          <w:sz w:val="18"/>
          <w:szCs w:val="18"/>
        </w:rPr>
        <w:t>．存货类别、发出计价方法、盘存制度、低值易耗品和包装物的摊销方法</w:t>
      </w:r>
    </w:p>
    <w:p w:rsidR="005C49A8" w:rsidRDefault="005C49A8" w:rsidP="00C50357">
      <w:pPr>
        <w:widowControl/>
        <w:numPr>
          <w:ilvl w:val="0"/>
          <w:numId w:val="84"/>
        </w:numPr>
        <w:divId w:val="882526065"/>
        <w:rPr>
          <w:rFonts w:ascii="Calibri" w:hAnsi="Calibri" w:cs="Calibri"/>
          <w:szCs w:val="21"/>
        </w:rPr>
      </w:pPr>
      <w:r>
        <w:rPr>
          <w:rFonts w:cs="Calibri" w:hint="eastAsia"/>
          <w:sz w:val="18"/>
          <w:szCs w:val="18"/>
        </w:rPr>
        <w:t>存货类别</w:t>
      </w:r>
    </w:p>
    <w:p w:rsidR="005C49A8" w:rsidRDefault="005C49A8">
      <w:pPr>
        <w:pStyle w:val="a3"/>
        <w:spacing w:before="0" w:beforeAutospacing="0" w:after="0" w:afterAutospacing="0"/>
        <w:ind w:firstLine="420"/>
        <w:jc w:val="both"/>
        <w:divId w:val="882526065"/>
      </w:pPr>
      <w:r>
        <w:rPr>
          <w:rFonts w:hint="eastAsia"/>
          <w:sz w:val="18"/>
          <w:szCs w:val="18"/>
        </w:rPr>
        <w:t>存货是指本公司在日常活动中持有以备出售的产成品或商品、处在生产过程中的在产品、在生产过程或提供劳务过程中耗用的材料和物料等。主要包括原材料、周转材料、委托加工材料、在产品、自制半成品、产成品（库存商品）、发出商品等。</w:t>
      </w:r>
    </w:p>
    <w:p w:rsidR="005C49A8" w:rsidRDefault="005C49A8" w:rsidP="00C50357">
      <w:pPr>
        <w:widowControl/>
        <w:numPr>
          <w:ilvl w:val="0"/>
          <w:numId w:val="85"/>
        </w:numPr>
        <w:divId w:val="882526065"/>
        <w:rPr>
          <w:rFonts w:ascii="Calibri" w:hAnsi="Calibri" w:cs="Calibri"/>
          <w:szCs w:val="21"/>
        </w:rPr>
      </w:pPr>
      <w:r>
        <w:rPr>
          <w:rFonts w:cs="Calibri" w:hint="eastAsia"/>
          <w:sz w:val="18"/>
          <w:szCs w:val="18"/>
        </w:rPr>
        <w:t>存货发出计价方法</w:t>
      </w:r>
    </w:p>
    <w:p w:rsidR="005C49A8" w:rsidRDefault="005C49A8">
      <w:pPr>
        <w:pStyle w:val="a3"/>
        <w:spacing w:before="0" w:beforeAutospacing="0" w:after="0" w:afterAutospacing="0"/>
        <w:ind w:firstLine="420"/>
        <w:jc w:val="both"/>
        <w:divId w:val="882526065"/>
      </w:pPr>
      <w:r>
        <w:rPr>
          <w:rFonts w:hint="eastAsia"/>
          <w:sz w:val="18"/>
          <w:szCs w:val="18"/>
        </w:rPr>
        <w:t>存货在取得时，按成本进行初始计量，包括采购成本、加工成本和其他成本。</w:t>
      </w:r>
    </w:p>
    <w:p w:rsidR="005C49A8" w:rsidRDefault="005C49A8">
      <w:pPr>
        <w:pStyle w:val="a3"/>
        <w:spacing w:before="0" w:beforeAutospacing="0" w:after="0" w:afterAutospacing="0"/>
        <w:ind w:firstLine="420"/>
        <w:jc w:val="both"/>
        <w:divId w:val="882526065"/>
      </w:pPr>
      <w:r>
        <w:rPr>
          <w:rFonts w:hint="eastAsia"/>
          <w:sz w:val="18"/>
          <w:szCs w:val="18"/>
        </w:rPr>
        <w:t>存货发出时按移动加权平均法计价。</w:t>
      </w:r>
    </w:p>
    <w:p w:rsidR="005C49A8" w:rsidRDefault="005C49A8" w:rsidP="00C50357">
      <w:pPr>
        <w:widowControl/>
        <w:numPr>
          <w:ilvl w:val="0"/>
          <w:numId w:val="86"/>
        </w:numPr>
        <w:divId w:val="882526065"/>
        <w:rPr>
          <w:rFonts w:ascii="Calibri" w:hAnsi="Calibri" w:cs="Calibri"/>
          <w:szCs w:val="21"/>
        </w:rPr>
      </w:pPr>
      <w:r>
        <w:rPr>
          <w:rFonts w:cs="Calibri" w:hint="eastAsia"/>
          <w:sz w:val="18"/>
          <w:szCs w:val="18"/>
        </w:rPr>
        <w:t>存货的盘存制度</w:t>
      </w:r>
    </w:p>
    <w:p w:rsidR="005C49A8" w:rsidRDefault="005C49A8">
      <w:pPr>
        <w:pStyle w:val="a3"/>
        <w:spacing w:before="0" w:beforeAutospacing="0" w:after="0" w:afterAutospacing="0"/>
        <w:ind w:firstLine="420"/>
        <w:jc w:val="both"/>
        <w:divId w:val="882526065"/>
      </w:pPr>
      <w:r>
        <w:rPr>
          <w:rFonts w:hint="eastAsia"/>
          <w:sz w:val="18"/>
          <w:szCs w:val="18"/>
        </w:rPr>
        <w:t>存货盘存制度为永续盘存制。</w:t>
      </w:r>
    </w:p>
    <w:p w:rsidR="005C49A8" w:rsidRDefault="005C49A8" w:rsidP="00C50357">
      <w:pPr>
        <w:widowControl/>
        <w:numPr>
          <w:ilvl w:val="0"/>
          <w:numId w:val="87"/>
        </w:numPr>
        <w:divId w:val="882526065"/>
        <w:rPr>
          <w:rFonts w:ascii="Calibri" w:hAnsi="Calibri" w:cs="Calibri"/>
          <w:szCs w:val="21"/>
        </w:rPr>
      </w:pPr>
      <w:r>
        <w:rPr>
          <w:rFonts w:cs="Calibri" w:hint="eastAsia"/>
          <w:sz w:val="18"/>
          <w:szCs w:val="18"/>
        </w:rPr>
        <w:t>低值易耗品和包装物的摊销方法</w:t>
      </w:r>
    </w:p>
    <w:p w:rsidR="005C49A8" w:rsidRDefault="005C49A8">
      <w:pPr>
        <w:pStyle w:val="a3"/>
        <w:spacing w:before="0" w:beforeAutospacing="0" w:after="0" w:afterAutospacing="0"/>
        <w:ind w:left="420"/>
        <w:jc w:val="both"/>
        <w:divId w:val="882526065"/>
      </w:pPr>
      <w:r>
        <w:rPr>
          <w:rFonts w:hint="eastAsia"/>
          <w:sz w:val="18"/>
          <w:szCs w:val="18"/>
        </w:rPr>
        <w:t>1）低值易耗品采用一次转销法进行摊销；</w:t>
      </w:r>
    </w:p>
    <w:p w:rsidR="005C49A8" w:rsidRDefault="005C49A8">
      <w:pPr>
        <w:pStyle w:val="a3"/>
        <w:spacing w:before="0" w:beforeAutospacing="0" w:after="0" w:afterAutospacing="0"/>
        <w:ind w:left="420"/>
        <w:jc w:val="both"/>
        <w:divId w:val="882526065"/>
      </w:pPr>
      <w:r>
        <w:rPr>
          <w:rFonts w:hint="eastAsia"/>
          <w:sz w:val="18"/>
          <w:szCs w:val="18"/>
        </w:rPr>
        <w:t>2）包装物采用一次转销法进行摊销。</w:t>
      </w:r>
    </w:p>
    <w:p w:rsidR="005C49A8" w:rsidRDefault="005C49A8">
      <w:pPr>
        <w:pStyle w:val="a3"/>
        <w:spacing w:before="0" w:beforeAutospacing="0" w:after="0" w:afterAutospacing="0"/>
        <w:ind w:left="420"/>
        <w:jc w:val="both"/>
        <w:divId w:val="882526065"/>
      </w:pPr>
      <w:r>
        <w:rPr>
          <w:rFonts w:hint="eastAsia"/>
          <w:sz w:val="18"/>
          <w:szCs w:val="18"/>
        </w:rPr>
        <w:t>3）其他周转材料采用一次转销法进行摊销。</w:t>
      </w:r>
    </w:p>
    <w:p w:rsidR="005C49A8" w:rsidRDefault="005C49A8" w:rsidP="00C50357">
      <w:pPr>
        <w:widowControl/>
        <w:numPr>
          <w:ilvl w:val="2"/>
          <w:numId w:val="88"/>
        </w:numPr>
        <w:tabs>
          <w:tab w:val="clear" w:pos="2160"/>
          <w:tab w:val="num" w:pos="1985"/>
        </w:tabs>
        <w:spacing w:before="100" w:beforeAutospacing="1" w:after="100" w:afterAutospacing="1"/>
        <w:ind w:left="426"/>
        <w:divId w:val="882526065"/>
        <w:rPr>
          <w:sz w:val="18"/>
          <w:szCs w:val="18"/>
        </w:rPr>
      </w:pPr>
      <w:r>
        <w:rPr>
          <w:rFonts w:hint="eastAsia"/>
          <w:sz w:val="18"/>
          <w:szCs w:val="18"/>
        </w:rPr>
        <w:lastRenderedPageBreak/>
        <w:t>．存货跌价准备的确认标准和计提方法</w:t>
      </w:r>
    </w:p>
    <w:p w:rsidR="005C49A8" w:rsidRDefault="005C49A8">
      <w:pPr>
        <w:pStyle w:val="a3"/>
        <w:spacing w:before="0" w:beforeAutospacing="0" w:after="0" w:afterAutospacing="0"/>
        <w:ind w:firstLine="420"/>
        <w:jc w:val="both"/>
        <w:divId w:val="882526065"/>
      </w:pPr>
      <w:proofErr w:type="gramStart"/>
      <w:r>
        <w:rPr>
          <w:rFonts w:hint="eastAsia"/>
          <w:sz w:val="18"/>
          <w:szCs w:val="18"/>
        </w:rPr>
        <w:t>期末对</w:t>
      </w:r>
      <w:proofErr w:type="gramEnd"/>
      <w:r>
        <w:rPr>
          <w:rFonts w:hint="eastAsia"/>
          <w:sz w:val="18"/>
          <w:szCs w:val="18"/>
        </w:rPr>
        <w:t>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5C49A8" w:rsidRDefault="005C49A8">
      <w:pPr>
        <w:pStyle w:val="a3"/>
        <w:spacing w:before="0" w:beforeAutospacing="0" w:after="0" w:afterAutospacing="0"/>
        <w:ind w:firstLine="420"/>
        <w:jc w:val="both"/>
        <w:divId w:val="882526065"/>
      </w:pPr>
      <w:r>
        <w:rPr>
          <w:rFonts w:hint="eastAsia"/>
          <w:sz w:val="18"/>
          <w:szCs w:val="18"/>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rsidR="005C49A8" w:rsidRDefault="005C49A8" w:rsidP="00F7271B">
      <w:pPr>
        <w:pStyle w:val="a3"/>
        <w:ind w:firstLineChars="200" w:firstLine="360"/>
        <w:divId w:val="882526065"/>
      </w:pPr>
      <w:proofErr w:type="gramStart"/>
      <w:r>
        <w:rPr>
          <w:rFonts w:hint="eastAsia"/>
          <w:sz w:val="18"/>
          <w:szCs w:val="18"/>
        </w:rPr>
        <w:t>以前减记</w:t>
      </w:r>
      <w:proofErr w:type="gramEnd"/>
      <w:r>
        <w:rPr>
          <w:rFonts w:hint="eastAsia"/>
          <w:sz w:val="18"/>
          <w:szCs w:val="18"/>
        </w:rPr>
        <w:t>存货价值的影响因素已经消失的，</w:t>
      </w:r>
      <w:proofErr w:type="gramStart"/>
      <w:r>
        <w:rPr>
          <w:rFonts w:hint="eastAsia"/>
          <w:sz w:val="18"/>
          <w:szCs w:val="18"/>
        </w:rPr>
        <w:t>减记的</w:t>
      </w:r>
      <w:proofErr w:type="gramEnd"/>
      <w:r>
        <w:rPr>
          <w:rFonts w:hint="eastAsia"/>
          <w:sz w:val="18"/>
          <w:szCs w:val="18"/>
        </w:rPr>
        <w:t>金额予以恢复，并在原已计提的存货跌价准备金额内转回，转回的金额计入当期损益。</w:t>
      </w:r>
    </w:p>
    <w:p w:rsidR="008820E4" w:rsidRDefault="005C49A8">
      <w:pPr>
        <w:pStyle w:val="3"/>
        <w:spacing w:line="280" w:lineRule="exact"/>
        <w:jc w:val="left"/>
        <w:rPr>
          <w:rFonts w:ascii="宋体" w:hAnsi="宋体" w:cs="宋体"/>
          <w:b/>
          <w:bCs/>
        </w:rPr>
      </w:pPr>
      <w:bookmarkStart w:id="135" w:name="_Toc989024"/>
      <w:r>
        <w:rPr>
          <w:rFonts w:ascii="宋体" w:hAnsi="宋体" w:cs="宋体"/>
          <w:b/>
          <w:bCs/>
        </w:rPr>
        <w:t>18、持有待售资产</w:t>
      </w:r>
      <w:bookmarkEnd w:id="135"/>
    </w:p>
    <w:p w:rsidR="005C49A8" w:rsidRDefault="005C49A8" w:rsidP="00C50357">
      <w:pPr>
        <w:widowControl/>
        <w:numPr>
          <w:ilvl w:val="2"/>
          <w:numId w:val="89"/>
        </w:numPr>
        <w:tabs>
          <w:tab w:val="clear" w:pos="2160"/>
          <w:tab w:val="num" w:pos="1985"/>
        </w:tabs>
        <w:spacing w:before="100" w:beforeAutospacing="1" w:after="100" w:afterAutospacing="1"/>
        <w:ind w:left="426"/>
        <w:divId w:val="1505438607"/>
        <w:rPr>
          <w:sz w:val="18"/>
          <w:szCs w:val="18"/>
        </w:rPr>
      </w:pPr>
      <w:r>
        <w:rPr>
          <w:rFonts w:hint="eastAsia"/>
          <w:sz w:val="18"/>
          <w:szCs w:val="18"/>
        </w:rPr>
        <w:t>．存货的确认条件</w:t>
      </w:r>
    </w:p>
    <w:p w:rsidR="005C49A8" w:rsidRDefault="005C49A8">
      <w:pPr>
        <w:pStyle w:val="a3"/>
        <w:spacing w:before="0" w:beforeAutospacing="0" w:after="0" w:afterAutospacing="0"/>
        <w:ind w:firstLine="424"/>
        <w:divId w:val="1505438607"/>
      </w:pPr>
      <w:r>
        <w:rPr>
          <w:rFonts w:hint="eastAsia"/>
          <w:sz w:val="18"/>
          <w:szCs w:val="18"/>
        </w:rPr>
        <w:t>在满足存货定义的基础上，持有的存货同时满足下列条件的，才能予以确认：</w:t>
      </w:r>
    </w:p>
    <w:p w:rsidR="005C49A8" w:rsidRDefault="005C49A8">
      <w:pPr>
        <w:pStyle w:val="a3"/>
        <w:spacing w:before="0" w:beforeAutospacing="0" w:after="0" w:afterAutospacing="0"/>
        <w:ind w:firstLine="420"/>
        <w:jc w:val="both"/>
        <w:divId w:val="1505438607"/>
      </w:pPr>
      <w:r>
        <w:rPr>
          <w:rFonts w:hint="eastAsia"/>
          <w:sz w:val="18"/>
          <w:szCs w:val="18"/>
        </w:rPr>
        <w:t>（1）与该存货有关的经济利益很可能流入企业；；</w:t>
      </w:r>
    </w:p>
    <w:p w:rsidR="005C49A8" w:rsidRDefault="005C49A8">
      <w:pPr>
        <w:pStyle w:val="a3"/>
        <w:spacing w:before="0" w:beforeAutospacing="0" w:after="0" w:afterAutospacing="0"/>
        <w:ind w:firstLine="420"/>
        <w:jc w:val="both"/>
        <w:divId w:val="1505438607"/>
      </w:pPr>
      <w:r>
        <w:rPr>
          <w:rFonts w:hint="eastAsia"/>
          <w:sz w:val="18"/>
          <w:szCs w:val="18"/>
        </w:rPr>
        <w:t>（2）该存货的成本能够可靠地计量。</w:t>
      </w:r>
    </w:p>
    <w:p w:rsidR="005C49A8" w:rsidRDefault="005C49A8" w:rsidP="00C50357">
      <w:pPr>
        <w:widowControl/>
        <w:numPr>
          <w:ilvl w:val="2"/>
          <w:numId w:val="90"/>
        </w:numPr>
        <w:tabs>
          <w:tab w:val="clear" w:pos="2160"/>
          <w:tab w:val="num" w:pos="1985"/>
        </w:tabs>
        <w:spacing w:before="100" w:beforeAutospacing="1" w:after="100" w:afterAutospacing="1"/>
        <w:ind w:left="426"/>
        <w:divId w:val="1505438607"/>
        <w:rPr>
          <w:sz w:val="18"/>
          <w:szCs w:val="18"/>
        </w:rPr>
      </w:pPr>
      <w:r>
        <w:rPr>
          <w:rFonts w:hint="eastAsia"/>
          <w:sz w:val="18"/>
          <w:szCs w:val="18"/>
        </w:rPr>
        <w:t>．存货类别、发出计价方法、盘存制度、低值易耗品和包装物的摊销方法</w:t>
      </w:r>
    </w:p>
    <w:p w:rsidR="005C49A8" w:rsidRDefault="005C49A8" w:rsidP="00C50357">
      <w:pPr>
        <w:widowControl/>
        <w:numPr>
          <w:ilvl w:val="0"/>
          <w:numId w:val="91"/>
        </w:numPr>
        <w:divId w:val="1505438607"/>
        <w:rPr>
          <w:rFonts w:ascii="Calibri" w:hAnsi="Calibri" w:cs="Calibri"/>
          <w:szCs w:val="21"/>
        </w:rPr>
      </w:pPr>
      <w:r>
        <w:rPr>
          <w:rFonts w:cs="Calibri" w:hint="eastAsia"/>
          <w:sz w:val="18"/>
          <w:szCs w:val="18"/>
        </w:rPr>
        <w:t>存货类别</w:t>
      </w:r>
    </w:p>
    <w:p w:rsidR="005C49A8" w:rsidRDefault="005C49A8">
      <w:pPr>
        <w:pStyle w:val="a3"/>
        <w:spacing w:before="0" w:beforeAutospacing="0" w:after="0" w:afterAutospacing="0"/>
        <w:ind w:firstLine="420"/>
        <w:jc w:val="both"/>
        <w:divId w:val="1505438607"/>
      </w:pPr>
      <w:r>
        <w:rPr>
          <w:rFonts w:hint="eastAsia"/>
          <w:sz w:val="18"/>
          <w:szCs w:val="18"/>
        </w:rPr>
        <w:t>存货是指本公司在日常活动中持有以备出售的产成品或商品、处在生产过程中的在产品、在生产过程或提供劳务过程中耗用的材料和物料等。主要包括原材料、周转材料、委托加工材料、在产品、自制半成品、产成品（库存商品）、发出商品等。</w:t>
      </w:r>
    </w:p>
    <w:p w:rsidR="005C49A8" w:rsidRDefault="005C49A8" w:rsidP="00C50357">
      <w:pPr>
        <w:widowControl/>
        <w:numPr>
          <w:ilvl w:val="0"/>
          <w:numId w:val="92"/>
        </w:numPr>
        <w:divId w:val="1505438607"/>
        <w:rPr>
          <w:rFonts w:ascii="Calibri" w:hAnsi="Calibri" w:cs="Calibri"/>
          <w:szCs w:val="21"/>
        </w:rPr>
      </w:pPr>
      <w:r>
        <w:rPr>
          <w:rFonts w:cs="Calibri" w:hint="eastAsia"/>
          <w:sz w:val="18"/>
          <w:szCs w:val="18"/>
        </w:rPr>
        <w:t>存货发出计价方法</w:t>
      </w:r>
    </w:p>
    <w:p w:rsidR="005C49A8" w:rsidRDefault="005C49A8">
      <w:pPr>
        <w:pStyle w:val="a3"/>
        <w:spacing w:before="0" w:beforeAutospacing="0" w:after="0" w:afterAutospacing="0"/>
        <w:ind w:firstLine="420"/>
        <w:jc w:val="both"/>
        <w:divId w:val="1505438607"/>
      </w:pPr>
      <w:r>
        <w:rPr>
          <w:rFonts w:hint="eastAsia"/>
          <w:sz w:val="18"/>
          <w:szCs w:val="18"/>
        </w:rPr>
        <w:t>存货在取得时，按成本进行初始计量，包括采购成本、加工成本和其他成本。</w:t>
      </w:r>
    </w:p>
    <w:p w:rsidR="005C49A8" w:rsidRDefault="005C49A8">
      <w:pPr>
        <w:pStyle w:val="a3"/>
        <w:spacing w:before="0" w:beforeAutospacing="0" w:after="0" w:afterAutospacing="0"/>
        <w:ind w:firstLine="420"/>
        <w:jc w:val="both"/>
        <w:divId w:val="1505438607"/>
      </w:pPr>
      <w:r>
        <w:rPr>
          <w:rFonts w:hint="eastAsia"/>
          <w:sz w:val="18"/>
          <w:szCs w:val="18"/>
        </w:rPr>
        <w:t>存货发出时按移动加权平均法计价。</w:t>
      </w:r>
    </w:p>
    <w:p w:rsidR="005C49A8" w:rsidRDefault="005C49A8" w:rsidP="00C50357">
      <w:pPr>
        <w:widowControl/>
        <w:numPr>
          <w:ilvl w:val="0"/>
          <w:numId w:val="93"/>
        </w:numPr>
        <w:divId w:val="1505438607"/>
        <w:rPr>
          <w:rFonts w:ascii="Calibri" w:hAnsi="Calibri" w:cs="Calibri"/>
          <w:szCs w:val="21"/>
        </w:rPr>
      </w:pPr>
      <w:r>
        <w:rPr>
          <w:rFonts w:cs="Calibri" w:hint="eastAsia"/>
          <w:sz w:val="18"/>
          <w:szCs w:val="18"/>
        </w:rPr>
        <w:t>存货的盘存制度</w:t>
      </w:r>
    </w:p>
    <w:p w:rsidR="005C49A8" w:rsidRDefault="005C49A8">
      <w:pPr>
        <w:pStyle w:val="a3"/>
        <w:spacing w:before="0" w:beforeAutospacing="0" w:after="0" w:afterAutospacing="0"/>
        <w:ind w:firstLine="420"/>
        <w:jc w:val="both"/>
        <w:divId w:val="1505438607"/>
      </w:pPr>
      <w:r>
        <w:rPr>
          <w:rFonts w:hint="eastAsia"/>
          <w:sz w:val="18"/>
          <w:szCs w:val="18"/>
        </w:rPr>
        <w:t>存货盘存制度为永续盘存制。</w:t>
      </w:r>
    </w:p>
    <w:p w:rsidR="005C49A8" w:rsidRDefault="005C49A8" w:rsidP="00C50357">
      <w:pPr>
        <w:widowControl/>
        <w:numPr>
          <w:ilvl w:val="0"/>
          <w:numId w:val="94"/>
        </w:numPr>
        <w:divId w:val="1505438607"/>
        <w:rPr>
          <w:rFonts w:ascii="Calibri" w:hAnsi="Calibri" w:cs="Calibri"/>
          <w:szCs w:val="21"/>
        </w:rPr>
      </w:pPr>
      <w:r>
        <w:rPr>
          <w:rFonts w:cs="Calibri" w:hint="eastAsia"/>
          <w:sz w:val="18"/>
          <w:szCs w:val="18"/>
        </w:rPr>
        <w:t>低值易耗品和包装物的摊销方法</w:t>
      </w:r>
    </w:p>
    <w:p w:rsidR="005C49A8" w:rsidRDefault="005C49A8">
      <w:pPr>
        <w:pStyle w:val="a3"/>
        <w:spacing w:before="0" w:beforeAutospacing="0" w:after="0" w:afterAutospacing="0"/>
        <w:ind w:left="420"/>
        <w:jc w:val="both"/>
        <w:divId w:val="1505438607"/>
      </w:pPr>
      <w:r>
        <w:rPr>
          <w:rFonts w:hint="eastAsia"/>
          <w:sz w:val="18"/>
          <w:szCs w:val="18"/>
        </w:rPr>
        <w:t>1）低值易耗品采用一次转销法进行摊销；</w:t>
      </w:r>
    </w:p>
    <w:p w:rsidR="005C49A8" w:rsidRDefault="005C49A8">
      <w:pPr>
        <w:pStyle w:val="a3"/>
        <w:spacing w:before="0" w:beforeAutospacing="0" w:after="0" w:afterAutospacing="0"/>
        <w:ind w:left="420"/>
        <w:jc w:val="both"/>
        <w:divId w:val="1505438607"/>
      </w:pPr>
      <w:r>
        <w:rPr>
          <w:rFonts w:hint="eastAsia"/>
          <w:sz w:val="18"/>
          <w:szCs w:val="18"/>
        </w:rPr>
        <w:t>2）包装物采用一次转销法进行摊销。</w:t>
      </w:r>
    </w:p>
    <w:p w:rsidR="005C49A8" w:rsidRDefault="005C49A8">
      <w:pPr>
        <w:pStyle w:val="a3"/>
        <w:spacing w:before="0" w:beforeAutospacing="0" w:after="0" w:afterAutospacing="0"/>
        <w:ind w:left="420"/>
        <w:jc w:val="both"/>
        <w:divId w:val="1505438607"/>
      </w:pPr>
      <w:r>
        <w:rPr>
          <w:rFonts w:hint="eastAsia"/>
          <w:sz w:val="18"/>
          <w:szCs w:val="18"/>
        </w:rPr>
        <w:t>3）其他周转材料采用一次转销法进行摊销。</w:t>
      </w:r>
    </w:p>
    <w:p w:rsidR="005C49A8" w:rsidRDefault="005C49A8" w:rsidP="00C50357">
      <w:pPr>
        <w:widowControl/>
        <w:numPr>
          <w:ilvl w:val="2"/>
          <w:numId w:val="95"/>
        </w:numPr>
        <w:tabs>
          <w:tab w:val="clear" w:pos="2160"/>
          <w:tab w:val="num" w:pos="1985"/>
        </w:tabs>
        <w:spacing w:before="100" w:beforeAutospacing="1" w:after="100" w:afterAutospacing="1"/>
        <w:ind w:left="426"/>
        <w:divId w:val="1505438607"/>
        <w:rPr>
          <w:sz w:val="18"/>
          <w:szCs w:val="18"/>
        </w:rPr>
      </w:pPr>
      <w:r>
        <w:rPr>
          <w:rFonts w:hint="eastAsia"/>
          <w:sz w:val="18"/>
          <w:szCs w:val="18"/>
        </w:rPr>
        <w:t>．存货跌价准备的确认标准和计提方法</w:t>
      </w:r>
    </w:p>
    <w:p w:rsidR="005C49A8" w:rsidRDefault="005C49A8">
      <w:pPr>
        <w:pStyle w:val="a3"/>
        <w:spacing w:before="0" w:beforeAutospacing="0" w:after="0" w:afterAutospacing="0"/>
        <w:ind w:firstLine="420"/>
        <w:jc w:val="both"/>
        <w:divId w:val="1505438607"/>
      </w:pPr>
      <w:proofErr w:type="gramStart"/>
      <w:r>
        <w:rPr>
          <w:rFonts w:hint="eastAsia"/>
          <w:sz w:val="18"/>
          <w:szCs w:val="18"/>
        </w:rPr>
        <w:t>期末对</w:t>
      </w:r>
      <w:proofErr w:type="gramEnd"/>
      <w:r>
        <w:rPr>
          <w:rFonts w:hint="eastAsia"/>
          <w:sz w:val="18"/>
          <w:szCs w:val="18"/>
        </w:rPr>
        <w:t>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w:t>
      </w:r>
      <w:r>
        <w:rPr>
          <w:rFonts w:hint="eastAsia"/>
          <w:sz w:val="18"/>
          <w:szCs w:val="18"/>
        </w:rPr>
        <w:lastRenderedPageBreak/>
        <w:t>同而持有的存货，其可变现净值以合同价格为基础计算，若持有存货的数量多于销售合同订购数量的，超出部分的存货的可变现净值以一般销售价格为基础计算。</w:t>
      </w:r>
    </w:p>
    <w:p w:rsidR="005C49A8" w:rsidRDefault="005C49A8">
      <w:pPr>
        <w:pStyle w:val="a3"/>
        <w:spacing w:before="0" w:beforeAutospacing="0" w:after="0" w:afterAutospacing="0"/>
        <w:ind w:firstLine="420"/>
        <w:jc w:val="both"/>
        <w:divId w:val="1505438607"/>
      </w:pPr>
      <w:r>
        <w:rPr>
          <w:rFonts w:hint="eastAsia"/>
          <w:sz w:val="18"/>
          <w:szCs w:val="18"/>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rsidR="005C49A8" w:rsidRDefault="005C49A8">
      <w:pPr>
        <w:pStyle w:val="a3"/>
        <w:divId w:val="1505438607"/>
      </w:pPr>
      <w:proofErr w:type="gramStart"/>
      <w:r>
        <w:rPr>
          <w:rFonts w:hint="eastAsia"/>
          <w:sz w:val="18"/>
          <w:szCs w:val="18"/>
        </w:rPr>
        <w:t>以前减记</w:t>
      </w:r>
      <w:proofErr w:type="gramEnd"/>
      <w:r>
        <w:rPr>
          <w:rFonts w:hint="eastAsia"/>
          <w:sz w:val="18"/>
          <w:szCs w:val="18"/>
        </w:rPr>
        <w:t>存货价值的影响因素已经消失的，</w:t>
      </w:r>
      <w:proofErr w:type="gramStart"/>
      <w:r>
        <w:rPr>
          <w:rFonts w:hint="eastAsia"/>
          <w:sz w:val="18"/>
          <w:szCs w:val="18"/>
        </w:rPr>
        <w:t>减记的</w:t>
      </w:r>
      <w:proofErr w:type="gramEnd"/>
      <w:r>
        <w:rPr>
          <w:rFonts w:hint="eastAsia"/>
          <w:sz w:val="18"/>
          <w:szCs w:val="18"/>
        </w:rPr>
        <w:t>金额予以恢复，并在原已计提的存货跌价准备金额内转回，转回的金额计入当期损益。</w:t>
      </w:r>
    </w:p>
    <w:p w:rsidR="008820E4" w:rsidRDefault="005C49A8">
      <w:pPr>
        <w:pStyle w:val="3"/>
        <w:spacing w:line="280" w:lineRule="exact"/>
        <w:jc w:val="left"/>
        <w:rPr>
          <w:rFonts w:ascii="宋体" w:hAnsi="宋体" w:cs="宋体"/>
          <w:b/>
          <w:bCs/>
        </w:rPr>
      </w:pPr>
      <w:bookmarkStart w:id="136" w:name="_Toc989025"/>
      <w:r>
        <w:rPr>
          <w:rFonts w:ascii="宋体" w:hAnsi="宋体" w:cs="宋体"/>
          <w:b/>
          <w:bCs/>
        </w:rPr>
        <w:t>19、债权投资</w:t>
      </w:r>
      <w:bookmarkEnd w:id="136"/>
    </w:p>
    <w:p w:rsidR="005C49A8" w:rsidRDefault="005C49A8">
      <w:pPr>
        <w:pStyle w:val="a3"/>
        <w:spacing w:before="0" w:beforeAutospacing="0" w:after="0" w:afterAutospacing="0"/>
        <w:ind w:firstLine="420"/>
        <w:jc w:val="both"/>
        <w:divId w:val="598299095"/>
      </w:pPr>
      <w:r>
        <w:rPr>
          <w:rFonts w:hint="eastAsia"/>
          <w:sz w:val="18"/>
          <w:szCs w:val="18"/>
        </w:rPr>
        <w:t>本公司对债权投资的预期信用损失的确定方法及会计处理方法详见本附注（十）6.金融工具减值。</w:t>
      </w:r>
    </w:p>
    <w:p w:rsidR="008820E4" w:rsidRDefault="005C49A8">
      <w:pPr>
        <w:pStyle w:val="3"/>
        <w:spacing w:line="280" w:lineRule="exact"/>
        <w:jc w:val="left"/>
        <w:rPr>
          <w:rFonts w:ascii="宋体" w:hAnsi="宋体" w:cs="宋体"/>
          <w:b/>
          <w:bCs/>
        </w:rPr>
      </w:pPr>
      <w:bookmarkStart w:id="137" w:name="_Toc989026"/>
      <w:r>
        <w:rPr>
          <w:rFonts w:ascii="宋体" w:hAnsi="宋体" w:cs="宋体"/>
          <w:b/>
          <w:bCs/>
        </w:rPr>
        <w:t>20、其他债权投资</w:t>
      </w:r>
      <w:bookmarkEnd w:id="137"/>
    </w:p>
    <w:p w:rsidR="005C49A8" w:rsidRDefault="005C49A8">
      <w:pPr>
        <w:pStyle w:val="a3"/>
        <w:spacing w:before="0" w:beforeAutospacing="0" w:after="0" w:afterAutospacing="0"/>
        <w:ind w:firstLine="420"/>
        <w:jc w:val="both"/>
        <w:divId w:val="880871105"/>
      </w:pPr>
      <w:r>
        <w:rPr>
          <w:rFonts w:hint="eastAsia"/>
          <w:sz w:val="18"/>
          <w:szCs w:val="18"/>
        </w:rPr>
        <w:t>本公司对债权投资的预期信用损失的确定方法及会计处理方法详见本附注（十）6.金融工具减值。</w:t>
      </w:r>
    </w:p>
    <w:p w:rsidR="008820E4" w:rsidRDefault="005C49A8">
      <w:pPr>
        <w:pStyle w:val="3"/>
        <w:spacing w:line="280" w:lineRule="exact"/>
        <w:jc w:val="left"/>
        <w:rPr>
          <w:rFonts w:ascii="宋体" w:hAnsi="宋体" w:cs="宋体"/>
          <w:b/>
          <w:bCs/>
        </w:rPr>
      </w:pPr>
      <w:bookmarkStart w:id="138" w:name="_Toc989027"/>
      <w:r>
        <w:rPr>
          <w:rFonts w:ascii="宋体" w:hAnsi="宋体" w:cs="宋体"/>
          <w:b/>
          <w:bCs/>
        </w:rPr>
        <w:t>21、长期应收款</w:t>
      </w:r>
      <w:bookmarkEnd w:id="138"/>
    </w:p>
    <w:p w:rsidR="005C49A8" w:rsidRDefault="005C49A8">
      <w:pPr>
        <w:pStyle w:val="a3"/>
        <w:spacing w:before="0" w:beforeAutospacing="0" w:after="0" w:afterAutospacing="0"/>
        <w:ind w:firstLine="420"/>
        <w:jc w:val="both"/>
        <w:divId w:val="965545236"/>
      </w:pPr>
      <w:r>
        <w:rPr>
          <w:rFonts w:hint="eastAsia"/>
          <w:sz w:val="18"/>
          <w:szCs w:val="18"/>
        </w:rPr>
        <w:t>本公司对长期应收款的预期信用损失的确定方法及会计处理方法详见本附注（十）6.金融工具减值。</w:t>
      </w:r>
    </w:p>
    <w:p w:rsidR="005C49A8" w:rsidRDefault="005C49A8">
      <w:pPr>
        <w:pStyle w:val="a3"/>
        <w:spacing w:before="0" w:beforeAutospacing="0" w:after="0" w:afterAutospacing="0"/>
        <w:ind w:firstLine="420"/>
        <w:jc w:val="both"/>
        <w:divId w:val="965545236"/>
      </w:pPr>
      <w:r>
        <w:rPr>
          <w:rFonts w:hint="eastAsia"/>
          <w:sz w:val="18"/>
          <w:szCs w:val="18"/>
        </w:rPr>
        <w:t>本公司对单项金额重大且在初始确认后已经发生信用减值的长期应收款单独确定其信用损失。</w:t>
      </w:r>
    </w:p>
    <w:p w:rsidR="005C49A8" w:rsidRDefault="005C49A8">
      <w:pPr>
        <w:pStyle w:val="a3"/>
        <w:spacing w:before="0" w:beforeAutospacing="0" w:after="0" w:afterAutospacing="0"/>
        <w:ind w:firstLine="420"/>
        <w:jc w:val="both"/>
        <w:divId w:val="965545236"/>
      </w:pPr>
      <w:r>
        <w:rPr>
          <w:rFonts w:hint="eastAsia"/>
          <w:sz w:val="18"/>
          <w:szCs w:val="18"/>
        </w:rPr>
        <w:t>当在单项工具层面无法以合理成本评估预期信用损失的充分证据时，本公司参考历史信用损失经验，结合当前状况以及对未来经济状况的判断，依据信用风险特征将长期应收款划分为若干组合，在组合基础上计算预期信用损失。确定组合的依据如下：</w:t>
      </w:r>
    </w:p>
    <w:tbl>
      <w:tblPr>
        <w:tblW w:w="5000" w:type="pct"/>
        <w:tblCellMar>
          <w:left w:w="0" w:type="dxa"/>
          <w:right w:w="0" w:type="dxa"/>
        </w:tblCellMar>
        <w:tblLook w:val="04A0" w:firstRow="1" w:lastRow="0" w:firstColumn="1" w:lastColumn="0" w:noHBand="0" w:noVBand="1"/>
        <w:tblCaption w:val="D:\大华\华孚\2024年度\TB|0-合并TB-华孚时尚股份有限公司-2024年度.xlsx|W附注模板|_jds10|0|desc|||0|1"/>
      </w:tblPr>
      <w:tblGrid>
        <w:gridCol w:w="1553"/>
        <w:gridCol w:w="4150"/>
        <w:gridCol w:w="4150"/>
      </w:tblGrid>
      <w:tr w:rsidR="005C49A8" w:rsidTr="00F7271B">
        <w:trPr>
          <w:divId w:val="965545236"/>
          <w:trHeight w:val="340"/>
        </w:trPr>
        <w:tc>
          <w:tcPr>
            <w:tcW w:w="155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组合名称</w:t>
            </w:r>
          </w:p>
        </w:tc>
        <w:tc>
          <w:tcPr>
            <w:tcW w:w="4150"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确定组合的依据</w:t>
            </w:r>
          </w:p>
        </w:tc>
        <w:tc>
          <w:tcPr>
            <w:tcW w:w="4150"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计提方法</w:t>
            </w:r>
          </w:p>
        </w:tc>
      </w:tr>
      <w:tr w:rsidR="005C49A8" w:rsidTr="00CF103B">
        <w:trPr>
          <w:divId w:val="965545236"/>
          <w:trHeight w:val="340"/>
        </w:trPr>
        <w:tc>
          <w:tcPr>
            <w:tcW w:w="155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风险组合</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本组合以长期应收款的账</w:t>
            </w:r>
            <w:proofErr w:type="gramStart"/>
            <w:r>
              <w:rPr>
                <w:rFonts w:hint="eastAsia"/>
                <w:sz w:val="18"/>
                <w:szCs w:val="18"/>
              </w:rPr>
              <w:t>龄作为</w:t>
            </w:r>
            <w:proofErr w:type="gramEnd"/>
            <w:r>
              <w:rPr>
                <w:rFonts w:hint="eastAsia"/>
                <w:sz w:val="18"/>
                <w:szCs w:val="18"/>
              </w:rPr>
              <w:t>信用风险特征</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参考历史信用损失经验，结合当前状况以及对未来经济状况的预期计量坏账准备</w:t>
            </w:r>
          </w:p>
        </w:tc>
      </w:tr>
      <w:tr w:rsidR="005C49A8" w:rsidTr="00CF103B">
        <w:trPr>
          <w:divId w:val="965545236"/>
          <w:trHeight w:val="340"/>
        </w:trPr>
        <w:tc>
          <w:tcPr>
            <w:tcW w:w="155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性质组合</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根据业务性质，主要包括合并范围内关联方的款项、出口退税款</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textAlignment w:val="center"/>
            </w:pPr>
            <w:r>
              <w:rPr>
                <w:rFonts w:hint="eastAsia"/>
                <w:sz w:val="18"/>
                <w:szCs w:val="18"/>
              </w:rPr>
              <w:t>参考历史信用损失经验，结合当前状况以及对未来经济状况的预期计量坏账准备</w:t>
            </w:r>
          </w:p>
        </w:tc>
      </w:tr>
    </w:tbl>
    <w:p w:rsidR="008820E4" w:rsidRDefault="005C49A8">
      <w:pPr>
        <w:pStyle w:val="3"/>
        <w:spacing w:line="280" w:lineRule="exact"/>
        <w:jc w:val="left"/>
        <w:rPr>
          <w:rFonts w:ascii="宋体" w:hAnsi="宋体" w:cs="宋体"/>
          <w:b/>
          <w:bCs/>
        </w:rPr>
      </w:pPr>
      <w:bookmarkStart w:id="139" w:name="_Toc989028"/>
      <w:r>
        <w:rPr>
          <w:rFonts w:ascii="宋体" w:hAnsi="宋体" w:cs="宋体"/>
          <w:b/>
          <w:bCs/>
        </w:rPr>
        <w:t>22、长期股权投资</w:t>
      </w:r>
      <w:bookmarkEnd w:id="139"/>
    </w:p>
    <w:p w:rsidR="005C49A8" w:rsidRDefault="005C49A8" w:rsidP="00C50357">
      <w:pPr>
        <w:widowControl/>
        <w:numPr>
          <w:ilvl w:val="0"/>
          <w:numId w:val="96"/>
        </w:numPr>
        <w:spacing w:before="100" w:beforeAutospacing="1" w:after="100" w:afterAutospacing="1"/>
        <w:divId w:val="1654139841"/>
        <w:rPr>
          <w:sz w:val="18"/>
          <w:szCs w:val="18"/>
        </w:rPr>
      </w:pPr>
      <w:r>
        <w:rPr>
          <w:rFonts w:hint="eastAsia"/>
          <w:sz w:val="18"/>
          <w:szCs w:val="18"/>
        </w:rPr>
        <w:t>．初始投资成本的确定</w:t>
      </w:r>
    </w:p>
    <w:p w:rsidR="005C49A8" w:rsidRDefault="005C49A8">
      <w:pPr>
        <w:pStyle w:val="a3"/>
        <w:spacing w:before="0" w:beforeAutospacing="0" w:after="0" w:afterAutospacing="0"/>
        <w:ind w:firstLine="420"/>
        <w:jc w:val="both"/>
        <w:divId w:val="1654139841"/>
      </w:pPr>
      <w:r>
        <w:rPr>
          <w:rFonts w:hint="eastAsia"/>
          <w:sz w:val="18"/>
          <w:szCs w:val="18"/>
        </w:rPr>
        <w:t>（1）企业合并形成的长期股权投资，具体会计政策详见本附注（七）同</w:t>
      </w:r>
      <w:proofErr w:type="gramStart"/>
      <w:r>
        <w:rPr>
          <w:rFonts w:hint="eastAsia"/>
          <w:sz w:val="18"/>
          <w:szCs w:val="18"/>
        </w:rPr>
        <w:t>一控制</w:t>
      </w:r>
      <w:proofErr w:type="gramEnd"/>
      <w:r>
        <w:rPr>
          <w:rFonts w:hint="eastAsia"/>
          <w:sz w:val="18"/>
          <w:szCs w:val="18"/>
        </w:rPr>
        <w:t>下和非同</w:t>
      </w:r>
      <w:proofErr w:type="gramStart"/>
      <w:r>
        <w:rPr>
          <w:rFonts w:hint="eastAsia"/>
          <w:sz w:val="18"/>
          <w:szCs w:val="18"/>
        </w:rPr>
        <w:t>一控制</w:t>
      </w:r>
      <w:proofErr w:type="gramEnd"/>
      <w:r>
        <w:rPr>
          <w:rFonts w:hint="eastAsia"/>
          <w:sz w:val="18"/>
          <w:szCs w:val="18"/>
        </w:rPr>
        <w:t>下企业合并的会计处理方法。</w:t>
      </w:r>
    </w:p>
    <w:p w:rsidR="005C49A8" w:rsidRDefault="005C49A8">
      <w:pPr>
        <w:pStyle w:val="a3"/>
        <w:spacing w:before="0" w:beforeAutospacing="0" w:after="0" w:afterAutospacing="0"/>
        <w:ind w:firstLine="420"/>
        <w:jc w:val="both"/>
        <w:divId w:val="1654139841"/>
      </w:pPr>
      <w:r>
        <w:rPr>
          <w:rFonts w:hint="eastAsia"/>
          <w:sz w:val="18"/>
          <w:szCs w:val="18"/>
        </w:rPr>
        <w:t>（2）其他方式取得的长期股权投资</w:t>
      </w:r>
    </w:p>
    <w:p w:rsidR="005C49A8" w:rsidRDefault="005C49A8">
      <w:pPr>
        <w:pStyle w:val="a3"/>
        <w:spacing w:before="0" w:beforeAutospacing="0" w:after="0" w:afterAutospacing="0"/>
        <w:ind w:firstLine="420"/>
        <w:jc w:val="both"/>
        <w:divId w:val="1654139841"/>
      </w:pPr>
      <w:r>
        <w:rPr>
          <w:rFonts w:hint="eastAsia"/>
          <w:sz w:val="18"/>
          <w:szCs w:val="18"/>
        </w:rPr>
        <w:t>以支付现金方式取得的长期股权投资，按照实际支付的购买价款作为初始投资成本。初始投资成本包括与取得长期股权投资直接相关的费用、税金及其他必要支出。</w:t>
      </w:r>
    </w:p>
    <w:p w:rsidR="005C49A8" w:rsidRDefault="005C49A8">
      <w:pPr>
        <w:pStyle w:val="a3"/>
        <w:spacing w:before="0" w:beforeAutospacing="0" w:after="0" w:afterAutospacing="0"/>
        <w:ind w:firstLine="420"/>
        <w:jc w:val="both"/>
        <w:divId w:val="1654139841"/>
      </w:pPr>
      <w:r>
        <w:rPr>
          <w:rFonts w:hint="eastAsia"/>
          <w:sz w:val="18"/>
          <w:szCs w:val="18"/>
        </w:rPr>
        <w:t>以发行权益</w:t>
      </w:r>
      <w:proofErr w:type="gramStart"/>
      <w:r>
        <w:rPr>
          <w:rFonts w:hint="eastAsia"/>
          <w:sz w:val="18"/>
          <w:szCs w:val="18"/>
        </w:rPr>
        <w:t>性证券</w:t>
      </w:r>
      <w:proofErr w:type="gramEnd"/>
      <w:r>
        <w:rPr>
          <w:rFonts w:hint="eastAsia"/>
          <w:sz w:val="18"/>
          <w:szCs w:val="18"/>
        </w:rPr>
        <w:t>取得的长期股权投资，按照发行权益</w:t>
      </w:r>
      <w:proofErr w:type="gramStart"/>
      <w:r>
        <w:rPr>
          <w:rFonts w:hint="eastAsia"/>
          <w:sz w:val="18"/>
          <w:szCs w:val="18"/>
        </w:rPr>
        <w:t>性证券</w:t>
      </w:r>
      <w:proofErr w:type="gramEnd"/>
      <w:r>
        <w:rPr>
          <w:rFonts w:hint="eastAsia"/>
          <w:sz w:val="18"/>
          <w:szCs w:val="18"/>
        </w:rPr>
        <w:t>的公允价值作为初始投资成本；发行或取得自身权益工具时发生的交易费用，可直接归属于权益性交易的从权益中扣减。</w:t>
      </w:r>
    </w:p>
    <w:p w:rsidR="005C49A8" w:rsidRDefault="005C49A8">
      <w:pPr>
        <w:pStyle w:val="a3"/>
        <w:spacing w:before="0" w:beforeAutospacing="0" w:after="0" w:afterAutospacing="0"/>
        <w:ind w:firstLine="420"/>
        <w:jc w:val="both"/>
        <w:divId w:val="1654139841"/>
      </w:pPr>
      <w:r>
        <w:rPr>
          <w:rFonts w:hint="eastAsia"/>
          <w:sz w:val="18"/>
          <w:szCs w:val="18"/>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rsidR="005C49A8" w:rsidRDefault="005C49A8">
      <w:pPr>
        <w:pStyle w:val="a3"/>
        <w:spacing w:before="0" w:beforeAutospacing="0" w:after="0" w:afterAutospacing="0"/>
        <w:ind w:firstLine="420"/>
        <w:jc w:val="both"/>
        <w:divId w:val="1654139841"/>
      </w:pPr>
      <w:r>
        <w:rPr>
          <w:rFonts w:hint="eastAsia"/>
          <w:sz w:val="18"/>
          <w:szCs w:val="18"/>
        </w:rPr>
        <w:t>通过债务重组取得的长期股权投资，其初始投资成本按照公允价值为基础确定。</w:t>
      </w:r>
    </w:p>
    <w:p w:rsidR="005C49A8" w:rsidRDefault="005C49A8" w:rsidP="00C50357">
      <w:pPr>
        <w:widowControl/>
        <w:numPr>
          <w:ilvl w:val="0"/>
          <w:numId w:val="97"/>
        </w:numPr>
        <w:spacing w:before="100" w:beforeAutospacing="1" w:after="100" w:afterAutospacing="1"/>
        <w:divId w:val="1654139841"/>
        <w:rPr>
          <w:sz w:val="18"/>
          <w:szCs w:val="18"/>
        </w:rPr>
      </w:pPr>
      <w:r>
        <w:rPr>
          <w:rFonts w:hint="eastAsia"/>
          <w:sz w:val="18"/>
          <w:szCs w:val="18"/>
        </w:rPr>
        <w:lastRenderedPageBreak/>
        <w:t>．后续计量及损益确认</w:t>
      </w:r>
    </w:p>
    <w:p w:rsidR="005C49A8" w:rsidRDefault="005C49A8">
      <w:pPr>
        <w:pStyle w:val="a3"/>
        <w:spacing w:before="0" w:beforeAutospacing="0" w:after="0" w:afterAutospacing="0"/>
        <w:ind w:firstLine="420"/>
        <w:jc w:val="both"/>
        <w:divId w:val="1654139841"/>
      </w:pPr>
      <w:r>
        <w:rPr>
          <w:rFonts w:hint="eastAsia"/>
          <w:sz w:val="18"/>
          <w:szCs w:val="18"/>
        </w:rPr>
        <w:t>（1）成本法</w:t>
      </w:r>
    </w:p>
    <w:p w:rsidR="005C49A8" w:rsidRDefault="005C49A8">
      <w:pPr>
        <w:pStyle w:val="a3"/>
        <w:spacing w:before="0" w:beforeAutospacing="0" w:after="0" w:afterAutospacing="0"/>
        <w:ind w:firstLine="420"/>
        <w:jc w:val="both"/>
        <w:divId w:val="1654139841"/>
      </w:pPr>
      <w:r>
        <w:rPr>
          <w:rFonts w:hint="eastAsia"/>
          <w:sz w:val="18"/>
          <w:szCs w:val="18"/>
        </w:rPr>
        <w:t>本公司能够对被投资单位实施控制的长期股权投资采用成本法核算，并按照初始投资成本计价，追加或收回投资调整长期股权投资的成本。</w:t>
      </w:r>
    </w:p>
    <w:p w:rsidR="005C49A8" w:rsidRDefault="005C49A8">
      <w:pPr>
        <w:pStyle w:val="a3"/>
        <w:spacing w:before="0" w:beforeAutospacing="0" w:after="0" w:afterAutospacing="0"/>
        <w:ind w:firstLine="420"/>
        <w:jc w:val="both"/>
        <w:divId w:val="1654139841"/>
      </w:pPr>
      <w:r>
        <w:rPr>
          <w:rFonts w:hint="eastAsia"/>
          <w:sz w:val="18"/>
          <w:szCs w:val="18"/>
        </w:rPr>
        <w:t>除取得投资时实际支付的价款或对价中包含的已宣告但尚未发放的现金股利或利润外，本公司按照享有被投资单位宣告分派的现金股利或利润确认为当期投资收益。</w:t>
      </w:r>
    </w:p>
    <w:p w:rsidR="005C49A8" w:rsidRDefault="005C49A8">
      <w:pPr>
        <w:pStyle w:val="a3"/>
        <w:spacing w:before="0" w:beforeAutospacing="0" w:after="0" w:afterAutospacing="0"/>
        <w:ind w:firstLine="420"/>
        <w:jc w:val="both"/>
        <w:divId w:val="1654139841"/>
      </w:pPr>
      <w:r>
        <w:rPr>
          <w:rFonts w:hint="eastAsia"/>
          <w:sz w:val="18"/>
          <w:szCs w:val="18"/>
        </w:rPr>
        <w:t>（2）权益法</w:t>
      </w:r>
    </w:p>
    <w:p w:rsidR="005C49A8" w:rsidRDefault="005C49A8">
      <w:pPr>
        <w:pStyle w:val="a3"/>
        <w:spacing w:before="0" w:beforeAutospacing="0" w:after="0" w:afterAutospacing="0"/>
        <w:ind w:firstLine="420"/>
        <w:jc w:val="both"/>
        <w:divId w:val="1654139841"/>
      </w:pPr>
      <w:r>
        <w:rPr>
          <w:rFonts w:hint="eastAsia"/>
          <w:sz w:val="18"/>
          <w:szCs w:val="18"/>
        </w:rPr>
        <w:t>本公司对联营企业和合营企业的长期股权投资采用权益法核算；对于其中一部分通过风险投资机构、共同基金、信托公司或包括投</w:t>
      </w:r>
      <w:proofErr w:type="gramStart"/>
      <w:r>
        <w:rPr>
          <w:rFonts w:hint="eastAsia"/>
          <w:sz w:val="18"/>
          <w:szCs w:val="18"/>
        </w:rPr>
        <w:t>连险基金</w:t>
      </w:r>
      <w:proofErr w:type="gramEnd"/>
      <w:r>
        <w:rPr>
          <w:rFonts w:hint="eastAsia"/>
          <w:sz w:val="18"/>
          <w:szCs w:val="18"/>
        </w:rPr>
        <w:t>在内的类似主体间接持有的联营企业的权益性投资，采用公允价值计量且其变动计入损益。</w:t>
      </w:r>
    </w:p>
    <w:p w:rsidR="005C49A8" w:rsidRDefault="005C49A8">
      <w:pPr>
        <w:pStyle w:val="a3"/>
        <w:spacing w:before="0" w:beforeAutospacing="0" w:after="0" w:afterAutospacing="0"/>
        <w:ind w:firstLine="420"/>
        <w:jc w:val="both"/>
        <w:divId w:val="1654139841"/>
      </w:pPr>
      <w:r>
        <w:rPr>
          <w:rFonts w:hint="eastAsia"/>
          <w:sz w:val="18"/>
          <w:szCs w:val="18"/>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rsidR="005C49A8" w:rsidRDefault="005C49A8">
      <w:pPr>
        <w:pStyle w:val="a3"/>
        <w:spacing w:before="0" w:beforeAutospacing="0" w:after="0" w:afterAutospacing="0"/>
        <w:ind w:firstLine="420"/>
        <w:jc w:val="both"/>
        <w:divId w:val="1654139841"/>
      </w:pPr>
      <w:r>
        <w:rPr>
          <w:rFonts w:hint="eastAsia"/>
          <w:sz w:val="18"/>
          <w:szCs w:val="18"/>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rsidR="005C49A8" w:rsidRDefault="005C49A8">
      <w:pPr>
        <w:pStyle w:val="a3"/>
        <w:spacing w:before="0" w:beforeAutospacing="0" w:after="0" w:afterAutospacing="0"/>
        <w:ind w:firstLine="420"/>
        <w:jc w:val="both"/>
        <w:divId w:val="1654139841"/>
      </w:pPr>
      <w:r>
        <w:rPr>
          <w:rFonts w:hint="eastAsia"/>
          <w:sz w:val="18"/>
          <w:szCs w:val="18"/>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w:t>
      </w:r>
      <w:proofErr w:type="gramStart"/>
      <w:r>
        <w:rPr>
          <w:rFonts w:hint="eastAsia"/>
          <w:sz w:val="18"/>
          <w:szCs w:val="18"/>
        </w:rPr>
        <w:t>抵销</w:t>
      </w:r>
      <w:proofErr w:type="gramEnd"/>
      <w:r>
        <w:rPr>
          <w:rFonts w:hint="eastAsia"/>
          <w:sz w:val="18"/>
          <w:szCs w:val="18"/>
        </w:rPr>
        <w:t>，在此基础上确认投资损益。</w:t>
      </w:r>
    </w:p>
    <w:p w:rsidR="005C49A8" w:rsidRDefault="005C49A8">
      <w:pPr>
        <w:pStyle w:val="a3"/>
        <w:spacing w:before="0" w:beforeAutospacing="0" w:after="0" w:afterAutospacing="0"/>
        <w:ind w:firstLine="420"/>
        <w:jc w:val="both"/>
        <w:divId w:val="1654139841"/>
      </w:pPr>
      <w:r>
        <w:rPr>
          <w:rFonts w:hint="eastAsia"/>
          <w:sz w:val="18"/>
          <w:szCs w:val="18"/>
        </w:rPr>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rsidR="005C49A8" w:rsidRDefault="005C49A8">
      <w:pPr>
        <w:pStyle w:val="a3"/>
        <w:spacing w:before="0" w:beforeAutospacing="0" w:after="0" w:afterAutospacing="0"/>
        <w:ind w:firstLine="420"/>
        <w:jc w:val="both"/>
        <w:divId w:val="1654139841"/>
      </w:pPr>
      <w:r>
        <w:rPr>
          <w:rFonts w:hint="eastAsia"/>
          <w:sz w:val="18"/>
          <w:szCs w:val="18"/>
        </w:rPr>
        <w:t>被投资单位以后期间实现盈利的，公司在扣除未确认的亏损分担额后，按与上述相反的顺序处理，</w:t>
      </w:r>
      <w:proofErr w:type="gramStart"/>
      <w:r>
        <w:rPr>
          <w:rFonts w:hint="eastAsia"/>
          <w:sz w:val="18"/>
          <w:szCs w:val="18"/>
        </w:rPr>
        <w:t>减记已</w:t>
      </w:r>
      <w:proofErr w:type="gramEnd"/>
      <w:r>
        <w:rPr>
          <w:rFonts w:hint="eastAsia"/>
          <w:sz w:val="18"/>
          <w:szCs w:val="18"/>
        </w:rPr>
        <w:t>确认预计负债的账面余额、恢复其他实质上构成对被投资单位净投资的长期权益及长期股权投资的账面价值后，恢复确认投资收益。</w:t>
      </w:r>
    </w:p>
    <w:p w:rsidR="005C49A8" w:rsidRDefault="005C49A8" w:rsidP="00C50357">
      <w:pPr>
        <w:widowControl/>
        <w:numPr>
          <w:ilvl w:val="0"/>
          <w:numId w:val="98"/>
        </w:numPr>
        <w:spacing w:before="100" w:beforeAutospacing="1" w:after="100" w:afterAutospacing="1"/>
        <w:divId w:val="1654139841"/>
        <w:rPr>
          <w:sz w:val="18"/>
          <w:szCs w:val="18"/>
        </w:rPr>
      </w:pPr>
      <w:r>
        <w:rPr>
          <w:rFonts w:hint="eastAsia"/>
          <w:sz w:val="18"/>
          <w:szCs w:val="18"/>
        </w:rPr>
        <w:t>．长期股权投资核算方法的转换</w:t>
      </w:r>
    </w:p>
    <w:p w:rsidR="005C49A8" w:rsidRDefault="005C49A8" w:rsidP="00C50357">
      <w:pPr>
        <w:widowControl/>
        <w:numPr>
          <w:ilvl w:val="0"/>
          <w:numId w:val="99"/>
        </w:numPr>
        <w:divId w:val="1654139841"/>
        <w:rPr>
          <w:rFonts w:ascii="Calibri" w:hAnsi="Calibri" w:cs="Calibri"/>
          <w:szCs w:val="21"/>
        </w:rPr>
      </w:pPr>
      <w:r>
        <w:rPr>
          <w:rFonts w:cs="Calibri" w:hint="eastAsia"/>
          <w:sz w:val="18"/>
          <w:szCs w:val="18"/>
        </w:rPr>
        <w:t>公允价值计量转权益法核算</w:t>
      </w:r>
    </w:p>
    <w:p w:rsidR="005C49A8" w:rsidRDefault="005C49A8">
      <w:pPr>
        <w:pStyle w:val="a3"/>
        <w:spacing w:before="0" w:beforeAutospacing="0" w:after="0" w:afterAutospacing="0"/>
        <w:ind w:firstLine="420"/>
        <w:jc w:val="both"/>
        <w:divId w:val="1654139841"/>
      </w:pPr>
      <w:r>
        <w:rPr>
          <w:rFonts w:hint="eastAsia"/>
          <w:sz w:val="18"/>
          <w:szCs w:val="18"/>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22号——金融工具确认和计量》确定的原持有的股权投资的公允价值加上为取得新增投资而应支付对价的公允价值，作为改按权益法核算的初始投资成本。原持有的股权投资指定为以公允价值计量且其变动计入其他综合收益的</w:t>
      </w:r>
      <w:proofErr w:type="gramStart"/>
      <w:r>
        <w:rPr>
          <w:rFonts w:hint="eastAsia"/>
          <w:sz w:val="18"/>
          <w:szCs w:val="18"/>
        </w:rPr>
        <w:t>非交易</w:t>
      </w:r>
      <w:proofErr w:type="gramEnd"/>
      <w:r>
        <w:rPr>
          <w:rFonts w:hint="eastAsia"/>
          <w:sz w:val="18"/>
          <w:szCs w:val="18"/>
        </w:rPr>
        <w:t>性权益工具投资的，其公允价值与账面价值之间的差额以及原计入其他综合收益的累计公允价值变动直接转入留存收益。</w:t>
      </w:r>
    </w:p>
    <w:p w:rsidR="005C49A8" w:rsidRDefault="005C49A8">
      <w:pPr>
        <w:pStyle w:val="a3"/>
        <w:spacing w:before="0" w:beforeAutospacing="0" w:after="0" w:afterAutospacing="0"/>
        <w:ind w:firstLine="420"/>
        <w:jc w:val="both"/>
        <w:divId w:val="1654139841"/>
      </w:pPr>
      <w:r>
        <w:rPr>
          <w:rFonts w:hint="eastAsia"/>
          <w:sz w:val="18"/>
          <w:szCs w:val="18"/>
        </w:rPr>
        <w:t>按权益法核算的初始投资成本小于按照追加投资后全新的持股比例计算确定的应享有被投资单位在追加</w:t>
      </w:r>
      <w:proofErr w:type="gramStart"/>
      <w:r>
        <w:rPr>
          <w:rFonts w:hint="eastAsia"/>
          <w:sz w:val="18"/>
          <w:szCs w:val="18"/>
        </w:rPr>
        <w:t>投资日</w:t>
      </w:r>
      <w:proofErr w:type="gramEnd"/>
      <w:r>
        <w:rPr>
          <w:rFonts w:hint="eastAsia"/>
          <w:sz w:val="18"/>
          <w:szCs w:val="18"/>
        </w:rPr>
        <w:t>可辨认净资产公允价值份额之间的差额，调整长期股权投资的账面价值，并计入当期营业外收入。</w:t>
      </w:r>
    </w:p>
    <w:p w:rsidR="005C49A8" w:rsidRDefault="005C49A8" w:rsidP="00C50357">
      <w:pPr>
        <w:widowControl/>
        <w:numPr>
          <w:ilvl w:val="0"/>
          <w:numId w:val="100"/>
        </w:numPr>
        <w:divId w:val="1654139841"/>
        <w:rPr>
          <w:rFonts w:ascii="Calibri" w:hAnsi="Calibri" w:cs="Calibri"/>
          <w:szCs w:val="21"/>
        </w:rPr>
      </w:pPr>
      <w:r>
        <w:rPr>
          <w:rFonts w:cs="Calibri" w:hint="eastAsia"/>
          <w:sz w:val="18"/>
          <w:szCs w:val="18"/>
        </w:rPr>
        <w:t>公允价值计量或权益法核算</w:t>
      </w:r>
      <w:proofErr w:type="gramStart"/>
      <w:r>
        <w:rPr>
          <w:rFonts w:cs="Calibri" w:hint="eastAsia"/>
          <w:sz w:val="18"/>
          <w:szCs w:val="18"/>
        </w:rPr>
        <w:t>转成本</w:t>
      </w:r>
      <w:proofErr w:type="gramEnd"/>
      <w:r>
        <w:rPr>
          <w:rFonts w:cs="Calibri" w:hint="eastAsia"/>
          <w:sz w:val="18"/>
          <w:szCs w:val="18"/>
        </w:rPr>
        <w:t>法核算</w:t>
      </w:r>
    </w:p>
    <w:p w:rsidR="005C49A8" w:rsidRDefault="005C49A8">
      <w:pPr>
        <w:pStyle w:val="a3"/>
        <w:spacing w:before="0" w:beforeAutospacing="0" w:after="0" w:afterAutospacing="0"/>
        <w:ind w:firstLine="420"/>
        <w:jc w:val="both"/>
        <w:divId w:val="1654139841"/>
      </w:pPr>
      <w:r>
        <w:rPr>
          <w:rFonts w:hint="eastAsia"/>
          <w:sz w:val="18"/>
          <w:szCs w:val="18"/>
        </w:rPr>
        <w:t>本公司原持有的对被投资单位不具有控制、共同控制或重大影响的按金融工具确认和计量准则进行会计处理的权益性投资，或原持有对联营企业、合营企业的长期股权投资，因追加投资等原因能够对非同</w:t>
      </w:r>
      <w:proofErr w:type="gramStart"/>
      <w:r>
        <w:rPr>
          <w:rFonts w:hint="eastAsia"/>
          <w:sz w:val="18"/>
          <w:szCs w:val="18"/>
        </w:rPr>
        <w:t>一控制</w:t>
      </w:r>
      <w:proofErr w:type="gramEnd"/>
      <w:r>
        <w:rPr>
          <w:rFonts w:hint="eastAsia"/>
          <w:sz w:val="18"/>
          <w:szCs w:val="18"/>
        </w:rPr>
        <w:t>下的被投资单位实施控制的，在编制个别财务报表时，按照原持有的股权投资账面价值加上新增投资成本之和，作为改按成本法核算的初始投资成本。</w:t>
      </w:r>
    </w:p>
    <w:p w:rsidR="005C49A8" w:rsidRDefault="005C49A8">
      <w:pPr>
        <w:pStyle w:val="a3"/>
        <w:spacing w:before="0" w:beforeAutospacing="0" w:after="0" w:afterAutospacing="0"/>
        <w:ind w:firstLine="420"/>
        <w:jc w:val="both"/>
        <w:divId w:val="1654139841"/>
      </w:pPr>
      <w:r>
        <w:rPr>
          <w:rFonts w:hint="eastAsia"/>
          <w:sz w:val="18"/>
          <w:szCs w:val="18"/>
        </w:rPr>
        <w:t>购买日之前持有的股权投资因采用权益法核算而确认的其他综合收益，在处置该项投资时采用与被投资单位直接处置相关资产或负债相同的基础进行会计处理。</w:t>
      </w:r>
    </w:p>
    <w:p w:rsidR="005C49A8" w:rsidRDefault="005C49A8">
      <w:pPr>
        <w:pStyle w:val="a3"/>
        <w:spacing w:before="0" w:beforeAutospacing="0" w:after="0" w:afterAutospacing="0"/>
        <w:ind w:firstLine="420"/>
        <w:jc w:val="both"/>
        <w:divId w:val="1654139841"/>
      </w:pPr>
      <w:r>
        <w:rPr>
          <w:rFonts w:hint="eastAsia"/>
          <w:sz w:val="18"/>
          <w:szCs w:val="18"/>
        </w:rPr>
        <w:lastRenderedPageBreak/>
        <w:t>购买日之前持有的股权投资按照《企业会计准则第22号——金融工具确认和计量》的有关规定进行会计处理的，原计入其他综合收益的累计公允价值变动在改按成本法核算时转入当期损益。</w:t>
      </w:r>
    </w:p>
    <w:p w:rsidR="005C49A8" w:rsidRDefault="005C49A8" w:rsidP="00C50357">
      <w:pPr>
        <w:widowControl/>
        <w:numPr>
          <w:ilvl w:val="0"/>
          <w:numId w:val="101"/>
        </w:numPr>
        <w:divId w:val="1654139841"/>
        <w:rPr>
          <w:rFonts w:ascii="Calibri" w:hAnsi="Calibri" w:cs="Calibri"/>
          <w:szCs w:val="21"/>
        </w:rPr>
      </w:pPr>
      <w:r>
        <w:rPr>
          <w:rFonts w:cs="Calibri" w:hint="eastAsia"/>
          <w:sz w:val="18"/>
          <w:szCs w:val="18"/>
        </w:rPr>
        <w:t>权益法核算转公允价值计量</w:t>
      </w:r>
    </w:p>
    <w:p w:rsidR="005C49A8" w:rsidRDefault="005C49A8">
      <w:pPr>
        <w:pStyle w:val="a3"/>
        <w:spacing w:before="0" w:beforeAutospacing="0" w:after="0" w:afterAutospacing="0"/>
        <w:ind w:firstLine="420"/>
        <w:jc w:val="both"/>
        <w:divId w:val="1654139841"/>
      </w:pPr>
      <w:r>
        <w:rPr>
          <w:rFonts w:hint="eastAsia"/>
          <w:sz w:val="18"/>
          <w:szCs w:val="18"/>
        </w:rPr>
        <w:t>本公司因处置部分股权投资等原因丧失了对被投资单位的共同控制或重大影响的，处置后的剩余股权改按《企业会计准则第22号——金融工具确认和计量》核算，其在丧失共同控制或重大影响之日的公允价值与账面价值之间的差额计入当期损益。</w:t>
      </w:r>
    </w:p>
    <w:p w:rsidR="005C49A8" w:rsidRDefault="005C49A8">
      <w:pPr>
        <w:pStyle w:val="a3"/>
        <w:spacing w:before="0" w:beforeAutospacing="0" w:after="0" w:afterAutospacing="0"/>
        <w:ind w:firstLine="420"/>
        <w:jc w:val="both"/>
        <w:divId w:val="1654139841"/>
      </w:pPr>
      <w:r>
        <w:rPr>
          <w:rFonts w:hint="eastAsia"/>
          <w:sz w:val="18"/>
          <w:szCs w:val="18"/>
        </w:rPr>
        <w:t>原股权投资因采用权益法核算而确认的其他综合收益，在终止采用权益法核算时采用与被投资单位直接处置相关资产或负债相同的基础进行会计处理。</w:t>
      </w:r>
    </w:p>
    <w:p w:rsidR="005C49A8" w:rsidRDefault="005C49A8" w:rsidP="00C50357">
      <w:pPr>
        <w:widowControl/>
        <w:numPr>
          <w:ilvl w:val="0"/>
          <w:numId w:val="102"/>
        </w:numPr>
        <w:divId w:val="1654139841"/>
        <w:rPr>
          <w:rFonts w:ascii="Calibri" w:hAnsi="Calibri" w:cs="Calibri"/>
          <w:szCs w:val="21"/>
        </w:rPr>
      </w:pPr>
      <w:r>
        <w:rPr>
          <w:rFonts w:cs="Calibri" w:hint="eastAsia"/>
          <w:sz w:val="18"/>
          <w:szCs w:val="18"/>
        </w:rPr>
        <w:t>成本</w:t>
      </w:r>
      <w:proofErr w:type="gramStart"/>
      <w:r>
        <w:rPr>
          <w:rFonts w:cs="Calibri" w:hint="eastAsia"/>
          <w:sz w:val="18"/>
          <w:szCs w:val="18"/>
        </w:rPr>
        <w:t>法转权益</w:t>
      </w:r>
      <w:proofErr w:type="gramEnd"/>
      <w:r>
        <w:rPr>
          <w:rFonts w:cs="Calibri" w:hint="eastAsia"/>
          <w:sz w:val="18"/>
          <w:szCs w:val="18"/>
        </w:rPr>
        <w:t>法</w:t>
      </w:r>
    </w:p>
    <w:p w:rsidR="005C49A8" w:rsidRDefault="005C49A8">
      <w:pPr>
        <w:pStyle w:val="a3"/>
        <w:spacing w:before="0" w:beforeAutospacing="0" w:after="0" w:afterAutospacing="0"/>
        <w:ind w:firstLine="420"/>
        <w:jc w:val="both"/>
        <w:divId w:val="1654139841"/>
      </w:pPr>
      <w:r>
        <w:rPr>
          <w:rFonts w:hint="eastAsia"/>
          <w:sz w:val="18"/>
          <w:szCs w:val="18"/>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rsidR="005C49A8" w:rsidRDefault="005C49A8" w:rsidP="00C50357">
      <w:pPr>
        <w:widowControl/>
        <w:numPr>
          <w:ilvl w:val="0"/>
          <w:numId w:val="103"/>
        </w:numPr>
        <w:divId w:val="1654139841"/>
        <w:rPr>
          <w:rFonts w:ascii="Calibri" w:hAnsi="Calibri" w:cs="Calibri"/>
          <w:szCs w:val="21"/>
        </w:rPr>
      </w:pPr>
      <w:proofErr w:type="gramStart"/>
      <w:r>
        <w:rPr>
          <w:rFonts w:cs="Calibri" w:hint="eastAsia"/>
          <w:sz w:val="18"/>
          <w:szCs w:val="18"/>
        </w:rPr>
        <w:t>成本法转公允</w:t>
      </w:r>
      <w:proofErr w:type="gramEnd"/>
      <w:r>
        <w:rPr>
          <w:rFonts w:cs="Calibri" w:hint="eastAsia"/>
          <w:sz w:val="18"/>
          <w:szCs w:val="18"/>
        </w:rPr>
        <w:t>价值计量</w:t>
      </w:r>
    </w:p>
    <w:p w:rsidR="005C49A8" w:rsidRDefault="005C49A8">
      <w:pPr>
        <w:pStyle w:val="a3"/>
        <w:spacing w:before="0" w:beforeAutospacing="0" w:after="0" w:afterAutospacing="0"/>
        <w:ind w:firstLine="420"/>
        <w:jc w:val="both"/>
        <w:divId w:val="1654139841"/>
      </w:pPr>
      <w:r>
        <w:rPr>
          <w:rFonts w:hint="eastAsia"/>
          <w:sz w:val="18"/>
          <w:szCs w:val="18"/>
        </w:rPr>
        <w:t>本公司因处置部分权益性投资等原因丧失了对被投资单位的控制的，在编制个别财务报表时，处置后的剩余股权不能对被投资单位实施共同控制或施加重大影响的，改按《企业会计准则第22号——金融工具确认和计量》的有关规定进行会计处理，其在丧失控制之日的公允价值与账面价值间的差额计入当期损益。</w:t>
      </w:r>
    </w:p>
    <w:p w:rsidR="005C49A8" w:rsidRDefault="005C49A8" w:rsidP="00C50357">
      <w:pPr>
        <w:widowControl/>
        <w:numPr>
          <w:ilvl w:val="0"/>
          <w:numId w:val="104"/>
        </w:numPr>
        <w:spacing w:before="100" w:beforeAutospacing="1" w:after="100" w:afterAutospacing="1"/>
        <w:divId w:val="1654139841"/>
        <w:rPr>
          <w:sz w:val="18"/>
          <w:szCs w:val="18"/>
        </w:rPr>
      </w:pPr>
      <w:r>
        <w:rPr>
          <w:rFonts w:hint="eastAsia"/>
          <w:sz w:val="18"/>
          <w:szCs w:val="18"/>
        </w:rPr>
        <w:t>．长期股权投资的处置</w:t>
      </w:r>
    </w:p>
    <w:p w:rsidR="005C49A8" w:rsidRDefault="005C49A8">
      <w:pPr>
        <w:pStyle w:val="a3"/>
        <w:spacing w:before="0" w:beforeAutospacing="0" w:after="0" w:afterAutospacing="0"/>
        <w:ind w:firstLine="420"/>
        <w:jc w:val="both"/>
        <w:divId w:val="1654139841"/>
      </w:pPr>
      <w:r>
        <w:rPr>
          <w:rFonts w:hint="eastAsia"/>
          <w:sz w:val="18"/>
          <w:szCs w:val="18"/>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rsidR="005C49A8" w:rsidRDefault="005C49A8">
      <w:pPr>
        <w:pStyle w:val="a3"/>
        <w:spacing w:before="0" w:beforeAutospacing="0" w:after="0" w:afterAutospacing="0"/>
        <w:ind w:firstLine="420"/>
        <w:jc w:val="both"/>
        <w:divId w:val="1654139841"/>
      </w:pPr>
      <w:r>
        <w:rPr>
          <w:rFonts w:hint="eastAsia"/>
          <w:sz w:val="18"/>
          <w:szCs w:val="18"/>
        </w:rPr>
        <w:t>处置对子公司股权投资的各项交易的条款、条件以及经济影响符合以下一种或多种情况，将多次交易事项作为一揽子交易进行会计处理：</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这些交易是同时或者在考虑了彼此影响的情况下订立的；</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这些交易整体才能达成一项完整的商业结果；</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一项交易的发生取决于其他至少一项交易的发生；</w:t>
      </w:r>
    </w:p>
    <w:p w:rsidR="005C49A8" w:rsidRDefault="005C49A8" w:rsidP="00C50357">
      <w:pPr>
        <w:widowControl/>
        <w:numPr>
          <w:ilvl w:val="0"/>
          <w:numId w:val="105"/>
        </w:numPr>
        <w:divId w:val="1654139841"/>
        <w:rPr>
          <w:rFonts w:ascii="Calibri" w:hAnsi="Calibri" w:cs="Calibri"/>
          <w:szCs w:val="21"/>
        </w:rPr>
      </w:pPr>
      <w:r>
        <w:rPr>
          <w:rFonts w:cs="Calibri" w:hint="eastAsia"/>
          <w:sz w:val="18"/>
          <w:szCs w:val="18"/>
        </w:rPr>
        <w:t>一项交易单独看是不经济的，但是和其他交易一并考虑时是经济的。</w:t>
      </w:r>
    </w:p>
    <w:p w:rsidR="005C49A8" w:rsidRDefault="005C49A8">
      <w:pPr>
        <w:pStyle w:val="a3"/>
        <w:spacing w:before="0" w:beforeAutospacing="0" w:after="0" w:afterAutospacing="0"/>
        <w:ind w:firstLine="420"/>
        <w:jc w:val="both"/>
        <w:divId w:val="1654139841"/>
      </w:pPr>
      <w:r>
        <w:rPr>
          <w:rFonts w:hint="eastAsia"/>
          <w:sz w:val="18"/>
          <w:szCs w:val="18"/>
        </w:rPr>
        <w:t>因处置部分股权投资或其他原因丧失了对原有子公司控制权的，不属于一揽子交易的，区分个别财务报表和合并财务报表进行相关会计处理：</w:t>
      </w:r>
    </w:p>
    <w:p w:rsidR="005C49A8" w:rsidRDefault="005C49A8">
      <w:pPr>
        <w:pStyle w:val="a3"/>
        <w:spacing w:before="0" w:beforeAutospacing="0" w:after="0" w:afterAutospacing="0"/>
        <w:ind w:firstLine="420"/>
        <w:jc w:val="both"/>
        <w:divId w:val="1654139841"/>
      </w:pPr>
      <w:r>
        <w:rPr>
          <w:rFonts w:hint="eastAsia"/>
          <w:sz w:val="18"/>
          <w:szCs w:val="18"/>
        </w:rPr>
        <w:t>（1）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22号——金融工具确认和计量》的有关规定进行会计处理，其在丧失控制之日的公允价值与账面价值间的差额计入当期损益。</w:t>
      </w:r>
    </w:p>
    <w:p w:rsidR="005C49A8" w:rsidRDefault="005C49A8">
      <w:pPr>
        <w:pStyle w:val="a3"/>
        <w:spacing w:before="0" w:beforeAutospacing="0" w:after="0" w:afterAutospacing="0"/>
        <w:ind w:firstLine="420"/>
        <w:jc w:val="both"/>
        <w:divId w:val="1654139841"/>
      </w:pPr>
      <w:r>
        <w:rPr>
          <w:rFonts w:hint="eastAsia"/>
          <w:sz w:val="18"/>
          <w:szCs w:val="18"/>
        </w:rPr>
        <w:t>（2）在合并财务报表中，对于在丧失对子公司控制权以前的各项交易，处置价款与处置长期股权投资相应对享有子公司自购买日或</w:t>
      </w:r>
      <w:proofErr w:type="gramStart"/>
      <w:r>
        <w:rPr>
          <w:rFonts w:hint="eastAsia"/>
          <w:sz w:val="18"/>
          <w:szCs w:val="18"/>
        </w:rPr>
        <w:t>合并日</w:t>
      </w:r>
      <w:proofErr w:type="gramEnd"/>
      <w:r>
        <w:rPr>
          <w:rFonts w:hint="eastAsia"/>
          <w:sz w:val="18"/>
          <w:szCs w:val="18"/>
        </w:rPr>
        <w:t>开始持续计算的净资产份额之间的差额，调整资本公积（股本溢价），资本公</w:t>
      </w:r>
      <w:proofErr w:type="gramStart"/>
      <w:r>
        <w:rPr>
          <w:rFonts w:hint="eastAsia"/>
          <w:sz w:val="18"/>
          <w:szCs w:val="18"/>
        </w:rPr>
        <w:t>积不足</w:t>
      </w:r>
      <w:proofErr w:type="gramEnd"/>
      <w:r>
        <w:rPr>
          <w:rFonts w:hint="eastAsia"/>
          <w:sz w:val="18"/>
          <w:szCs w:val="18"/>
        </w:rPr>
        <w:t>冲减的，依次冲减盈余公积、未分配利润；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与商誉之和的差额，计入丧失控制权当期的投资收益。与原有子公司的股权投资相关的其他综合收益在丧失控制权时采用与原有子公司直接处置相关资产或负债相同的基础进行会计处理，与原有子公司相关的涉及权益法核算下的其他所有者权益变动在丧失控制权时转入当期损益。</w:t>
      </w:r>
    </w:p>
    <w:p w:rsidR="005C49A8" w:rsidRDefault="005C49A8">
      <w:pPr>
        <w:pStyle w:val="a3"/>
        <w:spacing w:before="0" w:beforeAutospacing="0" w:after="0" w:afterAutospacing="0"/>
        <w:ind w:firstLine="420"/>
        <w:jc w:val="both"/>
        <w:divId w:val="1654139841"/>
      </w:pPr>
      <w:r>
        <w:rPr>
          <w:rFonts w:hint="eastAsia"/>
          <w:sz w:val="18"/>
          <w:szCs w:val="18"/>
        </w:rPr>
        <w:t>处置对子公司股权投资直至丧失控制权的各项交易属于一揽子交易的，将各项交易作为一项处置子公司股权投资并丧失控制权的交易进行会计处理，区分个别财务报表和合并财务报表进行相关会计处理：</w:t>
      </w:r>
    </w:p>
    <w:p w:rsidR="005C49A8" w:rsidRDefault="005C49A8">
      <w:pPr>
        <w:pStyle w:val="a3"/>
        <w:spacing w:before="0" w:beforeAutospacing="0" w:after="0" w:afterAutospacing="0"/>
        <w:ind w:firstLine="420"/>
        <w:jc w:val="both"/>
        <w:divId w:val="1654139841"/>
      </w:pPr>
      <w:r>
        <w:rPr>
          <w:rFonts w:hint="eastAsia"/>
          <w:sz w:val="18"/>
          <w:szCs w:val="18"/>
        </w:rPr>
        <w:t>（1）在个别财务报表中，在丧失控制权之前每一次处置价款与处置的股权对应的长期股权投资账面价值之间的差额，确认为其他综合收益，在丧失控制权时一并转入丧失控制权当期的损益。</w:t>
      </w:r>
    </w:p>
    <w:p w:rsidR="005C49A8" w:rsidRDefault="005C49A8">
      <w:pPr>
        <w:pStyle w:val="a3"/>
        <w:spacing w:before="0" w:beforeAutospacing="0" w:after="0" w:afterAutospacing="0"/>
        <w:ind w:firstLine="420"/>
        <w:jc w:val="both"/>
        <w:divId w:val="1654139841"/>
      </w:pPr>
      <w:r>
        <w:rPr>
          <w:rFonts w:hint="eastAsia"/>
          <w:sz w:val="18"/>
          <w:szCs w:val="18"/>
        </w:rPr>
        <w:lastRenderedPageBreak/>
        <w:t>（2）在合并财务报表中，在丧失控制权之前每一次处置价款与处置投资对应的享有该子公司净资产份额的差额，确认为其他综合收益，在丧失控制权时一并转入丧失控制权当期的损益。</w:t>
      </w:r>
    </w:p>
    <w:p w:rsidR="005C49A8" w:rsidRDefault="005C49A8" w:rsidP="00C50357">
      <w:pPr>
        <w:widowControl/>
        <w:numPr>
          <w:ilvl w:val="0"/>
          <w:numId w:val="106"/>
        </w:numPr>
        <w:spacing w:before="100" w:beforeAutospacing="1" w:after="100" w:afterAutospacing="1"/>
        <w:divId w:val="1654139841"/>
        <w:rPr>
          <w:sz w:val="18"/>
          <w:szCs w:val="18"/>
        </w:rPr>
      </w:pPr>
      <w:r>
        <w:rPr>
          <w:rFonts w:hint="eastAsia"/>
          <w:sz w:val="18"/>
          <w:szCs w:val="18"/>
        </w:rPr>
        <w:t>．共同控制、重大影响的判断标准</w:t>
      </w:r>
    </w:p>
    <w:p w:rsidR="005C49A8" w:rsidRDefault="005C49A8">
      <w:pPr>
        <w:pStyle w:val="a3"/>
        <w:spacing w:before="0" w:beforeAutospacing="0" w:after="0" w:afterAutospacing="0"/>
        <w:ind w:firstLine="420"/>
        <w:jc w:val="both"/>
        <w:divId w:val="1654139841"/>
      </w:pPr>
      <w:r>
        <w:rPr>
          <w:rFonts w:hint="eastAsia"/>
          <w:sz w:val="18"/>
          <w:szCs w:val="18"/>
        </w:rPr>
        <w:t>如果本公司按照相关约定与其他参与</w:t>
      </w:r>
      <w:proofErr w:type="gramStart"/>
      <w:r>
        <w:rPr>
          <w:rFonts w:hint="eastAsia"/>
          <w:sz w:val="18"/>
          <w:szCs w:val="18"/>
        </w:rPr>
        <w:t>方集体</w:t>
      </w:r>
      <w:proofErr w:type="gramEnd"/>
      <w:r>
        <w:rPr>
          <w:rFonts w:hint="eastAsia"/>
          <w:sz w:val="18"/>
          <w:szCs w:val="18"/>
        </w:rPr>
        <w:t>控制某项安排，并且对该安排回报具有重大影响的活动决策，需要经过分享控制权的参与方一致同意时才存在，则视为本公司与其他参与方共同控制某项安排，该安排即属于合营安排。</w:t>
      </w:r>
    </w:p>
    <w:p w:rsidR="005C49A8" w:rsidRDefault="005C49A8">
      <w:pPr>
        <w:pStyle w:val="a3"/>
        <w:spacing w:before="0" w:beforeAutospacing="0" w:after="0" w:afterAutospacing="0"/>
        <w:ind w:firstLine="420"/>
        <w:jc w:val="both"/>
        <w:divId w:val="1654139841"/>
      </w:pPr>
      <w:r>
        <w:rPr>
          <w:rFonts w:hint="eastAsia"/>
          <w:sz w:val="18"/>
          <w:szCs w:val="18"/>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rsidR="005C49A8" w:rsidRDefault="005C49A8">
      <w:pPr>
        <w:pStyle w:val="a3"/>
        <w:spacing w:before="0" w:beforeAutospacing="0" w:after="0" w:afterAutospacing="0"/>
        <w:ind w:firstLine="420"/>
        <w:jc w:val="both"/>
        <w:divId w:val="1654139841"/>
      </w:pPr>
      <w:r>
        <w:rPr>
          <w:rFonts w:hint="eastAsia"/>
          <w:sz w:val="18"/>
          <w:szCs w:val="18"/>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1）在被投资单位的董事会或类似权力机构中派有代表；（2）参与被投资单位财务和经营政策制定过程；（3）与被投资单位之间发生重要交易；（4）向被投资单位派出管理人员；（5）向被投资单位提供关键技术资料。</w:t>
      </w:r>
    </w:p>
    <w:p w:rsidR="008820E4" w:rsidRDefault="005C49A8">
      <w:pPr>
        <w:pStyle w:val="3"/>
        <w:spacing w:line="280" w:lineRule="exact"/>
        <w:jc w:val="left"/>
        <w:rPr>
          <w:rFonts w:ascii="宋体" w:hAnsi="宋体" w:cs="宋体"/>
          <w:b/>
          <w:bCs/>
        </w:rPr>
      </w:pPr>
      <w:bookmarkStart w:id="140" w:name="_Toc989029"/>
      <w:r>
        <w:rPr>
          <w:rFonts w:ascii="宋体" w:hAnsi="宋体" w:cs="宋体"/>
          <w:b/>
          <w:bCs/>
        </w:rPr>
        <w:t>23、投资性房地产</w:t>
      </w:r>
      <w:bookmarkEnd w:id="14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投资性房地产计量模式</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成本法计量</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折旧或摊销方法</w:t>
      </w:r>
    </w:p>
    <w:p w:rsidR="005C49A8" w:rsidRDefault="005C49A8">
      <w:pPr>
        <w:pStyle w:val="a3"/>
        <w:spacing w:before="0" w:beforeAutospacing="0" w:after="0" w:afterAutospacing="0"/>
        <w:ind w:firstLine="420"/>
        <w:jc w:val="both"/>
        <w:divId w:val="1513186274"/>
      </w:pPr>
      <w:r>
        <w:rPr>
          <w:rFonts w:hint="eastAsia"/>
          <w:sz w:val="18"/>
          <w:szCs w:val="18"/>
        </w:rPr>
        <w:t>投资性房地产是指为赚取租金或资本增值，或两者兼有而持有的房地产，包括已出租的土地使用权、持有并</w:t>
      </w:r>
      <w:proofErr w:type="gramStart"/>
      <w:r>
        <w:rPr>
          <w:rFonts w:hint="eastAsia"/>
          <w:sz w:val="18"/>
          <w:szCs w:val="18"/>
        </w:rPr>
        <w:t>准备增值</w:t>
      </w:r>
      <w:proofErr w:type="gramEnd"/>
      <w:r>
        <w:rPr>
          <w:rFonts w:hint="eastAsia"/>
          <w:sz w:val="18"/>
          <w:szCs w:val="18"/>
        </w:rPr>
        <w:t>后转让的土地使用权、已出租的建筑物。此外，对于本公司持有以备经营出租的空置建筑物，若董事会</w:t>
      </w:r>
      <w:proofErr w:type="gramStart"/>
      <w:r>
        <w:rPr>
          <w:rFonts w:hint="eastAsia"/>
          <w:sz w:val="18"/>
          <w:szCs w:val="18"/>
        </w:rPr>
        <w:t>作出</w:t>
      </w:r>
      <w:proofErr w:type="gramEnd"/>
      <w:r>
        <w:rPr>
          <w:rFonts w:hint="eastAsia"/>
          <w:sz w:val="18"/>
          <w:szCs w:val="18"/>
        </w:rPr>
        <w:t>书面决议，明确表示将其用于经营出租且持有意图短期内不再发生变化的，也作为投资性房地产列报。</w:t>
      </w:r>
    </w:p>
    <w:p w:rsidR="005C49A8" w:rsidRDefault="005C49A8">
      <w:pPr>
        <w:pStyle w:val="a3"/>
        <w:spacing w:before="0" w:beforeAutospacing="0" w:after="0" w:afterAutospacing="0"/>
        <w:ind w:firstLine="420"/>
        <w:jc w:val="both"/>
        <w:divId w:val="1513186274"/>
      </w:pPr>
      <w:r>
        <w:rPr>
          <w:rFonts w:hint="eastAsia"/>
          <w:sz w:val="18"/>
          <w:szCs w:val="18"/>
        </w:rPr>
        <w:t>本公司的投资性房地产按其成本作为入账价值，外购投资性房地产的成本包括购买价款、相关税费和</w:t>
      </w:r>
      <w:proofErr w:type="gramStart"/>
      <w:r>
        <w:rPr>
          <w:rFonts w:hint="eastAsia"/>
          <w:sz w:val="18"/>
          <w:szCs w:val="18"/>
        </w:rPr>
        <w:t>可</w:t>
      </w:r>
      <w:proofErr w:type="gramEnd"/>
      <w:r>
        <w:rPr>
          <w:rFonts w:hint="eastAsia"/>
          <w:sz w:val="18"/>
          <w:szCs w:val="18"/>
        </w:rPr>
        <w:t>直接归属于该资产的其他支出；自行建造投资性房地产的成本，由建造该项资产达到预定可使用状态前所发生的必要支出构成。</w:t>
      </w:r>
    </w:p>
    <w:p w:rsidR="005C49A8" w:rsidRDefault="005C49A8">
      <w:pPr>
        <w:pStyle w:val="a3"/>
        <w:spacing w:before="0" w:beforeAutospacing="0" w:after="0" w:afterAutospacing="0"/>
        <w:ind w:firstLine="420"/>
        <w:jc w:val="both"/>
        <w:divId w:val="1513186274"/>
      </w:pPr>
      <w:r>
        <w:rPr>
          <w:rFonts w:hint="eastAsia"/>
          <w:sz w:val="18"/>
          <w:szCs w:val="18"/>
        </w:rPr>
        <w:t>本公司对投资性房地产采用成本模式进行后续计量，按其预计使用寿命及净残值率对建筑物和土地使用权计提折旧或摊销。投资性房地产的预计使用寿命、净残值率及年折旧率列示如下：</w:t>
      </w:r>
    </w:p>
    <w:tbl>
      <w:tblPr>
        <w:tblW w:w="8933" w:type="dxa"/>
        <w:jc w:val="center"/>
        <w:tblCellMar>
          <w:left w:w="0" w:type="dxa"/>
          <w:right w:w="0" w:type="dxa"/>
        </w:tblCellMar>
        <w:tblLook w:val="04A0" w:firstRow="1" w:lastRow="0" w:firstColumn="1" w:lastColumn="0" w:noHBand="0" w:noVBand="1"/>
        <w:tblCaption w:val="D:\大华\华孚\2024年度\TB|0-合并TB-华孚时尚股份有限公司-2024年度.xlsx|W附注模板|_jds11|0|desc|||0|1"/>
      </w:tblPr>
      <w:tblGrid>
        <w:gridCol w:w="2233"/>
        <w:gridCol w:w="2233"/>
        <w:gridCol w:w="2233"/>
        <w:gridCol w:w="2234"/>
      </w:tblGrid>
      <w:tr w:rsidR="005C49A8" w:rsidTr="00F7271B">
        <w:trPr>
          <w:divId w:val="1513186274"/>
          <w:trHeight w:val="340"/>
          <w:tblHeader/>
          <w:jc w:val="center"/>
        </w:trPr>
        <w:tc>
          <w:tcPr>
            <w:tcW w:w="223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类别</w:t>
            </w:r>
          </w:p>
        </w:tc>
        <w:tc>
          <w:tcPr>
            <w:tcW w:w="2233"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预计使用寿命（年）</w:t>
            </w:r>
          </w:p>
        </w:tc>
        <w:tc>
          <w:tcPr>
            <w:tcW w:w="2233"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预计净残值率（%）</w:t>
            </w:r>
          </w:p>
        </w:tc>
        <w:tc>
          <w:tcPr>
            <w:tcW w:w="2234"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年折旧（摊销）率（%）</w:t>
            </w:r>
          </w:p>
        </w:tc>
      </w:tr>
      <w:tr w:rsidR="005C49A8" w:rsidTr="00CF103B">
        <w:trPr>
          <w:divId w:val="1513186274"/>
          <w:trHeight w:val="340"/>
          <w:jc w:val="center"/>
        </w:trPr>
        <w:tc>
          <w:tcPr>
            <w:tcW w:w="2233"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pPr>
            <w:r>
              <w:rPr>
                <w:rFonts w:hint="eastAsia"/>
                <w:sz w:val="18"/>
                <w:szCs w:val="18"/>
              </w:rPr>
              <w:t>房屋建筑物</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25.00</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10.00</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3.60</w:t>
            </w:r>
          </w:p>
        </w:tc>
      </w:tr>
    </w:tbl>
    <w:p w:rsidR="005C49A8" w:rsidRDefault="005C49A8">
      <w:pPr>
        <w:pStyle w:val="a3"/>
        <w:spacing w:before="0" w:beforeAutospacing="0" w:after="0" w:afterAutospacing="0"/>
        <w:ind w:firstLine="420"/>
        <w:divId w:val="1513186274"/>
      </w:pPr>
      <w:r>
        <w:rPr>
          <w:rFonts w:hint="eastAsia"/>
          <w:sz w:val="18"/>
          <w:szCs w:val="18"/>
        </w:rPr>
        <w:t>投资性房地产的减值测试方法和减值准备计提方法详见本附注（三十三）长期资产减值。</w:t>
      </w:r>
    </w:p>
    <w:p w:rsidR="005C49A8" w:rsidRDefault="005C49A8">
      <w:pPr>
        <w:pStyle w:val="a3"/>
        <w:spacing w:before="120" w:beforeAutospacing="0" w:after="0" w:afterAutospacing="0"/>
        <w:ind w:firstLine="420"/>
        <w:jc w:val="both"/>
        <w:divId w:val="1513186274"/>
      </w:pPr>
      <w:r>
        <w:rPr>
          <w:rFonts w:hint="eastAsia"/>
          <w:sz w:val="18"/>
          <w:szCs w:val="18"/>
        </w:rPr>
        <w:t>投资性房地产的用途改变为自用时，</w:t>
      </w:r>
      <w:proofErr w:type="gramStart"/>
      <w:r>
        <w:rPr>
          <w:rFonts w:hint="eastAsia"/>
          <w:sz w:val="18"/>
          <w:szCs w:val="18"/>
        </w:rPr>
        <w:t>自改变</w:t>
      </w:r>
      <w:proofErr w:type="gramEnd"/>
      <w:r>
        <w:rPr>
          <w:rFonts w:hint="eastAsia"/>
          <w:sz w:val="18"/>
          <w:szCs w:val="18"/>
        </w:rPr>
        <w:t>之日起，本公司将该投资性房地产转换为固定资产或无形资产。自用房地产的用途改变为赚取租金或资本增值时，</w:t>
      </w:r>
      <w:proofErr w:type="gramStart"/>
      <w:r>
        <w:rPr>
          <w:rFonts w:hint="eastAsia"/>
          <w:sz w:val="18"/>
          <w:szCs w:val="18"/>
        </w:rPr>
        <w:t>自改变</w:t>
      </w:r>
      <w:proofErr w:type="gramEnd"/>
      <w:r>
        <w:rPr>
          <w:rFonts w:hint="eastAsia"/>
          <w:sz w:val="18"/>
          <w:szCs w:val="18"/>
        </w:rPr>
        <w:t>之日起，本公司将固定资产或无形资产转换为投资性房地产。发生转换时，以转换前的账面价值作为转换后的入账价值。</w:t>
      </w:r>
    </w:p>
    <w:p w:rsidR="005C49A8" w:rsidRDefault="005C49A8">
      <w:pPr>
        <w:pStyle w:val="a3"/>
        <w:spacing w:before="0" w:beforeAutospacing="0" w:after="0" w:afterAutospacing="0"/>
        <w:ind w:firstLine="420"/>
        <w:jc w:val="both"/>
        <w:divId w:val="1513186274"/>
      </w:pPr>
      <w:r>
        <w:rPr>
          <w:rFonts w:hint="eastAsia"/>
          <w:sz w:val="18"/>
          <w:szCs w:val="18"/>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p w:rsidR="005C49A8" w:rsidRDefault="005C49A8">
      <w:pPr>
        <w:pStyle w:val="a3"/>
        <w:spacing w:before="0" w:beforeAutospacing="0" w:after="0" w:afterAutospacing="0"/>
        <w:ind w:firstLine="420"/>
        <w:jc w:val="both"/>
        <w:divId w:val="1513186274"/>
      </w:pPr>
      <w:r>
        <w:rPr>
          <w:rFonts w:hint="eastAsia"/>
          <w:sz w:val="18"/>
          <w:szCs w:val="18"/>
        </w:rPr>
        <w:t>投资性房地产是指为赚取租金或资本增值，或两者兼有而持有的房地产。包括已出租的土地使用权、持有并</w:t>
      </w:r>
      <w:proofErr w:type="gramStart"/>
      <w:r>
        <w:rPr>
          <w:rFonts w:hint="eastAsia"/>
          <w:sz w:val="18"/>
          <w:szCs w:val="18"/>
        </w:rPr>
        <w:t>准备增值</w:t>
      </w:r>
      <w:proofErr w:type="gramEnd"/>
      <w:r>
        <w:rPr>
          <w:rFonts w:hint="eastAsia"/>
          <w:sz w:val="18"/>
          <w:szCs w:val="18"/>
        </w:rPr>
        <w:t>后转让的土地使用权、已出租的建筑物等。此外，对于本公司持有以备经营出租的空置建筑物，若董事会</w:t>
      </w:r>
      <w:proofErr w:type="gramStart"/>
      <w:r>
        <w:rPr>
          <w:rFonts w:hint="eastAsia"/>
          <w:sz w:val="18"/>
          <w:szCs w:val="18"/>
        </w:rPr>
        <w:t>作出</w:t>
      </w:r>
      <w:proofErr w:type="gramEnd"/>
      <w:r>
        <w:rPr>
          <w:rFonts w:hint="eastAsia"/>
          <w:sz w:val="18"/>
          <w:szCs w:val="18"/>
        </w:rPr>
        <w:t>书面决议，明确表示将其用于经营出租且持有意图短期内不再发生变化的，也作为投资性房地产列报。</w:t>
      </w:r>
    </w:p>
    <w:p w:rsidR="005C49A8" w:rsidRDefault="005C49A8">
      <w:pPr>
        <w:pStyle w:val="a3"/>
        <w:spacing w:before="0" w:beforeAutospacing="0" w:after="0" w:afterAutospacing="0"/>
        <w:ind w:firstLine="420"/>
        <w:jc w:val="both"/>
        <w:divId w:val="1513186274"/>
      </w:pPr>
      <w:r>
        <w:rPr>
          <w:rFonts w:hint="eastAsia"/>
          <w:sz w:val="18"/>
          <w:szCs w:val="18"/>
        </w:rPr>
        <w:t>本公司的投资性房地产按其成本作为入账价值，外购投资性房地产的成本包括购买价款、相关税费和</w:t>
      </w:r>
      <w:proofErr w:type="gramStart"/>
      <w:r>
        <w:rPr>
          <w:rFonts w:hint="eastAsia"/>
          <w:sz w:val="18"/>
          <w:szCs w:val="18"/>
        </w:rPr>
        <w:t>可</w:t>
      </w:r>
      <w:proofErr w:type="gramEnd"/>
      <w:r>
        <w:rPr>
          <w:rFonts w:hint="eastAsia"/>
          <w:sz w:val="18"/>
          <w:szCs w:val="18"/>
        </w:rPr>
        <w:t>直接归属于该资产的其他支出；自行建造投资性房地产的成本，由建造该项资产达到预定可使用状态前所发生的必要支出构成。</w:t>
      </w:r>
    </w:p>
    <w:p w:rsidR="005C49A8" w:rsidRDefault="005C49A8">
      <w:pPr>
        <w:pStyle w:val="a3"/>
        <w:spacing w:before="0" w:beforeAutospacing="0" w:after="0" w:afterAutospacing="0"/>
        <w:ind w:firstLine="420"/>
        <w:jc w:val="both"/>
        <w:divId w:val="1513186274"/>
      </w:pPr>
      <w:r>
        <w:rPr>
          <w:rFonts w:hint="eastAsia"/>
          <w:sz w:val="18"/>
          <w:szCs w:val="18"/>
        </w:rPr>
        <w:t>本公司采用公允价值模式对投资性房地产进行后续计量，不对投资性房地产计提折旧或进行摊销，在资产负债表日以投资性房地产的公允价值为基础调整其账面价值，公允价值与原账面价值之间的差额计入当期损益。</w:t>
      </w:r>
    </w:p>
    <w:p w:rsidR="005C49A8" w:rsidRDefault="005C49A8">
      <w:pPr>
        <w:pStyle w:val="a3"/>
        <w:spacing w:before="0" w:beforeAutospacing="0" w:after="0" w:afterAutospacing="0"/>
        <w:ind w:firstLine="420"/>
        <w:jc w:val="both"/>
        <w:divId w:val="1513186274"/>
      </w:pPr>
      <w:r>
        <w:rPr>
          <w:rFonts w:hint="eastAsia"/>
          <w:sz w:val="18"/>
          <w:szCs w:val="18"/>
        </w:rPr>
        <w:lastRenderedPageBreak/>
        <w:t>投资性房地产采用公允价值模式进行后续计量的依据为：①投资性房地产所在地有活跃的房地产交易市场。②本公司能够从房地产交易市场上取得同类或类似房地产的市场价格及其他相关信息，从而对投资性房地产的公允价值</w:t>
      </w:r>
      <w:proofErr w:type="gramStart"/>
      <w:r>
        <w:rPr>
          <w:rFonts w:hint="eastAsia"/>
          <w:sz w:val="18"/>
          <w:szCs w:val="18"/>
        </w:rPr>
        <w:t>作出</w:t>
      </w:r>
      <w:proofErr w:type="gramEnd"/>
      <w:r>
        <w:rPr>
          <w:rFonts w:hint="eastAsia"/>
          <w:sz w:val="18"/>
          <w:szCs w:val="18"/>
        </w:rPr>
        <w:t>合理的估计。</w:t>
      </w:r>
    </w:p>
    <w:p w:rsidR="005C49A8" w:rsidRDefault="005C49A8">
      <w:pPr>
        <w:pStyle w:val="a3"/>
        <w:spacing w:before="0" w:beforeAutospacing="0" w:after="0" w:afterAutospacing="0"/>
        <w:ind w:firstLine="420"/>
        <w:jc w:val="both"/>
        <w:divId w:val="1513186274"/>
      </w:pPr>
      <w:r>
        <w:rPr>
          <w:rFonts w:hint="eastAsia"/>
          <w:sz w:val="18"/>
          <w:szCs w:val="18"/>
        </w:rPr>
        <w:t>本公司确定投资性房地产的公允价值时，参照活跃市场上同类或类似房地产的现行市场价格；无法取得同类或类似房地产的现行市场价格的，参照活跃市场上同类或类似房地产的最近交易价格，并考虑资产状况、所在位置、交易情况、交易日期等因素，从而对投资性房地产的公允价值</w:t>
      </w:r>
      <w:proofErr w:type="gramStart"/>
      <w:r>
        <w:rPr>
          <w:rFonts w:hint="eastAsia"/>
          <w:sz w:val="18"/>
          <w:szCs w:val="18"/>
        </w:rPr>
        <w:t>作出</w:t>
      </w:r>
      <w:proofErr w:type="gramEnd"/>
      <w:r>
        <w:rPr>
          <w:rFonts w:hint="eastAsia"/>
          <w:sz w:val="18"/>
          <w:szCs w:val="18"/>
        </w:rPr>
        <w:t>合理的估计；或基于预计未来获得的租金收益和有关现金流量的现值确定其公允价值。</w:t>
      </w:r>
    </w:p>
    <w:p w:rsidR="005C49A8" w:rsidRDefault="005C49A8">
      <w:pPr>
        <w:pStyle w:val="a3"/>
        <w:spacing w:before="0" w:beforeAutospacing="0" w:after="0" w:afterAutospacing="0"/>
        <w:ind w:firstLine="420"/>
        <w:jc w:val="both"/>
        <w:divId w:val="1513186274"/>
      </w:pPr>
      <w:r>
        <w:rPr>
          <w:rFonts w:hint="eastAsia"/>
          <w:sz w:val="18"/>
          <w:szCs w:val="18"/>
        </w:rPr>
        <w:t>本公司有确凿证据表明房地产用途发生改变，将投资性房地产转换为自用房地产时，以其转换当日的公允价值作为自用房地产的账面价值，公允价值与原账面价值的差额计入当期损益。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其他综合收益。</w:t>
      </w:r>
    </w:p>
    <w:p w:rsidR="005C49A8" w:rsidRDefault="005C49A8">
      <w:pPr>
        <w:pStyle w:val="a3"/>
        <w:spacing w:before="0" w:beforeAutospacing="0" w:after="0" w:afterAutospacing="0"/>
        <w:ind w:firstLine="420"/>
        <w:jc w:val="both"/>
        <w:divId w:val="1513186274"/>
      </w:pPr>
      <w:r>
        <w:rPr>
          <w:rFonts w:hint="eastAsia"/>
          <w:sz w:val="18"/>
          <w:szCs w:val="18"/>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p w:rsidR="008820E4" w:rsidRDefault="005C49A8">
      <w:pPr>
        <w:pStyle w:val="3"/>
        <w:spacing w:line="280" w:lineRule="exact"/>
        <w:jc w:val="left"/>
        <w:rPr>
          <w:rFonts w:ascii="宋体" w:hAnsi="宋体" w:cs="宋体"/>
          <w:b/>
          <w:bCs/>
        </w:rPr>
      </w:pPr>
      <w:bookmarkStart w:id="141" w:name="_Toc989030"/>
      <w:r>
        <w:rPr>
          <w:rFonts w:ascii="宋体" w:hAnsi="宋体" w:cs="宋体"/>
          <w:b/>
          <w:bCs/>
        </w:rPr>
        <w:t>24、固定资产</w:t>
      </w:r>
      <w:bookmarkEnd w:id="141"/>
    </w:p>
    <w:p w:rsidR="008820E4" w:rsidRDefault="005C49A8">
      <w:pPr>
        <w:keepNext/>
        <w:keepLines/>
        <w:spacing w:before="300" w:after="300" w:line="280" w:lineRule="exact"/>
        <w:outlineLvl w:val="3"/>
        <w:rPr>
          <w:rFonts w:ascii="宋体" w:eastAsia="宋体" w:hAnsi="宋体" w:cs="宋体"/>
          <w:b/>
          <w:bCs/>
          <w:szCs w:val="21"/>
        </w:rPr>
      </w:pPr>
      <w:bookmarkStart w:id="142" w:name="_Toc989031"/>
      <w:r>
        <w:rPr>
          <w:rFonts w:ascii="宋体" w:eastAsia="宋体" w:hAnsi="宋体" w:cs="宋体"/>
          <w:b/>
          <w:bCs/>
          <w:szCs w:val="21"/>
        </w:rPr>
        <w:t>（1） 确认条件</w:t>
      </w:r>
      <w:bookmarkEnd w:id="142"/>
    </w:p>
    <w:p w:rsidR="005C49A8" w:rsidRDefault="005C49A8">
      <w:pPr>
        <w:pStyle w:val="a3"/>
        <w:spacing w:line="240" w:lineRule="atLeast"/>
        <w:divId w:val="158427534"/>
        <w:rPr>
          <w:sz w:val="18"/>
          <w:szCs w:val="18"/>
        </w:rPr>
      </w:pPr>
      <w:r>
        <w:rPr>
          <w:rFonts w:hint="eastAsia"/>
          <w:sz w:val="18"/>
          <w:szCs w:val="18"/>
        </w:rPr>
        <w:t>固定资产指为生产商品、提供劳务、出租或经营管理而持有，并且使用寿命超过一个会计年度的有形资产。固定资产在同时满足下列条件时予以确认：</w:t>
      </w:r>
    </w:p>
    <w:p w:rsidR="005C49A8" w:rsidRDefault="005C49A8">
      <w:pPr>
        <w:pStyle w:val="a3"/>
        <w:spacing w:line="240" w:lineRule="atLeast"/>
        <w:divId w:val="158427534"/>
        <w:rPr>
          <w:sz w:val="18"/>
          <w:szCs w:val="18"/>
        </w:rPr>
      </w:pPr>
      <w:r>
        <w:rPr>
          <w:rFonts w:hint="eastAsia"/>
          <w:sz w:val="18"/>
          <w:szCs w:val="18"/>
        </w:rPr>
        <w:t>（1）与该固定资产有关的经济利益很可能流入企业；</w:t>
      </w:r>
    </w:p>
    <w:p w:rsidR="005C49A8" w:rsidRDefault="005C49A8">
      <w:pPr>
        <w:pStyle w:val="a3"/>
        <w:spacing w:line="240" w:lineRule="atLeast"/>
        <w:divId w:val="158427534"/>
        <w:rPr>
          <w:sz w:val="18"/>
          <w:szCs w:val="18"/>
        </w:rPr>
      </w:pPr>
      <w:r>
        <w:rPr>
          <w:rFonts w:hint="eastAsia"/>
          <w:sz w:val="18"/>
          <w:szCs w:val="18"/>
        </w:rPr>
        <w:t>（2）该固定资产的成本能够可靠地计量。</w:t>
      </w:r>
    </w:p>
    <w:p w:rsidR="005C49A8" w:rsidRDefault="005C49A8">
      <w:pPr>
        <w:pStyle w:val="a3"/>
        <w:spacing w:line="240" w:lineRule="atLeast"/>
        <w:divId w:val="158427534"/>
        <w:rPr>
          <w:sz w:val="18"/>
          <w:szCs w:val="18"/>
        </w:rPr>
      </w:pPr>
      <w:r>
        <w:rPr>
          <w:rFonts w:hint="eastAsia"/>
          <w:sz w:val="18"/>
          <w:szCs w:val="18"/>
        </w:rPr>
        <w:t>同时，与固定资产有关的后续支出，符合固定资产确认条件的，计入固定资产成本；不符合固定资产确认条件的，在发生时按照受益对象计入当期损益或计入相关资产的成本。</w:t>
      </w:r>
    </w:p>
    <w:p w:rsidR="008820E4" w:rsidRDefault="005C49A8">
      <w:pPr>
        <w:keepNext/>
        <w:keepLines/>
        <w:spacing w:before="300" w:after="300" w:line="280" w:lineRule="exact"/>
        <w:outlineLvl w:val="3"/>
        <w:rPr>
          <w:rFonts w:ascii="宋体" w:eastAsia="宋体" w:hAnsi="宋体" w:cs="宋体"/>
          <w:b/>
          <w:bCs/>
          <w:szCs w:val="21"/>
        </w:rPr>
      </w:pPr>
      <w:bookmarkStart w:id="143" w:name="_Toc989032"/>
      <w:r>
        <w:rPr>
          <w:rFonts w:ascii="宋体" w:eastAsia="宋体" w:hAnsi="宋体" w:cs="宋体"/>
          <w:b/>
          <w:bCs/>
          <w:szCs w:val="21"/>
        </w:rPr>
        <w:t>（2） 折旧方法</w:t>
      </w:r>
      <w:bookmarkEnd w:id="143"/>
    </w:p>
    <w:p w:rsidR="008820E4" w:rsidRDefault="008820E4">
      <w:pPr>
        <w:spacing w:line="0" w:lineRule="atLeast"/>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折旧方法</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折旧年限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残值率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年折旧率</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房屋及建筑物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25.00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3.60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机器设备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9.00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运输设备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18.00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电子及其他设备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年限平均法</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18.00</w:t>
            </w:r>
          </w:p>
        </w:tc>
      </w:tr>
    </w:tbl>
    <w:p w:rsidR="008820E4" w:rsidRDefault="005C49A8">
      <w:pPr>
        <w:pStyle w:val="3"/>
        <w:spacing w:line="280" w:lineRule="exact"/>
        <w:jc w:val="left"/>
        <w:rPr>
          <w:rFonts w:ascii="宋体" w:hAnsi="宋体" w:cs="宋体"/>
          <w:b/>
          <w:bCs/>
        </w:rPr>
      </w:pPr>
      <w:bookmarkStart w:id="144" w:name="_Toc989033"/>
      <w:r>
        <w:rPr>
          <w:rFonts w:ascii="宋体" w:hAnsi="宋体" w:cs="宋体"/>
          <w:b/>
          <w:bCs/>
        </w:rPr>
        <w:t>25、在建工程</w:t>
      </w:r>
      <w:bookmarkEnd w:id="144"/>
    </w:p>
    <w:p w:rsidR="005C49A8" w:rsidRPr="00F7271B" w:rsidRDefault="005C49A8">
      <w:pPr>
        <w:pStyle w:val="a3"/>
        <w:spacing w:before="0" w:beforeAutospacing="0" w:after="0" w:afterAutospacing="0" w:line="360" w:lineRule="auto"/>
        <w:ind w:firstLine="420"/>
        <w:jc w:val="both"/>
        <w:divId w:val="481892824"/>
        <w:rPr>
          <w:sz w:val="18"/>
          <w:szCs w:val="18"/>
        </w:rPr>
      </w:pPr>
      <w:r w:rsidRPr="00F7271B">
        <w:rPr>
          <w:rFonts w:hint="eastAsia"/>
          <w:sz w:val="18"/>
          <w:szCs w:val="18"/>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rsidR="005C49A8" w:rsidRPr="00F7271B" w:rsidRDefault="005C49A8">
      <w:pPr>
        <w:pStyle w:val="a3"/>
        <w:spacing w:before="0" w:beforeAutospacing="0" w:after="0" w:afterAutospacing="0" w:line="360" w:lineRule="auto"/>
        <w:ind w:firstLine="420"/>
        <w:jc w:val="both"/>
        <w:divId w:val="481892824"/>
        <w:rPr>
          <w:sz w:val="18"/>
          <w:szCs w:val="18"/>
        </w:rPr>
      </w:pPr>
      <w:r w:rsidRPr="00F7271B">
        <w:rPr>
          <w:rFonts w:hint="eastAsia"/>
          <w:sz w:val="18"/>
          <w:szCs w:val="18"/>
        </w:rPr>
        <w:t>在建工程项目按建造该项资产达到预定可使用状态前所发生的全部支出，作为固定资产的入账价值。所建造的在建工程已达到预定可使用状态，但尚未办理竣工决算的，</w:t>
      </w:r>
      <w:proofErr w:type="gramStart"/>
      <w:r w:rsidRPr="00F7271B">
        <w:rPr>
          <w:rFonts w:hint="eastAsia"/>
          <w:sz w:val="18"/>
          <w:szCs w:val="18"/>
        </w:rPr>
        <w:t>自达到</w:t>
      </w:r>
      <w:proofErr w:type="gramEnd"/>
      <w:r w:rsidRPr="00F7271B">
        <w:rPr>
          <w:rFonts w:hint="eastAsia"/>
          <w:sz w:val="18"/>
          <w:szCs w:val="18"/>
        </w:rPr>
        <w:t>预定可使用状态之日起，根据工程预算、造价或者工程实</w:t>
      </w:r>
      <w:r w:rsidRPr="00F7271B">
        <w:rPr>
          <w:rFonts w:hint="eastAsia"/>
          <w:sz w:val="18"/>
          <w:szCs w:val="18"/>
        </w:rPr>
        <w:lastRenderedPageBreak/>
        <w:t>际成本等，按估计的价值转入固定资产，并按本公司固定资产折旧政策计提固定资产的折旧，待办理竣工决算后，再按实际成本调整原来的暂估价值，但不调整原已计提的折旧额。</w:t>
      </w:r>
    </w:p>
    <w:p w:rsidR="005C49A8" w:rsidRPr="00F7271B" w:rsidRDefault="005C49A8">
      <w:pPr>
        <w:pStyle w:val="a3"/>
        <w:spacing w:before="0" w:beforeAutospacing="0" w:after="0" w:afterAutospacing="0" w:line="360" w:lineRule="auto"/>
        <w:ind w:firstLine="420"/>
        <w:jc w:val="both"/>
        <w:divId w:val="481892824"/>
        <w:rPr>
          <w:sz w:val="18"/>
          <w:szCs w:val="18"/>
        </w:rPr>
      </w:pPr>
      <w:r w:rsidRPr="00F7271B">
        <w:rPr>
          <w:rFonts w:hint="eastAsia"/>
          <w:sz w:val="18"/>
          <w:szCs w:val="18"/>
        </w:rPr>
        <w:t>在建工程的减值测试方法和减值准备计提方法详见本附注（二十八）长期资产减值。</w:t>
      </w:r>
    </w:p>
    <w:p w:rsidR="008820E4" w:rsidRDefault="005C49A8">
      <w:pPr>
        <w:pStyle w:val="3"/>
        <w:spacing w:line="280" w:lineRule="exact"/>
        <w:jc w:val="left"/>
        <w:rPr>
          <w:rFonts w:ascii="宋体" w:hAnsi="宋体" w:cs="宋体"/>
          <w:b/>
          <w:bCs/>
        </w:rPr>
      </w:pPr>
      <w:bookmarkStart w:id="145" w:name="_Toc989034"/>
      <w:r>
        <w:rPr>
          <w:rFonts w:ascii="宋体" w:hAnsi="宋体" w:cs="宋体"/>
          <w:b/>
          <w:bCs/>
        </w:rPr>
        <w:t>26、借款费用</w:t>
      </w:r>
      <w:bookmarkEnd w:id="145"/>
    </w:p>
    <w:p w:rsidR="005C49A8" w:rsidRDefault="005C49A8" w:rsidP="00C50357">
      <w:pPr>
        <w:widowControl/>
        <w:numPr>
          <w:ilvl w:val="0"/>
          <w:numId w:val="107"/>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借款费用资本化的确认原则</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本公司发生的借款费用，可直接归属于符合资本化条件的资产的购建或者生产的，予以资本化，计入相关资产成本；其他借款费用，在发生时根据其发生额确认为费用，计入当期损益。</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符合资本化条件的资产，是指需要经过相当长时间的购建或者生产活动才能达到预定可使用或者可销售状态的固定资产、投资性房地产和存货等资产。</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借款费用同时满足下列条件时开始资本化：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w:t>
      </w:r>
      <w:r w:rsidRPr="00F7271B">
        <w:rPr>
          <w:sz w:val="18"/>
          <w:szCs w:val="18"/>
        </w:rPr>
        <w:t>1</w:t>
      </w:r>
      <w:r w:rsidRPr="00F7271B">
        <w:rPr>
          <w:rFonts w:hint="eastAsia"/>
          <w:sz w:val="18"/>
          <w:szCs w:val="18"/>
        </w:rPr>
        <w:t>）资产支出已经发生，资产支出包括为购建或者生产符合资本化条件的资产而以支付现金、</w:t>
      </w:r>
      <w:proofErr w:type="gramStart"/>
      <w:r w:rsidRPr="00F7271B">
        <w:rPr>
          <w:rFonts w:hint="eastAsia"/>
          <w:sz w:val="18"/>
          <w:szCs w:val="18"/>
        </w:rPr>
        <w:t>转移非</w:t>
      </w:r>
      <w:proofErr w:type="gramEnd"/>
      <w:r w:rsidRPr="00F7271B">
        <w:rPr>
          <w:rFonts w:hint="eastAsia"/>
          <w:sz w:val="18"/>
          <w:szCs w:val="18"/>
        </w:rPr>
        <w:t>现金资产或者承担带息债务形式发生的支出；</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w:t>
      </w:r>
      <w:r w:rsidRPr="00F7271B">
        <w:rPr>
          <w:sz w:val="18"/>
          <w:szCs w:val="18"/>
        </w:rPr>
        <w:t>2</w:t>
      </w:r>
      <w:r w:rsidRPr="00F7271B">
        <w:rPr>
          <w:rFonts w:hint="eastAsia"/>
          <w:sz w:val="18"/>
          <w:szCs w:val="18"/>
        </w:rPr>
        <w:t>）借款费用已经发生；</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w:t>
      </w:r>
      <w:r w:rsidRPr="00F7271B">
        <w:rPr>
          <w:sz w:val="18"/>
          <w:szCs w:val="18"/>
        </w:rPr>
        <w:t>3</w:t>
      </w:r>
      <w:r w:rsidRPr="00F7271B">
        <w:rPr>
          <w:rFonts w:hint="eastAsia"/>
          <w:sz w:val="18"/>
          <w:szCs w:val="18"/>
        </w:rPr>
        <w:t>）为使资产达到预定可使用或者可销售状态所必要的购建或者生产活动已经开始。</w:t>
      </w:r>
    </w:p>
    <w:p w:rsidR="005C49A8" w:rsidRDefault="005C49A8" w:rsidP="00C50357">
      <w:pPr>
        <w:widowControl/>
        <w:numPr>
          <w:ilvl w:val="0"/>
          <w:numId w:val="108"/>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借款费用资本化期间</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资本化期间，指从借款费用开始资本化时点到停止资本化时点的期间，借款费用暂停资本化的期间不包括在内。</w:t>
      </w:r>
    </w:p>
    <w:p w:rsidR="005C49A8" w:rsidRPr="00F7271B" w:rsidRDefault="005C49A8">
      <w:pPr>
        <w:pStyle w:val="a3"/>
        <w:spacing w:before="0" w:beforeAutospacing="0" w:after="0" w:afterAutospacing="0" w:line="360" w:lineRule="auto"/>
        <w:ind w:firstLine="420"/>
        <w:jc w:val="both"/>
        <w:divId w:val="1928539958"/>
        <w:rPr>
          <w:sz w:val="18"/>
          <w:szCs w:val="18"/>
        </w:rPr>
      </w:pPr>
      <w:proofErr w:type="gramStart"/>
      <w:r w:rsidRPr="00F7271B">
        <w:rPr>
          <w:rFonts w:hint="eastAsia"/>
          <w:sz w:val="18"/>
          <w:szCs w:val="18"/>
        </w:rPr>
        <w:t>当购建</w:t>
      </w:r>
      <w:proofErr w:type="gramEnd"/>
      <w:r w:rsidRPr="00F7271B">
        <w:rPr>
          <w:rFonts w:hint="eastAsia"/>
          <w:sz w:val="18"/>
          <w:szCs w:val="18"/>
        </w:rPr>
        <w:t>或者生产符合资本化条件的资产达到预定可使用或者可销售状态时，借款费用停止资本化。</w:t>
      </w:r>
    </w:p>
    <w:p w:rsidR="005C49A8" w:rsidRPr="00F7271B" w:rsidRDefault="005C49A8">
      <w:pPr>
        <w:pStyle w:val="a3"/>
        <w:spacing w:before="0" w:beforeAutospacing="0" w:after="0" w:afterAutospacing="0" w:line="360" w:lineRule="auto"/>
        <w:ind w:firstLine="420"/>
        <w:jc w:val="both"/>
        <w:divId w:val="1928539958"/>
        <w:rPr>
          <w:sz w:val="18"/>
          <w:szCs w:val="18"/>
        </w:rPr>
      </w:pPr>
      <w:proofErr w:type="gramStart"/>
      <w:r w:rsidRPr="00F7271B">
        <w:rPr>
          <w:rFonts w:hint="eastAsia"/>
          <w:sz w:val="18"/>
          <w:szCs w:val="18"/>
        </w:rPr>
        <w:t>当购建</w:t>
      </w:r>
      <w:proofErr w:type="gramEnd"/>
      <w:r w:rsidRPr="00F7271B">
        <w:rPr>
          <w:rFonts w:hint="eastAsia"/>
          <w:sz w:val="18"/>
          <w:szCs w:val="18"/>
        </w:rPr>
        <w:t>或者生产符合资本化条件的资产中部分项目分别完工且可单独使用时，该部分资产借款费用停止资本化。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购建或者生产的资产的各部分分别完工，但必须等到整体完工后才可使用或可对外销售的，在该资产整体完工时停止借款费用资本化。</w:t>
      </w:r>
    </w:p>
    <w:p w:rsidR="005C49A8" w:rsidRDefault="005C49A8" w:rsidP="00C50357">
      <w:pPr>
        <w:widowControl/>
        <w:numPr>
          <w:ilvl w:val="0"/>
          <w:numId w:val="109"/>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暂停资本化期间</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符合资本化条件的资产在购建或生产过程中发生的非正常中断、且中断时间连续超过</w:t>
      </w:r>
      <w:r w:rsidRPr="00F7271B">
        <w:rPr>
          <w:sz w:val="18"/>
          <w:szCs w:val="18"/>
        </w:rPr>
        <w:t>3</w:t>
      </w:r>
      <w:r w:rsidRPr="00F7271B">
        <w:rPr>
          <w:rFonts w:hint="eastAsia"/>
          <w:sz w:val="18"/>
          <w:szCs w:val="18"/>
        </w:rPr>
        <w:t>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5C49A8" w:rsidRDefault="005C49A8" w:rsidP="00C50357">
      <w:pPr>
        <w:widowControl/>
        <w:numPr>
          <w:ilvl w:val="0"/>
          <w:numId w:val="110"/>
        </w:numPr>
        <w:spacing w:before="100" w:beforeAutospacing="1" w:after="100" w:afterAutospacing="1"/>
        <w:divId w:val="192853995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借款费用资本</w:t>
      </w:r>
      <w:proofErr w:type="gramStart"/>
      <w:r>
        <w:rPr>
          <w:rFonts w:hint="eastAsia"/>
          <w:sz w:val="18"/>
          <w:szCs w:val="18"/>
        </w:rPr>
        <w:t>化金额</w:t>
      </w:r>
      <w:proofErr w:type="gramEnd"/>
      <w:r>
        <w:rPr>
          <w:rFonts w:hint="eastAsia"/>
          <w:sz w:val="18"/>
          <w:szCs w:val="18"/>
        </w:rPr>
        <w:t>的计算方法</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lastRenderedPageBreak/>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根据累计资产支出超过专门借款部分的资产支出加权平均数乘以所占用一般借款的资本化率，计算确定一般借款应予资本化的利息金额。资本化率根据一般借款加权平均利率计算确定。</w:t>
      </w:r>
    </w:p>
    <w:p w:rsidR="005C49A8" w:rsidRPr="00F7271B" w:rsidRDefault="005C49A8">
      <w:pPr>
        <w:pStyle w:val="a3"/>
        <w:spacing w:before="0" w:beforeAutospacing="0" w:after="0" w:afterAutospacing="0" w:line="360" w:lineRule="auto"/>
        <w:ind w:firstLine="420"/>
        <w:jc w:val="both"/>
        <w:divId w:val="1928539958"/>
        <w:rPr>
          <w:sz w:val="18"/>
          <w:szCs w:val="18"/>
        </w:rPr>
      </w:pPr>
      <w:r w:rsidRPr="00F7271B">
        <w:rPr>
          <w:rFonts w:hint="eastAsia"/>
          <w:sz w:val="18"/>
          <w:szCs w:val="18"/>
        </w:rPr>
        <w:t>借款存在折价或者溢价的，按照实际利率法确定每一会计期间应摊销的折价或者溢价金额，调整每期利息金额。</w:t>
      </w:r>
    </w:p>
    <w:p w:rsidR="008820E4" w:rsidRDefault="005C49A8">
      <w:pPr>
        <w:pStyle w:val="3"/>
        <w:spacing w:line="280" w:lineRule="exact"/>
        <w:jc w:val="left"/>
        <w:rPr>
          <w:rFonts w:ascii="宋体" w:hAnsi="宋体" w:cs="宋体"/>
          <w:b/>
          <w:bCs/>
        </w:rPr>
      </w:pPr>
      <w:bookmarkStart w:id="146" w:name="_Toc989035"/>
      <w:r>
        <w:rPr>
          <w:rFonts w:ascii="宋体" w:hAnsi="宋体" w:cs="宋体"/>
          <w:b/>
          <w:bCs/>
        </w:rPr>
        <w:t>27、生物资产</w:t>
      </w:r>
      <w:bookmarkEnd w:id="146"/>
    </w:p>
    <w:p w:rsidR="005C49A8" w:rsidRDefault="005C49A8">
      <w:pPr>
        <w:pStyle w:val="a3"/>
        <w:divId w:val="79757432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47" w:name="_Toc989036"/>
      <w:r>
        <w:rPr>
          <w:rFonts w:ascii="宋体" w:hAnsi="宋体" w:cs="宋体"/>
          <w:b/>
          <w:bCs/>
        </w:rPr>
        <w:t>28、油气资产</w:t>
      </w:r>
      <w:bookmarkEnd w:id="147"/>
    </w:p>
    <w:p w:rsidR="005C49A8" w:rsidRDefault="005C49A8">
      <w:pPr>
        <w:pStyle w:val="a3"/>
        <w:divId w:val="39282323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48" w:name="_Toc989037"/>
      <w:r>
        <w:rPr>
          <w:rFonts w:ascii="宋体" w:hAnsi="宋体" w:cs="宋体"/>
          <w:b/>
          <w:bCs/>
        </w:rPr>
        <w:t>29、无形资产</w:t>
      </w:r>
      <w:bookmarkEnd w:id="148"/>
    </w:p>
    <w:p w:rsidR="008820E4" w:rsidRDefault="005C49A8">
      <w:pPr>
        <w:keepNext/>
        <w:keepLines/>
        <w:spacing w:before="300" w:after="300" w:line="280" w:lineRule="exact"/>
        <w:outlineLvl w:val="3"/>
        <w:rPr>
          <w:rFonts w:ascii="宋体" w:eastAsia="宋体" w:hAnsi="宋体" w:cs="宋体"/>
          <w:b/>
          <w:bCs/>
          <w:szCs w:val="21"/>
        </w:rPr>
      </w:pPr>
      <w:bookmarkStart w:id="149" w:name="_Toc989038"/>
      <w:r>
        <w:rPr>
          <w:rFonts w:ascii="宋体" w:eastAsia="宋体" w:hAnsi="宋体" w:cs="宋体"/>
          <w:b/>
          <w:bCs/>
          <w:szCs w:val="21"/>
        </w:rPr>
        <w:t>（1） 使用寿命及其确定依据、估计情况、摊销方法或复核程序</w:t>
      </w:r>
      <w:bookmarkEnd w:id="149"/>
    </w:p>
    <w:p w:rsidR="005C49A8" w:rsidRDefault="005C49A8">
      <w:pPr>
        <w:pStyle w:val="a3"/>
        <w:spacing w:before="0" w:beforeAutospacing="0" w:after="0" w:afterAutospacing="0"/>
        <w:ind w:firstLine="420"/>
        <w:jc w:val="both"/>
        <w:divId w:val="563301188"/>
      </w:pPr>
      <w:r>
        <w:rPr>
          <w:rFonts w:hint="eastAsia"/>
          <w:sz w:val="18"/>
          <w:szCs w:val="18"/>
        </w:rPr>
        <w:t>无形资产是指本公司拥有或者控制的没有实物形态的可</w:t>
      </w:r>
      <w:proofErr w:type="gramStart"/>
      <w:r>
        <w:rPr>
          <w:rFonts w:hint="eastAsia"/>
          <w:sz w:val="18"/>
          <w:szCs w:val="18"/>
        </w:rPr>
        <w:t>辨认非</w:t>
      </w:r>
      <w:proofErr w:type="gramEnd"/>
      <w:r>
        <w:rPr>
          <w:rFonts w:hint="eastAsia"/>
          <w:sz w:val="18"/>
          <w:szCs w:val="18"/>
        </w:rPr>
        <w:t>货币性资产，包括土地使用权、软件、专利权及非专利技术等。</w:t>
      </w:r>
    </w:p>
    <w:p w:rsidR="005C49A8" w:rsidRDefault="005C49A8" w:rsidP="00C50357">
      <w:pPr>
        <w:widowControl/>
        <w:numPr>
          <w:ilvl w:val="3"/>
          <w:numId w:val="111"/>
        </w:numPr>
        <w:tabs>
          <w:tab w:val="clear" w:pos="2880"/>
          <w:tab w:val="num" w:pos="2552"/>
        </w:tabs>
        <w:spacing w:before="100" w:beforeAutospacing="1" w:after="100" w:afterAutospacing="1"/>
        <w:ind w:left="426"/>
        <w:divId w:val="56330118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无形资产的初始计量</w:t>
      </w:r>
    </w:p>
    <w:p w:rsidR="005C49A8" w:rsidRDefault="005C49A8">
      <w:pPr>
        <w:pStyle w:val="a3"/>
        <w:spacing w:before="0" w:beforeAutospacing="0" w:after="0" w:afterAutospacing="0"/>
        <w:ind w:firstLine="420"/>
        <w:jc w:val="both"/>
        <w:divId w:val="563301188"/>
      </w:pPr>
      <w:r>
        <w:rPr>
          <w:rFonts w:hint="eastAsia"/>
          <w:sz w:val="18"/>
          <w:szCs w:val="18"/>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rsidR="005C49A8" w:rsidRDefault="005C49A8">
      <w:pPr>
        <w:pStyle w:val="a3"/>
        <w:spacing w:before="0" w:beforeAutospacing="0" w:after="0" w:afterAutospacing="0"/>
        <w:ind w:firstLine="420"/>
        <w:jc w:val="both"/>
        <w:divId w:val="563301188"/>
      </w:pPr>
      <w:r>
        <w:rPr>
          <w:rFonts w:hint="eastAsia"/>
          <w:sz w:val="18"/>
          <w:szCs w:val="18"/>
        </w:rPr>
        <w:t>债务重组取得债务人用以抵债的无形资产，以该无形资产的公允价值为基础确定其入账价值，并将重组债务的账面价值与该用以抵债的无形资产公允价值之间的差额，计入当期损益。</w:t>
      </w:r>
    </w:p>
    <w:p w:rsidR="005C49A8" w:rsidRDefault="005C49A8">
      <w:pPr>
        <w:pStyle w:val="a3"/>
        <w:spacing w:before="0" w:beforeAutospacing="0" w:after="0" w:afterAutospacing="0"/>
        <w:ind w:firstLine="420"/>
        <w:jc w:val="both"/>
        <w:divId w:val="563301188"/>
      </w:pPr>
      <w:r>
        <w:rPr>
          <w:rFonts w:hint="eastAsia"/>
          <w:sz w:val="18"/>
          <w:szCs w:val="18"/>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rsidR="005C49A8" w:rsidRDefault="005C49A8">
      <w:pPr>
        <w:pStyle w:val="a3"/>
        <w:spacing w:before="0" w:beforeAutospacing="0" w:after="0" w:afterAutospacing="0"/>
        <w:ind w:firstLine="420"/>
        <w:jc w:val="both"/>
        <w:divId w:val="563301188"/>
      </w:pPr>
      <w:r>
        <w:rPr>
          <w:rFonts w:hint="eastAsia"/>
          <w:sz w:val="18"/>
          <w:szCs w:val="18"/>
        </w:rPr>
        <w:t>以同</w:t>
      </w:r>
      <w:proofErr w:type="gramStart"/>
      <w:r>
        <w:rPr>
          <w:rFonts w:hint="eastAsia"/>
          <w:sz w:val="18"/>
          <w:szCs w:val="18"/>
        </w:rPr>
        <w:t>一控制</w:t>
      </w:r>
      <w:proofErr w:type="gramEnd"/>
      <w:r>
        <w:rPr>
          <w:rFonts w:hint="eastAsia"/>
          <w:sz w:val="18"/>
          <w:szCs w:val="18"/>
        </w:rPr>
        <w:t>下的企业吸收合并方式取得的无形资产按被合并方的账面价值确定其入账价值；以非同</w:t>
      </w:r>
      <w:proofErr w:type="gramStart"/>
      <w:r>
        <w:rPr>
          <w:rFonts w:hint="eastAsia"/>
          <w:sz w:val="18"/>
          <w:szCs w:val="18"/>
        </w:rPr>
        <w:t>一控制</w:t>
      </w:r>
      <w:proofErr w:type="gramEnd"/>
      <w:r>
        <w:rPr>
          <w:rFonts w:hint="eastAsia"/>
          <w:sz w:val="18"/>
          <w:szCs w:val="18"/>
        </w:rPr>
        <w:t>下的企业吸收合并方式取得的无形资产按公允价值确定其入账价值。</w:t>
      </w:r>
    </w:p>
    <w:p w:rsidR="005C49A8" w:rsidRDefault="005C49A8">
      <w:pPr>
        <w:pStyle w:val="a3"/>
        <w:spacing w:before="0" w:beforeAutospacing="0" w:after="0" w:afterAutospacing="0"/>
        <w:ind w:firstLine="420"/>
        <w:jc w:val="both"/>
        <w:divId w:val="563301188"/>
      </w:pPr>
      <w:r>
        <w:rPr>
          <w:rFonts w:hint="eastAsia"/>
          <w:sz w:val="18"/>
          <w:szCs w:val="18"/>
        </w:rPr>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rsidR="005C49A8" w:rsidRDefault="005C49A8" w:rsidP="00C50357">
      <w:pPr>
        <w:widowControl/>
        <w:numPr>
          <w:ilvl w:val="3"/>
          <w:numId w:val="112"/>
        </w:numPr>
        <w:tabs>
          <w:tab w:val="clear" w:pos="2880"/>
          <w:tab w:val="num" w:pos="2552"/>
        </w:tabs>
        <w:spacing w:before="100" w:beforeAutospacing="1" w:after="100" w:afterAutospacing="1"/>
        <w:ind w:left="426"/>
        <w:divId w:val="56330118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无形资产的后续计量</w:t>
      </w:r>
    </w:p>
    <w:p w:rsidR="005C49A8" w:rsidRDefault="005C49A8">
      <w:pPr>
        <w:pStyle w:val="a3"/>
        <w:spacing w:before="0" w:beforeAutospacing="0" w:after="0" w:afterAutospacing="0" w:line="360" w:lineRule="auto"/>
        <w:ind w:firstLine="420"/>
        <w:jc w:val="both"/>
        <w:divId w:val="563301188"/>
      </w:pPr>
      <w:r>
        <w:rPr>
          <w:rFonts w:hint="eastAsia"/>
          <w:sz w:val="18"/>
          <w:szCs w:val="18"/>
        </w:rPr>
        <w:t>本公司在取得无形资产时分析判断其使用寿命，划分为使用寿命有限和使用寿命不确定的无形资产。</w:t>
      </w:r>
    </w:p>
    <w:p w:rsidR="005C49A8" w:rsidRDefault="005C49A8" w:rsidP="00C50357">
      <w:pPr>
        <w:widowControl/>
        <w:numPr>
          <w:ilvl w:val="0"/>
          <w:numId w:val="113"/>
        </w:numPr>
        <w:divId w:val="563301188"/>
        <w:rPr>
          <w:rFonts w:ascii="Calibri" w:hAnsi="Calibri" w:cs="Calibri"/>
          <w:szCs w:val="21"/>
        </w:rPr>
      </w:pPr>
      <w:r>
        <w:rPr>
          <w:rFonts w:cs="Calibri" w:hint="eastAsia"/>
          <w:sz w:val="18"/>
          <w:szCs w:val="18"/>
        </w:rPr>
        <w:t>使用寿命有限的无形资产</w:t>
      </w:r>
    </w:p>
    <w:p w:rsidR="005C49A8" w:rsidRDefault="005C49A8">
      <w:pPr>
        <w:pStyle w:val="a3"/>
        <w:spacing w:before="0" w:beforeAutospacing="0" w:after="0" w:afterAutospacing="0" w:line="360" w:lineRule="auto"/>
        <w:ind w:firstLine="420"/>
        <w:jc w:val="both"/>
        <w:divId w:val="563301188"/>
      </w:pPr>
      <w:r>
        <w:rPr>
          <w:rFonts w:hint="eastAsia"/>
          <w:sz w:val="18"/>
          <w:szCs w:val="18"/>
        </w:rPr>
        <w:t>对于使用寿命有限的无形资产，在为企业带来经济利益的期限内按直线法摊销。使用寿命有限的无形资产预计寿命及依据如下：</w:t>
      </w:r>
    </w:p>
    <w:tbl>
      <w:tblPr>
        <w:tblW w:w="9366" w:type="dxa"/>
        <w:tblCellMar>
          <w:left w:w="0" w:type="dxa"/>
          <w:right w:w="0" w:type="dxa"/>
        </w:tblCellMar>
        <w:tblLook w:val="04A0" w:firstRow="1" w:lastRow="0" w:firstColumn="1" w:lastColumn="0" w:noHBand="0" w:noVBand="1"/>
        <w:tblCaption w:val="D:\大华\华孚\2023年度\TB|0-合并TB-华孚时尚股份有限公司-2023年度.xlsx|W附注模板|_jds14|0|desc|||0|1"/>
      </w:tblPr>
      <w:tblGrid>
        <w:gridCol w:w="1703"/>
        <w:gridCol w:w="3831"/>
        <w:gridCol w:w="3832"/>
      </w:tblGrid>
      <w:tr w:rsidR="005C49A8">
        <w:trPr>
          <w:divId w:val="563301188"/>
          <w:trHeight w:val="344"/>
          <w:tblHeader/>
        </w:trPr>
        <w:tc>
          <w:tcPr>
            <w:tcW w:w="1703" w:type="dxa"/>
            <w:tcBorders>
              <w:top w:val="single" w:sz="8" w:space="0" w:color="auto"/>
              <w:left w:val="single" w:sz="8" w:space="0" w:color="auto"/>
              <w:bottom w:val="single" w:sz="8" w:space="0" w:color="auto"/>
              <w:right w:val="single" w:sz="8" w:space="0" w:color="auto"/>
            </w:tcBorders>
            <w:shd w:val="clear" w:color="auto" w:fill="D3D3D3"/>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lastRenderedPageBreak/>
              <w:t>项目</w:t>
            </w:r>
          </w:p>
        </w:tc>
        <w:tc>
          <w:tcPr>
            <w:tcW w:w="3831" w:type="dxa"/>
            <w:tcBorders>
              <w:top w:val="single" w:sz="8" w:space="0" w:color="auto"/>
              <w:left w:val="nil"/>
              <w:bottom w:val="single" w:sz="8" w:space="0" w:color="auto"/>
              <w:right w:val="single" w:sz="8" w:space="0" w:color="auto"/>
            </w:tcBorders>
            <w:shd w:val="clear" w:color="auto" w:fill="D3D3D3"/>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预计使用寿命</w:t>
            </w:r>
          </w:p>
        </w:tc>
        <w:tc>
          <w:tcPr>
            <w:tcW w:w="3832" w:type="dxa"/>
            <w:tcBorders>
              <w:top w:val="single" w:sz="8" w:space="0" w:color="auto"/>
              <w:left w:val="nil"/>
              <w:bottom w:val="single" w:sz="8" w:space="0" w:color="auto"/>
              <w:right w:val="single" w:sz="8" w:space="0" w:color="auto"/>
            </w:tcBorders>
            <w:shd w:val="clear" w:color="auto" w:fill="D3D3D3"/>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依据</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软件</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5-10年</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软件预计使用年限</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土地使用权</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40-50年</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土地使用权证规定年限</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专利权</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在实际授权使用期间内摊销</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授权使用期限</w:t>
            </w:r>
          </w:p>
        </w:tc>
      </w:tr>
      <w:tr w:rsidR="005C49A8">
        <w:trPr>
          <w:divId w:val="563301188"/>
          <w:trHeight w:val="344"/>
        </w:trPr>
        <w:tc>
          <w:tcPr>
            <w:tcW w:w="170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商标使用权</w:t>
            </w:r>
          </w:p>
        </w:tc>
        <w:tc>
          <w:tcPr>
            <w:tcW w:w="3831"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在实际授权使用期间内摊销</w:t>
            </w:r>
          </w:p>
        </w:tc>
        <w:tc>
          <w:tcPr>
            <w:tcW w:w="3832"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授权使用期限</w:t>
            </w:r>
          </w:p>
        </w:tc>
      </w:tr>
    </w:tbl>
    <w:p w:rsidR="005C49A8" w:rsidRDefault="005C49A8">
      <w:pPr>
        <w:pStyle w:val="a3"/>
        <w:spacing w:before="0" w:beforeAutospacing="0" w:after="0" w:afterAutospacing="0" w:line="360" w:lineRule="auto"/>
        <w:ind w:firstLine="420"/>
        <w:jc w:val="both"/>
        <w:divId w:val="563301188"/>
      </w:pPr>
      <w:r>
        <w:rPr>
          <w:rFonts w:hint="eastAsia"/>
          <w:sz w:val="18"/>
          <w:szCs w:val="18"/>
        </w:rPr>
        <w:t>期末，对使用寿命有限的无形资产的使用寿命和摊销方法进行复核，必要时进行调整。</w:t>
      </w:r>
    </w:p>
    <w:p w:rsidR="005C49A8" w:rsidRDefault="005C49A8" w:rsidP="00C50357">
      <w:pPr>
        <w:widowControl/>
        <w:numPr>
          <w:ilvl w:val="0"/>
          <w:numId w:val="114"/>
        </w:numPr>
        <w:divId w:val="563301188"/>
        <w:rPr>
          <w:rFonts w:ascii="Calibri" w:hAnsi="Calibri" w:cs="Calibri"/>
          <w:szCs w:val="21"/>
        </w:rPr>
      </w:pPr>
      <w:r>
        <w:rPr>
          <w:rFonts w:cs="Calibri" w:hint="eastAsia"/>
          <w:sz w:val="18"/>
          <w:szCs w:val="18"/>
        </w:rPr>
        <w:t>使用寿命不确定的无形资产</w:t>
      </w:r>
    </w:p>
    <w:p w:rsidR="005C49A8" w:rsidRDefault="005C49A8">
      <w:pPr>
        <w:pStyle w:val="a3"/>
        <w:spacing w:before="50" w:beforeAutospacing="0" w:after="0" w:afterAutospacing="0" w:line="360" w:lineRule="auto"/>
        <w:ind w:firstLine="420"/>
        <w:divId w:val="563301188"/>
      </w:pPr>
      <w:r>
        <w:rPr>
          <w:rFonts w:hint="eastAsia"/>
          <w:sz w:val="18"/>
          <w:szCs w:val="18"/>
        </w:rPr>
        <w:t>本公司无使用寿命不确定的无形资产。</w:t>
      </w:r>
    </w:p>
    <w:p w:rsidR="005C49A8" w:rsidRDefault="005C49A8">
      <w:pPr>
        <w:pStyle w:val="a3"/>
        <w:divId w:val="563301188"/>
        <w:rPr>
          <w:sz w:val="18"/>
          <w:szCs w:val="18"/>
        </w:rPr>
      </w:pPr>
      <w:r>
        <w:rPr>
          <w:rFonts w:hint="eastAsia"/>
          <w:sz w:val="18"/>
          <w:szCs w:val="18"/>
        </w:rPr>
        <w:t>无形资产的减值测试方法和减值准备计提方法详见</w:t>
      </w:r>
      <w:r>
        <w:rPr>
          <w:rFonts w:ascii="Calibri" w:hAnsi="Calibri" w:cs="Calibri"/>
          <w:sz w:val="18"/>
          <w:szCs w:val="18"/>
        </w:rPr>
        <w:t>30.</w:t>
      </w:r>
      <w:r>
        <w:rPr>
          <w:rFonts w:hint="eastAsia"/>
          <w:sz w:val="18"/>
          <w:szCs w:val="18"/>
        </w:rPr>
        <w:t>长期资产减值。</w:t>
      </w:r>
    </w:p>
    <w:p w:rsidR="008820E4" w:rsidRDefault="005C49A8">
      <w:pPr>
        <w:keepNext/>
        <w:keepLines/>
        <w:spacing w:before="300" w:after="300" w:line="280" w:lineRule="exact"/>
        <w:outlineLvl w:val="3"/>
        <w:rPr>
          <w:rFonts w:ascii="宋体" w:eastAsia="宋体" w:hAnsi="宋体" w:cs="宋体"/>
          <w:b/>
          <w:bCs/>
          <w:szCs w:val="21"/>
        </w:rPr>
      </w:pPr>
      <w:bookmarkStart w:id="150" w:name="_Toc989039"/>
      <w:r>
        <w:rPr>
          <w:rFonts w:ascii="宋体" w:eastAsia="宋体" w:hAnsi="宋体" w:cs="宋体"/>
          <w:b/>
          <w:bCs/>
          <w:szCs w:val="21"/>
        </w:rPr>
        <w:t>（2） 研发支出的归集范围及相关会计处理方法</w:t>
      </w:r>
      <w:bookmarkEnd w:id="150"/>
    </w:p>
    <w:p w:rsidR="005C49A8" w:rsidRDefault="005C49A8" w:rsidP="00C50357">
      <w:pPr>
        <w:widowControl/>
        <w:numPr>
          <w:ilvl w:val="3"/>
          <w:numId w:val="115"/>
        </w:numPr>
        <w:tabs>
          <w:tab w:val="clear" w:pos="2880"/>
          <w:tab w:val="num" w:pos="2552"/>
        </w:tabs>
        <w:spacing w:before="100" w:beforeAutospacing="1" w:after="100" w:afterAutospacing="1"/>
        <w:ind w:left="426"/>
        <w:divId w:val="153708231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划分公司内部研究开发项目的研究阶段和开发阶段具体标准</w:t>
      </w:r>
    </w:p>
    <w:p w:rsidR="005C49A8" w:rsidRDefault="005C49A8">
      <w:pPr>
        <w:pStyle w:val="a3"/>
        <w:spacing w:before="0" w:beforeAutospacing="0" w:after="0" w:afterAutospacing="0"/>
        <w:ind w:firstLine="420"/>
        <w:jc w:val="both"/>
        <w:divId w:val="1537082318"/>
      </w:pPr>
      <w:r>
        <w:rPr>
          <w:rFonts w:hint="eastAsia"/>
          <w:sz w:val="18"/>
          <w:szCs w:val="18"/>
        </w:rPr>
        <w:t>研究阶段：为获取并理解新的科学或技术知识等而进行的独创性的有计划调查、研究活动的阶段。</w:t>
      </w:r>
    </w:p>
    <w:p w:rsidR="005C49A8" w:rsidRDefault="005C49A8">
      <w:pPr>
        <w:pStyle w:val="a3"/>
        <w:spacing w:before="0" w:beforeAutospacing="0" w:after="0" w:afterAutospacing="0"/>
        <w:ind w:firstLine="420"/>
        <w:jc w:val="both"/>
        <w:divId w:val="1537082318"/>
      </w:pPr>
      <w:r>
        <w:rPr>
          <w:rFonts w:hint="eastAsia"/>
          <w:sz w:val="18"/>
          <w:szCs w:val="18"/>
        </w:rPr>
        <w:t>开发阶段：在进行商业性生产或使用前，将研究成果或其他知识应用于某项计划或设计，以生产出新的或具有实质性改进的材料、装置、产品等活动的阶段。</w:t>
      </w:r>
    </w:p>
    <w:p w:rsidR="005C49A8" w:rsidRDefault="005C49A8">
      <w:pPr>
        <w:pStyle w:val="a3"/>
        <w:spacing w:before="0" w:beforeAutospacing="0" w:after="0" w:afterAutospacing="0"/>
        <w:ind w:firstLine="420"/>
        <w:jc w:val="both"/>
        <w:divId w:val="1537082318"/>
      </w:pPr>
      <w:r>
        <w:rPr>
          <w:rFonts w:hint="eastAsia"/>
          <w:sz w:val="18"/>
          <w:szCs w:val="18"/>
        </w:rPr>
        <w:t>内部研究开发项目研究阶段的支出，在发生时计入当期损益。</w:t>
      </w:r>
    </w:p>
    <w:p w:rsidR="005C49A8" w:rsidRDefault="005C49A8" w:rsidP="00C50357">
      <w:pPr>
        <w:widowControl/>
        <w:numPr>
          <w:ilvl w:val="3"/>
          <w:numId w:val="116"/>
        </w:numPr>
        <w:tabs>
          <w:tab w:val="clear" w:pos="2880"/>
          <w:tab w:val="num" w:pos="2552"/>
        </w:tabs>
        <w:spacing w:before="100" w:beforeAutospacing="1" w:after="100" w:afterAutospacing="1"/>
        <w:ind w:left="426"/>
        <w:divId w:val="1537082318"/>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开发阶段支出符合资本化的具体标准</w:t>
      </w:r>
    </w:p>
    <w:p w:rsidR="005C49A8" w:rsidRDefault="005C49A8">
      <w:pPr>
        <w:pStyle w:val="a3"/>
        <w:spacing w:before="0" w:beforeAutospacing="0" w:after="0" w:afterAutospacing="0"/>
        <w:ind w:firstLine="420"/>
        <w:jc w:val="both"/>
        <w:divId w:val="1537082318"/>
      </w:pPr>
      <w:r>
        <w:rPr>
          <w:rFonts w:hint="eastAsia"/>
          <w:sz w:val="18"/>
          <w:szCs w:val="18"/>
        </w:rPr>
        <w:t>内部研究开发项目开发阶段的支出，同时满足下列条件时确认为无形资产：</w:t>
      </w:r>
    </w:p>
    <w:p w:rsidR="005C49A8" w:rsidRDefault="005C49A8">
      <w:pPr>
        <w:pStyle w:val="a3"/>
        <w:spacing w:before="0" w:beforeAutospacing="0" w:after="0" w:afterAutospacing="0"/>
        <w:ind w:firstLine="420"/>
        <w:jc w:val="both"/>
        <w:divId w:val="1537082318"/>
      </w:pPr>
      <w:r>
        <w:rPr>
          <w:rFonts w:hint="eastAsia"/>
          <w:sz w:val="18"/>
          <w:szCs w:val="18"/>
        </w:rPr>
        <w:t>（1）完成该无形资产以使其能够使用或出售在技术上具有可行性；</w:t>
      </w:r>
    </w:p>
    <w:p w:rsidR="005C49A8" w:rsidRDefault="005C49A8">
      <w:pPr>
        <w:pStyle w:val="a3"/>
        <w:spacing w:before="0" w:beforeAutospacing="0" w:after="0" w:afterAutospacing="0"/>
        <w:ind w:firstLine="420"/>
        <w:jc w:val="both"/>
        <w:divId w:val="1537082318"/>
      </w:pPr>
      <w:r>
        <w:rPr>
          <w:rFonts w:hint="eastAsia"/>
          <w:sz w:val="18"/>
          <w:szCs w:val="18"/>
        </w:rPr>
        <w:t>（2）具有完成该无形资产并使用或出售的意图；</w:t>
      </w:r>
    </w:p>
    <w:p w:rsidR="005C49A8" w:rsidRDefault="005C49A8">
      <w:pPr>
        <w:pStyle w:val="a3"/>
        <w:spacing w:before="0" w:beforeAutospacing="0" w:after="0" w:afterAutospacing="0"/>
        <w:ind w:firstLine="420"/>
        <w:jc w:val="both"/>
        <w:divId w:val="1537082318"/>
      </w:pPr>
      <w:r>
        <w:rPr>
          <w:rFonts w:hint="eastAsia"/>
          <w:sz w:val="18"/>
          <w:szCs w:val="18"/>
        </w:rPr>
        <w:t>（3）无形资产产生经济利益的方式，包括能够证明运用该无形资产生产的产品存在市场或无形资产自身存在市场，无形资产将在内部使用的，能够证明其有用性；</w:t>
      </w:r>
    </w:p>
    <w:p w:rsidR="005C49A8" w:rsidRDefault="005C49A8">
      <w:pPr>
        <w:pStyle w:val="a3"/>
        <w:spacing w:before="0" w:beforeAutospacing="0" w:after="0" w:afterAutospacing="0"/>
        <w:ind w:firstLine="420"/>
        <w:jc w:val="both"/>
        <w:divId w:val="1537082318"/>
      </w:pPr>
      <w:r>
        <w:rPr>
          <w:rFonts w:hint="eastAsia"/>
          <w:sz w:val="18"/>
          <w:szCs w:val="18"/>
        </w:rPr>
        <w:t>（4）有足够的技术、财务资源和其他资源支持，以完成该无形资产的开发，并有能力使用或出售该无形资产；</w:t>
      </w:r>
    </w:p>
    <w:p w:rsidR="005C49A8" w:rsidRDefault="005C49A8">
      <w:pPr>
        <w:pStyle w:val="a3"/>
        <w:spacing w:before="0" w:beforeAutospacing="0" w:after="0" w:afterAutospacing="0"/>
        <w:ind w:firstLine="420"/>
        <w:jc w:val="both"/>
        <w:divId w:val="1537082318"/>
      </w:pPr>
      <w:r>
        <w:rPr>
          <w:rFonts w:hint="eastAsia"/>
          <w:sz w:val="18"/>
          <w:szCs w:val="18"/>
        </w:rPr>
        <w:t>（5）归属于该无形资产开发阶段的支出能够可靠地计量。</w:t>
      </w:r>
    </w:p>
    <w:p w:rsidR="005C49A8" w:rsidRDefault="005C49A8">
      <w:pPr>
        <w:pStyle w:val="a3"/>
        <w:spacing w:before="0" w:beforeAutospacing="0" w:after="0" w:afterAutospacing="0"/>
        <w:ind w:firstLine="420"/>
        <w:jc w:val="both"/>
        <w:divId w:val="1537082318"/>
      </w:pPr>
      <w:r>
        <w:rPr>
          <w:rFonts w:hint="eastAsia"/>
          <w:sz w:val="18"/>
          <w:szCs w:val="18"/>
        </w:rPr>
        <w:t>不满足上述条件的开发阶段的支出，于发生时计入当期损益。无法区分研究阶段支出和开发阶段支出的，将发生的研发支出全部计入当期损益。内部开发活动形成的无形资产的成本仅包括满足资本化条件的时点至无形资产达到预定用途前发生的支出总额，对于同一项无形资产在开发过程中达到资本化条件之前已经费用化计入损益的支出不再进行调整。</w:t>
      </w:r>
    </w:p>
    <w:p w:rsidR="008820E4" w:rsidRDefault="005C49A8">
      <w:pPr>
        <w:pStyle w:val="3"/>
        <w:spacing w:line="280" w:lineRule="exact"/>
        <w:jc w:val="left"/>
        <w:rPr>
          <w:rFonts w:ascii="宋体" w:hAnsi="宋体" w:cs="宋体"/>
          <w:b/>
          <w:bCs/>
        </w:rPr>
      </w:pPr>
      <w:bookmarkStart w:id="151" w:name="_Toc989040"/>
      <w:r>
        <w:rPr>
          <w:rFonts w:ascii="宋体" w:hAnsi="宋体" w:cs="宋体"/>
          <w:b/>
          <w:bCs/>
        </w:rPr>
        <w:t>30、长期资产减值</w:t>
      </w:r>
      <w:bookmarkEnd w:id="151"/>
    </w:p>
    <w:p w:rsidR="005C49A8" w:rsidRDefault="005C49A8">
      <w:pPr>
        <w:pStyle w:val="a3"/>
        <w:spacing w:before="0" w:beforeAutospacing="0" w:after="0" w:afterAutospacing="0"/>
        <w:ind w:firstLine="420"/>
        <w:jc w:val="both"/>
        <w:divId w:val="72820496"/>
      </w:pPr>
      <w:r>
        <w:rPr>
          <w:rFonts w:hint="eastAsia"/>
          <w:sz w:val="18"/>
          <w:szCs w:val="18"/>
        </w:rPr>
        <w:t>本公司在每一个资产负债表日</w:t>
      </w:r>
      <w:proofErr w:type="gramStart"/>
      <w:r>
        <w:rPr>
          <w:rFonts w:hint="eastAsia"/>
          <w:sz w:val="18"/>
          <w:szCs w:val="18"/>
        </w:rPr>
        <w:t>检查长</w:t>
      </w:r>
      <w:proofErr w:type="gramEnd"/>
      <w:r>
        <w:rPr>
          <w:rFonts w:hint="eastAsia"/>
          <w:sz w:val="18"/>
          <w:szCs w:val="18"/>
        </w:rPr>
        <w:t>期股权投资、采用成本法计量的投资性房地产、固定资产、在建工程、使用寿命确定的无形资产是否存在可能发生减值的迹象。如果长期资产存在减值迹象，则以单项资产为基础估计其可收回金额；难以对单项资产的可收回金额进行估计的，以该资产所属的资产组为基础确定资产组的可收回金额。</w:t>
      </w:r>
    </w:p>
    <w:p w:rsidR="005C49A8" w:rsidRDefault="005C49A8">
      <w:pPr>
        <w:pStyle w:val="a3"/>
        <w:spacing w:before="0" w:beforeAutospacing="0" w:after="0" w:afterAutospacing="0"/>
        <w:ind w:firstLine="420"/>
        <w:jc w:val="both"/>
        <w:divId w:val="72820496"/>
      </w:pPr>
      <w:r>
        <w:rPr>
          <w:rFonts w:hint="eastAsia"/>
          <w:sz w:val="18"/>
          <w:szCs w:val="18"/>
        </w:rPr>
        <w:t>资产可收回金额的估计，根据其公允价值减去处置费用后的净额与资产预计未来现金流量的现值两者之间较高者确定。</w:t>
      </w:r>
    </w:p>
    <w:p w:rsidR="005C49A8" w:rsidRDefault="005C49A8">
      <w:pPr>
        <w:pStyle w:val="a3"/>
        <w:spacing w:before="0" w:beforeAutospacing="0" w:after="0" w:afterAutospacing="0"/>
        <w:ind w:firstLine="420"/>
        <w:jc w:val="both"/>
        <w:divId w:val="72820496"/>
      </w:pPr>
      <w:r>
        <w:rPr>
          <w:rFonts w:hint="eastAsia"/>
          <w:sz w:val="18"/>
          <w:szCs w:val="18"/>
        </w:rPr>
        <w:t>可收回金额的计量结果表明，长期资产的可收回金额低于其账面价值的，将长期资产的账面价值</w:t>
      </w:r>
      <w:proofErr w:type="gramStart"/>
      <w:r>
        <w:rPr>
          <w:rFonts w:hint="eastAsia"/>
          <w:sz w:val="18"/>
          <w:szCs w:val="18"/>
        </w:rPr>
        <w:t>减记至</w:t>
      </w:r>
      <w:proofErr w:type="gramEnd"/>
      <w:r>
        <w:rPr>
          <w:rFonts w:hint="eastAsia"/>
          <w:sz w:val="18"/>
          <w:szCs w:val="18"/>
        </w:rPr>
        <w:t>可收回金额，</w:t>
      </w:r>
      <w:proofErr w:type="gramStart"/>
      <w:r>
        <w:rPr>
          <w:rFonts w:hint="eastAsia"/>
          <w:sz w:val="18"/>
          <w:szCs w:val="18"/>
        </w:rPr>
        <w:t>减记的</w:t>
      </w:r>
      <w:proofErr w:type="gramEnd"/>
      <w:r>
        <w:rPr>
          <w:rFonts w:hint="eastAsia"/>
          <w:sz w:val="18"/>
          <w:szCs w:val="18"/>
        </w:rPr>
        <w:t>金额确认为资产减值损失，计入当期损益，同时计提相应的资产减值准备。资产减值损失一经确认，在以后会计期间不得转回。</w:t>
      </w:r>
    </w:p>
    <w:p w:rsidR="005C49A8" w:rsidRDefault="005C49A8">
      <w:pPr>
        <w:pStyle w:val="a3"/>
        <w:spacing w:before="0" w:beforeAutospacing="0" w:after="0" w:afterAutospacing="0"/>
        <w:ind w:firstLine="420"/>
        <w:jc w:val="both"/>
        <w:divId w:val="72820496"/>
      </w:pPr>
      <w:r>
        <w:rPr>
          <w:rFonts w:hint="eastAsia"/>
          <w:sz w:val="18"/>
          <w:szCs w:val="18"/>
        </w:rPr>
        <w:lastRenderedPageBreak/>
        <w:t>资产减值损失确认后，减值资产的折旧或者摊销费用在未来期间作相应调整，以使该资产在剩余使用寿命内，系统地分摊调整后的资产账面价值（扣除预计净残值）。</w:t>
      </w:r>
    </w:p>
    <w:p w:rsidR="005C49A8" w:rsidRDefault="005C49A8">
      <w:pPr>
        <w:pStyle w:val="a3"/>
        <w:spacing w:before="0" w:beforeAutospacing="0" w:after="0" w:afterAutospacing="0"/>
        <w:ind w:firstLine="420"/>
        <w:jc w:val="both"/>
        <w:divId w:val="72820496"/>
      </w:pPr>
      <w:r>
        <w:rPr>
          <w:rFonts w:hint="eastAsia"/>
          <w:sz w:val="18"/>
          <w:szCs w:val="18"/>
        </w:rPr>
        <w:t>因企业合并所形成的商誉和使用寿命不确定的无形资产，无论是否存在减值迹象，每年都进行减值测试。</w:t>
      </w:r>
    </w:p>
    <w:p w:rsidR="005C49A8" w:rsidRDefault="005C49A8" w:rsidP="00F7271B">
      <w:pPr>
        <w:pStyle w:val="a3"/>
        <w:ind w:firstLineChars="236" w:firstLine="425"/>
        <w:divId w:val="72820496"/>
        <w:rPr>
          <w:sz w:val="18"/>
          <w:szCs w:val="18"/>
        </w:rPr>
      </w:pPr>
      <w:r>
        <w:rPr>
          <w:rFonts w:hint="eastAsia"/>
          <w:sz w:val="18"/>
          <w:szCs w:val="18"/>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w:t>
      </w:r>
      <w:proofErr w:type="gramStart"/>
      <w:r>
        <w:rPr>
          <w:rFonts w:hint="eastAsia"/>
          <w:sz w:val="18"/>
          <w:szCs w:val="18"/>
        </w:rPr>
        <w:t>与其可</w:t>
      </w:r>
      <w:proofErr w:type="gramEnd"/>
      <w:r>
        <w:rPr>
          <w:rFonts w:hint="eastAsia"/>
          <w:sz w:val="18"/>
          <w:szCs w:val="18"/>
        </w:rPr>
        <w:t>收回金额，如相关资产组或者资产组组合的可收回金额低于其账面价值的，确认商誉的减值损失。</w:t>
      </w:r>
    </w:p>
    <w:p w:rsidR="008820E4" w:rsidRDefault="005C49A8">
      <w:pPr>
        <w:pStyle w:val="3"/>
        <w:spacing w:line="280" w:lineRule="exact"/>
        <w:jc w:val="left"/>
        <w:rPr>
          <w:rFonts w:ascii="宋体" w:hAnsi="宋体" w:cs="宋体"/>
          <w:b/>
          <w:bCs/>
        </w:rPr>
      </w:pPr>
      <w:bookmarkStart w:id="152" w:name="_Toc989041"/>
      <w:r>
        <w:rPr>
          <w:rFonts w:ascii="宋体" w:hAnsi="宋体" w:cs="宋体"/>
          <w:b/>
          <w:bCs/>
        </w:rPr>
        <w:t>31、长期待摊费用</w:t>
      </w:r>
      <w:bookmarkEnd w:id="152"/>
    </w:p>
    <w:p w:rsidR="005C49A8" w:rsidRDefault="005C49A8" w:rsidP="00C50357">
      <w:pPr>
        <w:widowControl/>
        <w:numPr>
          <w:ilvl w:val="0"/>
          <w:numId w:val="117"/>
        </w:numPr>
        <w:spacing w:before="100" w:beforeAutospacing="1" w:after="100" w:afterAutospacing="1"/>
        <w:divId w:val="988482059"/>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摊销方法</w:t>
      </w:r>
    </w:p>
    <w:p w:rsidR="005C49A8" w:rsidRDefault="005C49A8">
      <w:pPr>
        <w:pStyle w:val="a3"/>
        <w:spacing w:before="0" w:beforeAutospacing="0" w:after="0" w:afterAutospacing="0"/>
        <w:ind w:firstLine="420"/>
        <w:jc w:val="both"/>
        <w:divId w:val="988482059"/>
      </w:pPr>
      <w:r>
        <w:rPr>
          <w:rFonts w:hint="eastAsia"/>
          <w:sz w:val="18"/>
          <w:szCs w:val="18"/>
        </w:rPr>
        <w:t>长期待摊费用，是指本公司已经发生但应由本期和以后各期负担的分摊期限在1年以上的各项费用。长期待摊费用在受益期内按直线法分期摊销。</w:t>
      </w:r>
    </w:p>
    <w:p w:rsidR="005C49A8" w:rsidRDefault="005C49A8" w:rsidP="00C50357">
      <w:pPr>
        <w:widowControl/>
        <w:numPr>
          <w:ilvl w:val="0"/>
          <w:numId w:val="118"/>
        </w:numPr>
        <w:spacing w:before="100" w:beforeAutospacing="1" w:after="100" w:afterAutospacing="1"/>
        <w:divId w:val="988482059"/>
        <w:rPr>
          <w:sz w:val="18"/>
          <w:szCs w:val="18"/>
        </w:rPr>
      </w:pPr>
      <w:r>
        <w:rPr>
          <w:rFonts w:hint="eastAsia"/>
          <w:sz w:val="18"/>
          <w:szCs w:val="18"/>
        </w:rPr>
        <w:t>．</w:t>
      </w:r>
      <w:r>
        <w:rPr>
          <w:rFonts w:ascii="Times New Roman" w:hAnsi="Times New Roman" w:cs="Times New Roman"/>
          <w:sz w:val="18"/>
          <w:szCs w:val="18"/>
        </w:rPr>
        <w:t xml:space="preserve"> </w:t>
      </w:r>
      <w:r>
        <w:rPr>
          <w:rFonts w:hint="eastAsia"/>
          <w:sz w:val="18"/>
          <w:szCs w:val="18"/>
        </w:rPr>
        <w:t>摊销年限</w:t>
      </w:r>
    </w:p>
    <w:tbl>
      <w:tblPr>
        <w:tblW w:w="9088" w:type="dxa"/>
        <w:jc w:val="center"/>
        <w:tblCellMar>
          <w:left w:w="0" w:type="dxa"/>
          <w:right w:w="0" w:type="dxa"/>
        </w:tblCellMar>
        <w:tblLook w:val="04A0" w:firstRow="1" w:lastRow="0" w:firstColumn="1" w:lastColumn="0" w:noHBand="0" w:noVBand="1"/>
        <w:tblCaption w:val="D:\大华\华孚\2023年度\TB|0-合并TB-华孚时尚股份有限公司-2023年度.xlsx|W附注模板|_jds16|0|desc|||0|1"/>
      </w:tblPr>
      <w:tblGrid>
        <w:gridCol w:w="2845"/>
        <w:gridCol w:w="2845"/>
        <w:gridCol w:w="3398"/>
      </w:tblGrid>
      <w:tr w:rsidR="005C49A8" w:rsidTr="00F7271B">
        <w:trPr>
          <w:divId w:val="988482059"/>
          <w:trHeight w:val="340"/>
          <w:tblHeader/>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类别</w:t>
            </w:r>
          </w:p>
        </w:tc>
        <w:tc>
          <w:tcPr>
            <w:tcW w:w="2845"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摊销年限</w:t>
            </w:r>
          </w:p>
        </w:tc>
        <w:tc>
          <w:tcPr>
            <w:tcW w:w="3398"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备注</w:t>
            </w:r>
          </w:p>
        </w:tc>
      </w:tr>
      <w:tr w:rsidR="005C49A8" w:rsidTr="00CF103B">
        <w:trPr>
          <w:divId w:val="988482059"/>
          <w:trHeight w:val="340"/>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装修费</w:t>
            </w:r>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ascii="Times New Roman" w:hAnsi="Times New Roman" w:cs="Times New Roman"/>
                <w:sz w:val="18"/>
                <w:szCs w:val="18"/>
              </w:rPr>
              <w:t>3-5</w:t>
            </w:r>
            <w:r>
              <w:rPr>
                <w:rFonts w:hint="eastAsia"/>
                <w:sz w:val="18"/>
                <w:szCs w:val="18"/>
              </w:rPr>
              <w:t>年</w:t>
            </w:r>
          </w:p>
        </w:tc>
        <w:tc>
          <w:tcPr>
            <w:tcW w:w="3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ind w:firstLine="424"/>
              <w:jc w:val="center"/>
            </w:pPr>
            <w:r>
              <w:rPr>
                <w:rFonts w:ascii="Times New Roman" w:hAnsi="Times New Roman" w:cs="Times New Roman"/>
                <w:sz w:val="21"/>
                <w:szCs w:val="21"/>
              </w:rPr>
              <w:t> </w:t>
            </w:r>
          </w:p>
        </w:tc>
      </w:tr>
      <w:tr w:rsidR="005C49A8" w:rsidTr="00CF103B">
        <w:trPr>
          <w:divId w:val="988482059"/>
          <w:trHeight w:val="340"/>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机物料</w:t>
            </w:r>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ascii="Times New Roman" w:hAnsi="Times New Roman" w:cs="Times New Roman"/>
                <w:sz w:val="18"/>
                <w:szCs w:val="18"/>
              </w:rPr>
              <w:t>3-5</w:t>
            </w:r>
            <w:r>
              <w:rPr>
                <w:rFonts w:hint="eastAsia"/>
                <w:sz w:val="18"/>
                <w:szCs w:val="18"/>
              </w:rPr>
              <w:t>年</w:t>
            </w:r>
          </w:p>
        </w:tc>
        <w:tc>
          <w:tcPr>
            <w:tcW w:w="3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ind w:firstLine="424"/>
              <w:jc w:val="center"/>
            </w:pPr>
            <w:r>
              <w:rPr>
                <w:rFonts w:ascii="Times New Roman" w:hAnsi="Times New Roman" w:cs="Times New Roman"/>
                <w:sz w:val="21"/>
                <w:szCs w:val="21"/>
              </w:rPr>
              <w:t> </w:t>
            </w:r>
          </w:p>
        </w:tc>
      </w:tr>
      <w:tr w:rsidR="005C49A8" w:rsidTr="00CF103B">
        <w:trPr>
          <w:divId w:val="988482059"/>
          <w:trHeight w:val="340"/>
          <w:jc w:val="center"/>
        </w:trPr>
        <w:tc>
          <w:tcPr>
            <w:tcW w:w="2845"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hint="eastAsia"/>
                <w:sz w:val="18"/>
                <w:szCs w:val="18"/>
              </w:rPr>
              <w:t>其他</w:t>
            </w:r>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pPr>
            <w:r>
              <w:rPr>
                <w:rFonts w:ascii="Times New Roman" w:hAnsi="Times New Roman" w:cs="Times New Roman"/>
                <w:sz w:val="18"/>
                <w:szCs w:val="18"/>
              </w:rPr>
              <w:t>2-5</w:t>
            </w:r>
            <w:r>
              <w:rPr>
                <w:rFonts w:hint="eastAsia"/>
                <w:sz w:val="18"/>
                <w:szCs w:val="18"/>
              </w:rPr>
              <w:t>年</w:t>
            </w:r>
          </w:p>
        </w:tc>
        <w:tc>
          <w:tcPr>
            <w:tcW w:w="3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ind w:firstLine="424"/>
              <w:jc w:val="center"/>
            </w:pPr>
            <w:r>
              <w:rPr>
                <w:rFonts w:ascii="Times New Roman" w:hAnsi="Times New Roman" w:cs="Times New Roman"/>
                <w:sz w:val="21"/>
                <w:szCs w:val="21"/>
              </w:rPr>
              <w:t> </w:t>
            </w:r>
          </w:p>
        </w:tc>
      </w:tr>
    </w:tbl>
    <w:p w:rsidR="008820E4" w:rsidRDefault="005C49A8">
      <w:pPr>
        <w:pStyle w:val="3"/>
        <w:spacing w:line="280" w:lineRule="exact"/>
        <w:jc w:val="left"/>
        <w:rPr>
          <w:rFonts w:ascii="宋体" w:hAnsi="宋体" w:cs="宋体"/>
          <w:b/>
          <w:bCs/>
        </w:rPr>
      </w:pPr>
      <w:bookmarkStart w:id="153" w:name="_Toc989042"/>
      <w:r>
        <w:rPr>
          <w:rFonts w:ascii="宋体" w:hAnsi="宋体" w:cs="宋体"/>
          <w:b/>
          <w:bCs/>
        </w:rPr>
        <w:t>32、合同负债</w:t>
      </w:r>
      <w:bookmarkEnd w:id="153"/>
    </w:p>
    <w:p w:rsidR="005C49A8" w:rsidRDefault="005C49A8">
      <w:pPr>
        <w:pStyle w:val="a3"/>
        <w:spacing w:before="0" w:beforeAutospacing="0" w:after="0" w:afterAutospacing="0" w:line="360" w:lineRule="auto"/>
        <w:ind w:firstLine="420"/>
        <w:jc w:val="both"/>
        <w:divId w:val="1408069791"/>
      </w:pPr>
      <w:r>
        <w:rPr>
          <w:rFonts w:hint="eastAsia"/>
          <w:sz w:val="18"/>
          <w:szCs w:val="18"/>
        </w:rPr>
        <w:t>本公司将已收或应收客户对价而应向客户转让商品的义务部分确认为合同负债。</w:t>
      </w:r>
    </w:p>
    <w:p w:rsidR="008820E4" w:rsidRDefault="005C49A8">
      <w:pPr>
        <w:pStyle w:val="3"/>
        <w:spacing w:line="280" w:lineRule="exact"/>
        <w:jc w:val="left"/>
        <w:rPr>
          <w:rFonts w:ascii="宋体" w:hAnsi="宋体" w:cs="宋体"/>
          <w:b/>
          <w:bCs/>
        </w:rPr>
      </w:pPr>
      <w:bookmarkStart w:id="154" w:name="_Toc989043"/>
      <w:r>
        <w:rPr>
          <w:rFonts w:ascii="宋体" w:hAnsi="宋体" w:cs="宋体"/>
          <w:b/>
          <w:bCs/>
        </w:rPr>
        <w:t>33、职工薪</w:t>
      </w:r>
      <w:proofErr w:type="gramStart"/>
      <w:r>
        <w:rPr>
          <w:rFonts w:ascii="宋体" w:hAnsi="宋体" w:cs="宋体"/>
          <w:b/>
          <w:bCs/>
        </w:rPr>
        <w:t>酬</w:t>
      </w:r>
      <w:bookmarkEnd w:id="154"/>
      <w:proofErr w:type="gramEnd"/>
    </w:p>
    <w:p w:rsidR="008820E4" w:rsidRDefault="005C49A8">
      <w:pPr>
        <w:keepNext/>
        <w:keepLines/>
        <w:spacing w:before="300" w:after="300" w:line="280" w:lineRule="exact"/>
        <w:outlineLvl w:val="3"/>
        <w:rPr>
          <w:rFonts w:ascii="宋体" w:eastAsia="宋体" w:hAnsi="宋体" w:cs="宋体"/>
          <w:b/>
          <w:bCs/>
          <w:szCs w:val="21"/>
        </w:rPr>
      </w:pPr>
      <w:bookmarkStart w:id="155" w:name="_Toc989044"/>
      <w:r>
        <w:rPr>
          <w:rFonts w:ascii="宋体" w:eastAsia="宋体" w:hAnsi="宋体" w:cs="宋体"/>
          <w:b/>
          <w:bCs/>
          <w:szCs w:val="21"/>
        </w:rPr>
        <w:t>（1） 短期薪酬的会计处理方法</w:t>
      </w:r>
      <w:bookmarkEnd w:id="155"/>
    </w:p>
    <w:p w:rsidR="005C49A8" w:rsidRPr="00F7271B" w:rsidRDefault="005C49A8">
      <w:pPr>
        <w:pStyle w:val="a3"/>
        <w:spacing w:before="0" w:beforeAutospacing="0" w:after="0" w:afterAutospacing="0" w:line="360" w:lineRule="auto"/>
        <w:ind w:firstLine="420"/>
        <w:jc w:val="both"/>
        <w:divId w:val="536159720"/>
        <w:rPr>
          <w:sz w:val="18"/>
          <w:szCs w:val="18"/>
        </w:rPr>
      </w:pPr>
      <w:r w:rsidRPr="00F7271B">
        <w:rPr>
          <w:rFonts w:hint="eastAsia"/>
          <w:sz w:val="18"/>
          <w:szCs w:val="18"/>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rsidR="008820E4" w:rsidRDefault="005C49A8">
      <w:pPr>
        <w:keepNext/>
        <w:keepLines/>
        <w:spacing w:before="300" w:after="300" w:line="280" w:lineRule="exact"/>
        <w:outlineLvl w:val="3"/>
        <w:rPr>
          <w:rFonts w:ascii="宋体" w:eastAsia="宋体" w:hAnsi="宋体" w:cs="宋体"/>
          <w:b/>
          <w:bCs/>
          <w:szCs w:val="21"/>
        </w:rPr>
      </w:pPr>
      <w:bookmarkStart w:id="156" w:name="_Toc989045"/>
      <w:r>
        <w:rPr>
          <w:rFonts w:ascii="宋体" w:eastAsia="宋体" w:hAnsi="宋体" w:cs="宋体"/>
          <w:b/>
          <w:bCs/>
          <w:szCs w:val="21"/>
        </w:rPr>
        <w:t>（2） 离职后福利的会计处理方法</w:t>
      </w:r>
      <w:bookmarkEnd w:id="156"/>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t>离职后福利是指本公司为获得职工提供的服务而在职工退休或与企业解除劳动关系后，提供的各种形式的报酬和福利，短期</w:t>
      </w:r>
      <w:proofErr w:type="gramStart"/>
      <w:r w:rsidRPr="00F7271B">
        <w:rPr>
          <w:rFonts w:hint="eastAsia"/>
          <w:sz w:val="18"/>
          <w:szCs w:val="18"/>
        </w:rPr>
        <w:t>薪</w:t>
      </w:r>
      <w:proofErr w:type="gramEnd"/>
      <w:r w:rsidRPr="00F7271B">
        <w:rPr>
          <w:rFonts w:hint="eastAsia"/>
          <w:sz w:val="18"/>
          <w:szCs w:val="18"/>
        </w:rPr>
        <w:t>酬和辞退福利除外。</w:t>
      </w:r>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t>本公司的离职后福利计划分类为设定提存计划和设定受益计划。</w:t>
      </w:r>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lastRenderedPageBreak/>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rsidR="005C49A8" w:rsidRPr="00F7271B" w:rsidRDefault="005C49A8">
      <w:pPr>
        <w:pStyle w:val="a3"/>
        <w:spacing w:before="0" w:beforeAutospacing="0" w:after="0" w:afterAutospacing="0" w:line="360" w:lineRule="auto"/>
        <w:ind w:firstLine="420"/>
        <w:jc w:val="both"/>
        <w:divId w:val="1275866639"/>
        <w:rPr>
          <w:sz w:val="18"/>
          <w:szCs w:val="18"/>
        </w:rPr>
      </w:pPr>
      <w:r w:rsidRPr="00F7271B">
        <w:rPr>
          <w:rFonts w:hint="eastAsia"/>
          <w:sz w:val="18"/>
          <w:szCs w:val="18"/>
        </w:rPr>
        <w:t>本公司按照国家规定的标准定期缴付上述款项后，不再有其他的支付义务。</w:t>
      </w:r>
    </w:p>
    <w:p w:rsidR="008820E4" w:rsidRDefault="005C49A8">
      <w:pPr>
        <w:keepNext/>
        <w:keepLines/>
        <w:spacing w:before="300" w:after="300" w:line="280" w:lineRule="exact"/>
        <w:outlineLvl w:val="3"/>
        <w:rPr>
          <w:rFonts w:ascii="宋体" w:eastAsia="宋体" w:hAnsi="宋体" w:cs="宋体"/>
          <w:b/>
          <w:bCs/>
          <w:szCs w:val="21"/>
        </w:rPr>
      </w:pPr>
      <w:bookmarkStart w:id="157" w:name="_Toc989046"/>
      <w:r>
        <w:rPr>
          <w:rFonts w:ascii="宋体" w:eastAsia="宋体" w:hAnsi="宋体" w:cs="宋体"/>
          <w:b/>
          <w:bCs/>
          <w:szCs w:val="21"/>
        </w:rPr>
        <w:t>（3） 辞退福利的会计处理方法</w:t>
      </w:r>
      <w:bookmarkEnd w:id="157"/>
    </w:p>
    <w:p w:rsidR="005C49A8" w:rsidRPr="00F7271B" w:rsidRDefault="005C49A8">
      <w:pPr>
        <w:pStyle w:val="a3"/>
        <w:spacing w:before="0" w:beforeAutospacing="0" w:after="0" w:afterAutospacing="0" w:line="360" w:lineRule="auto"/>
        <w:ind w:firstLine="420"/>
        <w:jc w:val="both"/>
        <w:divId w:val="267809758"/>
        <w:rPr>
          <w:sz w:val="18"/>
          <w:szCs w:val="18"/>
        </w:rPr>
      </w:pPr>
      <w:r w:rsidRPr="00F7271B">
        <w:rPr>
          <w:rFonts w:hint="eastAsia"/>
          <w:sz w:val="18"/>
          <w:szCs w:val="18"/>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w:t>
      </w:r>
      <w:proofErr w:type="gramStart"/>
      <w:r w:rsidRPr="00F7271B">
        <w:rPr>
          <w:rFonts w:hint="eastAsia"/>
          <w:sz w:val="18"/>
          <w:szCs w:val="18"/>
        </w:rPr>
        <w:t>孰</w:t>
      </w:r>
      <w:proofErr w:type="gramEnd"/>
      <w:r w:rsidRPr="00F7271B">
        <w:rPr>
          <w:rFonts w:hint="eastAsia"/>
          <w:sz w:val="18"/>
          <w:szCs w:val="18"/>
        </w:rPr>
        <w:t>早日，</w:t>
      </w:r>
      <w:proofErr w:type="gramStart"/>
      <w:r w:rsidRPr="00F7271B">
        <w:rPr>
          <w:rFonts w:hint="eastAsia"/>
          <w:sz w:val="18"/>
          <w:szCs w:val="18"/>
        </w:rPr>
        <w:t>确认因</w:t>
      </w:r>
      <w:proofErr w:type="gramEnd"/>
      <w:r w:rsidRPr="00F7271B">
        <w:rPr>
          <w:rFonts w:hint="eastAsia"/>
          <w:sz w:val="18"/>
          <w:szCs w:val="18"/>
        </w:rPr>
        <w:t>解除与职工的劳动关系给予补偿而产生的负债，同时计入当期损益。</w:t>
      </w:r>
    </w:p>
    <w:p w:rsidR="005C49A8" w:rsidRPr="00F7271B" w:rsidRDefault="005C49A8">
      <w:pPr>
        <w:pStyle w:val="a3"/>
        <w:spacing w:before="0" w:beforeAutospacing="0" w:after="0" w:afterAutospacing="0" w:line="360" w:lineRule="auto"/>
        <w:ind w:firstLine="420"/>
        <w:jc w:val="both"/>
        <w:divId w:val="267809758"/>
        <w:rPr>
          <w:sz w:val="18"/>
          <w:szCs w:val="18"/>
        </w:rPr>
      </w:pPr>
      <w:r w:rsidRPr="00F7271B">
        <w:rPr>
          <w:rFonts w:hint="eastAsia"/>
          <w:sz w:val="18"/>
          <w:szCs w:val="18"/>
        </w:rPr>
        <w:t>本公司向接受内部退休安排的职工提供内退福利。内退福利是指，向未达到国家规定的退休年龄、经本公司管理层批准自愿退出工作岗位的职工支付的工资及为其缴纳的社会保险费等。本公司</w:t>
      </w:r>
      <w:proofErr w:type="gramStart"/>
      <w:r w:rsidRPr="00F7271B">
        <w:rPr>
          <w:rFonts w:hint="eastAsia"/>
          <w:sz w:val="18"/>
          <w:szCs w:val="18"/>
        </w:rPr>
        <w:t>自内部</w:t>
      </w:r>
      <w:proofErr w:type="gramEnd"/>
      <w:r w:rsidRPr="00F7271B">
        <w:rPr>
          <w:rFonts w:hint="eastAsia"/>
          <w:sz w:val="18"/>
          <w:szCs w:val="18"/>
        </w:rPr>
        <w:t>退休安排开始之日起</w:t>
      </w:r>
      <w:proofErr w:type="gramStart"/>
      <w:r w:rsidRPr="00F7271B">
        <w:rPr>
          <w:rFonts w:hint="eastAsia"/>
          <w:sz w:val="18"/>
          <w:szCs w:val="18"/>
        </w:rPr>
        <w:t>至职工</w:t>
      </w:r>
      <w:proofErr w:type="gramEnd"/>
      <w:r w:rsidRPr="00F7271B">
        <w:rPr>
          <w:rFonts w:hint="eastAsia"/>
          <w:sz w:val="18"/>
          <w:szCs w:val="18"/>
        </w:rPr>
        <w:t>达到正常退休年龄止，向内退职</w:t>
      </w:r>
      <w:proofErr w:type="gramStart"/>
      <w:r w:rsidRPr="00F7271B">
        <w:rPr>
          <w:rFonts w:hint="eastAsia"/>
          <w:sz w:val="18"/>
          <w:szCs w:val="18"/>
        </w:rPr>
        <w:t>工支付</w:t>
      </w:r>
      <w:proofErr w:type="gramEnd"/>
      <w:r w:rsidRPr="00F7271B">
        <w:rPr>
          <w:rFonts w:hint="eastAsia"/>
          <w:sz w:val="18"/>
          <w:szCs w:val="18"/>
        </w:rPr>
        <w:t>内部退养福利。对于内退福利，本公司比照辞退福利进行会计处理，在符合辞退福利相关确认条件时，将</w:t>
      </w:r>
      <w:proofErr w:type="gramStart"/>
      <w:r w:rsidRPr="00F7271B">
        <w:rPr>
          <w:rFonts w:hint="eastAsia"/>
          <w:sz w:val="18"/>
          <w:szCs w:val="18"/>
        </w:rPr>
        <w:t>自职工</w:t>
      </w:r>
      <w:proofErr w:type="gramEnd"/>
      <w:r w:rsidRPr="00F7271B">
        <w:rPr>
          <w:rFonts w:hint="eastAsia"/>
          <w:sz w:val="18"/>
          <w:szCs w:val="18"/>
        </w:rPr>
        <w:t>停止提供服务日至正常退休日期间</w:t>
      </w:r>
      <w:proofErr w:type="gramStart"/>
      <w:r w:rsidRPr="00F7271B">
        <w:rPr>
          <w:rFonts w:hint="eastAsia"/>
          <w:sz w:val="18"/>
          <w:szCs w:val="18"/>
        </w:rPr>
        <w:t>拟支付</w:t>
      </w:r>
      <w:proofErr w:type="gramEnd"/>
      <w:r w:rsidRPr="00F7271B">
        <w:rPr>
          <w:rFonts w:hint="eastAsia"/>
          <w:sz w:val="18"/>
          <w:szCs w:val="18"/>
        </w:rPr>
        <w:t>的内退职工工资和缴纳的社会保险费等，确认为负债，一次性计入当期损益。内退福利的精算假设变化及福利标准调整引起的差异于发生时计入当期损益。</w:t>
      </w:r>
    </w:p>
    <w:p w:rsidR="008820E4" w:rsidRDefault="005C49A8">
      <w:pPr>
        <w:keepNext/>
        <w:keepLines/>
        <w:spacing w:before="300" w:after="300" w:line="280" w:lineRule="exact"/>
        <w:outlineLvl w:val="3"/>
        <w:rPr>
          <w:rFonts w:ascii="宋体" w:eastAsia="宋体" w:hAnsi="宋体" w:cs="宋体"/>
          <w:b/>
          <w:bCs/>
          <w:szCs w:val="21"/>
        </w:rPr>
      </w:pPr>
      <w:bookmarkStart w:id="158" w:name="_Toc989047"/>
      <w:r>
        <w:rPr>
          <w:rFonts w:ascii="宋体" w:eastAsia="宋体" w:hAnsi="宋体" w:cs="宋体"/>
          <w:b/>
          <w:bCs/>
          <w:szCs w:val="21"/>
        </w:rPr>
        <w:t>（4） 其他长期职工福利的会计处理方法</w:t>
      </w:r>
      <w:bookmarkEnd w:id="158"/>
    </w:p>
    <w:p w:rsidR="005C49A8" w:rsidRPr="00F7271B" w:rsidRDefault="005C49A8">
      <w:pPr>
        <w:pStyle w:val="a3"/>
        <w:spacing w:before="0" w:beforeAutospacing="0" w:after="0" w:afterAutospacing="0" w:line="360" w:lineRule="auto"/>
        <w:ind w:firstLine="420"/>
        <w:jc w:val="both"/>
        <w:divId w:val="678239583"/>
        <w:rPr>
          <w:sz w:val="18"/>
          <w:szCs w:val="18"/>
        </w:rPr>
      </w:pPr>
      <w:r w:rsidRPr="00F7271B">
        <w:rPr>
          <w:rFonts w:hint="eastAsia"/>
          <w:sz w:val="18"/>
          <w:szCs w:val="18"/>
        </w:rPr>
        <w:t>其他长期职工福利是指除短期薪酬、离职后福利、辞退福利之外的其他所有职工福利。</w:t>
      </w:r>
    </w:p>
    <w:p w:rsidR="005C49A8" w:rsidRPr="00F7271B" w:rsidRDefault="005C49A8">
      <w:pPr>
        <w:pStyle w:val="a3"/>
        <w:spacing w:before="0" w:beforeAutospacing="0" w:after="0" w:afterAutospacing="0" w:line="360" w:lineRule="auto"/>
        <w:ind w:firstLine="420"/>
        <w:jc w:val="both"/>
        <w:divId w:val="678239583"/>
        <w:rPr>
          <w:sz w:val="18"/>
          <w:szCs w:val="18"/>
        </w:rPr>
      </w:pPr>
      <w:r w:rsidRPr="00F7271B">
        <w:rPr>
          <w:rFonts w:hint="eastAsia"/>
          <w:sz w:val="18"/>
          <w:szCs w:val="18"/>
        </w:rPr>
        <w:t>对符合设定提存计划条件的其他长期职工福利，在职工为本公司提供服务的会计期间，将应缴存金额确认为负债，并计入当期损益或相关资产成本；除上述情形外的其他长期职工福利，在资产负债表日使用预期累计福利单位法进行精算，将设定受益计划产生的福利义务归属于职工提供服务的期间，并计入当期损益或相关资产成本。</w:t>
      </w:r>
    </w:p>
    <w:p w:rsidR="008820E4" w:rsidRDefault="005C49A8">
      <w:pPr>
        <w:pStyle w:val="3"/>
        <w:spacing w:line="280" w:lineRule="exact"/>
        <w:jc w:val="left"/>
        <w:rPr>
          <w:rFonts w:ascii="宋体" w:hAnsi="宋体" w:cs="宋体"/>
          <w:b/>
          <w:bCs/>
        </w:rPr>
      </w:pPr>
      <w:bookmarkStart w:id="159" w:name="_Toc989048"/>
      <w:r>
        <w:rPr>
          <w:rFonts w:ascii="宋体" w:hAnsi="宋体" w:cs="宋体"/>
          <w:b/>
          <w:bCs/>
        </w:rPr>
        <w:t>34、预计负债</w:t>
      </w:r>
      <w:bookmarkEnd w:id="159"/>
    </w:p>
    <w:p w:rsidR="005C49A8" w:rsidRDefault="005C49A8" w:rsidP="00C50357">
      <w:pPr>
        <w:widowControl/>
        <w:numPr>
          <w:ilvl w:val="0"/>
          <w:numId w:val="119"/>
        </w:numPr>
        <w:spacing w:before="100" w:beforeAutospacing="1" w:after="100" w:afterAutospacing="1"/>
        <w:divId w:val="161640484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预计负债的确认标准</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当与或有事项相关的义务是本公司承担的现时义务，且履行该义务很可能导致经济利益流出，以及该义务的金额能够可靠地计量，则确认为预计负债。</w:t>
      </w:r>
    </w:p>
    <w:p w:rsidR="005C49A8" w:rsidRDefault="005C49A8" w:rsidP="00C50357">
      <w:pPr>
        <w:widowControl/>
        <w:numPr>
          <w:ilvl w:val="0"/>
          <w:numId w:val="120"/>
        </w:numPr>
        <w:spacing w:before="100" w:beforeAutospacing="1" w:after="100" w:afterAutospacing="1"/>
        <w:divId w:val="1616404848"/>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预计负债的计量方法</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本公司预计负债</w:t>
      </w:r>
      <w:proofErr w:type="gramStart"/>
      <w:r w:rsidRPr="00F7271B">
        <w:rPr>
          <w:rFonts w:hint="eastAsia"/>
          <w:sz w:val="18"/>
          <w:szCs w:val="18"/>
        </w:rPr>
        <w:t>按履行</w:t>
      </w:r>
      <w:proofErr w:type="gramEnd"/>
      <w:r w:rsidRPr="00F7271B">
        <w:rPr>
          <w:rFonts w:hint="eastAsia"/>
          <w:sz w:val="18"/>
          <w:szCs w:val="18"/>
        </w:rPr>
        <w:t>相关现时义务所需的支出的最佳估计数进行初始计量。</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本公司在确定最佳估计数时，综合考虑与或有事项有关的风险、不确定性和货币时间价值等因素。对于货币时间价值影响重大的，通过对相关未来现金流出进行折现后确定最佳估计数。</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最佳估计数分别以下情况处理：</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lastRenderedPageBreak/>
        <w:t>所需支出存在一个连续范围（或区间），且该范围内各种结果发生的可能性相同的，</w:t>
      </w:r>
      <w:proofErr w:type="gramStart"/>
      <w:r w:rsidRPr="00F7271B">
        <w:rPr>
          <w:rFonts w:hint="eastAsia"/>
          <w:sz w:val="18"/>
          <w:szCs w:val="18"/>
        </w:rPr>
        <w:t>则最佳估计数按照</w:t>
      </w:r>
      <w:proofErr w:type="gramEnd"/>
      <w:r w:rsidRPr="00F7271B">
        <w:rPr>
          <w:rFonts w:hint="eastAsia"/>
          <w:sz w:val="18"/>
          <w:szCs w:val="18"/>
        </w:rPr>
        <w:t>该范围的中间值即上下限金额的平均数确定。</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所需支出不存在一个连续范围（或区间），或虽然存在一个连续范围但该范围内各种结果发生的可能性不相同的，如或有事项涉及单个项目的，</w:t>
      </w:r>
      <w:proofErr w:type="gramStart"/>
      <w:r w:rsidRPr="00F7271B">
        <w:rPr>
          <w:rFonts w:hint="eastAsia"/>
          <w:sz w:val="18"/>
          <w:szCs w:val="18"/>
        </w:rPr>
        <w:t>则最佳估计数按照</w:t>
      </w:r>
      <w:proofErr w:type="gramEnd"/>
      <w:r w:rsidRPr="00F7271B">
        <w:rPr>
          <w:rFonts w:hint="eastAsia"/>
          <w:sz w:val="18"/>
          <w:szCs w:val="18"/>
        </w:rPr>
        <w:t>最可能发生金额确定；如或有事项涉及多个项目的，</w:t>
      </w:r>
      <w:proofErr w:type="gramStart"/>
      <w:r w:rsidRPr="00F7271B">
        <w:rPr>
          <w:rFonts w:hint="eastAsia"/>
          <w:sz w:val="18"/>
          <w:szCs w:val="18"/>
        </w:rPr>
        <w:t>则最佳</w:t>
      </w:r>
      <w:proofErr w:type="gramEnd"/>
      <w:r w:rsidRPr="00F7271B">
        <w:rPr>
          <w:rFonts w:hint="eastAsia"/>
          <w:sz w:val="18"/>
          <w:szCs w:val="18"/>
        </w:rPr>
        <w:t>估计数按各种可能结果及相关概率计算确定。</w:t>
      </w:r>
    </w:p>
    <w:p w:rsidR="005C49A8" w:rsidRPr="00F7271B" w:rsidRDefault="005C49A8">
      <w:pPr>
        <w:pStyle w:val="a3"/>
        <w:spacing w:before="0" w:beforeAutospacing="0" w:after="0" w:afterAutospacing="0" w:line="360" w:lineRule="auto"/>
        <w:ind w:firstLine="420"/>
        <w:jc w:val="both"/>
        <w:divId w:val="1616404848"/>
        <w:rPr>
          <w:sz w:val="18"/>
          <w:szCs w:val="18"/>
        </w:rPr>
      </w:pPr>
      <w:r w:rsidRPr="00F7271B">
        <w:rPr>
          <w:rFonts w:hint="eastAsia"/>
          <w:sz w:val="18"/>
          <w:szCs w:val="18"/>
        </w:rPr>
        <w:t>本公司清偿预计负债所需支出全部或部分预期由第三方补偿的，补偿金额在基本确定能够收到时，作为资产单独确认，确认的补偿金额不超过预计负债的账面价值。</w:t>
      </w:r>
    </w:p>
    <w:p w:rsidR="008820E4" w:rsidRDefault="005C49A8">
      <w:pPr>
        <w:pStyle w:val="3"/>
        <w:spacing w:line="280" w:lineRule="exact"/>
        <w:jc w:val="left"/>
        <w:rPr>
          <w:rFonts w:ascii="宋体" w:hAnsi="宋体" w:cs="宋体"/>
          <w:b/>
          <w:bCs/>
        </w:rPr>
      </w:pPr>
      <w:bookmarkStart w:id="160" w:name="_Toc989049"/>
      <w:r>
        <w:rPr>
          <w:rFonts w:ascii="宋体" w:hAnsi="宋体" w:cs="宋体"/>
          <w:b/>
          <w:bCs/>
        </w:rPr>
        <w:t>35、股份支付</w:t>
      </w:r>
      <w:bookmarkEnd w:id="160"/>
    </w:p>
    <w:p w:rsidR="005C49A8" w:rsidRDefault="005C49A8" w:rsidP="00C50357">
      <w:pPr>
        <w:widowControl/>
        <w:numPr>
          <w:ilvl w:val="0"/>
          <w:numId w:val="121"/>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股份支付的种类</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本公司的股份支付分为以权益结算的股份支付和以现金结算的股份支付。</w:t>
      </w:r>
    </w:p>
    <w:p w:rsidR="005C49A8" w:rsidRDefault="005C49A8" w:rsidP="00C50357">
      <w:pPr>
        <w:widowControl/>
        <w:numPr>
          <w:ilvl w:val="0"/>
          <w:numId w:val="122"/>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权益工具公允价值的确定方法</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F7271B">
        <w:rPr>
          <w:sz w:val="18"/>
          <w:szCs w:val="18"/>
        </w:rPr>
        <w:t>1</w:t>
      </w:r>
      <w:r w:rsidRPr="00F7271B">
        <w:rPr>
          <w:rFonts w:hint="eastAsia"/>
          <w:sz w:val="18"/>
          <w:szCs w:val="18"/>
        </w:rPr>
        <w:t>）期权的行权价格；（</w:t>
      </w:r>
      <w:r w:rsidRPr="00F7271B">
        <w:rPr>
          <w:sz w:val="18"/>
          <w:szCs w:val="18"/>
        </w:rPr>
        <w:t>2</w:t>
      </w:r>
      <w:r w:rsidRPr="00F7271B">
        <w:rPr>
          <w:rFonts w:hint="eastAsia"/>
          <w:sz w:val="18"/>
          <w:szCs w:val="18"/>
        </w:rPr>
        <w:t>）期权的有效期；（</w:t>
      </w:r>
      <w:r w:rsidRPr="00F7271B">
        <w:rPr>
          <w:sz w:val="18"/>
          <w:szCs w:val="18"/>
        </w:rPr>
        <w:t>3</w:t>
      </w:r>
      <w:r w:rsidRPr="00F7271B">
        <w:rPr>
          <w:rFonts w:hint="eastAsia"/>
          <w:sz w:val="18"/>
          <w:szCs w:val="18"/>
        </w:rPr>
        <w:t>）标的股份的现行价格；（</w:t>
      </w:r>
      <w:r w:rsidRPr="00F7271B">
        <w:rPr>
          <w:sz w:val="18"/>
          <w:szCs w:val="18"/>
        </w:rPr>
        <w:t>4</w:t>
      </w:r>
      <w:r w:rsidRPr="00F7271B">
        <w:rPr>
          <w:rFonts w:hint="eastAsia"/>
          <w:sz w:val="18"/>
          <w:szCs w:val="18"/>
        </w:rPr>
        <w:t>）股价预计波动率；（</w:t>
      </w:r>
      <w:r w:rsidRPr="00F7271B">
        <w:rPr>
          <w:sz w:val="18"/>
          <w:szCs w:val="18"/>
        </w:rPr>
        <w:t>5</w:t>
      </w:r>
      <w:r w:rsidRPr="00F7271B">
        <w:rPr>
          <w:rFonts w:hint="eastAsia"/>
          <w:sz w:val="18"/>
          <w:szCs w:val="18"/>
        </w:rPr>
        <w:t>）股份的预计股利；（</w:t>
      </w:r>
      <w:r w:rsidRPr="00F7271B">
        <w:rPr>
          <w:sz w:val="18"/>
          <w:szCs w:val="18"/>
        </w:rPr>
        <w:t>6</w:t>
      </w:r>
      <w:r w:rsidRPr="00F7271B">
        <w:rPr>
          <w:rFonts w:hint="eastAsia"/>
          <w:sz w:val="18"/>
          <w:szCs w:val="18"/>
        </w:rPr>
        <w:t>）期权有效期内的无风险利率。</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在确定权益工具授予日的公允价值时，考虑股份支付协议规定的可行</w:t>
      </w:r>
      <w:proofErr w:type="gramStart"/>
      <w:r w:rsidRPr="00F7271B">
        <w:rPr>
          <w:rFonts w:hint="eastAsia"/>
          <w:sz w:val="18"/>
          <w:szCs w:val="18"/>
        </w:rPr>
        <w:t>权条件</w:t>
      </w:r>
      <w:proofErr w:type="gramEnd"/>
      <w:r w:rsidRPr="00F7271B">
        <w:rPr>
          <w:rFonts w:hint="eastAsia"/>
          <w:sz w:val="18"/>
          <w:szCs w:val="18"/>
        </w:rPr>
        <w:t>中的市场条件和非可行</w:t>
      </w:r>
      <w:proofErr w:type="gramStart"/>
      <w:r w:rsidRPr="00F7271B">
        <w:rPr>
          <w:rFonts w:hint="eastAsia"/>
          <w:sz w:val="18"/>
          <w:szCs w:val="18"/>
        </w:rPr>
        <w:t>权条件</w:t>
      </w:r>
      <w:proofErr w:type="gramEnd"/>
      <w:r w:rsidRPr="00F7271B">
        <w:rPr>
          <w:rFonts w:hint="eastAsia"/>
          <w:sz w:val="18"/>
          <w:szCs w:val="18"/>
        </w:rPr>
        <w:t>的影响。股份支付存在非可行</w:t>
      </w:r>
      <w:proofErr w:type="gramStart"/>
      <w:r w:rsidRPr="00F7271B">
        <w:rPr>
          <w:rFonts w:hint="eastAsia"/>
          <w:sz w:val="18"/>
          <w:szCs w:val="18"/>
        </w:rPr>
        <w:t>权条件</w:t>
      </w:r>
      <w:proofErr w:type="gramEnd"/>
      <w:r w:rsidRPr="00F7271B">
        <w:rPr>
          <w:rFonts w:hint="eastAsia"/>
          <w:sz w:val="18"/>
          <w:szCs w:val="18"/>
        </w:rPr>
        <w:t>的，只要职工或其他方满足了所有可行</w:t>
      </w:r>
      <w:proofErr w:type="gramStart"/>
      <w:r w:rsidRPr="00F7271B">
        <w:rPr>
          <w:rFonts w:hint="eastAsia"/>
          <w:sz w:val="18"/>
          <w:szCs w:val="18"/>
        </w:rPr>
        <w:t>权条件</w:t>
      </w:r>
      <w:proofErr w:type="gramEnd"/>
      <w:r w:rsidRPr="00F7271B">
        <w:rPr>
          <w:rFonts w:hint="eastAsia"/>
          <w:sz w:val="18"/>
          <w:szCs w:val="18"/>
        </w:rPr>
        <w:t>中的非市场条件（如服务期限等），即确认已得到服务相对应的成本费用。</w:t>
      </w:r>
    </w:p>
    <w:p w:rsidR="005C49A8" w:rsidRDefault="005C49A8" w:rsidP="00C50357">
      <w:pPr>
        <w:widowControl/>
        <w:numPr>
          <w:ilvl w:val="0"/>
          <w:numId w:val="123"/>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确定可行权权益工具最佳估计的依据</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等待期内每个资产负债表日，根据最新取得的可行</w:t>
      </w:r>
      <w:proofErr w:type="gramStart"/>
      <w:r w:rsidRPr="00F7271B">
        <w:rPr>
          <w:rFonts w:hint="eastAsia"/>
          <w:sz w:val="18"/>
          <w:szCs w:val="18"/>
        </w:rPr>
        <w:t>权职工</w:t>
      </w:r>
      <w:proofErr w:type="gramEnd"/>
      <w:r w:rsidRPr="00F7271B">
        <w:rPr>
          <w:rFonts w:hint="eastAsia"/>
          <w:sz w:val="18"/>
          <w:szCs w:val="18"/>
        </w:rPr>
        <w:t>人数变动等后续信息</w:t>
      </w:r>
      <w:proofErr w:type="gramStart"/>
      <w:r w:rsidRPr="00F7271B">
        <w:rPr>
          <w:rFonts w:hint="eastAsia"/>
          <w:sz w:val="18"/>
          <w:szCs w:val="18"/>
        </w:rPr>
        <w:t>作出</w:t>
      </w:r>
      <w:proofErr w:type="gramEnd"/>
      <w:r w:rsidRPr="00F7271B">
        <w:rPr>
          <w:rFonts w:hint="eastAsia"/>
          <w:sz w:val="18"/>
          <w:szCs w:val="18"/>
        </w:rPr>
        <w:t>最佳估计，修正预计可行权的权益工具数量。在可行权日，最终预计可行权权益工具的数量与实际可行权数量一致。</w:t>
      </w:r>
    </w:p>
    <w:p w:rsidR="005C49A8" w:rsidRDefault="005C49A8" w:rsidP="00C50357">
      <w:pPr>
        <w:widowControl/>
        <w:numPr>
          <w:ilvl w:val="0"/>
          <w:numId w:val="124"/>
        </w:numPr>
        <w:spacing w:before="100" w:beforeAutospacing="1" w:after="100" w:afterAutospacing="1"/>
        <w:divId w:val="1460681984"/>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会计处理方法</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w:t>
      </w:r>
      <w:r w:rsidRPr="00F7271B">
        <w:rPr>
          <w:sz w:val="18"/>
          <w:szCs w:val="18"/>
        </w:rPr>
        <w:t>1</w:t>
      </w:r>
      <w:r w:rsidRPr="00F7271B">
        <w:rPr>
          <w:rFonts w:hint="eastAsia"/>
          <w:sz w:val="18"/>
          <w:szCs w:val="18"/>
        </w:rPr>
        <w:t>）</w:t>
      </w:r>
      <w:r w:rsidRPr="00F7271B">
        <w:rPr>
          <w:sz w:val="18"/>
          <w:szCs w:val="18"/>
        </w:rPr>
        <w:t xml:space="preserve"> </w:t>
      </w:r>
      <w:r w:rsidRPr="00F7271B">
        <w:rPr>
          <w:rFonts w:hint="eastAsia"/>
          <w:sz w:val="18"/>
          <w:szCs w:val="18"/>
        </w:rPr>
        <w:t>权益结算和现金结算股份支付的会计处理</w:t>
      </w:r>
    </w:p>
    <w:p w:rsidR="005C49A8" w:rsidRPr="00F7271B" w:rsidRDefault="005C49A8" w:rsidP="00F7271B">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以权益结算的股份支付，按授予职工权益工具的公允价值计量。授予后立即可行权的，在授予</w:t>
      </w:r>
      <w:proofErr w:type="gramStart"/>
      <w:r w:rsidRPr="00F7271B">
        <w:rPr>
          <w:rFonts w:hint="eastAsia"/>
          <w:sz w:val="18"/>
          <w:szCs w:val="18"/>
        </w:rPr>
        <w:t>日按照</w:t>
      </w:r>
      <w:proofErr w:type="gramEnd"/>
      <w:r w:rsidRPr="00F7271B">
        <w:rPr>
          <w:rFonts w:hint="eastAsia"/>
          <w:sz w:val="18"/>
          <w:szCs w:val="18"/>
        </w:rPr>
        <w:t>权益工具的公允价值计入相关成本或费用，相应增加资本公积。以权益结算的股份支付换取其他方服务的，如果其他方服务的公允价值能够可靠计量，按照其他方服务在取得日的公允价值，计入相关成本费用，相应增加资本公积</w:t>
      </w:r>
      <w:r w:rsidRPr="00F7271B">
        <w:rPr>
          <w:sz w:val="18"/>
          <w:szCs w:val="18"/>
        </w:rPr>
        <w:t>;</w:t>
      </w:r>
      <w:r w:rsidRPr="00F7271B">
        <w:rPr>
          <w:rFonts w:hint="eastAsia"/>
          <w:sz w:val="18"/>
          <w:szCs w:val="18"/>
        </w:rPr>
        <w:t>如果其他方服务的公允</w:t>
      </w:r>
      <w:r w:rsidRPr="00F7271B">
        <w:rPr>
          <w:rFonts w:hint="eastAsia"/>
          <w:sz w:val="18"/>
          <w:szCs w:val="18"/>
        </w:rPr>
        <w:lastRenderedPageBreak/>
        <w:t>价值不能可靠计量但权益工具公允价值能够可靠计量，按照权益工具在服务取得日的公允价值，计入相关成本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以权益结算的股份支付换取其他方服务的，如果其他方服务的公允价值能够可靠计量，按照其他方服务在取得日的公允价值，计入相关成本费用，相应增加资本公积</w:t>
      </w:r>
      <w:r w:rsidRPr="00F7271B">
        <w:rPr>
          <w:sz w:val="18"/>
          <w:szCs w:val="18"/>
        </w:rPr>
        <w:t>;</w:t>
      </w:r>
      <w:r w:rsidRPr="00F7271B">
        <w:rPr>
          <w:rFonts w:hint="eastAsia"/>
          <w:sz w:val="18"/>
          <w:szCs w:val="18"/>
        </w:rPr>
        <w:t>如果其他方服务的公允价值不能可靠计量但权益工具公允价值能够可靠计量，按照权益工具在服务取得日的公允价值，计入相关成本费用，相应增加资本公积。</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sidRPr="00F7271B">
        <w:rPr>
          <w:rFonts w:hint="eastAsia"/>
          <w:sz w:val="18"/>
          <w:szCs w:val="18"/>
        </w:rPr>
        <w:t>权情况</w:t>
      </w:r>
      <w:proofErr w:type="gramEnd"/>
      <w:r w:rsidRPr="00F7271B">
        <w:rPr>
          <w:rFonts w:hint="eastAsia"/>
          <w:sz w:val="18"/>
          <w:szCs w:val="18"/>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w:t>
      </w:r>
      <w:r w:rsidRPr="00F7271B">
        <w:rPr>
          <w:sz w:val="18"/>
          <w:szCs w:val="18"/>
        </w:rPr>
        <w:t>2</w:t>
      </w:r>
      <w:r w:rsidRPr="00F7271B">
        <w:rPr>
          <w:rFonts w:hint="eastAsia"/>
          <w:sz w:val="18"/>
          <w:szCs w:val="18"/>
        </w:rPr>
        <w:t>）股份支付条款和条件修改的会计处理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对于不利修改，本公司视同该变更从未发生，仍继续对取得的服务进行会计处理。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对于有利修改，本公司按照如下规定进行处理：如果修改增加了所授予的权益工具的公允价值，企业应按照权益工具公允价值的增加相应地确认取得服务的增加。如果修改发生在等待期内，在确认修改日至修改后的可行权日之间取得服务的公允价值时，应当既包括在剩余原等待期内以原权益工具授予日公允价值为基础确定的服务金额，也包括权益工具公允价值的增加。如果修改发生在可行权日之后，应当立即确认权益工具公允价值的增加。如果股份支付协议要求职工只有先完成更长期间的服务才能取得修改后的权益工具，则企业应在整个等待期内确认权益工具公允价值的增加。</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如果修改增加了所授予的权益工具的数量，企业将增加的权益工具的公允价值相应地确认为取得服务的增加。如果修改发生在等待期内，在确认修改日至增加的权益工具可行权日之间取得服务的公允价值时，应当既包括在剩余原等待期内以原权益工具授予日公允价值为基础确定的服务金额，也包括权益工具公允价值的增加。</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如果企业按照有利于职工的方式修改可行权条件，如缩短等待期、变更或取消业绩条件（而非市场条件），企业在处理可行</w:t>
      </w:r>
      <w:proofErr w:type="gramStart"/>
      <w:r w:rsidRPr="00F7271B">
        <w:rPr>
          <w:rFonts w:hint="eastAsia"/>
          <w:sz w:val="18"/>
          <w:szCs w:val="18"/>
        </w:rPr>
        <w:t>权条件</w:t>
      </w:r>
      <w:proofErr w:type="gramEnd"/>
      <w:r w:rsidRPr="00F7271B">
        <w:rPr>
          <w:rFonts w:hint="eastAsia"/>
          <w:sz w:val="18"/>
          <w:szCs w:val="18"/>
        </w:rPr>
        <w:t>时，应当考虑修改后的可行权条件。</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本公司修改以现金结算的股份支付协议中的条款和条件，使其成为以权益结算的股份支付的，在修改日</w:t>
      </w:r>
      <w:r w:rsidRPr="00F7271B">
        <w:rPr>
          <w:sz w:val="18"/>
          <w:szCs w:val="18"/>
        </w:rPr>
        <w:t>(</w:t>
      </w:r>
      <w:r w:rsidRPr="00F7271B">
        <w:rPr>
          <w:rFonts w:hint="eastAsia"/>
          <w:sz w:val="18"/>
          <w:szCs w:val="18"/>
        </w:rPr>
        <w:t>无论发生在等待期内还是等待期结束后</w:t>
      </w:r>
      <w:r w:rsidRPr="00F7271B">
        <w:rPr>
          <w:sz w:val="18"/>
          <w:szCs w:val="18"/>
        </w:rPr>
        <w:t>)</w:t>
      </w:r>
      <w:r w:rsidRPr="00F7271B">
        <w:rPr>
          <w:rFonts w:hint="eastAsia"/>
          <w:sz w:val="18"/>
          <w:szCs w:val="18"/>
        </w:rPr>
        <w:t>，本公司按照所授予权益工具当日的公允价值计量以权益结算的股份支付，将已取得的服务计入资本公积，同时终止确认以现金结算的股份支付在修改日已确认的负债，两者之间的差额计入当期损益。如果由于修改延长或缩短了等待期，本公司按照修改后的等待期进行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t>（</w:t>
      </w:r>
      <w:r w:rsidRPr="00F7271B">
        <w:rPr>
          <w:sz w:val="18"/>
          <w:szCs w:val="18"/>
        </w:rPr>
        <w:t>3</w:t>
      </w:r>
      <w:r w:rsidRPr="00F7271B">
        <w:rPr>
          <w:rFonts w:hint="eastAsia"/>
          <w:sz w:val="18"/>
          <w:szCs w:val="18"/>
        </w:rPr>
        <w:t>）股份支付取消的会计处理</w:t>
      </w:r>
    </w:p>
    <w:p w:rsidR="005C49A8" w:rsidRPr="00F7271B" w:rsidRDefault="005C49A8">
      <w:pPr>
        <w:pStyle w:val="a3"/>
        <w:spacing w:before="0" w:beforeAutospacing="0" w:after="0" w:afterAutospacing="0" w:line="360" w:lineRule="auto"/>
        <w:ind w:firstLine="420"/>
        <w:jc w:val="both"/>
        <w:divId w:val="1460681984"/>
        <w:rPr>
          <w:sz w:val="18"/>
          <w:szCs w:val="18"/>
        </w:rPr>
      </w:pPr>
      <w:r w:rsidRPr="00F7271B">
        <w:rPr>
          <w:rFonts w:hint="eastAsia"/>
          <w:sz w:val="18"/>
          <w:szCs w:val="18"/>
        </w:rPr>
        <w:lastRenderedPageBreak/>
        <w:t>若在等待期内取消了授予的权益工具，本公司对取消所授予的权益性工具作为加速行权处理，将剩余等待期内应确认的金额立即计入当期损益，同时确认资本公积。职工或其他方能够选择满足非可行</w:t>
      </w:r>
      <w:proofErr w:type="gramStart"/>
      <w:r w:rsidRPr="00F7271B">
        <w:rPr>
          <w:rFonts w:hint="eastAsia"/>
          <w:sz w:val="18"/>
          <w:szCs w:val="18"/>
        </w:rPr>
        <w:t>权条件</w:t>
      </w:r>
      <w:proofErr w:type="gramEnd"/>
      <w:r w:rsidRPr="00F7271B">
        <w:rPr>
          <w:rFonts w:hint="eastAsia"/>
          <w:sz w:val="18"/>
          <w:szCs w:val="18"/>
        </w:rPr>
        <w:t>但在等待期内未满足的，本公司将其作为授予权益工具的取消处理。</w:t>
      </w:r>
    </w:p>
    <w:p w:rsidR="005C49A8" w:rsidRDefault="005C49A8">
      <w:pPr>
        <w:pStyle w:val="a3"/>
        <w:divId w:val="1460681984"/>
        <w:rPr>
          <w:sz w:val="18"/>
          <w:szCs w:val="18"/>
        </w:rPr>
      </w:pPr>
      <w:r w:rsidRPr="00F7271B">
        <w:rPr>
          <w:rFonts w:hint="eastAsia"/>
          <w:sz w:val="18"/>
          <w:szCs w:val="18"/>
        </w:rPr>
        <w:t>职工自愿退出股权激励计划的，本公司作为加速行权处理，将剩余等待期内应确认的金额立即计入当期损益，同时确认资本公积。</w:t>
      </w:r>
    </w:p>
    <w:p w:rsidR="008820E4" w:rsidRDefault="005C49A8">
      <w:pPr>
        <w:pStyle w:val="3"/>
        <w:spacing w:line="280" w:lineRule="exact"/>
        <w:jc w:val="left"/>
        <w:rPr>
          <w:rFonts w:ascii="宋体" w:hAnsi="宋体" w:cs="宋体"/>
          <w:b/>
          <w:bCs/>
        </w:rPr>
      </w:pPr>
      <w:bookmarkStart w:id="161" w:name="_Toc989050"/>
      <w:r>
        <w:rPr>
          <w:rFonts w:ascii="宋体" w:hAnsi="宋体" w:cs="宋体"/>
          <w:b/>
          <w:bCs/>
        </w:rPr>
        <w:t>36、优先股、永续债等其他金融工具</w:t>
      </w:r>
      <w:bookmarkEnd w:id="161"/>
    </w:p>
    <w:p w:rsidR="005C49A8" w:rsidRDefault="005C49A8">
      <w:pPr>
        <w:pStyle w:val="a3"/>
        <w:divId w:val="125562582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62" w:name="_Toc989051"/>
      <w:r>
        <w:rPr>
          <w:rFonts w:ascii="宋体" w:hAnsi="宋体" w:cs="宋体"/>
          <w:b/>
          <w:bCs/>
        </w:rPr>
        <w:t>37、收入</w:t>
      </w:r>
      <w:bookmarkEnd w:id="16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按照业务类型披露收入确认和计量所采用的会计政策</w:t>
      </w:r>
    </w:p>
    <w:p w:rsidR="005C49A8" w:rsidRDefault="005C49A8" w:rsidP="00C50357">
      <w:pPr>
        <w:widowControl/>
        <w:numPr>
          <w:ilvl w:val="0"/>
          <w:numId w:val="125"/>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股份支付的种类</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本公司的股份支付分为以权益结算的股份支付和以现金结算的股份支付。</w:t>
      </w:r>
    </w:p>
    <w:p w:rsidR="005C49A8" w:rsidRDefault="005C49A8" w:rsidP="00C50357">
      <w:pPr>
        <w:widowControl/>
        <w:numPr>
          <w:ilvl w:val="0"/>
          <w:numId w:val="126"/>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权益工具公允价值的确定方法</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0160E2">
        <w:rPr>
          <w:sz w:val="18"/>
          <w:szCs w:val="18"/>
        </w:rPr>
        <w:t>1</w:t>
      </w:r>
      <w:r w:rsidRPr="000160E2">
        <w:rPr>
          <w:rFonts w:hint="eastAsia"/>
          <w:sz w:val="18"/>
          <w:szCs w:val="18"/>
        </w:rPr>
        <w:t>）期权的行权价格；（</w:t>
      </w:r>
      <w:r w:rsidRPr="000160E2">
        <w:rPr>
          <w:sz w:val="18"/>
          <w:szCs w:val="18"/>
        </w:rPr>
        <w:t>2</w:t>
      </w:r>
      <w:r w:rsidRPr="000160E2">
        <w:rPr>
          <w:rFonts w:hint="eastAsia"/>
          <w:sz w:val="18"/>
          <w:szCs w:val="18"/>
        </w:rPr>
        <w:t>）期权的有效期；（</w:t>
      </w:r>
      <w:r w:rsidRPr="000160E2">
        <w:rPr>
          <w:sz w:val="18"/>
          <w:szCs w:val="18"/>
        </w:rPr>
        <w:t>3</w:t>
      </w:r>
      <w:r w:rsidRPr="000160E2">
        <w:rPr>
          <w:rFonts w:hint="eastAsia"/>
          <w:sz w:val="18"/>
          <w:szCs w:val="18"/>
        </w:rPr>
        <w:t>）标的股份的现行价格；（</w:t>
      </w:r>
      <w:r w:rsidRPr="000160E2">
        <w:rPr>
          <w:sz w:val="18"/>
          <w:szCs w:val="18"/>
        </w:rPr>
        <w:t>4</w:t>
      </w:r>
      <w:r w:rsidRPr="000160E2">
        <w:rPr>
          <w:rFonts w:hint="eastAsia"/>
          <w:sz w:val="18"/>
          <w:szCs w:val="18"/>
        </w:rPr>
        <w:t>）股价预计波动率；（</w:t>
      </w:r>
      <w:r w:rsidRPr="000160E2">
        <w:rPr>
          <w:sz w:val="18"/>
          <w:szCs w:val="18"/>
        </w:rPr>
        <w:t>5</w:t>
      </w:r>
      <w:r w:rsidRPr="000160E2">
        <w:rPr>
          <w:rFonts w:hint="eastAsia"/>
          <w:sz w:val="18"/>
          <w:szCs w:val="18"/>
        </w:rPr>
        <w:t>）股份的预计股利；（</w:t>
      </w:r>
      <w:r w:rsidRPr="000160E2">
        <w:rPr>
          <w:sz w:val="18"/>
          <w:szCs w:val="18"/>
        </w:rPr>
        <w:t>6</w:t>
      </w:r>
      <w:r w:rsidRPr="000160E2">
        <w:rPr>
          <w:rFonts w:hint="eastAsia"/>
          <w:sz w:val="18"/>
          <w:szCs w:val="18"/>
        </w:rPr>
        <w:t>）期权有效期内的无风险利率。</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在确定权益工具授予日的公允价值时，考虑股份支付协议规定的可行</w:t>
      </w:r>
      <w:proofErr w:type="gramStart"/>
      <w:r w:rsidRPr="000160E2">
        <w:rPr>
          <w:rFonts w:hint="eastAsia"/>
          <w:sz w:val="18"/>
          <w:szCs w:val="18"/>
        </w:rPr>
        <w:t>权条件</w:t>
      </w:r>
      <w:proofErr w:type="gramEnd"/>
      <w:r w:rsidRPr="000160E2">
        <w:rPr>
          <w:rFonts w:hint="eastAsia"/>
          <w:sz w:val="18"/>
          <w:szCs w:val="18"/>
        </w:rPr>
        <w:t>中的市场条件和非可行</w:t>
      </w:r>
      <w:proofErr w:type="gramStart"/>
      <w:r w:rsidRPr="000160E2">
        <w:rPr>
          <w:rFonts w:hint="eastAsia"/>
          <w:sz w:val="18"/>
          <w:szCs w:val="18"/>
        </w:rPr>
        <w:t>权条件</w:t>
      </w:r>
      <w:proofErr w:type="gramEnd"/>
      <w:r w:rsidRPr="000160E2">
        <w:rPr>
          <w:rFonts w:hint="eastAsia"/>
          <w:sz w:val="18"/>
          <w:szCs w:val="18"/>
        </w:rPr>
        <w:t>的影响。股份支付存在非可行</w:t>
      </w:r>
      <w:proofErr w:type="gramStart"/>
      <w:r w:rsidRPr="000160E2">
        <w:rPr>
          <w:rFonts w:hint="eastAsia"/>
          <w:sz w:val="18"/>
          <w:szCs w:val="18"/>
        </w:rPr>
        <w:t>权条件</w:t>
      </w:r>
      <w:proofErr w:type="gramEnd"/>
      <w:r w:rsidRPr="000160E2">
        <w:rPr>
          <w:rFonts w:hint="eastAsia"/>
          <w:sz w:val="18"/>
          <w:szCs w:val="18"/>
        </w:rPr>
        <w:t>的，只要职工或其他方满足了所有可行</w:t>
      </w:r>
      <w:proofErr w:type="gramStart"/>
      <w:r w:rsidRPr="000160E2">
        <w:rPr>
          <w:rFonts w:hint="eastAsia"/>
          <w:sz w:val="18"/>
          <w:szCs w:val="18"/>
        </w:rPr>
        <w:t>权条件</w:t>
      </w:r>
      <w:proofErr w:type="gramEnd"/>
      <w:r w:rsidRPr="000160E2">
        <w:rPr>
          <w:rFonts w:hint="eastAsia"/>
          <w:sz w:val="18"/>
          <w:szCs w:val="18"/>
        </w:rPr>
        <w:t>中的非市场条件（如服务期限等），即确认已得到服务相对应的成本费用。</w:t>
      </w:r>
    </w:p>
    <w:p w:rsidR="005C49A8" w:rsidRDefault="005C49A8" w:rsidP="00C50357">
      <w:pPr>
        <w:widowControl/>
        <w:numPr>
          <w:ilvl w:val="0"/>
          <w:numId w:val="127"/>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确定可行权权益工具最佳估计的依据</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等待期内每个资产负债表日，根据最新取得的可行</w:t>
      </w:r>
      <w:proofErr w:type="gramStart"/>
      <w:r w:rsidRPr="000160E2">
        <w:rPr>
          <w:rFonts w:hint="eastAsia"/>
          <w:sz w:val="18"/>
          <w:szCs w:val="18"/>
        </w:rPr>
        <w:t>权职工</w:t>
      </w:r>
      <w:proofErr w:type="gramEnd"/>
      <w:r w:rsidRPr="000160E2">
        <w:rPr>
          <w:rFonts w:hint="eastAsia"/>
          <w:sz w:val="18"/>
          <w:szCs w:val="18"/>
        </w:rPr>
        <w:t>人数变动等后续信息</w:t>
      </w:r>
      <w:proofErr w:type="gramStart"/>
      <w:r w:rsidRPr="000160E2">
        <w:rPr>
          <w:rFonts w:hint="eastAsia"/>
          <w:sz w:val="18"/>
          <w:szCs w:val="18"/>
        </w:rPr>
        <w:t>作出</w:t>
      </w:r>
      <w:proofErr w:type="gramEnd"/>
      <w:r w:rsidRPr="000160E2">
        <w:rPr>
          <w:rFonts w:hint="eastAsia"/>
          <w:sz w:val="18"/>
          <w:szCs w:val="18"/>
        </w:rPr>
        <w:t>最佳估计，修正预计可行权的权益工具数量。在可行权日，最终预计可行权权益工具的数量与实际可行权数量一致。</w:t>
      </w:r>
    </w:p>
    <w:p w:rsidR="005C49A8" w:rsidRDefault="005C49A8" w:rsidP="00C50357">
      <w:pPr>
        <w:widowControl/>
        <w:numPr>
          <w:ilvl w:val="0"/>
          <w:numId w:val="128"/>
        </w:numPr>
        <w:spacing w:before="100" w:beforeAutospacing="1" w:after="100" w:afterAutospacing="1"/>
        <w:divId w:val="714699996"/>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会计处理方法</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w:t>
      </w:r>
      <w:r w:rsidRPr="000160E2">
        <w:rPr>
          <w:sz w:val="18"/>
          <w:szCs w:val="18"/>
        </w:rPr>
        <w:t>1</w:t>
      </w:r>
      <w:r w:rsidRPr="000160E2">
        <w:rPr>
          <w:rFonts w:hint="eastAsia"/>
          <w:sz w:val="18"/>
          <w:szCs w:val="18"/>
        </w:rPr>
        <w:t>）权益结算和现金结算股份支付的会计处理</w:t>
      </w:r>
    </w:p>
    <w:p w:rsidR="005C49A8" w:rsidRPr="000160E2" w:rsidRDefault="005C49A8">
      <w:pPr>
        <w:pStyle w:val="a3"/>
        <w:spacing w:before="0" w:beforeAutospacing="0" w:after="0" w:afterAutospacing="0" w:line="360" w:lineRule="auto"/>
        <w:ind w:firstLine="420"/>
        <w:divId w:val="714699996"/>
        <w:rPr>
          <w:sz w:val="18"/>
          <w:szCs w:val="18"/>
        </w:rPr>
      </w:pPr>
      <w:r w:rsidRPr="000160E2">
        <w:rPr>
          <w:rFonts w:hint="eastAsia"/>
          <w:sz w:val="18"/>
          <w:szCs w:val="18"/>
        </w:rPr>
        <w:lastRenderedPageBreak/>
        <w:t>以权益结算的股份支付，按授予职工权益工具的公允价值计量。授予后立即可行权的，在授予</w:t>
      </w:r>
      <w:proofErr w:type="gramStart"/>
      <w:r w:rsidRPr="000160E2">
        <w:rPr>
          <w:rFonts w:hint="eastAsia"/>
          <w:sz w:val="18"/>
          <w:szCs w:val="18"/>
        </w:rPr>
        <w:t>日按照</w:t>
      </w:r>
      <w:proofErr w:type="gramEnd"/>
      <w:r w:rsidRPr="000160E2">
        <w:rPr>
          <w:rFonts w:hint="eastAsia"/>
          <w:sz w:val="18"/>
          <w:szCs w:val="18"/>
        </w:rPr>
        <w:t>权益工具的公允价值计入相关成本或费用，相应增加资本公积。以权益结算的股份支付换取其他方服务的，如果其他方服务的公允价值能够可靠计量，按照其他方服务在取得日的公允价值，计入相关成本费用，相应增加资本公积</w:t>
      </w:r>
      <w:r w:rsidRPr="000160E2">
        <w:rPr>
          <w:sz w:val="18"/>
          <w:szCs w:val="18"/>
        </w:rPr>
        <w:t>;</w:t>
      </w:r>
      <w:r w:rsidRPr="000160E2">
        <w:rPr>
          <w:rFonts w:hint="eastAsia"/>
          <w:sz w:val="18"/>
          <w:szCs w:val="18"/>
        </w:rPr>
        <w:t>如果其他方服务的公允价值不能可靠计量但权益工具公允价值能够可靠计量，按照权益工具在服务取得日的公允价值，计入相关成本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以权益结算的股份支付换取其他方服务的，如果其他方服务的公允价值能够可靠计量，按照其他方服务在取得日的公允价值，计入相关成本费用，相应增加资本公积</w:t>
      </w:r>
      <w:r w:rsidRPr="000160E2">
        <w:rPr>
          <w:sz w:val="18"/>
          <w:szCs w:val="18"/>
        </w:rPr>
        <w:t>;</w:t>
      </w:r>
      <w:r w:rsidRPr="000160E2">
        <w:rPr>
          <w:rFonts w:hint="eastAsia"/>
          <w:sz w:val="18"/>
          <w:szCs w:val="18"/>
        </w:rPr>
        <w:t>如果其他方服务的公允价值不能可靠计量但权益工具公允价值能够可靠计量，按照权益工具在服务取得日的公允价值，计入相关成本费用，相应增加资本公积。</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sidRPr="000160E2">
        <w:rPr>
          <w:rFonts w:hint="eastAsia"/>
          <w:sz w:val="18"/>
          <w:szCs w:val="18"/>
        </w:rPr>
        <w:t>权情况</w:t>
      </w:r>
      <w:proofErr w:type="gramEnd"/>
      <w:r w:rsidRPr="000160E2">
        <w:rPr>
          <w:rFonts w:hint="eastAsia"/>
          <w:sz w:val="18"/>
          <w:szCs w:val="18"/>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w:t>
      </w:r>
      <w:r w:rsidRPr="000160E2">
        <w:rPr>
          <w:sz w:val="18"/>
          <w:szCs w:val="18"/>
        </w:rPr>
        <w:t>2</w:t>
      </w:r>
      <w:r w:rsidRPr="000160E2">
        <w:rPr>
          <w:rFonts w:hint="eastAsia"/>
          <w:sz w:val="18"/>
          <w:szCs w:val="18"/>
        </w:rPr>
        <w:t>）股份支付条款和条件修改的会计处理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对于不利修改，本公司视同该变更从未发生，仍继续对取得的服务进行会计处理。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对于有利修改，本公司按照如下规定进行处理：如果修改增加了所授予的权益工具的公允价值，企业应按照权益工具公允价值的增加相应地确认取得服务的增加。如果修改发生在等待期内，在确认修改日至修改后的可行权日之间取得服务的公允价值时，应当既包括在剩余原等待期内以原权益工具授予日公允价值为基础确定的服务金额，也包括权益工具公允价值的增加。如果修改发生在可行权日之后，应当立即确认权益工具公允价值的增加。如果股份支付协议要求职工只有先完成更长期间的服务才能取得修改后的权益工具，则企业应在整个等待期内确认权益工具公允价值的增加。</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如果修改增加了所授予的权益工具的数量，企业将增加的权益工具的公允价值相应地确认为取得服务的增加。如果修改发生在等待期内，在确认修改日至增加的权益工具可行权日之间取得服务的公允价值时，应当既包括在剩余原等待期内以原权益工具授予日公允价值为基础确定的服务金额，也包括权益工具公允价值的增加。</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如果企业按照有利于职工的方式修改可行权条件，如缩短等待期、变更或取消业绩条件（而非市场条件），企业在处理可行</w:t>
      </w:r>
      <w:proofErr w:type="gramStart"/>
      <w:r w:rsidRPr="000160E2">
        <w:rPr>
          <w:rFonts w:hint="eastAsia"/>
          <w:sz w:val="18"/>
          <w:szCs w:val="18"/>
        </w:rPr>
        <w:t>权条件</w:t>
      </w:r>
      <w:proofErr w:type="gramEnd"/>
      <w:r w:rsidRPr="000160E2">
        <w:rPr>
          <w:rFonts w:hint="eastAsia"/>
          <w:sz w:val="18"/>
          <w:szCs w:val="18"/>
        </w:rPr>
        <w:t>时，应当考虑修改后的可行权条件。</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本公司修改以现金结算的股份支付协议中的条款和条件，使其成为以权益结算的股份支付的，在修改日</w:t>
      </w:r>
      <w:r w:rsidRPr="000160E2">
        <w:rPr>
          <w:sz w:val="18"/>
          <w:szCs w:val="18"/>
        </w:rPr>
        <w:t>(</w:t>
      </w:r>
      <w:r w:rsidRPr="000160E2">
        <w:rPr>
          <w:rFonts w:hint="eastAsia"/>
          <w:sz w:val="18"/>
          <w:szCs w:val="18"/>
        </w:rPr>
        <w:t>无论发生在等待期内还是等待期结束后</w:t>
      </w:r>
      <w:r w:rsidRPr="000160E2">
        <w:rPr>
          <w:sz w:val="18"/>
          <w:szCs w:val="18"/>
        </w:rPr>
        <w:t>)</w:t>
      </w:r>
      <w:r w:rsidRPr="000160E2">
        <w:rPr>
          <w:rFonts w:hint="eastAsia"/>
          <w:sz w:val="18"/>
          <w:szCs w:val="18"/>
        </w:rPr>
        <w:t>，本公司按照所授予权益工具当日的公允价值计量以权益结算的股份支付，将已取得的服</w:t>
      </w:r>
      <w:r w:rsidRPr="000160E2">
        <w:rPr>
          <w:rFonts w:hint="eastAsia"/>
          <w:sz w:val="18"/>
          <w:szCs w:val="18"/>
        </w:rPr>
        <w:lastRenderedPageBreak/>
        <w:t>务计入资本公积，同时终止确认以现金结算的股份支付在修改日已确认的负债，两者之间的差额计入当期损益。如果由于修改延长或缩短了等待期，本公司按照修改后的等待期进行会计处理。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w:t>
      </w:r>
      <w:r w:rsidRPr="000160E2">
        <w:rPr>
          <w:sz w:val="18"/>
          <w:szCs w:val="18"/>
        </w:rPr>
        <w:t>3</w:t>
      </w:r>
      <w:r w:rsidRPr="000160E2">
        <w:rPr>
          <w:rFonts w:hint="eastAsia"/>
          <w:sz w:val="18"/>
          <w:szCs w:val="18"/>
        </w:rPr>
        <w:t>）股份支付取消的会计处理</w:t>
      </w:r>
    </w:p>
    <w:p w:rsidR="005C49A8" w:rsidRPr="000160E2" w:rsidRDefault="005C49A8">
      <w:pPr>
        <w:pStyle w:val="a3"/>
        <w:spacing w:before="0" w:beforeAutospacing="0" w:after="0" w:afterAutospacing="0" w:line="360" w:lineRule="auto"/>
        <w:ind w:firstLine="420"/>
        <w:jc w:val="both"/>
        <w:divId w:val="714699996"/>
        <w:rPr>
          <w:sz w:val="18"/>
          <w:szCs w:val="18"/>
        </w:rPr>
      </w:pPr>
      <w:r w:rsidRPr="000160E2">
        <w:rPr>
          <w:rFonts w:hint="eastAsia"/>
          <w:sz w:val="18"/>
          <w:szCs w:val="18"/>
        </w:rPr>
        <w:t>若在等待期内取消了授予的权益工具，本公司对取消所授予的权益性工具作为加速行权处理，将剩余等待期内应确认的金额立即计入当期损益，同时确认资本公积。职工或其他方能够选择满足非可行</w:t>
      </w:r>
      <w:proofErr w:type="gramStart"/>
      <w:r w:rsidRPr="000160E2">
        <w:rPr>
          <w:rFonts w:hint="eastAsia"/>
          <w:sz w:val="18"/>
          <w:szCs w:val="18"/>
        </w:rPr>
        <w:t>权条件</w:t>
      </w:r>
      <w:proofErr w:type="gramEnd"/>
      <w:r w:rsidRPr="000160E2">
        <w:rPr>
          <w:rFonts w:hint="eastAsia"/>
          <w:sz w:val="18"/>
          <w:szCs w:val="18"/>
        </w:rPr>
        <w:t>但在等待期内未满足的，本公司将其作为授予权益工具的取消处理。</w:t>
      </w:r>
    </w:p>
    <w:p w:rsidR="005C49A8" w:rsidRDefault="005C49A8">
      <w:pPr>
        <w:pStyle w:val="a3"/>
        <w:divId w:val="714699996"/>
        <w:rPr>
          <w:sz w:val="18"/>
          <w:szCs w:val="18"/>
        </w:rPr>
      </w:pPr>
      <w:r w:rsidRPr="000160E2">
        <w:rPr>
          <w:rFonts w:hint="eastAsia"/>
          <w:sz w:val="18"/>
          <w:szCs w:val="18"/>
        </w:rPr>
        <w:t>职工自愿退出股权激励计划的，本公司作为加速行权处理，将剩余等待期内应确认的金额立即计入当期损益，同时确认资本公积。</w:t>
      </w:r>
    </w:p>
    <w:p w:rsidR="008820E4" w:rsidRPr="000160E2" w:rsidRDefault="005C49A8">
      <w:pPr>
        <w:spacing w:before="100" w:after="100" w:line="240" w:lineRule="exact"/>
        <w:rPr>
          <w:rFonts w:ascii="宋体" w:eastAsia="宋体" w:hAnsi="宋体" w:cs="宋体"/>
          <w:kern w:val="0"/>
          <w:sz w:val="18"/>
          <w:szCs w:val="18"/>
        </w:rPr>
      </w:pPr>
      <w:r w:rsidRPr="000160E2">
        <w:rPr>
          <w:rFonts w:ascii="宋体" w:eastAsia="宋体" w:hAnsi="宋体" w:cs="宋体"/>
          <w:kern w:val="0"/>
          <w:sz w:val="18"/>
          <w:szCs w:val="18"/>
        </w:rPr>
        <w:t>同类业务采用不同经营模式涉及不同收入确认方式及计量方法的情况</w:t>
      </w:r>
    </w:p>
    <w:p w:rsidR="005C49A8" w:rsidRDefault="005C49A8">
      <w:pPr>
        <w:pStyle w:val="a3"/>
        <w:divId w:val="133047632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63" w:name="_Toc989052"/>
      <w:r>
        <w:rPr>
          <w:rFonts w:ascii="宋体" w:hAnsi="宋体" w:cs="宋体"/>
          <w:b/>
          <w:bCs/>
        </w:rPr>
        <w:t>38、合同成本</w:t>
      </w:r>
      <w:bookmarkEnd w:id="163"/>
    </w:p>
    <w:p w:rsidR="005C49A8" w:rsidRDefault="005C49A8" w:rsidP="00C50357">
      <w:pPr>
        <w:widowControl/>
        <w:numPr>
          <w:ilvl w:val="3"/>
          <w:numId w:val="129"/>
        </w:numPr>
        <w:tabs>
          <w:tab w:val="clear" w:pos="2880"/>
          <w:tab w:val="num" w:pos="2410"/>
        </w:tabs>
        <w:spacing w:before="100" w:beforeAutospacing="1" w:after="100" w:afterAutospacing="1"/>
        <w:ind w:left="426"/>
        <w:divId w:val="1592277067"/>
        <w:rPr>
          <w:sz w:val="18"/>
          <w:szCs w:val="18"/>
        </w:rPr>
      </w:pPr>
      <w:r>
        <w:rPr>
          <w:rFonts w:hint="eastAsia"/>
          <w:sz w:val="18"/>
          <w:szCs w:val="18"/>
        </w:rPr>
        <w:t>合同履约成本</w:t>
      </w:r>
    </w:p>
    <w:p w:rsidR="005C49A8" w:rsidRDefault="005C49A8">
      <w:pPr>
        <w:pStyle w:val="a3"/>
        <w:spacing w:before="0" w:beforeAutospacing="0" w:after="0" w:afterAutospacing="0"/>
        <w:ind w:firstLine="420"/>
        <w:jc w:val="both"/>
        <w:divId w:val="1592277067"/>
      </w:pPr>
      <w:r>
        <w:rPr>
          <w:rFonts w:hint="eastAsia"/>
          <w:sz w:val="18"/>
          <w:szCs w:val="18"/>
        </w:rPr>
        <w:t>本公司对于为履行合同发生的成本，不属于除收入准则外的其他企业会计准则范围且同时满足下列条件的作为合同履约成本确认为一项资产：</w:t>
      </w:r>
    </w:p>
    <w:p w:rsidR="005C49A8" w:rsidRDefault="005C49A8">
      <w:pPr>
        <w:pStyle w:val="a3"/>
        <w:spacing w:before="0" w:beforeAutospacing="0" w:after="0" w:afterAutospacing="0"/>
        <w:ind w:firstLine="420"/>
        <w:jc w:val="both"/>
        <w:divId w:val="1592277067"/>
      </w:pPr>
      <w:r>
        <w:rPr>
          <w:rFonts w:hint="eastAsia"/>
          <w:sz w:val="18"/>
          <w:szCs w:val="18"/>
        </w:rPr>
        <w:t>（1）</w:t>
      </w:r>
      <w:proofErr w:type="gramStart"/>
      <w:r>
        <w:rPr>
          <w:rFonts w:hint="eastAsia"/>
          <w:sz w:val="18"/>
          <w:szCs w:val="18"/>
        </w:rPr>
        <w:t>该成本</w:t>
      </w:r>
      <w:proofErr w:type="gramEnd"/>
      <w:r>
        <w:rPr>
          <w:rFonts w:hint="eastAsia"/>
          <w:sz w:val="18"/>
          <w:szCs w:val="18"/>
        </w:rPr>
        <w:t>与一份当前或预期取得的合同直接相关，包括直接人工、直接材料、制造费用（或类似费用）、明确由客户承担的成本以及仅因该合同而发生的其他成本；</w:t>
      </w:r>
    </w:p>
    <w:p w:rsidR="005C49A8" w:rsidRDefault="005C49A8">
      <w:pPr>
        <w:pStyle w:val="a3"/>
        <w:spacing w:before="0" w:beforeAutospacing="0" w:after="0" w:afterAutospacing="0"/>
        <w:ind w:firstLine="420"/>
        <w:jc w:val="both"/>
        <w:divId w:val="1592277067"/>
      </w:pPr>
      <w:r>
        <w:rPr>
          <w:rFonts w:hint="eastAsia"/>
          <w:sz w:val="18"/>
          <w:szCs w:val="18"/>
        </w:rPr>
        <w:t>（2）</w:t>
      </w:r>
      <w:proofErr w:type="gramStart"/>
      <w:r>
        <w:rPr>
          <w:rFonts w:hint="eastAsia"/>
          <w:sz w:val="18"/>
          <w:szCs w:val="18"/>
        </w:rPr>
        <w:t>该成本</w:t>
      </w:r>
      <w:proofErr w:type="gramEnd"/>
      <w:r>
        <w:rPr>
          <w:rFonts w:hint="eastAsia"/>
          <w:sz w:val="18"/>
          <w:szCs w:val="18"/>
        </w:rPr>
        <w:t>增加了企业未来用于履行履约义务的资源；</w:t>
      </w:r>
    </w:p>
    <w:p w:rsidR="005C49A8" w:rsidRDefault="005C49A8">
      <w:pPr>
        <w:pStyle w:val="a3"/>
        <w:spacing w:before="0" w:beforeAutospacing="0" w:after="0" w:afterAutospacing="0"/>
        <w:ind w:firstLine="420"/>
        <w:jc w:val="both"/>
        <w:divId w:val="1592277067"/>
      </w:pPr>
      <w:r>
        <w:rPr>
          <w:rFonts w:hint="eastAsia"/>
          <w:sz w:val="18"/>
          <w:szCs w:val="18"/>
        </w:rPr>
        <w:t>（3）</w:t>
      </w:r>
      <w:proofErr w:type="gramStart"/>
      <w:r>
        <w:rPr>
          <w:rFonts w:hint="eastAsia"/>
          <w:sz w:val="18"/>
          <w:szCs w:val="18"/>
        </w:rPr>
        <w:t>该成本</w:t>
      </w:r>
      <w:proofErr w:type="gramEnd"/>
      <w:r>
        <w:rPr>
          <w:rFonts w:hint="eastAsia"/>
          <w:sz w:val="18"/>
          <w:szCs w:val="18"/>
        </w:rPr>
        <w:t>预期能够收回。</w:t>
      </w:r>
    </w:p>
    <w:p w:rsidR="005C49A8" w:rsidRDefault="005C49A8">
      <w:pPr>
        <w:pStyle w:val="a3"/>
        <w:spacing w:before="0" w:beforeAutospacing="0" w:after="0" w:afterAutospacing="0"/>
        <w:ind w:firstLine="420"/>
        <w:jc w:val="both"/>
        <w:divId w:val="1592277067"/>
      </w:pPr>
      <w:r>
        <w:rPr>
          <w:rFonts w:hint="eastAsia"/>
          <w:sz w:val="18"/>
          <w:szCs w:val="18"/>
        </w:rPr>
        <w:t>该资产根据其初始确认时摊销期限是否超过一个正常营业周期在存货或其他非流动资产中列报。</w:t>
      </w:r>
    </w:p>
    <w:p w:rsidR="005C49A8" w:rsidRDefault="005C49A8" w:rsidP="00C50357">
      <w:pPr>
        <w:widowControl/>
        <w:numPr>
          <w:ilvl w:val="3"/>
          <w:numId w:val="130"/>
        </w:numPr>
        <w:tabs>
          <w:tab w:val="clear" w:pos="2880"/>
          <w:tab w:val="num" w:pos="2410"/>
        </w:tabs>
        <w:spacing w:before="100" w:beforeAutospacing="1" w:after="100" w:afterAutospacing="1"/>
        <w:ind w:left="426"/>
        <w:divId w:val="1592277067"/>
        <w:rPr>
          <w:sz w:val="18"/>
          <w:szCs w:val="18"/>
        </w:rPr>
      </w:pPr>
      <w:r>
        <w:rPr>
          <w:rFonts w:hint="eastAsia"/>
          <w:sz w:val="18"/>
          <w:szCs w:val="18"/>
        </w:rPr>
        <w:t>合同取得成本</w:t>
      </w:r>
    </w:p>
    <w:p w:rsidR="005C49A8" w:rsidRDefault="005C49A8">
      <w:pPr>
        <w:pStyle w:val="a3"/>
        <w:spacing w:before="0" w:beforeAutospacing="0" w:after="0" w:afterAutospacing="0"/>
        <w:ind w:firstLine="420"/>
        <w:jc w:val="both"/>
        <w:divId w:val="1592277067"/>
      </w:pPr>
      <w:r>
        <w:rPr>
          <w:rFonts w:hint="eastAsia"/>
          <w:sz w:val="18"/>
          <w:szCs w:val="18"/>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rsidR="005C49A8" w:rsidRDefault="005C49A8" w:rsidP="00C50357">
      <w:pPr>
        <w:widowControl/>
        <w:numPr>
          <w:ilvl w:val="3"/>
          <w:numId w:val="131"/>
        </w:numPr>
        <w:tabs>
          <w:tab w:val="clear" w:pos="2880"/>
          <w:tab w:val="num" w:pos="2410"/>
        </w:tabs>
        <w:spacing w:before="100" w:beforeAutospacing="1" w:after="100" w:afterAutospacing="1"/>
        <w:ind w:left="426"/>
        <w:divId w:val="1592277067"/>
        <w:rPr>
          <w:sz w:val="18"/>
          <w:szCs w:val="18"/>
        </w:rPr>
      </w:pPr>
      <w:r>
        <w:rPr>
          <w:rFonts w:hint="eastAsia"/>
          <w:sz w:val="18"/>
          <w:szCs w:val="18"/>
        </w:rPr>
        <w:t>合同成本摊销</w:t>
      </w:r>
    </w:p>
    <w:p w:rsidR="005C49A8" w:rsidRDefault="005C49A8">
      <w:pPr>
        <w:pStyle w:val="a3"/>
        <w:spacing w:before="0" w:beforeAutospacing="0" w:after="0" w:afterAutospacing="0"/>
        <w:ind w:firstLine="420"/>
        <w:jc w:val="both"/>
        <w:divId w:val="1592277067"/>
      </w:pPr>
      <w:r>
        <w:rPr>
          <w:rFonts w:hint="eastAsia"/>
          <w:sz w:val="18"/>
          <w:szCs w:val="18"/>
        </w:rPr>
        <w:t>上述与合同成本有关的资产，采用与该资产相关的商品或服务收入确认相同的基础，在履约义务履行的时点或按照履约义务的履约进度进行摊销，计入当期损益。</w:t>
      </w:r>
    </w:p>
    <w:p w:rsidR="005C49A8" w:rsidRDefault="005C49A8" w:rsidP="00C50357">
      <w:pPr>
        <w:widowControl/>
        <w:numPr>
          <w:ilvl w:val="3"/>
          <w:numId w:val="132"/>
        </w:numPr>
        <w:tabs>
          <w:tab w:val="clear" w:pos="2880"/>
          <w:tab w:val="num" w:pos="2410"/>
        </w:tabs>
        <w:spacing w:before="100" w:beforeAutospacing="1" w:after="100" w:afterAutospacing="1"/>
        <w:ind w:left="426"/>
        <w:divId w:val="1592277067"/>
        <w:rPr>
          <w:sz w:val="18"/>
          <w:szCs w:val="18"/>
        </w:rPr>
      </w:pPr>
      <w:r>
        <w:rPr>
          <w:rFonts w:hint="eastAsia"/>
          <w:sz w:val="18"/>
          <w:szCs w:val="18"/>
        </w:rPr>
        <w:t>合同成本减值</w:t>
      </w:r>
    </w:p>
    <w:p w:rsidR="005C49A8" w:rsidRDefault="005C49A8">
      <w:pPr>
        <w:pStyle w:val="a3"/>
        <w:spacing w:before="0" w:beforeAutospacing="0" w:after="0" w:afterAutospacing="0"/>
        <w:ind w:firstLine="420"/>
        <w:jc w:val="both"/>
        <w:divId w:val="1592277067"/>
      </w:pPr>
      <w:r>
        <w:rPr>
          <w:rFonts w:hint="eastAsia"/>
          <w:sz w:val="18"/>
          <w:szCs w:val="18"/>
        </w:rPr>
        <w:t>上述与合同成本有关的资产，账面价值高于本公司因转让与该资产相关的商品预期能够取得剩余对价与为转让</w:t>
      </w:r>
      <w:proofErr w:type="gramStart"/>
      <w:r>
        <w:rPr>
          <w:rFonts w:hint="eastAsia"/>
          <w:sz w:val="18"/>
          <w:szCs w:val="18"/>
        </w:rPr>
        <w:t>该相关</w:t>
      </w:r>
      <w:proofErr w:type="gramEnd"/>
      <w:r>
        <w:rPr>
          <w:rFonts w:hint="eastAsia"/>
          <w:sz w:val="18"/>
          <w:szCs w:val="18"/>
        </w:rPr>
        <w:t>商品估计将要发生的成本的差额的，超出部分应当计提减值准备，并确认为资产减值损失。</w:t>
      </w:r>
    </w:p>
    <w:p w:rsidR="005C49A8" w:rsidRDefault="005C49A8">
      <w:pPr>
        <w:pStyle w:val="a3"/>
        <w:divId w:val="1592277067"/>
        <w:rPr>
          <w:sz w:val="18"/>
          <w:szCs w:val="18"/>
        </w:rPr>
      </w:pPr>
      <w:r>
        <w:rPr>
          <w:rFonts w:hint="eastAsia"/>
          <w:sz w:val="18"/>
          <w:szCs w:val="18"/>
        </w:rPr>
        <w:t>计提减值准备后，如果以前期间减值的因素发生变化，使得上述两项差额高于该资产账面价值的，转回原已计提的资产减值准备，并计入当期损益，但转回后的资产账面价值不超过假定不计提减值准备情况下该资产在</w:t>
      </w:r>
      <w:proofErr w:type="gramStart"/>
      <w:r>
        <w:rPr>
          <w:rFonts w:hint="eastAsia"/>
          <w:sz w:val="18"/>
          <w:szCs w:val="18"/>
        </w:rPr>
        <w:t>转回日</w:t>
      </w:r>
      <w:proofErr w:type="gramEnd"/>
      <w:r>
        <w:rPr>
          <w:rFonts w:hint="eastAsia"/>
          <w:sz w:val="18"/>
          <w:szCs w:val="18"/>
        </w:rPr>
        <w:t>的账面价值。</w:t>
      </w:r>
    </w:p>
    <w:p w:rsidR="008820E4" w:rsidRDefault="005C49A8">
      <w:pPr>
        <w:pStyle w:val="3"/>
        <w:spacing w:line="280" w:lineRule="exact"/>
        <w:jc w:val="left"/>
        <w:rPr>
          <w:rFonts w:ascii="宋体" w:hAnsi="宋体" w:cs="宋体"/>
          <w:b/>
          <w:bCs/>
        </w:rPr>
      </w:pPr>
      <w:bookmarkStart w:id="164" w:name="_Toc989053"/>
      <w:r>
        <w:rPr>
          <w:rFonts w:ascii="宋体" w:hAnsi="宋体" w:cs="宋体"/>
          <w:b/>
          <w:bCs/>
        </w:rPr>
        <w:lastRenderedPageBreak/>
        <w:t>39、政府补助</w:t>
      </w:r>
      <w:bookmarkEnd w:id="164"/>
    </w:p>
    <w:p w:rsidR="005C49A8" w:rsidRDefault="005C49A8" w:rsidP="00C50357">
      <w:pPr>
        <w:widowControl/>
        <w:numPr>
          <w:ilvl w:val="0"/>
          <w:numId w:val="133"/>
        </w:numPr>
        <w:spacing w:before="100" w:beforeAutospacing="1" w:after="100" w:afterAutospacing="1"/>
        <w:divId w:val="684289991"/>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类型</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政府补助，是本公司从政府无偿取得的货币性资产与非货币性资产。政府补助分为与资产相关的政府补助和与收益相关的政府补助。</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根据相关政府文件规定的补助对象，将政府补助划分为与资产相关的政府补助和与收益相关的政府补助。本公司将所取得的用于购建或以其他方式形成长期资产的政府补助界定为与资产相关的政府补助；</w:t>
      </w:r>
      <w:proofErr w:type="gramStart"/>
      <w:r w:rsidRPr="000160E2">
        <w:rPr>
          <w:rFonts w:hint="eastAsia"/>
          <w:sz w:val="18"/>
          <w:szCs w:val="18"/>
        </w:rPr>
        <w:t>其余政府</w:t>
      </w:r>
      <w:proofErr w:type="gramEnd"/>
      <w:r w:rsidRPr="000160E2">
        <w:rPr>
          <w:rFonts w:hint="eastAsia"/>
          <w:sz w:val="18"/>
          <w:szCs w:val="18"/>
        </w:rPr>
        <w:t>补助界定为与收益相关的政府补助。若政府文件未明确规定补助对象，则采用以下方式将补助款划分为与收益相关的政府补助和与资产相关的政府补助：（</w:t>
      </w:r>
      <w:r w:rsidRPr="000160E2">
        <w:rPr>
          <w:sz w:val="18"/>
          <w:szCs w:val="18"/>
        </w:rPr>
        <w:t>1</w:t>
      </w:r>
      <w:r w:rsidRPr="000160E2">
        <w:rPr>
          <w:rFonts w:hint="eastAsia"/>
          <w:sz w:val="18"/>
          <w:szCs w:val="18"/>
        </w:rPr>
        <w:t>）政府文件明确了补助所针对的特定项目的，根据该特定项目的预算中将形成资产的支出金额和计入费用的支出金额的相对比例进行划分，对该划分比例需在每个资产负债表日进行复核，必要时进行变更；（</w:t>
      </w:r>
      <w:r w:rsidRPr="000160E2">
        <w:rPr>
          <w:sz w:val="18"/>
          <w:szCs w:val="18"/>
        </w:rPr>
        <w:t>2</w:t>
      </w:r>
      <w:r w:rsidRPr="000160E2">
        <w:rPr>
          <w:rFonts w:hint="eastAsia"/>
          <w:sz w:val="18"/>
          <w:szCs w:val="18"/>
        </w:rPr>
        <w:t>）政府文件中对用途仅作一般性表述，没有指明特定项目的，作为与收益相关的政府补助。</w:t>
      </w:r>
    </w:p>
    <w:p w:rsidR="005C49A8" w:rsidRDefault="005C49A8" w:rsidP="00C50357">
      <w:pPr>
        <w:widowControl/>
        <w:numPr>
          <w:ilvl w:val="0"/>
          <w:numId w:val="134"/>
        </w:numPr>
        <w:spacing w:before="100" w:beforeAutospacing="1" w:after="100" w:afterAutospacing="1"/>
        <w:divId w:val="684289991"/>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政府补助的确认</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对期末有证据表明公司能够符合财政扶持政策规定的相关条件且预计能够收到财政扶持资金的，按应收金额确认政府补助。除此之外，政府补助均在实际收到时确认。</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政府补助为货币性资产的，按照收到或应收的金额计量。政府补助为非货币性资产的，按照公允价值计量；公允价值不能够可靠取得的，按照名义金额（人民币</w:t>
      </w:r>
      <w:r w:rsidRPr="000160E2">
        <w:rPr>
          <w:sz w:val="18"/>
          <w:szCs w:val="18"/>
        </w:rPr>
        <w:t>1</w:t>
      </w:r>
      <w:r w:rsidRPr="000160E2">
        <w:rPr>
          <w:rFonts w:hint="eastAsia"/>
          <w:sz w:val="18"/>
          <w:szCs w:val="18"/>
        </w:rPr>
        <w:t>元）计量。按照名义金额计量的政府补助，直接计入当期损益。</w:t>
      </w:r>
    </w:p>
    <w:p w:rsidR="005C49A8" w:rsidRDefault="005C49A8" w:rsidP="00C50357">
      <w:pPr>
        <w:widowControl/>
        <w:numPr>
          <w:ilvl w:val="0"/>
          <w:numId w:val="135"/>
        </w:numPr>
        <w:spacing w:before="100" w:beforeAutospacing="1" w:after="100" w:afterAutospacing="1"/>
        <w:divId w:val="684289991"/>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会计处理方法</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本公司根据经济业务的实质，确定某一类政府补助业务应当采用总额法还是净额法进行会计处理。通常情况下，本公司对于同类或类似政府补助业务只选用一种方法，且对该业务一贯地运用该方法。</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sz w:val="18"/>
          <w:szCs w:val="18"/>
        </w:rPr>
        <w:t xml:space="preserve">    </w:t>
      </w:r>
      <w:r w:rsidRPr="000160E2">
        <w:rPr>
          <w:rFonts w:hint="eastAsia"/>
          <w:sz w:val="18"/>
          <w:szCs w:val="18"/>
        </w:rPr>
        <w:t>与资产相关的政府补助，应当冲减相关资产的账面价值或</w:t>
      </w:r>
      <w:proofErr w:type="gramStart"/>
      <w:r w:rsidRPr="000160E2">
        <w:rPr>
          <w:rFonts w:hint="eastAsia"/>
          <w:sz w:val="18"/>
          <w:szCs w:val="18"/>
        </w:rPr>
        <w:t>确认为递延</w:t>
      </w:r>
      <w:proofErr w:type="gramEnd"/>
      <w:r w:rsidRPr="000160E2">
        <w:rPr>
          <w:rFonts w:hint="eastAsia"/>
          <w:sz w:val="18"/>
          <w:szCs w:val="18"/>
        </w:rPr>
        <w:t>收益。与资产相关的政府补助</w:t>
      </w:r>
      <w:proofErr w:type="gramStart"/>
      <w:r w:rsidRPr="000160E2">
        <w:rPr>
          <w:rFonts w:hint="eastAsia"/>
          <w:sz w:val="18"/>
          <w:szCs w:val="18"/>
        </w:rPr>
        <w:t>确认为递延</w:t>
      </w:r>
      <w:proofErr w:type="gramEnd"/>
      <w:r w:rsidRPr="000160E2">
        <w:rPr>
          <w:rFonts w:hint="eastAsia"/>
          <w:sz w:val="18"/>
          <w:szCs w:val="18"/>
        </w:rPr>
        <w:t>收益的，在所建造或购买资产使用寿命内按照合理、系统的方法分期计入损益。</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与收益相关的政府补助，用于补偿企业以后期间的相关费用或损失的，</w:t>
      </w:r>
      <w:proofErr w:type="gramStart"/>
      <w:r w:rsidRPr="000160E2">
        <w:rPr>
          <w:rFonts w:hint="eastAsia"/>
          <w:sz w:val="18"/>
          <w:szCs w:val="18"/>
        </w:rPr>
        <w:t>确认为递延</w:t>
      </w:r>
      <w:proofErr w:type="gramEnd"/>
      <w:r w:rsidRPr="000160E2">
        <w:rPr>
          <w:rFonts w:hint="eastAsia"/>
          <w:sz w:val="18"/>
          <w:szCs w:val="18"/>
        </w:rPr>
        <w:t>收益，在确认相关费用或损失的期间计入当期损益或冲减相关成本；用于补偿企业已发生的相关费用或损失的，取得时直接计入当期损益或冲减相关成本。</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与企业日常活动相关的政府补助计入其他收益或冲减相关成本费用；与企业日常活动无关的政府补助计入营业外收支。</w:t>
      </w:r>
    </w:p>
    <w:p w:rsidR="005C49A8" w:rsidRPr="000160E2"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rsidR="005C49A8" w:rsidRDefault="005C49A8" w:rsidP="000160E2">
      <w:pPr>
        <w:pStyle w:val="a3"/>
        <w:spacing w:before="0" w:beforeAutospacing="0" w:after="0" w:afterAutospacing="0"/>
        <w:ind w:firstLine="420"/>
        <w:jc w:val="both"/>
        <w:divId w:val="684289991"/>
        <w:rPr>
          <w:sz w:val="18"/>
          <w:szCs w:val="18"/>
        </w:rPr>
      </w:pPr>
      <w:r w:rsidRPr="000160E2">
        <w:rPr>
          <w:rFonts w:hint="eastAsia"/>
          <w:sz w:val="18"/>
          <w:szCs w:val="18"/>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rsidR="008820E4" w:rsidRDefault="005C49A8">
      <w:pPr>
        <w:pStyle w:val="3"/>
        <w:spacing w:line="280" w:lineRule="exact"/>
        <w:jc w:val="left"/>
        <w:rPr>
          <w:rFonts w:ascii="宋体" w:hAnsi="宋体" w:cs="宋体"/>
          <w:b/>
          <w:bCs/>
        </w:rPr>
      </w:pPr>
      <w:bookmarkStart w:id="165" w:name="_Toc989054"/>
      <w:r>
        <w:rPr>
          <w:rFonts w:ascii="宋体" w:hAnsi="宋体" w:cs="宋体"/>
          <w:b/>
          <w:bCs/>
        </w:rPr>
        <w:t>40、递延所得税资产/递延所得税负债</w:t>
      </w:r>
      <w:bookmarkEnd w:id="165"/>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递延所得税资产和递延所得税负债根据资产和负债的计税基础与其账面价值的差额</w:t>
      </w:r>
      <w:r w:rsidRPr="000160E2">
        <w:rPr>
          <w:sz w:val="18"/>
          <w:szCs w:val="18"/>
        </w:rPr>
        <w:t>(</w:t>
      </w:r>
      <w:r w:rsidRPr="000160E2">
        <w:rPr>
          <w:rFonts w:hint="eastAsia"/>
          <w:sz w:val="18"/>
          <w:szCs w:val="18"/>
        </w:rPr>
        <w:t>暂时性差异</w:t>
      </w:r>
      <w:r w:rsidRPr="000160E2">
        <w:rPr>
          <w:sz w:val="18"/>
          <w:szCs w:val="18"/>
        </w:rPr>
        <w:t>)</w:t>
      </w:r>
      <w:r w:rsidRPr="000160E2">
        <w:rPr>
          <w:rFonts w:hint="eastAsia"/>
          <w:sz w:val="18"/>
          <w:szCs w:val="18"/>
        </w:rPr>
        <w:t>计算确认。于资产负债表日，递延所得税资产和递延所得税负债，按照预期收回该资产或清偿该负债期间的适用税率计量。</w:t>
      </w:r>
    </w:p>
    <w:p w:rsidR="005C49A8" w:rsidRDefault="005C49A8" w:rsidP="00C50357">
      <w:pPr>
        <w:widowControl/>
        <w:numPr>
          <w:ilvl w:val="0"/>
          <w:numId w:val="136"/>
        </w:numPr>
        <w:spacing w:before="100" w:beforeAutospacing="1" w:after="100" w:afterAutospacing="1"/>
        <w:divId w:val="1077898399"/>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确认递延所得税资产的依据</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w:t>
      </w:r>
      <w:r w:rsidRPr="000160E2">
        <w:rPr>
          <w:rFonts w:hint="eastAsia"/>
          <w:sz w:val="18"/>
          <w:szCs w:val="18"/>
        </w:rPr>
        <w:lastRenderedPageBreak/>
        <w:t>递延所得税资产不予确认：（</w:t>
      </w:r>
      <w:r w:rsidRPr="000160E2">
        <w:rPr>
          <w:sz w:val="18"/>
          <w:szCs w:val="18"/>
        </w:rPr>
        <w:t>1</w:t>
      </w:r>
      <w:r w:rsidRPr="000160E2">
        <w:rPr>
          <w:rFonts w:hint="eastAsia"/>
          <w:sz w:val="18"/>
          <w:szCs w:val="18"/>
        </w:rPr>
        <w:t>）该交易不是企业合并；（</w:t>
      </w:r>
      <w:r w:rsidRPr="000160E2">
        <w:rPr>
          <w:sz w:val="18"/>
          <w:szCs w:val="18"/>
        </w:rPr>
        <w:t>2</w:t>
      </w:r>
      <w:r w:rsidRPr="000160E2">
        <w:rPr>
          <w:rFonts w:hint="eastAsia"/>
          <w:sz w:val="18"/>
          <w:szCs w:val="18"/>
        </w:rPr>
        <w:t>）交易发生时既不影响会计利润也不影响应纳税所得额或可抵扣亏损。</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对于与联营企业投资相关的可抵扣暂时性差异，同时满足下列条件的，确认相应的递延所得税资产：暂时性差异在可预见的未来很可能转回，且未来很可能获得用来抵扣可抵扣暂时性差异的应纳税所得额。</w:t>
      </w:r>
    </w:p>
    <w:p w:rsidR="005C49A8" w:rsidRDefault="005C49A8" w:rsidP="00C50357">
      <w:pPr>
        <w:widowControl/>
        <w:numPr>
          <w:ilvl w:val="0"/>
          <w:numId w:val="137"/>
        </w:numPr>
        <w:spacing w:before="100" w:beforeAutospacing="1" w:after="100" w:afterAutospacing="1"/>
        <w:divId w:val="1077898399"/>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确认递延所得税负债的依据</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公司将当期与以前期间应交未交的应纳税暂时性差异</w:t>
      </w:r>
      <w:proofErr w:type="gramStart"/>
      <w:r w:rsidRPr="000160E2">
        <w:rPr>
          <w:rFonts w:hint="eastAsia"/>
          <w:sz w:val="18"/>
          <w:szCs w:val="18"/>
        </w:rPr>
        <w:t>确认为递延</w:t>
      </w:r>
      <w:proofErr w:type="gramEnd"/>
      <w:r w:rsidRPr="000160E2">
        <w:rPr>
          <w:rFonts w:hint="eastAsia"/>
          <w:sz w:val="18"/>
          <w:szCs w:val="18"/>
        </w:rPr>
        <w:t>所得税负债。但不包括：</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1</w:t>
      </w:r>
      <w:r w:rsidRPr="000160E2">
        <w:rPr>
          <w:rFonts w:hint="eastAsia"/>
          <w:sz w:val="18"/>
          <w:szCs w:val="18"/>
        </w:rPr>
        <w:t>）商誉的初始确认所形成的暂时性差异；</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2</w:t>
      </w:r>
      <w:r w:rsidRPr="000160E2">
        <w:rPr>
          <w:rFonts w:hint="eastAsia"/>
          <w:sz w:val="18"/>
          <w:szCs w:val="18"/>
        </w:rPr>
        <w:t>）非企业合并形成的交易或事项，且该交易或事项发生时既不影响会计利润，也不影响应纳税所得额（或可抵扣亏损）所形成的暂时性差异；</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3</w:t>
      </w:r>
      <w:r w:rsidRPr="000160E2">
        <w:rPr>
          <w:rFonts w:hint="eastAsia"/>
          <w:sz w:val="18"/>
          <w:szCs w:val="18"/>
        </w:rPr>
        <w:t>）对于与子公司、联营企业投资相关的应纳税暂时性差异，该暂时性差异转回的时间能够控制并且该暂时性差异在可预见的未来很可能不会转回。</w:t>
      </w:r>
    </w:p>
    <w:p w:rsidR="005C49A8" w:rsidRDefault="005C49A8" w:rsidP="00C50357">
      <w:pPr>
        <w:widowControl/>
        <w:numPr>
          <w:ilvl w:val="0"/>
          <w:numId w:val="138"/>
        </w:numPr>
        <w:spacing w:before="100" w:beforeAutospacing="1" w:after="100" w:afterAutospacing="1"/>
        <w:divId w:val="1077898399"/>
        <w:rPr>
          <w:sz w:val="18"/>
          <w:szCs w:val="18"/>
        </w:rPr>
      </w:pPr>
      <w:r>
        <w:rPr>
          <w:rFonts w:hint="eastAsia"/>
          <w:sz w:val="18"/>
          <w:szCs w:val="18"/>
        </w:rPr>
        <w:t>．</w:t>
      </w:r>
      <w:r>
        <w:rPr>
          <w:rFonts w:ascii="Times New Roman" w:hAnsi="Times New Roman" w:cs="Times New Roman"/>
          <w:sz w:val="14"/>
          <w:szCs w:val="14"/>
        </w:rPr>
        <w:t xml:space="preserve">  </w:t>
      </w:r>
      <w:r>
        <w:rPr>
          <w:rFonts w:hint="eastAsia"/>
          <w:sz w:val="18"/>
          <w:szCs w:val="18"/>
        </w:rPr>
        <w:t>同时满足下列条件时，</w:t>
      </w:r>
      <w:proofErr w:type="gramStart"/>
      <w:r>
        <w:rPr>
          <w:rFonts w:hint="eastAsia"/>
          <w:sz w:val="18"/>
          <w:szCs w:val="18"/>
        </w:rPr>
        <w:t>将递延</w:t>
      </w:r>
      <w:proofErr w:type="gramEnd"/>
      <w:r>
        <w:rPr>
          <w:rFonts w:hint="eastAsia"/>
          <w:sz w:val="18"/>
          <w:szCs w:val="18"/>
        </w:rPr>
        <w:t>所得税资产及递延所得税负债以</w:t>
      </w:r>
      <w:proofErr w:type="gramStart"/>
      <w:r>
        <w:rPr>
          <w:rFonts w:hint="eastAsia"/>
          <w:sz w:val="18"/>
          <w:szCs w:val="18"/>
        </w:rPr>
        <w:t>抵销</w:t>
      </w:r>
      <w:proofErr w:type="gramEnd"/>
      <w:r>
        <w:rPr>
          <w:rFonts w:hint="eastAsia"/>
          <w:sz w:val="18"/>
          <w:szCs w:val="18"/>
        </w:rPr>
        <w:t>后的净额列示</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1</w:t>
      </w:r>
      <w:r w:rsidRPr="000160E2">
        <w:rPr>
          <w:rFonts w:hint="eastAsia"/>
          <w:sz w:val="18"/>
          <w:szCs w:val="18"/>
        </w:rPr>
        <w:t>）企业拥有以净额结算当期所得税资产及当期所得税负债的法定权利；</w:t>
      </w:r>
    </w:p>
    <w:p w:rsidR="005C49A8" w:rsidRPr="000160E2" w:rsidRDefault="005C49A8" w:rsidP="000160E2">
      <w:pPr>
        <w:pStyle w:val="a3"/>
        <w:spacing w:before="0" w:beforeAutospacing="0" w:after="0" w:afterAutospacing="0"/>
        <w:ind w:firstLine="420"/>
        <w:jc w:val="both"/>
        <w:divId w:val="1077898399"/>
        <w:rPr>
          <w:sz w:val="18"/>
          <w:szCs w:val="18"/>
        </w:rPr>
      </w:pPr>
      <w:r w:rsidRPr="000160E2">
        <w:rPr>
          <w:rFonts w:hint="eastAsia"/>
          <w:sz w:val="18"/>
          <w:szCs w:val="18"/>
        </w:rPr>
        <w:t>（</w:t>
      </w:r>
      <w:r w:rsidRPr="000160E2">
        <w:rPr>
          <w:sz w:val="18"/>
          <w:szCs w:val="18"/>
        </w:rPr>
        <w:t>2</w:t>
      </w:r>
      <w:r w:rsidRPr="000160E2">
        <w:rPr>
          <w:rFonts w:hint="eastAsia"/>
          <w:sz w:val="18"/>
          <w:szCs w:val="18"/>
        </w:rPr>
        <w:t>）递延所得税资产和递延所得税负债是与同</w:t>
      </w:r>
      <w:proofErr w:type="gramStart"/>
      <w:r w:rsidRPr="000160E2">
        <w:rPr>
          <w:rFonts w:hint="eastAsia"/>
          <w:sz w:val="18"/>
          <w:szCs w:val="18"/>
        </w:rPr>
        <w:t>一税收</w:t>
      </w:r>
      <w:proofErr w:type="gramEnd"/>
      <w:r w:rsidRPr="000160E2">
        <w:rPr>
          <w:rFonts w:hint="eastAsia"/>
          <w:sz w:val="18"/>
          <w:szCs w:val="18"/>
        </w:rPr>
        <w:t>征管部门对同一纳税主体征收的所得税相关或者对不同的纳税主体相关，但在未来每一具有重要性的递延所得税资产和递延所得税负债转回的期间内，涉及的纳税主体</w:t>
      </w:r>
      <w:proofErr w:type="gramStart"/>
      <w:r w:rsidRPr="000160E2">
        <w:rPr>
          <w:rFonts w:hint="eastAsia"/>
          <w:sz w:val="18"/>
          <w:szCs w:val="18"/>
        </w:rPr>
        <w:t>体</w:t>
      </w:r>
      <w:proofErr w:type="gramEnd"/>
      <w:r w:rsidRPr="000160E2">
        <w:rPr>
          <w:rFonts w:hint="eastAsia"/>
          <w:sz w:val="18"/>
          <w:szCs w:val="18"/>
        </w:rPr>
        <w:t>意图以净额结算当期所得税资产及当期所得税负债或是同时取得资产、清偿债务。</w:t>
      </w:r>
    </w:p>
    <w:p w:rsidR="008820E4" w:rsidRDefault="005C49A8">
      <w:pPr>
        <w:pStyle w:val="3"/>
        <w:spacing w:line="280" w:lineRule="exact"/>
        <w:jc w:val="left"/>
        <w:rPr>
          <w:rFonts w:ascii="宋体" w:hAnsi="宋体" w:cs="宋体"/>
          <w:b/>
          <w:bCs/>
        </w:rPr>
      </w:pPr>
      <w:bookmarkStart w:id="166" w:name="_Toc989055"/>
      <w:r>
        <w:rPr>
          <w:rFonts w:ascii="宋体" w:hAnsi="宋体" w:cs="宋体"/>
          <w:b/>
          <w:bCs/>
        </w:rPr>
        <w:t>41、租赁</w:t>
      </w:r>
      <w:bookmarkEnd w:id="166"/>
    </w:p>
    <w:p w:rsidR="008820E4" w:rsidRDefault="005C49A8">
      <w:pPr>
        <w:keepNext/>
        <w:keepLines/>
        <w:spacing w:before="300" w:after="300" w:line="280" w:lineRule="exact"/>
        <w:outlineLvl w:val="3"/>
        <w:rPr>
          <w:rFonts w:ascii="宋体" w:eastAsia="宋体" w:hAnsi="宋体" w:cs="宋体"/>
          <w:b/>
          <w:bCs/>
          <w:szCs w:val="21"/>
        </w:rPr>
      </w:pPr>
      <w:bookmarkStart w:id="167" w:name="_Toc989056"/>
      <w:r>
        <w:rPr>
          <w:rFonts w:ascii="宋体" w:eastAsia="宋体" w:hAnsi="宋体" w:cs="宋体"/>
          <w:b/>
          <w:bCs/>
          <w:szCs w:val="21"/>
        </w:rPr>
        <w:t>（1） 作为承租方租赁的会计处理方法</w:t>
      </w:r>
      <w:bookmarkEnd w:id="167"/>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在租赁期开始日，除应用简化处理的短期租赁和低价值资产租赁外，本公司对租赁确认使用权资产和租赁负债。</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w:t>
      </w:r>
      <w:r w:rsidRPr="000160E2">
        <w:rPr>
          <w:sz w:val="18"/>
          <w:szCs w:val="18"/>
        </w:rPr>
        <w:t>1</w:t>
      </w:r>
      <w:r w:rsidRPr="000160E2">
        <w:rPr>
          <w:rFonts w:hint="eastAsia"/>
          <w:sz w:val="18"/>
          <w:szCs w:val="18"/>
        </w:rPr>
        <w:t>）短期租赁和低价值资产租赁</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短期租赁是指不包含购买选择权且租赁期不超过</w:t>
      </w:r>
      <w:r w:rsidRPr="000160E2">
        <w:rPr>
          <w:sz w:val="18"/>
          <w:szCs w:val="18"/>
        </w:rPr>
        <w:t>12</w:t>
      </w:r>
      <w:r w:rsidRPr="000160E2">
        <w:rPr>
          <w:rFonts w:hint="eastAsia"/>
          <w:sz w:val="18"/>
          <w:szCs w:val="18"/>
        </w:rPr>
        <w:t>个月的租赁。低价值资产租赁是指单项租赁资产为全新资产时价值较低的租赁，主要包括员工宿舍租赁。</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本公司对以下短期租赁和低价值资产租赁不确认使用权资产和租赁负债，相关租赁付款额在租赁期内各个期间按照直线法计入相关资产成本或当期损益。</w:t>
      </w:r>
    </w:p>
    <w:tbl>
      <w:tblPr>
        <w:tblW w:w="9193" w:type="dxa"/>
        <w:jc w:val="center"/>
        <w:tblCellMar>
          <w:left w:w="0" w:type="dxa"/>
          <w:right w:w="0" w:type="dxa"/>
        </w:tblCellMar>
        <w:tblLook w:val="04A0" w:firstRow="1" w:lastRow="0" w:firstColumn="1" w:lastColumn="0" w:noHBand="0" w:noVBand="1"/>
        <w:tblCaption w:val="D:\大华\华孚\2024年度\TB|0-合并TB-华孚时尚股份有限公司-2024年度.xlsx|W附注模板|_jds18|0|desc|||0|1"/>
      </w:tblPr>
      <w:tblGrid>
        <w:gridCol w:w="1844"/>
        <w:gridCol w:w="7349"/>
      </w:tblGrid>
      <w:tr w:rsidR="005C49A8" w:rsidTr="000160E2">
        <w:trPr>
          <w:divId w:val="1367409517"/>
          <w:trHeight w:val="340"/>
          <w:jc w:val="center"/>
        </w:trPr>
        <w:tc>
          <w:tcPr>
            <w:tcW w:w="1844"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项目</w:t>
            </w:r>
          </w:p>
        </w:tc>
        <w:tc>
          <w:tcPr>
            <w:tcW w:w="7349" w:type="dxa"/>
            <w:tcBorders>
              <w:top w:val="single" w:sz="8" w:space="0" w:color="auto"/>
              <w:left w:val="nil"/>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采用简化处理的租赁资产类别</w:t>
            </w:r>
          </w:p>
        </w:tc>
      </w:tr>
      <w:tr w:rsidR="005C49A8" w:rsidTr="00CF103B">
        <w:trPr>
          <w:divId w:val="1367409517"/>
          <w:trHeight w:val="340"/>
          <w:jc w:val="center"/>
        </w:trPr>
        <w:tc>
          <w:tcPr>
            <w:tcW w:w="1844" w:type="dxa"/>
            <w:tcBorders>
              <w:top w:val="single" w:sz="8" w:space="0" w:color="auto"/>
              <w:left w:val="single" w:sz="8" w:space="0" w:color="auto"/>
              <w:bottom w:val="single" w:sz="8" w:space="0" w:color="auto"/>
              <w:right w:val="single" w:sz="8" w:space="0" w:color="auto"/>
            </w:tcBorders>
            <w:shd w:val="clear" w:color="auto" w:fill="D3D3D3"/>
            <w:tcMar>
              <w:top w:w="0" w:type="dxa"/>
              <w:left w:w="108" w:type="dxa"/>
              <w:bottom w:w="0" w:type="dxa"/>
              <w:right w:w="108" w:type="dxa"/>
            </w:tcMar>
            <w:vAlign w:val="center"/>
            <w:hideMark/>
          </w:tcPr>
          <w:p w:rsidR="005C49A8" w:rsidRDefault="005C49A8">
            <w:pPr>
              <w:pStyle w:val="a3"/>
              <w:spacing w:before="0" w:beforeAutospacing="0" w:after="0" w:afterAutospacing="0"/>
              <w:rPr>
                <w:rFonts w:ascii="Times New Roman" w:hAnsi="Times New Roman" w:cs="Times New Roman"/>
                <w:sz w:val="21"/>
                <w:szCs w:val="21"/>
              </w:rPr>
            </w:pPr>
            <w:r>
              <w:rPr>
                <w:rFonts w:cs="Times New Roman" w:hint="eastAsia"/>
                <w:sz w:val="18"/>
                <w:szCs w:val="18"/>
              </w:rPr>
              <w:t>短期租赁</w:t>
            </w:r>
          </w:p>
        </w:tc>
        <w:tc>
          <w:tcPr>
            <w:tcW w:w="7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9A8" w:rsidRDefault="005C49A8">
            <w:pPr>
              <w:pStyle w:val="a3"/>
              <w:spacing w:before="0" w:beforeAutospacing="0" w:after="0" w:afterAutospacing="0"/>
              <w:jc w:val="center"/>
              <w:rPr>
                <w:rFonts w:ascii="Times New Roman" w:hAnsi="Times New Roman" w:cs="Times New Roman"/>
                <w:sz w:val="21"/>
                <w:szCs w:val="21"/>
              </w:rPr>
            </w:pPr>
            <w:r>
              <w:rPr>
                <w:rFonts w:cs="Times New Roman" w:hint="eastAsia"/>
                <w:sz w:val="18"/>
                <w:szCs w:val="18"/>
              </w:rPr>
              <w:t>租赁期在1年及以下的租赁</w:t>
            </w:r>
          </w:p>
        </w:tc>
      </w:tr>
    </w:tbl>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本公司对除上述以外的短期租赁和低价值资产租赁确认使用权资产和租赁负债。</w:t>
      </w:r>
    </w:p>
    <w:p w:rsidR="005C49A8" w:rsidRPr="000160E2" w:rsidRDefault="005C49A8" w:rsidP="000160E2">
      <w:pPr>
        <w:pStyle w:val="a3"/>
        <w:spacing w:before="0" w:beforeAutospacing="0" w:after="0" w:afterAutospacing="0"/>
        <w:ind w:firstLine="420"/>
        <w:jc w:val="both"/>
        <w:divId w:val="1367409517"/>
        <w:rPr>
          <w:sz w:val="18"/>
          <w:szCs w:val="18"/>
        </w:rPr>
      </w:pPr>
      <w:r w:rsidRPr="000160E2">
        <w:rPr>
          <w:rFonts w:hint="eastAsia"/>
          <w:sz w:val="18"/>
          <w:szCs w:val="18"/>
        </w:rPr>
        <w:t>（</w:t>
      </w:r>
      <w:r w:rsidRPr="000160E2">
        <w:rPr>
          <w:sz w:val="18"/>
          <w:szCs w:val="18"/>
        </w:rPr>
        <w:t>2</w:t>
      </w:r>
      <w:r w:rsidRPr="000160E2">
        <w:rPr>
          <w:rFonts w:hint="eastAsia"/>
          <w:sz w:val="18"/>
          <w:szCs w:val="18"/>
        </w:rPr>
        <w:t>）使用权资产和租赁负债的会计政策详见本附注（二十六）和（三十三）。</w:t>
      </w:r>
    </w:p>
    <w:p w:rsidR="008820E4" w:rsidRDefault="005C49A8">
      <w:pPr>
        <w:keepNext/>
        <w:keepLines/>
        <w:spacing w:before="300" w:after="300" w:line="280" w:lineRule="exact"/>
        <w:outlineLvl w:val="3"/>
        <w:rPr>
          <w:rFonts w:ascii="宋体" w:eastAsia="宋体" w:hAnsi="宋体" w:cs="宋体"/>
          <w:b/>
          <w:bCs/>
          <w:szCs w:val="21"/>
        </w:rPr>
      </w:pPr>
      <w:bookmarkStart w:id="168" w:name="_Toc989057"/>
      <w:r>
        <w:rPr>
          <w:rFonts w:ascii="宋体" w:eastAsia="宋体" w:hAnsi="宋体" w:cs="宋体"/>
          <w:b/>
          <w:bCs/>
          <w:szCs w:val="21"/>
        </w:rPr>
        <w:t>（2） 作为出租方租赁的会计处理方法</w:t>
      </w:r>
      <w:bookmarkEnd w:id="168"/>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w:t>
      </w:r>
      <w:r w:rsidRPr="000160E2">
        <w:rPr>
          <w:sz w:val="18"/>
          <w:szCs w:val="18"/>
        </w:rPr>
        <w:t>1</w:t>
      </w:r>
      <w:r w:rsidRPr="000160E2">
        <w:rPr>
          <w:rFonts w:hint="eastAsia"/>
          <w:sz w:val="18"/>
          <w:szCs w:val="18"/>
        </w:rPr>
        <w:t>）租赁的分类</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本公司在租赁开始日将租赁分为融资租赁和经营租赁。融资租赁是指实质上转移了与租赁资产所有权有关的几乎全部风险和报酬的租赁，其所有权最终可能转移，也可能不转移。经营租赁是指除融资租赁以外的其他租赁。</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一项租赁存在下列一种或多种情形的，本公司通常分类为融资租赁：</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1</w:t>
      </w:r>
      <w:r w:rsidRPr="000160E2">
        <w:rPr>
          <w:rFonts w:hint="eastAsia"/>
          <w:sz w:val="18"/>
          <w:szCs w:val="18"/>
        </w:rPr>
        <w:t>）在租赁期届满时，租赁资产的所有权转移给承租人。</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2</w:t>
      </w:r>
      <w:r w:rsidRPr="000160E2">
        <w:rPr>
          <w:rFonts w:hint="eastAsia"/>
          <w:sz w:val="18"/>
          <w:szCs w:val="18"/>
        </w:rPr>
        <w:t>）承租人有购买租赁资产的选择权，所订立的购买价款与预计行使选择权时租赁资产的公允价值相比足够低，因而在租赁开始日就可以合理确定承租人将行使该选择权。</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lastRenderedPageBreak/>
        <w:t>3</w:t>
      </w:r>
      <w:r w:rsidRPr="000160E2">
        <w:rPr>
          <w:rFonts w:hint="eastAsia"/>
          <w:sz w:val="18"/>
          <w:szCs w:val="18"/>
        </w:rPr>
        <w:t>）资产的所有权虽然不转移，但租赁期占租赁资产使用寿命的大部分。</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4</w:t>
      </w:r>
      <w:r w:rsidRPr="000160E2">
        <w:rPr>
          <w:rFonts w:hint="eastAsia"/>
          <w:sz w:val="18"/>
          <w:szCs w:val="18"/>
        </w:rPr>
        <w:t>）在租赁开始日，</w:t>
      </w:r>
      <w:proofErr w:type="gramStart"/>
      <w:r w:rsidRPr="000160E2">
        <w:rPr>
          <w:rFonts w:hint="eastAsia"/>
          <w:sz w:val="18"/>
          <w:szCs w:val="18"/>
        </w:rPr>
        <w:t>租赁收</w:t>
      </w:r>
      <w:proofErr w:type="gramEnd"/>
      <w:r w:rsidRPr="000160E2">
        <w:rPr>
          <w:rFonts w:hint="eastAsia"/>
          <w:sz w:val="18"/>
          <w:szCs w:val="18"/>
        </w:rPr>
        <w:t>款额的现值几乎相当于租赁资产的公允价值。</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5</w:t>
      </w:r>
      <w:r w:rsidRPr="000160E2">
        <w:rPr>
          <w:rFonts w:hint="eastAsia"/>
          <w:sz w:val="18"/>
          <w:szCs w:val="18"/>
        </w:rPr>
        <w:t>）租赁资产性质特殊，如果不作较大改造，只有承租人才能使用。</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一项租赁存在下列一项或</w:t>
      </w:r>
      <w:proofErr w:type="gramStart"/>
      <w:r w:rsidRPr="000160E2">
        <w:rPr>
          <w:rFonts w:hint="eastAsia"/>
          <w:sz w:val="18"/>
          <w:szCs w:val="18"/>
        </w:rPr>
        <w:t>多项迹象</w:t>
      </w:r>
      <w:proofErr w:type="gramEnd"/>
      <w:r w:rsidRPr="000160E2">
        <w:rPr>
          <w:rFonts w:hint="eastAsia"/>
          <w:sz w:val="18"/>
          <w:szCs w:val="18"/>
        </w:rPr>
        <w:t>的，本公司也可能分类为融资租赁：</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1</w:t>
      </w:r>
      <w:r w:rsidRPr="000160E2">
        <w:rPr>
          <w:rFonts w:hint="eastAsia"/>
          <w:sz w:val="18"/>
          <w:szCs w:val="18"/>
        </w:rPr>
        <w:t>）若承租人撤销租赁，撤销租赁对出租人造成的损失由承租人承担。</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2</w:t>
      </w:r>
      <w:r w:rsidRPr="000160E2">
        <w:rPr>
          <w:rFonts w:hint="eastAsia"/>
          <w:sz w:val="18"/>
          <w:szCs w:val="18"/>
        </w:rPr>
        <w:t>）资产余值的公允价值波动所产生的利得或损失归属于承租人。</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3</w:t>
      </w:r>
      <w:r w:rsidRPr="000160E2">
        <w:rPr>
          <w:rFonts w:hint="eastAsia"/>
          <w:sz w:val="18"/>
          <w:szCs w:val="18"/>
        </w:rPr>
        <w:t>）承租人有能力以远低于市场水平的租金继续租赁至下一期间。</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w:t>
      </w:r>
      <w:r w:rsidRPr="000160E2">
        <w:rPr>
          <w:sz w:val="18"/>
          <w:szCs w:val="18"/>
        </w:rPr>
        <w:t>2</w:t>
      </w:r>
      <w:r w:rsidRPr="000160E2">
        <w:rPr>
          <w:rFonts w:hint="eastAsia"/>
          <w:sz w:val="18"/>
          <w:szCs w:val="18"/>
        </w:rPr>
        <w:t>）对融资租赁的会计处理</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在租赁期开始日，本公司对融资租赁确认应收融资租赁款，并终止确认融资租赁资产。</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应收融资租赁款初始计量时，以未担保余值和租赁期开始日尚未收到的</w:t>
      </w:r>
      <w:proofErr w:type="gramStart"/>
      <w:r w:rsidRPr="000160E2">
        <w:rPr>
          <w:rFonts w:hint="eastAsia"/>
          <w:sz w:val="18"/>
          <w:szCs w:val="18"/>
        </w:rPr>
        <w:t>租赁收</w:t>
      </w:r>
      <w:proofErr w:type="gramEnd"/>
      <w:r w:rsidRPr="000160E2">
        <w:rPr>
          <w:rFonts w:hint="eastAsia"/>
          <w:sz w:val="18"/>
          <w:szCs w:val="18"/>
        </w:rPr>
        <w:t>款额按照租赁内含利率折现的现值之和作为应收融资租赁款的入账价值。</w:t>
      </w:r>
      <w:proofErr w:type="gramStart"/>
      <w:r w:rsidRPr="000160E2">
        <w:rPr>
          <w:rFonts w:hint="eastAsia"/>
          <w:sz w:val="18"/>
          <w:szCs w:val="18"/>
        </w:rPr>
        <w:t>租赁收</w:t>
      </w:r>
      <w:proofErr w:type="gramEnd"/>
      <w:r w:rsidRPr="000160E2">
        <w:rPr>
          <w:rFonts w:hint="eastAsia"/>
          <w:sz w:val="18"/>
          <w:szCs w:val="18"/>
        </w:rPr>
        <w:t>款额包括：</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1</w:t>
      </w:r>
      <w:r w:rsidRPr="000160E2">
        <w:rPr>
          <w:rFonts w:hint="eastAsia"/>
          <w:sz w:val="18"/>
          <w:szCs w:val="18"/>
        </w:rPr>
        <w:t>）扣除租赁激励相关金额后的固定付款额及实质固定付款额；</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2</w:t>
      </w:r>
      <w:r w:rsidRPr="000160E2">
        <w:rPr>
          <w:rFonts w:hint="eastAsia"/>
          <w:sz w:val="18"/>
          <w:szCs w:val="18"/>
        </w:rPr>
        <w:t>）取决于指数或比率的可变租赁付款额；</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3</w:t>
      </w:r>
      <w:r w:rsidRPr="000160E2">
        <w:rPr>
          <w:rFonts w:hint="eastAsia"/>
          <w:sz w:val="18"/>
          <w:szCs w:val="18"/>
        </w:rPr>
        <w:t>）合理确定承租人将行使购买选择权的情况下，</w:t>
      </w:r>
      <w:proofErr w:type="gramStart"/>
      <w:r w:rsidRPr="000160E2">
        <w:rPr>
          <w:rFonts w:hint="eastAsia"/>
          <w:sz w:val="18"/>
          <w:szCs w:val="18"/>
        </w:rPr>
        <w:t>租赁收</w:t>
      </w:r>
      <w:proofErr w:type="gramEnd"/>
      <w:r w:rsidRPr="000160E2">
        <w:rPr>
          <w:rFonts w:hint="eastAsia"/>
          <w:sz w:val="18"/>
          <w:szCs w:val="18"/>
        </w:rPr>
        <w:t>款额包括购买选择权的行权价格；</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4</w:t>
      </w:r>
      <w:r w:rsidRPr="000160E2">
        <w:rPr>
          <w:rFonts w:hint="eastAsia"/>
          <w:sz w:val="18"/>
          <w:szCs w:val="18"/>
        </w:rPr>
        <w:t>）租赁</w:t>
      </w:r>
      <w:proofErr w:type="gramStart"/>
      <w:r w:rsidRPr="000160E2">
        <w:rPr>
          <w:rFonts w:hint="eastAsia"/>
          <w:sz w:val="18"/>
          <w:szCs w:val="18"/>
        </w:rPr>
        <w:t>期反映</w:t>
      </w:r>
      <w:proofErr w:type="gramEnd"/>
      <w:r w:rsidRPr="000160E2">
        <w:rPr>
          <w:rFonts w:hint="eastAsia"/>
          <w:sz w:val="18"/>
          <w:szCs w:val="18"/>
        </w:rPr>
        <w:t>出承租人将行使终止租赁选择权的情况下，</w:t>
      </w:r>
      <w:proofErr w:type="gramStart"/>
      <w:r w:rsidRPr="000160E2">
        <w:rPr>
          <w:rFonts w:hint="eastAsia"/>
          <w:sz w:val="18"/>
          <w:szCs w:val="18"/>
        </w:rPr>
        <w:t>租赁收</w:t>
      </w:r>
      <w:proofErr w:type="gramEnd"/>
      <w:r w:rsidRPr="000160E2">
        <w:rPr>
          <w:rFonts w:hint="eastAsia"/>
          <w:sz w:val="18"/>
          <w:szCs w:val="18"/>
        </w:rPr>
        <w:t>款额包括承租人行使终止租赁选择权需支付的款项；</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sz w:val="18"/>
          <w:szCs w:val="18"/>
        </w:rPr>
        <w:t>5</w:t>
      </w:r>
      <w:r w:rsidRPr="000160E2">
        <w:rPr>
          <w:rFonts w:hint="eastAsia"/>
          <w:sz w:val="18"/>
          <w:szCs w:val="18"/>
        </w:rPr>
        <w:t>）由承租人、与承租人有关的一方以及有经济能力履行担保义务的</w:t>
      </w:r>
      <w:proofErr w:type="gramStart"/>
      <w:r w:rsidRPr="000160E2">
        <w:rPr>
          <w:rFonts w:hint="eastAsia"/>
          <w:sz w:val="18"/>
          <w:szCs w:val="18"/>
        </w:rPr>
        <w:t>独立第三</w:t>
      </w:r>
      <w:proofErr w:type="gramEnd"/>
      <w:r w:rsidRPr="000160E2">
        <w:rPr>
          <w:rFonts w:hint="eastAsia"/>
          <w:sz w:val="18"/>
          <w:szCs w:val="18"/>
        </w:rPr>
        <w:t>方向出租人提供的担保余值。</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本公司按照固定的租赁内含利率计算并确认租赁期内各个期间的利息收入，所取得的未纳入租赁投资净额计量的可变租赁付款额在实际发生时计入当期损益。</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w:t>
      </w:r>
      <w:r w:rsidRPr="000160E2">
        <w:rPr>
          <w:sz w:val="18"/>
          <w:szCs w:val="18"/>
        </w:rPr>
        <w:t>3</w:t>
      </w:r>
      <w:r w:rsidRPr="000160E2">
        <w:rPr>
          <w:rFonts w:hint="eastAsia"/>
          <w:sz w:val="18"/>
          <w:szCs w:val="18"/>
        </w:rPr>
        <w:t>）对经营租赁的会计处理</w:t>
      </w:r>
    </w:p>
    <w:p w:rsidR="005C49A8" w:rsidRPr="000160E2" w:rsidRDefault="005C49A8" w:rsidP="000160E2">
      <w:pPr>
        <w:pStyle w:val="a3"/>
        <w:spacing w:before="0" w:beforeAutospacing="0" w:after="0" w:afterAutospacing="0"/>
        <w:ind w:firstLine="420"/>
        <w:jc w:val="both"/>
        <w:divId w:val="84959456"/>
        <w:rPr>
          <w:sz w:val="18"/>
          <w:szCs w:val="18"/>
        </w:rPr>
      </w:pPr>
      <w:r w:rsidRPr="000160E2">
        <w:rPr>
          <w:rFonts w:hint="eastAsia"/>
          <w:sz w:val="18"/>
          <w:szCs w:val="18"/>
        </w:rPr>
        <w:t>本公司在租赁期内各个期间采用直线法或其他系统合理的方法，将经营租赁的</w:t>
      </w:r>
      <w:proofErr w:type="gramStart"/>
      <w:r w:rsidRPr="000160E2">
        <w:rPr>
          <w:rFonts w:hint="eastAsia"/>
          <w:sz w:val="18"/>
          <w:szCs w:val="18"/>
        </w:rPr>
        <w:t>租赁收</w:t>
      </w:r>
      <w:proofErr w:type="gramEnd"/>
      <w:r w:rsidRPr="000160E2">
        <w:rPr>
          <w:rFonts w:hint="eastAsia"/>
          <w:sz w:val="18"/>
          <w:szCs w:val="18"/>
        </w:rPr>
        <w:t>款额确认为租金收入；发生的与经营租赁有关的初始直接费用资本化，在租赁期内按照与租金收入确认相同的基础进行分摊，分期计入当期损益；取得的与经营租赁有关的未计入</w:t>
      </w:r>
      <w:proofErr w:type="gramStart"/>
      <w:r w:rsidRPr="000160E2">
        <w:rPr>
          <w:rFonts w:hint="eastAsia"/>
          <w:sz w:val="18"/>
          <w:szCs w:val="18"/>
        </w:rPr>
        <w:t>租赁收</w:t>
      </w:r>
      <w:proofErr w:type="gramEnd"/>
      <w:r w:rsidRPr="000160E2">
        <w:rPr>
          <w:rFonts w:hint="eastAsia"/>
          <w:sz w:val="18"/>
          <w:szCs w:val="18"/>
        </w:rPr>
        <w:t>款额的可变租赁付款额，在实际发生时计入当期损益。</w:t>
      </w:r>
    </w:p>
    <w:p w:rsidR="008820E4" w:rsidRDefault="005C49A8">
      <w:pPr>
        <w:pStyle w:val="3"/>
        <w:spacing w:line="280" w:lineRule="exact"/>
        <w:jc w:val="left"/>
        <w:rPr>
          <w:rFonts w:ascii="宋体" w:hAnsi="宋体" w:cs="宋体"/>
          <w:b/>
          <w:bCs/>
        </w:rPr>
      </w:pPr>
      <w:bookmarkStart w:id="169" w:name="_Toc989058"/>
      <w:r>
        <w:rPr>
          <w:rFonts w:ascii="宋体" w:hAnsi="宋体" w:cs="宋体"/>
          <w:b/>
          <w:bCs/>
        </w:rPr>
        <w:t>42、其他重要的会计政策和会计估计</w:t>
      </w:r>
      <w:bookmarkEnd w:id="169"/>
    </w:p>
    <w:p w:rsidR="005C49A8" w:rsidRDefault="005C49A8">
      <w:pPr>
        <w:pStyle w:val="a3"/>
        <w:divId w:val="47961792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170" w:name="_Toc989059"/>
      <w:r>
        <w:rPr>
          <w:rFonts w:ascii="宋体" w:hAnsi="宋体" w:cs="宋体"/>
          <w:b/>
          <w:bCs/>
        </w:rPr>
        <w:t>43、重要会计政策和会计估计变更</w:t>
      </w:r>
      <w:bookmarkEnd w:id="170"/>
    </w:p>
    <w:p w:rsidR="008820E4" w:rsidRDefault="005C49A8">
      <w:pPr>
        <w:keepNext/>
        <w:keepLines/>
        <w:spacing w:before="300" w:after="300" w:line="280" w:lineRule="exact"/>
        <w:outlineLvl w:val="3"/>
        <w:rPr>
          <w:rFonts w:ascii="宋体" w:eastAsia="宋体" w:hAnsi="宋体" w:cs="宋体"/>
          <w:b/>
          <w:bCs/>
          <w:sz w:val="18"/>
          <w:szCs w:val="18"/>
        </w:rPr>
      </w:pPr>
      <w:bookmarkStart w:id="171" w:name="_Toc989060"/>
      <w:r>
        <w:rPr>
          <w:rFonts w:ascii="宋体" w:eastAsia="宋体" w:hAnsi="宋体" w:cs="宋体"/>
          <w:b/>
          <w:bCs/>
          <w:sz w:val="18"/>
          <w:szCs w:val="18"/>
        </w:rPr>
        <w:t>（1） 重要会计政策变更</w:t>
      </w:r>
      <w:bookmarkEnd w:id="17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172" w:name="_Toc989061"/>
      <w:r>
        <w:rPr>
          <w:rFonts w:ascii="宋体" w:eastAsia="宋体" w:hAnsi="宋体" w:cs="宋体"/>
          <w:b/>
          <w:bCs/>
          <w:sz w:val="18"/>
          <w:szCs w:val="18"/>
        </w:rPr>
        <w:t>（2） 重要会计估计变更</w:t>
      </w:r>
      <w:bookmarkEnd w:id="172"/>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173" w:name="_Toc989062"/>
      <w:r>
        <w:rPr>
          <w:rFonts w:ascii="宋体" w:eastAsia="宋体" w:hAnsi="宋体" w:cs="宋体"/>
          <w:b/>
          <w:bCs/>
          <w:sz w:val="18"/>
          <w:szCs w:val="18"/>
        </w:rPr>
        <w:t>（3） 2025年起首次执行新会计准则调整首次执行当年年初财务报表相关项目情况</w:t>
      </w:r>
      <w:bookmarkEnd w:id="17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174" w:name="_Toc989063"/>
      <w:r>
        <w:rPr>
          <w:rFonts w:ascii="宋体" w:hAnsi="宋体" w:cs="宋体"/>
          <w:b/>
          <w:bCs/>
        </w:rPr>
        <w:t>44、其他</w:t>
      </w:r>
      <w:bookmarkEnd w:id="174"/>
    </w:p>
    <w:p w:rsidR="005C49A8" w:rsidRDefault="005C49A8">
      <w:pPr>
        <w:pStyle w:val="a3"/>
        <w:divId w:val="177736645"/>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175" w:name="_Toc989064"/>
      <w:r>
        <w:rPr>
          <w:rFonts w:ascii="宋体" w:eastAsia="宋体" w:hAnsi="宋体" w:cs="宋体"/>
          <w:b/>
          <w:bCs/>
          <w:sz w:val="24"/>
          <w:szCs w:val="24"/>
        </w:rPr>
        <w:lastRenderedPageBreak/>
        <w:t>六、税项</w:t>
      </w:r>
      <w:bookmarkEnd w:id="175"/>
    </w:p>
    <w:p w:rsidR="008820E4" w:rsidRDefault="005C49A8">
      <w:pPr>
        <w:pStyle w:val="3"/>
        <w:spacing w:line="280" w:lineRule="exact"/>
        <w:jc w:val="left"/>
        <w:rPr>
          <w:rFonts w:ascii="宋体" w:hAnsi="宋体" w:cs="宋体"/>
          <w:b/>
          <w:bCs/>
        </w:rPr>
      </w:pPr>
      <w:bookmarkStart w:id="176" w:name="_Toc989065"/>
      <w:r>
        <w:rPr>
          <w:rFonts w:ascii="宋体" w:hAnsi="宋体" w:cs="宋体"/>
          <w:b/>
          <w:bCs/>
        </w:rPr>
        <w:t>1、主要税种及税率</w:t>
      </w:r>
      <w:bookmarkEnd w:id="176"/>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68"/>
        <w:gridCol w:w="5386"/>
        <w:gridCol w:w="2585"/>
      </w:tblGrid>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税种</w:t>
            </w:r>
          </w:p>
        </w:tc>
        <w:tc>
          <w:tcPr>
            <w:tcW w:w="538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计税依据</w:t>
            </w:r>
          </w:p>
        </w:tc>
        <w:tc>
          <w:tcPr>
            <w:tcW w:w="258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税率</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增值税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销售货物、应税劳务收入和应税服务收入</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13%、10%、9%、6%</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城市维护建设税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实缴流转税税额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7%、5%、3%</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企业所得税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应纳税所得额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15%、25%、16.5%、20%</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教育费附加</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实缴流转税税额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地方教育费附加</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实缴流转税税额</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w:t>
            </w:r>
          </w:p>
        </w:tc>
      </w:tr>
      <w:tr w:rsidR="008820E4" w:rsidTr="0007728F">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房产税</w:t>
            </w:r>
          </w:p>
        </w:tc>
        <w:tc>
          <w:tcPr>
            <w:tcW w:w="538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房产税按照房产原值的70%为纳税基准，税率为1.2%，或以租金收入为纳税基准，税率为12%</w:t>
            </w:r>
          </w:p>
        </w:tc>
        <w:tc>
          <w:tcPr>
            <w:tcW w:w="25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1.2%、12%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存在不同企业所得税税率纳税主体的，披露情况说明</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905"/>
        <w:gridCol w:w="1734"/>
      </w:tblGrid>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纳税主体名称</w:t>
            </w:r>
          </w:p>
        </w:tc>
        <w:tc>
          <w:tcPr>
            <w:tcW w:w="17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所得税税率</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香港华孚贸易有限公司、香港华孚有限公司(1)、香港天成贸易有限公司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16.50%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浙江华孚色纺有限公司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奎屯锦孚纺织</w:t>
            </w:r>
            <w:proofErr w:type="gramEnd"/>
            <w:r>
              <w:rPr>
                <w:rFonts w:ascii="宋体" w:eastAsia="宋体" w:hAnsi="宋体" w:cs="宋体"/>
                <w:sz w:val="18"/>
                <w:szCs w:val="18"/>
              </w:rPr>
              <w:t>有限公司、</w:t>
            </w:r>
            <w:proofErr w:type="gramStart"/>
            <w:r>
              <w:rPr>
                <w:rFonts w:ascii="宋体" w:eastAsia="宋体" w:hAnsi="宋体" w:cs="宋体"/>
                <w:sz w:val="18"/>
                <w:szCs w:val="18"/>
              </w:rPr>
              <w:t>新疆六孚纺织工业</w:t>
            </w:r>
            <w:proofErr w:type="gramEnd"/>
            <w:r>
              <w:rPr>
                <w:rFonts w:ascii="宋体" w:eastAsia="宋体" w:hAnsi="宋体" w:cs="宋体"/>
                <w:sz w:val="18"/>
                <w:szCs w:val="18"/>
              </w:rPr>
              <w:t>园有限公司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新疆棉花产业集团伽师棉业有限公司、新疆棉花产业集团岳</w:t>
            </w:r>
            <w:proofErr w:type="gramStart"/>
            <w:r>
              <w:rPr>
                <w:rFonts w:ascii="宋体" w:eastAsia="宋体" w:hAnsi="宋体" w:cs="宋体"/>
                <w:sz w:val="18"/>
                <w:szCs w:val="18"/>
              </w:rPr>
              <w:t>普湖棉业</w:t>
            </w:r>
            <w:proofErr w:type="gramEnd"/>
            <w:r>
              <w:rPr>
                <w:rFonts w:ascii="宋体" w:eastAsia="宋体" w:hAnsi="宋体" w:cs="宋体"/>
                <w:sz w:val="18"/>
                <w:szCs w:val="18"/>
              </w:rPr>
              <w:t>有限公司、</w:t>
            </w:r>
            <w:proofErr w:type="gramStart"/>
            <w:r>
              <w:rPr>
                <w:rFonts w:ascii="宋体" w:eastAsia="宋体" w:hAnsi="宋体" w:cs="宋体"/>
                <w:sz w:val="18"/>
                <w:szCs w:val="18"/>
              </w:rPr>
              <w:t>沙雅银花棉业</w:t>
            </w:r>
            <w:proofErr w:type="gramEnd"/>
            <w:r>
              <w:rPr>
                <w:rFonts w:ascii="宋体" w:eastAsia="宋体" w:hAnsi="宋体" w:cs="宋体"/>
                <w:sz w:val="18"/>
                <w:szCs w:val="18"/>
              </w:rPr>
              <w:t>有限责任公司、库车纵横棉业有限责任公司、新疆华</w:t>
            </w:r>
            <w:proofErr w:type="gramStart"/>
            <w:r>
              <w:rPr>
                <w:rFonts w:ascii="宋体" w:eastAsia="宋体" w:hAnsi="宋体" w:cs="宋体"/>
                <w:sz w:val="18"/>
                <w:szCs w:val="18"/>
              </w:rPr>
              <w:t>孚恒丰棉</w:t>
            </w:r>
            <w:proofErr w:type="gramEnd"/>
            <w:r>
              <w:rPr>
                <w:rFonts w:ascii="宋体" w:eastAsia="宋体" w:hAnsi="宋体" w:cs="宋体"/>
                <w:sz w:val="18"/>
                <w:szCs w:val="18"/>
              </w:rPr>
              <w:t>业有限公司、石河子华</w:t>
            </w:r>
            <w:proofErr w:type="gramStart"/>
            <w:r>
              <w:rPr>
                <w:rFonts w:ascii="宋体" w:eastAsia="宋体" w:hAnsi="宋体" w:cs="宋体"/>
                <w:sz w:val="18"/>
                <w:szCs w:val="18"/>
              </w:rPr>
              <w:t>孚宏盛棉</w:t>
            </w:r>
            <w:proofErr w:type="gramEnd"/>
            <w:r>
              <w:rPr>
                <w:rFonts w:ascii="宋体" w:eastAsia="宋体" w:hAnsi="宋体" w:cs="宋体"/>
                <w:sz w:val="18"/>
                <w:szCs w:val="18"/>
              </w:rPr>
              <w:t>业有限公司、</w:t>
            </w:r>
            <w:proofErr w:type="gramStart"/>
            <w:r>
              <w:rPr>
                <w:rFonts w:ascii="宋体" w:eastAsia="宋体" w:hAnsi="宋体" w:cs="宋体"/>
                <w:sz w:val="18"/>
                <w:szCs w:val="18"/>
              </w:rPr>
              <w:t>胡杨河华孚宏盛棉</w:t>
            </w:r>
            <w:proofErr w:type="gramEnd"/>
            <w:r>
              <w:rPr>
                <w:rFonts w:ascii="宋体" w:eastAsia="宋体" w:hAnsi="宋体" w:cs="宋体"/>
                <w:sz w:val="18"/>
                <w:szCs w:val="18"/>
              </w:rPr>
              <w:t>业有限公司、石河子市华</w:t>
            </w:r>
            <w:proofErr w:type="gramStart"/>
            <w:r>
              <w:rPr>
                <w:rFonts w:ascii="宋体" w:eastAsia="宋体" w:hAnsi="宋体" w:cs="宋体"/>
                <w:sz w:val="18"/>
                <w:szCs w:val="18"/>
              </w:rPr>
              <w:t>孚宏丰棉</w:t>
            </w:r>
            <w:proofErr w:type="gramEnd"/>
            <w:r>
              <w:rPr>
                <w:rFonts w:ascii="宋体" w:eastAsia="宋体" w:hAnsi="宋体" w:cs="宋体"/>
                <w:sz w:val="18"/>
                <w:szCs w:val="18"/>
              </w:rPr>
              <w:t>业有限公司、新疆泽孚棉花有限公司、新疆盛孚棉业有限公司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新加坡耀佳国际贸易有限公司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17.00%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诸暨市卡拉美拉科技有限公司</w:t>
            </w:r>
            <w:proofErr w:type="gramEnd"/>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15.00%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阿克苏华孚新能源有限公司、上海华孚色纺贸易有限公司、浙江</w:t>
            </w:r>
            <w:proofErr w:type="gramStart"/>
            <w:r>
              <w:rPr>
                <w:rFonts w:ascii="宋体" w:eastAsia="宋体" w:hAnsi="宋体" w:cs="宋体"/>
                <w:sz w:val="18"/>
                <w:szCs w:val="18"/>
              </w:rPr>
              <w:t>菁英电商管理</w:t>
            </w:r>
            <w:proofErr w:type="gramEnd"/>
            <w:r>
              <w:rPr>
                <w:rFonts w:ascii="宋体" w:eastAsia="宋体" w:hAnsi="宋体" w:cs="宋体"/>
                <w:sz w:val="18"/>
                <w:szCs w:val="18"/>
              </w:rPr>
              <w:t>服务有限公司、浙江</w:t>
            </w:r>
            <w:proofErr w:type="gramStart"/>
            <w:r>
              <w:rPr>
                <w:rFonts w:ascii="宋体" w:eastAsia="宋体" w:hAnsi="宋体" w:cs="宋体"/>
                <w:sz w:val="18"/>
                <w:szCs w:val="18"/>
              </w:rPr>
              <w:t>菁英创业</w:t>
            </w:r>
            <w:proofErr w:type="gramEnd"/>
            <w:r>
              <w:rPr>
                <w:rFonts w:ascii="宋体" w:eastAsia="宋体" w:hAnsi="宋体" w:cs="宋体"/>
                <w:sz w:val="18"/>
                <w:szCs w:val="18"/>
              </w:rPr>
              <w:t>服务有限公司、杭州名</w:t>
            </w:r>
            <w:proofErr w:type="gramStart"/>
            <w:r>
              <w:rPr>
                <w:rFonts w:ascii="宋体" w:eastAsia="宋体" w:hAnsi="宋体" w:cs="宋体"/>
                <w:sz w:val="18"/>
                <w:szCs w:val="18"/>
              </w:rPr>
              <w:t>鲲</w:t>
            </w:r>
            <w:proofErr w:type="gramEnd"/>
            <w:r>
              <w:rPr>
                <w:rFonts w:ascii="宋体" w:eastAsia="宋体" w:hAnsi="宋体" w:cs="宋体"/>
                <w:sz w:val="18"/>
                <w:szCs w:val="18"/>
              </w:rPr>
              <w:t>科技有限公司等</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07728F">
        <w:trPr>
          <w:trHeight w:val="240"/>
        </w:trPr>
        <w:tc>
          <w:tcPr>
            <w:tcW w:w="79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其他子公司</w:t>
            </w: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rsidP="0007728F">
            <w:pPr>
              <w:spacing w:line="0" w:lineRule="atLeast"/>
              <w:jc w:val="right"/>
              <w:rPr>
                <w:rFonts w:ascii="宋体" w:eastAsia="宋体" w:hAnsi="宋体" w:cs="宋体"/>
                <w:sz w:val="18"/>
                <w:szCs w:val="18"/>
              </w:rPr>
            </w:pPr>
            <w:r>
              <w:rPr>
                <w:rFonts w:ascii="宋体" w:eastAsia="宋体" w:hAnsi="宋体" w:cs="宋体"/>
                <w:sz w:val="18"/>
                <w:szCs w:val="18"/>
              </w:rPr>
              <w:t>25.00%</w:t>
            </w:r>
          </w:p>
        </w:tc>
      </w:tr>
    </w:tbl>
    <w:p w:rsidR="008820E4" w:rsidRDefault="005C49A8">
      <w:pPr>
        <w:pStyle w:val="3"/>
        <w:spacing w:line="280" w:lineRule="exact"/>
        <w:jc w:val="left"/>
        <w:rPr>
          <w:rFonts w:ascii="宋体" w:hAnsi="宋体" w:cs="宋体"/>
          <w:b/>
          <w:bCs/>
        </w:rPr>
      </w:pPr>
      <w:bookmarkStart w:id="177" w:name="_Toc989066"/>
      <w:r>
        <w:rPr>
          <w:rFonts w:ascii="宋体" w:hAnsi="宋体" w:cs="宋体"/>
          <w:b/>
          <w:bCs/>
        </w:rPr>
        <w:t>2、税收优惠</w:t>
      </w:r>
      <w:bookmarkEnd w:id="177"/>
    </w:p>
    <w:p w:rsidR="005C49A8" w:rsidRDefault="005C49A8" w:rsidP="0007728F">
      <w:pPr>
        <w:pStyle w:val="a3"/>
        <w:ind w:firstLineChars="200" w:firstLine="360"/>
        <w:divId w:val="526993575"/>
        <w:rPr>
          <w:sz w:val="18"/>
          <w:szCs w:val="18"/>
        </w:rPr>
      </w:pPr>
      <w:r>
        <w:rPr>
          <w:rFonts w:hint="eastAsia"/>
          <w:sz w:val="18"/>
          <w:szCs w:val="18"/>
        </w:rPr>
        <w:t>1.本公司取得了安徽省科学技术厅、安徽省财政厅、国家税务总局安徽省税务局于2024年11月28日联合颁发的证书编号GR202434005332的《高新技术企业证书》，有效期为3年。本公司自2024年度起享受高新技术企业税收优惠税率，即2024年享受15%的企业所得税优惠税率。</w:t>
      </w:r>
      <w:r>
        <w:rPr>
          <w:rFonts w:hint="eastAsia"/>
          <w:sz w:val="18"/>
          <w:szCs w:val="18"/>
        </w:rPr>
        <w:br/>
      </w:r>
      <w:r w:rsidR="0007728F">
        <w:rPr>
          <w:rFonts w:hint="eastAsia"/>
          <w:sz w:val="18"/>
          <w:szCs w:val="18"/>
        </w:rPr>
        <w:t xml:space="preserve">  </w:t>
      </w:r>
      <w:r>
        <w:rPr>
          <w:rFonts w:hint="eastAsia"/>
          <w:sz w:val="18"/>
          <w:szCs w:val="18"/>
        </w:rPr>
        <w:t>2.根据2024年12月6日浙江省科学技术厅、浙江省财政厅、国家税务总局浙江省税务局联合颁发的证书编号GR202433003757的《高新技术企业证书》，有效期为3年。浙江色纺自2024年度起享受高新技术企业税收优惠税率，即2024年享受15%的企业所得税优惠税率。</w:t>
      </w:r>
      <w:r>
        <w:rPr>
          <w:rFonts w:hint="eastAsia"/>
          <w:sz w:val="18"/>
          <w:szCs w:val="18"/>
        </w:rPr>
        <w:br/>
      </w:r>
      <w:r w:rsidR="0007728F">
        <w:rPr>
          <w:rFonts w:hint="eastAsia"/>
          <w:sz w:val="18"/>
          <w:szCs w:val="18"/>
        </w:rPr>
        <w:t xml:space="preserve">  </w:t>
      </w:r>
      <w:r>
        <w:rPr>
          <w:rFonts w:hint="eastAsia"/>
          <w:sz w:val="18"/>
          <w:szCs w:val="18"/>
        </w:rPr>
        <w:t>3.根据财政部公告2020年第23号文件《财政部税务总局国家发展改革委关于延续西部大开发企业所得税政策的公告》的规定，对符合[西部地区鼓励类产业目录]第二十大类中的第六项的新疆维吾尔自治区境内的纺织企业，自2020年至2030年，对设在西部地区的鼓励类产业企业减按15%的税率征收企业所得税。据此，本公司之子公司阿克苏华孚、</w:t>
      </w:r>
      <w:proofErr w:type="gramStart"/>
      <w:r>
        <w:rPr>
          <w:rFonts w:hint="eastAsia"/>
          <w:sz w:val="18"/>
          <w:szCs w:val="18"/>
        </w:rPr>
        <w:t>奎屯锦孚纺织</w:t>
      </w:r>
      <w:proofErr w:type="gramEnd"/>
      <w:r>
        <w:rPr>
          <w:rFonts w:hint="eastAsia"/>
          <w:sz w:val="18"/>
          <w:szCs w:val="18"/>
        </w:rPr>
        <w:t>、</w:t>
      </w:r>
      <w:proofErr w:type="gramStart"/>
      <w:r>
        <w:rPr>
          <w:rFonts w:hint="eastAsia"/>
          <w:sz w:val="18"/>
          <w:szCs w:val="18"/>
        </w:rPr>
        <w:t>新疆六孚纺织</w:t>
      </w:r>
      <w:proofErr w:type="gramEnd"/>
      <w:r>
        <w:rPr>
          <w:rFonts w:hint="eastAsia"/>
          <w:sz w:val="18"/>
          <w:szCs w:val="18"/>
        </w:rPr>
        <w:t>享受15%的企业所得税率。</w:t>
      </w:r>
      <w:r>
        <w:rPr>
          <w:rFonts w:hint="eastAsia"/>
          <w:sz w:val="18"/>
          <w:szCs w:val="18"/>
        </w:rPr>
        <w:br/>
      </w:r>
      <w:r w:rsidR="0007728F">
        <w:rPr>
          <w:rFonts w:hint="eastAsia"/>
          <w:sz w:val="18"/>
          <w:szCs w:val="18"/>
        </w:rPr>
        <w:t xml:space="preserve">  </w:t>
      </w:r>
      <w:r>
        <w:rPr>
          <w:rFonts w:hint="eastAsia"/>
          <w:sz w:val="18"/>
          <w:szCs w:val="18"/>
        </w:rPr>
        <w:t>4.根据《中华人民共和国企业所得税法》第二十七条第（一）项及《中华人民共和国企业所得税法实施条例》第二十七条第八十六条第一款之规定，通过轧花、剥绒等脱绒工序简单加工处理，制成的产品（皮棉、短绒、棉籽）的收入免征企业所得税。据此，本公司之子公司伽师棉业、岳普湖棉业、沙雅银花、库车纵横、华孚恒丰、石河子</w:t>
      </w:r>
      <w:proofErr w:type="gramStart"/>
      <w:r>
        <w:rPr>
          <w:rFonts w:hint="eastAsia"/>
          <w:sz w:val="18"/>
          <w:szCs w:val="18"/>
        </w:rPr>
        <w:t>宏盛棉业</w:t>
      </w:r>
      <w:proofErr w:type="gramEnd"/>
      <w:r>
        <w:rPr>
          <w:rFonts w:hint="eastAsia"/>
          <w:sz w:val="18"/>
          <w:szCs w:val="18"/>
        </w:rPr>
        <w:t>、</w:t>
      </w:r>
      <w:proofErr w:type="gramStart"/>
      <w:r>
        <w:rPr>
          <w:rFonts w:hint="eastAsia"/>
          <w:sz w:val="18"/>
          <w:szCs w:val="18"/>
        </w:rPr>
        <w:t>胡杨河宏盛棉</w:t>
      </w:r>
      <w:proofErr w:type="gramEnd"/>
      <w:r>
        <w:rPr>
          <w:rFonts w:hint="eastAsia"/>
          <w:sz w:val="18"/>
          <w:szCs w:val="18"/>
        </w:rPr>
        <w:t>业、石河子</w:t>
      </w:r>
      <w:proofErr w:type="gramStart"/>
      <w:r>
        <w:rPr>
          <w:rFonts w:hint="eastAsia"/>
          <w:sz w:val="18"/>
          <w:szCs w:val="18"/>
        </w:rPr>
        <w:t>宏丰棉业</w:t>
      </w:r>
      <w:proofErr w:type="gramEnd"/>
      <w:r>
        <w:rPr>
          <w:rFonts w:hint="eastAsia"/>
          <w:sz w:val="18"/>
          <w:szCs w:val="18"/>
        </w:rPr>
        <w:t>、</w:t>
      </w:r>
      <w:proofErr w:type="gramStart"/>
      <w:r>
        <w:rPr>
          <w:rFonts w:hint="eastAsia"/>
          <w:sz w:val="18"/>
          <w:szCs w:val="18"/>
        </w:rPr>
        <w:t>泽孚棉花</w:t>
      </w:r>
      <w:proofErr w:type="gramEnd"/>
      <w:r>
        <w:rPr>
          <w:rFonts w:hint="eastAsia"/>
          <w:sz w:val="18"/>
          <w:szCs w:val="18"/>
        </w:rPr>
        <w:t>、盛孚棉业免征企业所得税。</w:t>
      </w:r>
      <w:r>
        <w:rPr>
          <w:rFonts w:hint="eastAsia"/>
          <w:sz w:val="18"/>
          <w:szCs w:val="18"/>
        </w:rPr>
        <w:br/>
        <w:t>5.根据2024年12月4日新疆维吾尔自治区科学技术厅、新疆维吾尔自治区财政厅、国家税务总局新疆维吾尔自治区税务局联合颁发的证书编号GR202465000986的《高新技术企业证书》，有效期为3年。阿克苏华孚自2024年度起享受高</w:t>
      </w:r>
      <w:r>
        <w:rPr>
          <w:rFonts w:hint="eastAsia"/>
          <w:sz w:val="18"/>
          <w:szCs w:val="18"/>
        </w:rPr>
        <w:lastRenderedPageBreak/>
        <w:t>新技术企业税收优惠税率，即2024年享受15%的企业所得税优惠税率。</w:t>
      </w:r>
      <w:r>
        <w:rPr>
          <w:rFonts w:hint="eastAsia"/>
          <w:sz w:val="18"/>
          <w:szCs w:val="18"/>
        </w:rPr>
        <w:br/>
      </w:r>
      <w:r w:rsidR="0007728F">
        <w:rPr>
          <w:rFonts w:hint="eastAsia"/>
          <w:sz w:val="18"/>
          <w:szCs w:val="18"/>
        </w:rPr>
        <w:t xml:space="preserve">  </w:t>
      </w:r>
      <w:r>
        <w:rPr>
          <w:rFonts w:hint="eastAsia"/>
          <w:sz w:val="18"/>
          <w:szCs w:val="18"/>
        </w:rPr>
        <w:t>6.新加坡注册企业首1万新币利润，减免税务75%，税率为4.25%；企业后续19万新币利润，享有减免税务50%；企业超出20万新币的利润部分，按照17%的税率正常征收。</w:t>
      </w:r>
      <w:r>
        <w:rPr>
          <w:rFonts w:hint="eastAsia"/>
          <w:sz w:val="18"/>
          <w:szCs w:val="18"/>
        </w:rPr>
        <w:br/>
      </w:r>
      <w:r w:rsidR="0007728F">
        <w:rPr>
          <w:rFonts w:hint="eastAsia"/>
          <w:sz w:val="18"/>
          <w:szCs w:val="18"/>
        </w:rPr>
        <w:t xml:space="preserve">  </w:t>
      </w:r>
      <w:r>
        <w:rPr>
          <w:rFonts w:hint="eastAsia"/>
          <w:sz w:val="18"/>
          <w:szCs w:val="18"/>
        </w:rPr>
        <w:t>7.根据2022年12月24日浙江省科学技术厅、浙江省财政厅、国家税务总局浙江省税务局联合颁发的证书编号GR202233000592的《高新技术企业证书》，有效期为3年。卡拉美拉自2022年度起享受高新技术企业税收优惠税率15%的企业所得税优惠税率。</w:t>
      </w:r>
      <w:r>
        <w:rPr>
          <w:rFonts w:hint="eastAsia"/>
          <w:sz w:val="18"/>
          <w:szCs w:val="18"/>
        </w:rPr>
        <w:br/>
      </w:r>
      <w:r w:rsidR="0007728F">
        <w:rPr>
          <w:rFonts w:hint="eastAsia"/>
          <w:sz w:val="18"/>
          <w:szCs w:val="18"/>
        </w:rPr>
        <w:t xml:space="preserve">  </w:t>
      </w:r>
      <w:r>
        <w:rPr>
          <w:rFonts w:hint="eastAsia"/>
          <w:sz w:val="18"/>
          <w:szCs w:val="18"/>
        </w:rPr>
        <w:t>8.根据《财政部税务总局关于进一步实施小微企业所得税优惠政策的公告》（财政部税务总局公告2022年第13号）、《财政部税务总局关于小微企业和个体工商户所得税优惠政策的公告》（财政部税务总局公告2023年第6号）、《财政部税务总局关于进一步支持小微企业和个体工商户发展有关税费政策的公告》（财政部税务总局公告2023年第12号）的规定，自2022年1月1日至2024年12月31日，对小型微利企业年应纳税所得额超过100万元但不超过300万元的部分，减按25%计入应纳税所得额，按20%的税率缴纳企业所得税。自2023年1月1日至2024年12月31日，对小型微利企业年应纳税所得额不超过100万元的部分，减按25%计入应纳税所得额，按20%的税率缴纳企业所得税。对小型微利企业减按25%计算应纳税所得额，按20%的税率缴纳企业所得税政策，延续执行至2027年12月31日。阿克苏新能源、浙江阿大互联、上海华孚色纺、</w:t>
      </w:r>
      <w:proofErr w:type="gramStart"/>
      <w:r>
        <w:rPr>
          <w:rFonts w:hint="eastAsia"/>
          <w:sz w:val="18"/>
          <w:szCs w:val="18"/>
        </w:rPr>
        <w:t>菁英电</w:t>
      </w:r>
      <w:proofErr w:type="gramEnd"/>
      <w:r>
        <w:rPr>
          <w:rFonts w:hint="eastAsia"/>
          <w:sz w:val="18"/>
          <w:szCs w:val="18"/>
        </w:rPr>
        <w:t>商、</w:t>
      </w:r>
      <w:proofErr w:type="gramStart"/>
      <w:r>
        <w:rPr>
          <w:rFonts w:hint="eastAsia"/>
          <w:sz w:val="18"/>
          <w:szCs w:val="18"/>
        </w:rPr>
        <w:t>菁英创业</w:t>
      </w:r>
      <w:proofErr w:type="gramEnd"/>
      <w:r>
        <w:rPr>
          <w:rFonts w:hint="eastAsia"/>
          <w:sz w:val="18"/>
          <w:szCs w:val="18"/>
        </w:rPr>
        <w:t>等子公司按照政策适用该税收优惠政策。</w:t>
      </w:r>
    </w:p>
    <w:p w:rsidR="008820E4" w:rsidRDefault="005C49A8">
      <w:pPr>
        <w:pStyle w:val="3"/>
        <w:spacing w:line="280" w:lineRule="exact"/>
        <w:jc w:val="left"/>
        <w:rPr>
          <w:rFonts w:ascii="宋体" w:hAnsi="宋体" w:cs="宋体"/>
          <w:b/>
          <w:bCs/>
        </w:rPr>
      </w:pPr>
      <w:bookmarkStart w:id="178" w:name="_Toc989067"/>
      <w:r>
        <w:rPr>
          <w:rFonts w:ascii="宋体" w:hAnsi="宋体" w:cs="宋体"/>
          <w:b/>
          <w:bCs/>
        </w:rPr>
        <w:t>3、其他</w:t>
      </w:r>
      <w:bookmarkEnd w:id="178"/>
    </w:p>
    <w:p w:rsidR="005C49A8" w:rsidRDefault="005C49A8" w:rsidP="0007728F">
      <w:pPr>
        <w:pStyle w:val="a3"/>
        <w:ind w:firstLineChars="200" w:firstLine="360"/>
        <w:divId w:val="1317495088"/>
        <w:rPr>
          <w:sz w:val="18"/>
          <w:szCs w:val="18"/>
        </w:rPr>
      </w:pPr>
      <w:r>
        <w:rPr>
          <w:rFonts w:hint="eastAsia"/>
          <w:sz w:val="18"/>
          <w:szCs w:val="18"/>
        </w:rPr>
        <w:t>香港华孚有限自2012年1月1日起被国家税务总局认定为居民企业，相关股利分红的税收制度享受居民企业待遇。</w:t>
      </w:r>
    </w:p>
    <w:p w:rsidR="008820E4" w:rsidRDefault="005C49A8">
      <w:pPr>
        <w:pStyle w:val="2"/>
        <w:spacing w:before="300" w:after="300" w:line="320" w:lineRule="exact"/>
        <w:rPr>
          <w:rFonts w:ascii="宋体" w:eastAsia="宋体" w:hAnsi="宋体" w:cs="宋体"/>
          <w:b/>
          <w:bCs/>
          <w:sz w:val="24"/>
          <w:szCs w:val="24"/>
        </w:rPr>
      </w:pPr>
      <w:bookmarkStart w:id="179" w:name="_Toc989068"/>
      <w:r>
        <w:rPr>
          <w:rFonts w:ascii="宋体" w:eastAsia="宋体" w:hAnsi="宋体" w:cs="宋体"/>
          <w:b/>
          <w:bCs/>
          <w:sz w:val="24"/>
          <w:szCs w:val="24"/>
        </w:rPr>
        <w:t>七、合并财务报表项目注释</w:t>
      </w:r>
      <w:bookmarkEnd w:id="179"/>
    </w:p>
    <w:p w:rsidR="008820E4" w:rsidRDefault="005C49A8">
      <w:pPr>
        <w:pStyle w:val="3"/>
        <w:spacing w:line="280" w:lineRule="exact"/>
        <w:jc w:val="left"/>
        <w:rPr>
          <w:rFonts w:ascii="宋体" w:hAnsi="宋体" w:cs="宋体"/>
          <w:b/>
          <w:bCs/>
        </w:rPr>
      </w:pPr>
      <w:bookmarkStart w:id="180" w:name="_Toc989069"/>
      <w:r>
        <w:rPr>
          <w:rFonts w:ascii="宋体" w:hAnsi="宋体" w:cs="宋体"/>
          <w:b/>
          <w:bCs/>
        </w:rPr>
        <w:t>1、货币资金</w:t>
      </w:r>
      <w:bookmarkEnd w:id="18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库存现金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100,875.56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69,644.90</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1,037,469,234.86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1,840,496,250.51</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3,000,053,762.50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654,984,950.17</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4,037,623,872.92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2,495,550,845.58</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其中：存放在境外的款项总额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112,913,138.01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221,425,649.33</w:t>
            </w:r>
          </w:p>
        </w:tc>
      </w:tr>
    </w:tbl>
    <w:p w:rsidR="005C49A8" w:rsidRDefault="005C49A8">
      <w:pPr>
        <w:pStyle w:val="a3"/>
        <w:divId w:val="1314797297"/>
        <w:rPr>
          <w:sz w:val="18"/>
          <w:szCs w:val="18"/>
        </w:rPr>
      </w:pPr>
      <w:r>
        <w:rPr>
          <w:rFonts w:hint="eastAsia"/>
          <w:sz w:val="18"/>
          <w:szCs w:val="18"/>
        </w:rPr>
        <w:t>其中受限制的货币资金明细如下：</w:t>
      </w:r>
    </w:p>
    <w:p w:rsidR="005C49A8" w:rsidRDefault="00F7271B" w:rsidP="00EA52D0">
      <w:pPr>
        <w:pStyle w:val="a3"/>
        <w:jc w:val="right"/>
        <w:divId w:val="1314797297"/>
        <w:rPr>
          <w:sz w:val="18"/>
          <w:szCs w:val="18"/>
        </w:rPr>
      </w:pPr>
      <w:r>
        <w:rPr>
          <w:rFonts w:hint="eastAsia"/>
          <w:sz w:val="18"/>
          <w:szCs w:val="18"/>
        </w:rPr>
        <w:t>单位：元</w:t>
      </w:r>
    </w:p>
    <w:tbl>
      <w:tblPr>
        <w:tblW w:w="9449" w:type="dxa"/>
        <w:jc w:val="center"/>
        <w:tblInd w:w="-204" w:type="dxa"/>
        <w:tblCellMar>
          <w:left w:w="0" w:type="dxa"/>
          <w:right w:w="0" w:type="dxa"/>
        </w:tblCellMar>
        <w:tblLook w:val="04A0" w:firstRow="1" w:lastRow="0" w:firstColumn="1" w:lastColumn="0" w:noHBand="0" w:noVBand="1"/>
      </w:tblPr>
      <w:tblGrid>
        <w:gridCol w:w="3159"/>
        <w:gridCol w:w="3126"/>
        <w:gridCol w:w="3164"/>
      </w:tblGrid>
      <w:tr w:rsidR="005C49A8" w:rsidTr="0007728F">
        <w:trPr>
          <w:divId w:val="1314797297"/>
          <w:trHeight w:val="342"/>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项目</w:t>
            </w:r>
          </w:p>
        </w:tc>
        <w:tc>
          <w:tcPr>
            <w:tcW w:w="3126"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期末余额</w:t>
            </w:r>
          </w:p>
        </w:tc>
        <w:tc>
          <w:tcPr>
            <w:tcW w:w="3164"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期初余额</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银行承兑汇票保证金</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83,552,058.92</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70,563,188.91</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信用证保证金</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12,500,000.00</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123,296,500.00</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质押保证金</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2,715,624,328.20</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141,921,880.32</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其他使用受限</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2,841,950.00</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81,009.83</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both"/>
              <w:rPr>
                <w:rFonts w:ascii="宋体" w:eastAsia="宋体" w:hAnsi="宋体" w:cs="宋体"/>
                <w:color w:val="000000"/>
                <w:sz w:val="18"/>
                <w:szCs w:val="18"/>
              </w:rPr>
            </w:pPr>
            <w:r>
              <w:rPr>
                <w:rFonts w:hint="eastAsia"/>
                <w:color w:val="000000"/>
                <w:sz w:val="18"/>
                <w:szCs w:val="18"/>
              </w:rPr>
              <w:t>公积金中心托管维修基金账户</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3,506,403.92</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2,480,320.43</w:t>
            </w:r>
          </w:p>
        </w:tc>
      </w:tr>
      <w:tr w:rsidR="005C49A8" w:rsidTr="0007728F">
        <w:trPr>
          <w:divId w:val="1314797297"/>
          <w:trHeight w:val="327"/>
          <w:jc w:val="center"/>
        </w:trPr>
        <w:tc>
          <w:tcPr>
            <w:tcW w:w="3159" w:type="dxa"/>
            <w:tcBorders>
              <w:top w:val="single" w:sz="8" w:space="0" w:color="auto"/>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合计</w:t>
            </w:r>
          </w:p>
        </w:tc>
        <w:tc>
          <w:tcPr>
            <w:tcW w:w="312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2,818,024,741.04</w:t>
            </w:r>
          </w:p>
        </w:tc>
        <w:tc>
          <w:tcPr>
            <w:tcW w:w="31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07728F" w:rsidRDefault="005C49A8" w:rsidP="0007728F">
            <w:pPr>
              <w:spacing w:line="0" w:lineRule="atLeast"/>
              <w:jc w:val="right"/>
              <w:rPr>
                <w:rFonts w:ascii="宋体" w:eastAsia="宋体" w:hAnsi="宋体" w:cs="宋体"/>
                <w:sz w:val="18"/>
                <w:szCs w:val="18"/>
              </w:rPr>
            </w:pPr>
            <w:r w:rsidRPr="0007728F">
              <w:rPr>
                <w:rFonts w:ascii="宋体" w:eastAsia="宋体" w:hAnsi="宋体" w:cs="宋体" w:hint="eastAsia"/>
                <w:sz w:val="18"/>
                <w:szCs w:val="18"/>
              </w:rPr>
              <w:t>338,342,899.49</w:t>
            </w:r>
          </w:p>
        </w:tc>
      </w:tr>
    </w:tbl>
    <w:p w:rsidR="005C49A8" w:rsidRDefault="005C49A8">
      <w:pPr>
        <w:divId w:val="1314797297"/>
        <w:rPr>
          <w:sz w:val="24"/>
          <w:szCs w:val="24"/>
        </w:rPr>
      </w:pPr>
    </w:p>
    <w:p w:rsidR="008820E4" w:rsidRDefault="005C49A8">
      <w:pPr>
        <w:pStyle w:val="3"/>
        <w:spacing w:line="280" w:lineRule="exact"/>
        <w:jc w:val="left"/>
        <w:rPr>
          <w:rFonts w:ascii="宋体" w:hAnsi="宋体" w:cs="宋体"/>
          <w:b/>
          <w:bCs/>
        </w:rPr>
      </w:pPr>
      <w:bookmarkStart w:id="181" w:name="_Toc989070"/>
      <w:r>
        <w:rPr>
          <w:rFonts w:ascii="宋体" w:hAnsi="宋体" w:cs="宋体"/>
          <w:b/>
          <w:bCs/>
        </w:rPr>
        <w:lastRenderedPageBreak/>
        <w:t>2、交易性金融资产</w:t>
      </w:r>
      <w:bookmarkEnd w:id="18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以公允价值计量且其变动计入当期损益的金融资产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231,193,994.30</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货币型基金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83,816,526.37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101,235,317.35</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32,109,239.03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7,356,413.17</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63,160,062.90</w:t>
            </w:r>
          </w:p>
        </w:tc>
      </w:tr>
      <w:tr w:rsidR="008820E4" w:rsidTr="0007728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理财产品</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59,442,200.88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231,193,994.30</w:t>
            </w:r>
          </w:p>
        </w:tc>
      </w:tr>
    </w:tbl>
    <w:p w:rsidR="008820E4" w:rsidRDefault="005C49A8">
      <w:pPr>
        <w:pStyle w:val="3"/>
        <w:spacing w:line="280" w:lineRule="exact"/>
        <w:jc w:val="left"/>
        <w:rPr>
          <w:rFonts w:ascii="宋体" w:hAnsi="宋体" w:cs="宋体"/>
          <w:b/>
          <w:bCs/>
        </w:rPr>
      </w:pPr>
      <w:bookmarkStart w:id="182" w:name="_Toc989071"/>
      <w:r>
        <w:rPr>
          <w:rFonts w:ascii="宋体" w:hAnsi="宋体" w:cs="宋体"/>
          <w:b/>
          <w:bCs/>
        </w:rPr>
        <w:t>3、衍生金融资产</w:t>
      </w:r>
      <w:bookmarkEnd w:id="182"/>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07728F">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183" w:name="_Toc989072"/>
      <w:r>
        <w:rPr>
          <w:rFonts w:ascii="宋体" w:hAnsi="宋体" w:cs="宋体"/>
          <w:b/>
          <w:bCs/>
        </w:rPr>
        <w:t>4、应收票据</w:t>
      </w:r>
      <w:bookmarkEnd w:id="183"/>
    </w:p>
    <w:p w:rsidR="008820E4" w:rsidRDefault="005C49A8">
      <w:pPr>
        <w:keepNext/>
        <w:keepLines/>
        <w:spacing w:before="300" w:after="300" w:line="280" w:lineRule="exact"/>
        <w:outlineLvl w:val="3"/>
        <w:rPr>
          <w:rFonts w:ascii="宋体" w:eastAsia="宋体" w:hAnsi="宋体" w:cs="宋体"/>
          <w:b/>
          <w:bCs/>
          <w:szCs w:val="21"/>
        </w:rPr>
      </w:pPr>
      <w:bookmarkStart w:id="184" w:name="_Toc989073"/>
      <w:r>
        <w:rPr>
          <w:rFonts w:ascii="宋体" w:eastAsia="宋体" w:hAnsi="宋体" w:cs="宋体"/>
          <w:b/>
          <w:bCs/>
          <w:szCs w:val="21"/>
        </w:rPr>
        <w:t>（1） 应收票据分类列示</w:t>
      </w:r>
      <w:bookmarkEnd w:id="18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39,196,519.88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47,793,560.14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商业承兑票据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21,046,146.58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8,377,444.36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bl>
    <w:p w:rsidR="008820E4" w:rsidRDefault="005C49A8">
      <w:pPr>
        <w:keepNext/>
        <w:keepLines/>
        <w:spacing w:before="300" w:after="300" w:line="280" w:lineRule="exact"/>
        <w:outlineLvl w:val="3"/>
        <w:rPr>
          <w:rFonts w:ascii="宋体" w:eastAsia="宋体" w:hAnsi="宋体" w:cs="宋体"/>
          <w:b/>
          <w:bCs/>
          <w:szCs w:val="21"/>
        </w:rPr>
      </w:pPr>
      <w:bookmarkStart w:id="185" w:name="_Toc989074"/>
      <w:r>
        <w:rPr>
          <w:rFonts w:ascii="宋体" w:eastAsia="宋体" w:hAnsi="宋体" w:cs="宋体"/>
          <w:b/>
          <w:bCs/>
          <w:szCs w:val="21"/>
        </w:rPr>
        <w:t>（2） 按坏账计提方法分类披露</w:t>
      </w:r>
      <w:bookmarkEnd w:id="18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按组合计提坏账准备的应收票据</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61,350,358.39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56,611,922.62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其中：银行承兑汇票组合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39,196,519.88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63.89%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39,196,519.88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47,793,560.14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84.42%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47,793,560.14</w:t>
            </w:r>
          </w:p>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商业承兑汇票组合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22,153,838.51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21,046,146.58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8,818,362.48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8,377,444.36</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61,350,358.39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60,242,666.46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56,611,922.62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56,171,004.50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按组合计提坏账准备类别名称：商业承兑汇票组合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07728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商业承兑汇票组合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22,153,838.51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22,153,838.51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如是按照预期信用损失一般模型计提应收票据坏账准备：</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86" w:name="_Toc989075"/>
      <w:r>
        <w:rPr>
          <w:rFonts w:ascii="宋体" w:eastAsia="宋体" w:hAnsi="宋体" w:cs="宋体"/>
          <w:b/>
          <w:bCs/>
          <w:szCs w:val="21"/>
        </w:rPr>
        <w:t>（3） 本期计提、收回或转回的坏账准备情况</w:t>
      </w:r>
      <w:bookmarkEnd w:id="186"/>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1377" w:type="dxa"/>
            <w:tcBorders>
              <w:top w:val="single" w:sz="2"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07728F">
        <w:trPr>
          <w:trHeight w:val="240"/>
        </w:trPr>
        <w:tc>
          <w:tcPr>
            <w:tcW w:w="1377" w:type="dxa"/>
            <w:tcBorders>
              <w:top w:val="nil"/>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其中：银行承兑汇票组合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07728F">
        <w:trPr>
          <w:trHeight w:val="240"/>
        </w:trPr>
        <w:tc>
          <w:tcPr>
            <w:tcW w:w="1377" w:type="dxa"/>
            <w:tcBorders>
              <w:top w:val="nil"/>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商业承兑汇票组合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440,918.12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1,107,691.93</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其中本期坏账准备收回或转回金额重要的：</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87" w:name="_Toc989076"/>
      <w:r>
        <w:rPr>
          <w:rFonts w:ascii="宋体" w:eastAsia="宋体" w:hAnsi="宋体" w:cs="宋体"/>
          <w:b/>
          <w:bCs/>
          <w:szCs w:val="21"/>
        </w:rPr>
        <w:t>（4） 期末公司已质押的应收票据</w:t>
      </w:r>
      <w:bookmarkEnd w:id="18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期末已质</w:t>
            </w:r>
            <w:proofErr w:type="gramEnd"/>
            <w:r>
              <w:rPr>
                <w:rFonts w:ascii="宋体" w:eastAsia="宋体" w:hAnsi="宋体" w:cs="宋体"/>
                <w:sz w:val="18"/>
                <w:szCs w:val="18"/>
              </w:rPr>
              <w:t>押金额</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银行承兑票据</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r>
    </w:tbl>
    <w:p w:rsidR="008820E4" w:rsidRDefault="005C49A8">
      <w:pPr>
        <w:keepNext/>
        <w:keepLines/>
        <w:spacing w:before="300" w:after="300" w:line="280" w:lineRule="exact"/>
        <w:outlineLvl w:val="3"/>
        <w:rPr>
          <w:rFonts w:ascii="宋体" w:eastAsia="宋体" w:hAnsi="宋体" w:cs="宋体"/>
          <w:b/>
          <w:bCs/>
          <w:szCs w:val="21"/>
        </w:rPr>
      </w:pPr>
      <w:bookmarkStart w:id="188" w:name="_Toc989077"/>
      <w:r>
        <w:rPr>
          <w:rFonts w:ascii="宋体" w:eastAsia="宋体" w:hAnsi="宋体" w:cs="宋体"/>
          <w:b/>
          <w:bCs/>
          <w:szCs w:val="21"/>
        </w:rPr>
        <w:t>（5） 期末公司已背书或贴现且在资产负债表日尚未到期的应收票据</w:t>
      </w:r>
      <w:bookmarkEnd w:id="18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期末终止确认金额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期末未终止确认金额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3,156,398,538.37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商业承兑票据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11,024,885.76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3,167,423,424.13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189" w:name="_Toc989078"/>
      <w:r>
        <w:rPr>
          <w:rFonts w:ascii="宋体" w:eastAsia="宋体" w:hAnsi="宋体" w:cs="宋体"/>
          <w:b/>
          <w:bCs/>
          <w:szCs w:val="21"/>
        </w:rPr>
        <w:t>（6） 本期实际核销的应收票据情况</w:t>
      </w:r>
      <w:bookmarkEnd w:id="189"/>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应收票据核销说明：</w:t>
      </w:r>
      <w:r>
        <w:rPr>
          <w:rFonts w:hint="eastAsia"/>
          <w:sz w:val="18"/>
          <w:szCs w:val="18"/>
        </w:rPr>
        <w:t>无</w:t>
      </w:r>
    </w:p>
    <w:p w:rsidR="008820E4" w:rsidRDefault="005C49A8">
      <w:pPr>
        <w:pStyle w:val="3"/>
        <w:spacing w:line="280" w:lineRule="exact"/>
        <w:jc w:val="left"/>
        <w:rPr>
          <w:rFonts w:ascii="宋体" w:hAnsi="宋体" w:cs="宋体"/>
          <w:b/>
          <w:bCs/>
        </w:rPr>
      </w:pPr>
      <w:bookmarkStart w:id="190" w:name="_Toc989079"/>
      <w:r>
        <w:rPr>
          <w:rFonts w:ascii="宋体" w:hAnsi="宋体" w:cs="宋体"/>
          <w:b/>
          <w:bCs/>
        </w:rPr>
        <w:lastRenderedPageBreak/>
        <w:t>5、应收账款</w:t>
      </w:r>
      <w:bookmarkEnd w:id="190"/>
    </w:p>
    <w:p w:rsidR="008820E4" w:rsidRDefault="005C49A8">
      <w:pPr>
        <w:keepNext/>
        <w:keepLines/>
        <w:spacing w:before="300" w:after="300" w:line="280" w:lineRule="exact"/>
        <w:outlineLvl w:val="3"/>
        <w:rPr>
          <w:rFonts w:ascii="宋体" w:eastAsia="宋体" w:hAnsi="宋体" w:cs="宋体"/>
          <w:b/>
          <w:bCs/>
          <w:szCs w:val="21"/>
        </w:rPr>
      </w:pPr>
      <w:bookmarkStart w:id="191" w:name="_Toc989080"/>
      <w:r>
        <w:rPr>
          <w:rFonts w:ascii="宋体" w:eastAsia="宋体" w:hAnsi="宋体" w:cs="宋体"/>
          <w:b/>
          <w:bCs/>
          <w:szCs w:val="21"/>
        </w:rPr>
        <w:t xml:space="preserve">（1） </w:t>
      </w:r>
      <w:proofErr w:type="gramStart"/>
      <w:r>
        <w:rPr>
          <w:rFonts w:ascii="宋体" w:eastAsia="宋体" w:hAnsi="宋体" w:cs="宋体"/>
          <w:b/>
          <w:bCs/>
          <w:szCs w:val="21"/>
        </w:rPr>
        <w:t>按账龄</w:t>
      </w:r>
      <w:proofErr w:type="gramEnd"/>
      <w:r>
        <w:rPr>
          <w:rFonts w:ascii="宋体" w:eastAsia="宋体" w:hAnsi="宋体" w:cs="宋体"/>
          <w:b/>
          <w:bCs/>
          <w:szCs w:val="21"/>
        </w:rPr>
        <w:t>披露</w:t>
      </w:r>
      <w:bookmarkEnd w:id="191"/>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1,342,340,590.40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1,400,053,367.88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140,574,865.67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139,107,251.38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1,731,462.05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1,564,988.33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8,073,819.92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7,993,448.12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4,744,511.19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4,723,517.68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214,355.73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252,653.42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3,114,953.00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3,017,277.02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1,492,720,738.04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1,548,719,055.71</w:t>
            </w:r>
          </w:p>
        </w:tc>
      </w:tr>
    </w:tbl>
    <w:p w:rsidR="008820E4" w:rsidRDefault="005C49A8">
      <w:pPr>
        <w:keepNext/>
        <w:keepLines/>
        <w:spacing w:before="300" w:after="300" w:line="280" w:lineRule="exact"/>
        <w:outlineLvl w:val="3"/>
        <w:rPr>
          <w:rFonts w:ascii="宋体" w:eastAsia="宋体" w:hAnsi="宋体" w:cs="宋体"/>
          <w:b/>
          <w:bCs/>
          <w:szCs w:val="21"/>
        </w:rPr>
      </w:pPr>
      <w:bookmarkStart w:id="192" w:name="_Toc989081"/>
      <w:r>
        <w:rPr>
          <w:rFonts w:ascii="宋体" w:eastAsia="宋体" w:hAnsi="宋体" w:cs="宋体"/>
          <w:b/>
          <w:bCs/>
          <w:szCs w:val="21"/>
        </w:rPr>
        <w:t>（2） 按坏账计提方法分类披露</w:t>
      </w:r>
      <w:bookmarkEnd w:id="19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按单项计提坏账准备的应收账款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1,490,149,879.18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99.83%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1,546,148,196.85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99.83%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88,522,120.43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07728F">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07728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1,490,149,879.18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1,546,148,196.85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88,522,120.43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1,492,720,738.04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88,464,931.11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1,404,255,806.93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1,548,719,055.71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91,092,979.29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1,457,626,076.42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按单项计提坏账准备类别名称：</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07728F">
        <w:trPr>
          <w:cantSplit/>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cantSplit/>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计提理由</w:t>
            </w:r>
          </w:p>
        </w:tc>
      </w:tr>
      <w:tr w:rsidR="008820E4" w:rsidTr="0007728F">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东莞德永佳纺织制衣有限公司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07728F">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按组合计提坏账准备类别名称：预期信用风险组合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07728F">
        <w:trPr>
          <w:trHeight w:val="240"/>
        </w:trPr>
        <w:tc>
          <w:tcPr>
            <w:tcW w:w="2410"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1,342,340,590.40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67,117,029.52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140,574,865.67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14,057,486.57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1,731,462.05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346,292.41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2,173,652.33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1,086,826.17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w:t>
            </w:r>
          </w:p>
        </w:tc>
      </w:tr>
      <w:tr w:rsidR="008820E4" w:rsidTr="0007728F">
        <w:trPr>
          <w:trHeight w:val="240"/>
        </w:trPr>
        <w:tc>
          <w:tcPr>
            <w:tcW w:w="2410"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214,355.73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171,484.58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w:t>
            </w:r>
          </w:p>
        </w:tc>
      </w:tr>
      <w:tr w:rsidR="008820E4" w:rsidTr="0007728F">
        <w:trPr>
          <w:trHeight w:val="240"/>
        </w:trPr>
        <w:tc>
          <w:tcPr>
            <w:tcW w:w="2410"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3,114,953.00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3,114,953.00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1,490,149,879.18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193" w:name="_Toc989082"/>
      <w:r>
        <w:rPr>
          <w:rFonts w:ascii="宋体" w:eastAsia="宋体" w:hAnsi="宋体" w:cs="宋体"/>
          <w:b/>
          <w:bCs/>
          <w:szCs w:val="21"/>
        </w:rPr>
        <w:t>（3） 本期计提、收回或转回的坏账准备情况</w:t>
      </w:r>
      <w:bookmarkEnd w:id="19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07728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CF103B">
        <w:trPr>
          <w:trHeight w:val="240"/>
        </w:trPr>
        <w:tc>
          <w:tcPr>
            <w:tcW w:w="1377"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单项计提坏账准备的应收账款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2,570,858.86</w:t>
            </w:r>
          </w:p>
        </w:tc>
      </w:tr>
      <w:tr w:rsidR="008820E4" w:rsidTr="00CF103B">
        <w:trPr>
          <w:trHeight w:val="240"/>
        </w:trPr>
        <w:tc>
          <w:tcPr>
            <w:tcW w:w="1377"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按组合计提坏账准备的应收账款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1377" w:type="dxa"/>
            <w:tcBorders>
              <w:top w:val="single" w:sz="8"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88,522,120.43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2,216,167.59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-411,880.59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85,894,072.25</w:t>
            </w:r>
          </w:p>
        </w:tc>
      </w:tr>
      <w:tr w:rsidR="008820E4" w:rsidTr="0007728F">
        <w:trPr>
          <w:trHeight w:val="240"/>
        </w:trPr>
        <w:tc>
          <w:tcPr>
            <w:tcW w:w="1377" w:type="dxa"/>
            <w:tcBorders>
              <w:top w:val="nil"/>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91,092,979.29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2,216,167.59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-411,880.59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88,464,931.11</w:t>
            </w:r>
          </w:p>
        </w:tc>
      </w:tr>
    </w:tbl>
    <w:p w:rsidR="005C49A8" w:rsidRPr="0007728F" w:rsidRDefault="005C49A8" w:rsidP="0007728F">
      <w:pPr>
        <w:spacing w:before="100" w:after="100" w:line="240" w:lineRule="exact"/>
      </w:pPr>
      <w:r>
        <w:rPr>
          <w:rFonts w:ascii="宋体" w:eastAsia="宋体" w:hAnsi="宋体" w:cs="宋体"/>
          <w:sz w:val="18"/>
          <w:szCs w:val="18"/>
        </w:rPr>
        <w:t>其中本期坏账准备收回或转回金额重要的：</w:t>
      </w:r>
      <w:r w:rsidR="0007728F">
        <w:t xml:space="preserve"> </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94" w:name="_Toc989083"/>
      <w:r>
        <w:rPr>
          <w:rFonts w:ascii="宋体" w:eastAsia="宋体" w:hAnsi="宋体" w:cs="宋体"/>
          <w:b/>
          <w:bCs/>
          <w:szCs w:val="21"/>
        </w:rPr>
        <w:t>（4） 本期实际核销的应收账款情况</w:t>
      </w:r>
      <w:bookmarkEnd w:id="194"/>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应收账款核销说明：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195" w:name="_Toc989084"/>
      <w:r>
        <w:rPr>
          <w:rFonts w:ascii="宋体" w:eastAsia="宋体" w:hAnsi="宋体" w:cs="宋体"/>
          <w:b/>
          <w:bCs/>
          <w:szCs w:val="21"/>
        </w:rPr>
        <w:t>（5） 按欠款方归集的期末余额前五名的应收账款和合同资产情况</w:t>
      </w:r>
      <w:bookmarkEnd w:id="19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07728F" w:rsidRDefault="0007728F">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07728F">
        <w:trPr>
          <w:cantSplit/>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应收账款和合同资产期末余额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占应收账款和合同资产期末余额合计数的比例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应收账款坏账准备和合同资产减值准备期末余额</w:t>
            </w:r>
          </w:p>
        </w:tc>
      </w:tr>
      <w:tr w:rsidR="008820E4" w:rsidTr="0007728F">
        <w:trPr>
          <w:cantSplit/>
          <w:trHeight w:val="240"/>
        </w:trPr>
        <w:tc>
          <w:tcPr>
            <w:tcW w:w="1606"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363,897,083.39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363,897,083.39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18,194,854.17</w:t>
            </w:r>
          </w:p>
        </w:tc>
      </w:tr>
      <w:tr w:rsidR="008820E4" w:rsidTr="0007728F">
        <w:trPr>
          <w:cantSplit/>
          <w:trHeight w:val="240"/>
        </w:trPr>
        <w:tc>
          <w:tcPr>
            <w:tcW w:w="1606" w:type="dxa"/>
            <w:tcBorders>
              <w:top w:val="single" w:sz="8"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189,743,700.00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189,743,700.00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9,487,185.00</w:t>
            </w:r>
          </w:p>
        </w:tc>
      </w:tr>
      <w:tr w:rsidR="008820E4" w:rsidTr="0007728F">
        <w:trPr>
          <w:cantSplit/>
          <w:trHeight w:val="240"/>
        </w:trPr>
        <w:tc>
          <w:tcPr>
            <w:tcW w:w="1606"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155,992,228.69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155,992,228.69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7,799,611.43</w:t>
            </w:r>
          </w:p>
        </w:tc>
      </w:tr>
      <w:tr w:rsidR="008820E4" w:rsidTr="0007728F">
        <w:trPr>
          <w:cantSplit/>
          <w:trHeight w:val="240"/>
        </w:trPr>
        <w:tc>
          <w:tcPr>
            <w:tcW w:w="1606"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153,640,377.18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153,640,377.18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7,682,018.86</w:t>
            </w:r>
          </w:p>
        </w:tc>
      </w:tr>
      <w:tr w:rsidR="008820E4" w:rsidTr="0007728F">
        <w:trPr>
          <w:cantSplit/>
          <w:trHeight w:val="240"/>
        </w:trPr>
        <w:tc>
          <w:tcPr>
            <w:tcW w:w="1606"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141,350,502.46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141,350,502.46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7,067,525.12</w:t>
            </w:r>
          </w:p>
        </w:tc>
      </w:tr>
      <w:tr w:rsidR="008820E4" w:rsidTr="0007728F">
        <w:trPr>
          <w:cantSplit/>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1,004,623,891.72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1,004,623,891.72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67.30%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50,231,194.58</w:t>
            </w:r>
          </w:p>
        </w:tc>
      </w:tr>
    </w:tbl>
    <w:p w:rsidR="008820E4" w:rsidRDefault="005C49A8">
      <w:pPr>
        <w:pStyle w:val="3"/>
        <w:spacing w:line="280" w:lineRule="exact"/>
        <w:jc w:val="left"/>
        <w:rPr>
          <w:rFonts w:ascii="宋体" w:hAnsi="宋体" w:cs="宋体"/>
          <w:b/>
          <w:bCs/>
        </w:rPr>
      </w:pPr>
      <w:bookmarkStart w:id="196" w:name="_Toc989085"/>
      <w:r>
        <w:rPr>
          <w:rFonts w:ascii="宋体" w:hAnsi="宋体" w:cs="宋体"/>
          <w:b/>
          <w:bCs/>
        </w:rPr>
        <w:t>6、合同资产</w:t>
      </w:r>
      <w:bookmarkEnd w:id="19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07728F">
        <w:rPr>
          <w:rFonts w:ascii="宋体" w:eastAsia="宋体" w:hAnsi="宋体" w:cs="宋体"/>
          <w:sz w:val="18"/>
          <w:szCs w:val="18"/>
        </w:rPr>
        <w:t>无。</w:t>
      </w:r>
    </w:p>
    <w:p w:rsidR="008820E4" w:rsidRDefault="005C49A8">
      <w:pPr>
        <w:pStyle w:val="3"/>
        <w:spacing w:line="280" w:lineRule="exact"/>
        <w:jc w:val="left"/>
        <w:rPr>
          <w:rFonts w:ascii="宋体" w:hAnsi="宋体" w:cs="宋体"/>
          <w:b/>
          <w:bCs/>
        </w:rPr>
      </w:pPr>
      <w:bookmarkStart w:id="197" w:name="_Toc989091"/>
      <w:r>
        <w:rPr>
          <w:rFonts w:ascii="宋体" w:hAnsi="宋体" w:cs="宋体"/>
          <w:b/>
          <w:bCs/>
        </w:rPr>
        <w:t>7、应收款项融资</w:t>
      </w:r>
      <w:bookmarkEnd w:id="197"/>
    </w:p>
    <w:p w:rsidR="005C49A8" w:rsidRPr="0007728F" w:rsidRDefault="005C49A8" w:rsidP="0007728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198" w:name="_Toc989100"/>
      <w:r>
        <w:rPr>
          <w:rFonts w:ascii="宋体" w:hAnsi="宋体" w:cs="宋体"/>
          <w:b/>
          <w:bCs/>
        </w:rPr>
        <w:t>8、其他应收款</w:t>
      </w:r>
      <w:bookmarkEnd w:id="19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bl>
    <w:p w:rsidR="008820E4" w:rsidRDefault="005C49A8">
      <w:pPr>
        <w:keepNext/>
        <w:keepLines/>
        <w:spacing w:before="300" w:after="300" w:line="280" w:lineRule="exact"/>
        <w:outlineLvl w:val="3"/>
        <w:rPr>
          <w:rFonts w:ascii="宋体" w:eastAsia="宋体" w:hAnsi="宋体" w:cs="宋体"/>
          <w:b/>
          <w:bCs/>
          <w:szCs w:val="21"/>
        </w:rPr>
      </w:pPr>
      <w:bookmarkStart w:id="199" w:name="_Toc989101"/>
      <w:r>
        <w:rPr>
          <w:rFonts w:ascii="宋体" w:eastAsia="宋体" w:hAnsi="宋体" w:cs="宋体"/>
          <w:b/>
          <w:bCs/>
          <w:szCs w:val="21"/>
        </w:rPr>
        <w:t>（1） 应收利息</w:t>
      </w:r>
      <w:bookmarkEnd w:id="199"/>
    </w:p>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00" w:name="_Toc989107"/>
      <w:r>
        <w:rPr>
          <w:rFonts w:ascii="宋体" w:eastAsia="宋体" w:hAnsi="宋体" w:cs="宋体"/>
          <w:b/>
          <w:bCs/>
          <w:szCs w:val="21"/>
        </w:rPr>
        <w:t>（2） 应收股利</w:t>
      </w:r>
      <w:bookmarkEnd w:id="200"/>
    </w:p>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01" w:name="_Toc989113"/>
      <w:r>
        <w:rPr>
          <w:rFonts w:ascii="宋体" w:eastAsia="宋体" w:hAnsi="宋体" w:cs="宋体"/>
          <w:b/>
          <w:bCs/>
          <w:szCs w:val="21"/>
        </w:rPr>
        <w:t>（3） 其他应收款</w:t>
      </w:r>
      <w:bookmarkEnd w:id="201"/>
    </w:p>
    <w:p w:rsidR="008820E4" w:rsidRDefault="005C49A8">
      <w:pPr>
        <w:keepNext/>
        <w:keepLines/>
        <w:spacing w:before="300" w:after="300" w:line="280" w:lineRule="exact"/>
        <w:outlineLvl w:val="4"/>
        <w:rPr>
          <w:rFonts w:ascii="宋体" w:eastAsia="宋体" w:hAnsi="宋体" w:cs="宋体"/>
          <w:b/>
          <w:bCs/>
          <w:sz w:val="18"/>
          <w:szCs w:val="18"/>
        </w:rPr>
      </w:pPr>
      <w:bookmarkStart w:id="202" w:name="_Toc989114"/>
      <w:r>
        <w:rPr>
          <w:rFonts w:ascii="宋体" w:eastAsia="宋体" w:hAnsi="宋体" w:cs="宋体"/>
          <w:b/>
          <w:bCs/>
          <w:sz w:val="18"/>
          <w:szCs w:val="18"/>
        </w:rPr>
        <w:t>1） 其他应收款按款项性质分类情况</w:t>
      </w:r>
      <w:bookmarkEnd w:id="20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24,276,541.73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23,380,253.38</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13,358,944.67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14,041,045.16</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押金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696,253.54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1,757,631.27</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备用金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90,085.47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55,210.49</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员工借款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1,321,259.18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1,702,097.93</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113,829,127.76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151,241,364.94</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应收出口退税款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827,250.09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788,619.95</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代付款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6,562,354.33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11,905,956.67</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其他单位往来款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39,434,754.30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62,529,912.20</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固定资产转让款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67,819,479.00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股权转让款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24,070,000.00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30,070,000.00</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16,861,306.87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19,890,780.15</w:t>
            </w:r>
          </w:p>
        </w:tc>
      </w:tr>
      <w:tr w:rsidR="008820E4" w:rsidTr="00F552EF">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-85,544,802.25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-141,916,472.95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203" w:name="_Toc989115"/>
      <w:r>
        <w:rPr>
          <w:rFonts w:ascii="宋体" w:eastAsia="宋体" w:hAnsi="宋体" w:cs="宋体"/>
          <w:b/>
          <w:bCs/>
          <w:sz w:val="18"/>
          <w:szCs w:val="18"/>
        </w:rPr>
        <w:lastRenderedPageBreak/>
        <w:t xml:space="preserve">2） </w:t>
      </w:r>
      <w:proofErr w:type="gramStart"/>
      <w:r>
        <w:rPr>
          <w:rFonts w:ascii="宋体" w:eastAsia="宋体" w:hAnsi="宋体" w:cs="宋体"/>
          <w:b/>
          <w:bCs/>
          <w:sz w:val="18"/>
          <w:szCs w:val="18"/>
        </w:rPr>
        <w:t>按账龄</w:t>
      </w:r>
      <w:proofErr w:type="gramEnd"/>
      <w:r>
        <w:rPr>
          <w:rFonts w:ascii="宋体" w:eastAsia="宋体" w:hAnsi="宋体" w:cs="宋体"/>
          <w:b/>
          <w:bCs/>
          <w:sz w:val="18"/>
          <w:szCs w:val="18"/>
        </w:rPr>
        <w:t>披露</w:t>
      </w:r>
      <w:bookmarkEnd w:id="203"/>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175,702,282.70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111,357,145.75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40,615,757.04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48,769,192.97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11,874,967.93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36,553,216.50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80,954,349.27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120,683,316.92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11,705,019.28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11,453,643.13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12,014,603.60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12,240,258.51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before="40" w:after="40" w:line="0" w:lineRule="atLeast"/>
              <w:rPr>
                <w:rFonts w:ascii="宋体" w:eastAsia="宋体" w:hAnsi="宋体" w:cs="宋体"/>
                <w:sz w:val="18"/>
                <w:szCs w:val="18"/>
              </w:rPr>
            </w:pPr>
            <w:r>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57,234,726.39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96,989,415.28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309,147,356.94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317,362,872.14</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204" w:name="_Toc989116"/>
      <w:r>
        <w:rPr>
          <w:rFonts w:ascii="宋体" w:eastAsia="宋体" w:hAnsi="宋体" w:cs="宋体"/>
          <w:b/>
          <w:bCs/>
          <w:sz w:val="18"/>
          <w:szCs w:val="18"/>
        </w:rPr>
        <w:t>3） 按坏账计提方法分类披露</w:t>
      </w:r>
      <w:bookmarkEnd w:id="20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按单项计提坏账准备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282,450,771.20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91.36%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58,848,216.51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291,160,265.41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115,713,866.22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39.74%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r w:rsidR="008820E4">
        <w:trPr>
          <w:trHeight w:val="240"/>
        </w:trPr>
        <w:tc>
          <w:tcPr>
            <w:tcW w:w="9639" w:type="dxa"/>
            <w:gridSpan w:val="11"/>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r>
      <w:tr w:rsidR="008820E4" w:rsidTr="00F552E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148,724,393.35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52.65%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24,644,644.45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124,079,748.90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118,060,280.52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32,733,760.29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85,326,520.23</w:t>
            </w:r>
          </w:p>
        </w:tc>
      </w:tr>
      <w:tr w:rsidR="008820E4" w:rsidTr="00F552E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应收财政款组合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113,829,127.76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40.30%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34,203,572.06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79,625,555.70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151,241,364.94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51.94%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82,980,105.93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54.87%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68,261,259.01</w:t>
            </w:r>
          </w:p>
        </w:tc>
      </w:tr>
      <w:tr w:rsidR="008820E4" w:rsidTr="00F552EF">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19,897,250.09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19,897,250.09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21,858,619.95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21,858,619.95</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309,147,356.94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85,544,802.25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27.67%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223,602,554.69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317,362,872.14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141,916,472.95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44.72%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175,446,399.19</w:t>
            </w:r>
          </w:p>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按单项计提坏账准备类别名称：</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计提理由</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宁波欧励实业有限公司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光通天</w:t>
            </w:r>
            <w:proofErr w:type="gramStart"/>
            <w:r>
              <w:rPr>
                <w:rFonts w:ascii="宋体" w:eastAsia="宋体" w:hAnsi="宋体" w:cs="宋体"/>
                <w:sz w:val="18"/>
                <w:szCs w:val="18"/>
              </w:rPr>
              <w:t>下网络</w:t>
            </w:r>
            <w:proofErr w:type="gramEnd"/>
            <w:r>
              <w:rPr>
                <w:rFonts w:ascii="宋体" w:eastAsia="宋体" w:hAnsi="宋体" w:cs="宋体"/>
                <w:sz w:val="18"/>
                <w:szCs w:val="18"/>
              </w:rPr>
              <w:t>科技股份有限公司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青岛锦晟棉业有限公司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沙雅县雅</w:t>
            </w:r>
            <w:proofErr w:type="gramStart"/>
            <w:r>
              <w:rPr>
                <w:rFonts w:ascii="宋体" w:eastAsia="宋体" w:hAnsi="宋体" w:cs="宋体"/>
                <w:sz w:val="18"/>
                <w:szCs w:val="18"/>
              </w:rPr>
              <w:t>鑫</w:t>
            </w:r>
            <w:proofErr w:type="gramEnd"/>
            <w:r>
              <w:rPr>
                <w:rFonts w:ascii="宋体" w:eastAsia="宋体" w:hAnsi="宋体" w:cs="宋体"/>
                <w:sz w:val="18"/>
                <w:szCs w:val="18"/>
              </w:rPr>
              <w:t>农业综合开发有限公司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新疆福润盈贸易有限公司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江苏传文化传播有限公司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电子商务有限公司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10,068,674.97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10,068,674.97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按组合计提坏账准备类别名称：预期信用风险组合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100,726,805.09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5,036,340.25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17,745,757.04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1,774,575.70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9,574,550.15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1,914,910.03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8,699,860.42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4,349,930.21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2,042,661.97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1,634,129.58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9,934,758.68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9,934,758.68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148,724,393.35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24,644,644.45</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按组合计提坏账准备类别名称：应收财政款组合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74,148,227.52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3,707,411.38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2,080,932.53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416,186.51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37,599,967.71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30,079,974.17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113,829,127.76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34,203,572.06</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按组合计提坏账准备类别名称：性质组合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转让博忆股权</w:t>
            </w:r>
            <w:proofErr w:type="gramEnd"/>
            <w:r>
              <w:rPr>
                <w:rFonts w:ascii="宋体" w:eastAsia="宋体" w:hAnsi="宋体" w:cs="宋体"/>
                <w:sz w:val="18"/>
                <w:szCs w:val="18"/>
              </w:rPr>
              <w:t>款（说明1）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19,070,000.00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出口退税</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827,250.09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19,897,250.09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p>
    <w:p w:rsidR="005C49A8" w:rsidRDefault="005C49A8" w:rsidP="00F552EF">
      <w:pPr>
        <w:pStyle w:val="a3"/>
        <w:ind w:firstLineChars="200" w:firstLine="360"/>
        <w:divId w:val="526795570"/>
        <w:rPr>
          <w:sz w:val="18"/>
          <w:szCs w:val="18"/>
        </w:rPr>
      </w:pPr>
      <w:r>
        <w:rPr>
          <w:rFonts w:hint="eastAsia"/>
          <w:sz w:val="18"/>
          <w:szCs w:val="18"/>
        </w:rPr>
        <w:t>说明1：2023年10月24日，子公司浙江阿大互联科技有限公司与许栩光、张晚霞签订股权转让协议，浙江阿大互联科技有限公司以4,578.60万元将持有的浙江博忆纺织科技有限公司51.002%股权转让给许栩光、张晚霞，约定许栩光、张晚霞分两期支付，首期2,290万元于2023年支付，剩余2,288.60万元应于2024年-2029年的6年内支付，同时许栩光、张晚霞以其持有的房产作抵押。</w:t>
      </w:r>
    </w:p>
    <w:p w:rsidR="00EA52D0" w:rsidRDefault="005C49A8">
      <w:pPr>
        <w:spacing w:line="240" w:lineRule="exact"/>
        <w:rPr>
          <w:rFonts w:ascii="宋体" w:eastAsia="宋体" w:hAnsi="宋体" w:cs="宋体"/>
          <w:sz w:val="18"/>
          <w:szCs w:val="18"/>
        </w:rPr>
      </w:pPr>
      <w:r>
        <w:rPr>
          <w:rFonts w:ascii="宋体" w:eastAsia="宋体" w:hAnsi="宋体" w:cs="宋体"/>
          <w:sz w:val="18"/>
          <w:szCs w:val="18"/>
        </w:rPr>
        <w:lastRenderedPageBreak/>
        <w:t>按预期信用损失一般模型计提坏账准备：</w:t>
      </w:r>
    </w:p>
    <w:p w:rsidR="00EA52D0" w:rsidRDefault="005C49A8" w:rsidP="00EA52D0">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EA52D0" w:rsidRPr="00EA52D0" w:rsidTr="00EA52D0">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合计</w:t>
            </w:r>
          </w:p>
        </w:tc>
      </w:tr>
      <w:tr w:rsidR="00EA52D0" w:rsidRPr="00EA52D0" w:rsidTr="00EA52D0">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jc w:val="center"/>
              <w:rPr>
                <w:rFonts w:ascii="宋体" w:eastAsia="宋体" w:hAnsi="宋体" w:cs="宋体"/>
                <w:sz w:val="18"/>
                <w:szCs w:val="18"/>
              </w:rPr>
            </w:pPr>
            <w:r w:rsidRPr="00EA52D0">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2025年1月1日余额</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141,916,472.95</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141,916,472.95</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2025年1月1日余额在本期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——转入第三阶段</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-26,202,606.73</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26,202,606.73</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21,914,786.08</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21,914,786.08</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7,757,897.32</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7,757,897.32</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本期核销</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49,191,088.89</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21,420,807.07</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70,611,895.96</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其他变动</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83,336.50</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83,336.50</w:t>
            </w:r>
          </w:p>
        </w:tc>
      </w:tr>
      <w:tr w:rsidR="00EA52D0" w:rsidRPr="00EA52D0" w:rsidTr="00EA52D0">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A52D0" w:rsidRPr="00EA52D0" w:rsidRDefault="00EA52D0" w:rsidP="00EA52D0">
            <w:pPr>
              <w:spacing w:before="40" w:after="40" w:line="240" w:lineRule="exact"/>
              <w:rPr>
                <w:rFonts w:ascii="宋体" w:eastAsia="宋体" w:hAnsi="宋体" w:cs="宋体"/>
                <w:sz w:val="18"/>
                <w:szCs w:val="18"/>
              </w:rPr>
            </w:pPr>
            <w:r w:rsidRPr="00EA52D0">
              <w:rPr>
                <w:rFonts w:ascii="宋体" w:eastAsia="宋体" w:hAnsi="宋体" w:cs="宋体"/>
                <w:sz w:val="18"/>
                <w:szCs w:val="18"/>
              </w:rPr>
              <w:t>2025年6月30日余额</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58,848,216.51</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26,696,585.74</w:t>
            </w:r>
          </w:p>
        </w:tc>
        <w:tc>
          <w:tcPr>
            <w:tcW w:w="1928" w:type="dxa"/>
            <w:tcBorders>
              <w:top w:val="single" w:sz="2" w:space="0" w:color="auto"/>
              <w:left w:val="single" w:sz="2" w:space="0" w:color="auto"/>
              <w:bottom w:val="single" w:sz="2" w:space="0" w:color="auto"/>
              <w:right w:val="single" w:sz="2" w:space="0" w:color="auto"/>
            </w:tcBorders>
            <w:vAlign w:val="center"/>
          </w:tcPr>
          <w:p w:rsidR="00EA52D0" w:rsidRPr="00EA52D0" w:rsidRDefault="00EA52D0" w:rsidP="00EA52D0">
            <w:pPr>
              <w:spacing w:line="240" w:lineRule="exact"/>
              <w:jc w:val="right"/>
              <w:rPr>
                <w:rFonts w:ascii="宋体" w:eastAsia="宋体" w:hAnsi="宋体" w:cs="宋体"/>
                <w:sz w:val="18"/>
                <w:szCs w:val="18"/>
              </w:rPr>
            </w:pPr>
            <w:r w:rsidRPr="00EA52D0">
              <w:rPr>
                <w:rFonts w:ascii="宋体" w:eastAsia="宋体" w:hAnsi="宋体" w:cs="宋体"/>
                <w:sz w:val="18"/>
                <w:szCs w:val="18"/>
              </w:rPr>
              <w:t>85,544,802.25</w:t>
            </w:r>
          </w:p>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各阶段划分依据和坏账准备计提比例</w:t>
      </w:r>
      <w:r w:rsidR="00F552EF">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205" w:name="_Toc989117"/>
      <w:r>
        <w:rPr>
          <w:rFonts w:ascii="宋体" w:eastAsia="宋体" w:hAnsi="宋体" w:cs="宋体"/>
          <w:b/>
          <w:bCs/>
          <w:sz w:val="18"/>
          <w:szCs w:val="18"/>
        </w:rPr>
        <w:t>4） 本期计提、收回或转回的坏账准备情况</w:t>
      </w:r>
      <w:bookmarkEnd w:id="205"/>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F552EF">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转销或核销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单项计提预期信用损失的其他应收款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26,696,585.74</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按组合计提预期信用损失的其他应收款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32,733,760.29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8,172,452.34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83,336.50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24,644,644.45</w:t>
            </w:r>
          </w:p>
        </w:tc>
      </w:tr>
      <w:tr w:rsidR="008820E4" w:rsidTr="00F552EF">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应收财政款组合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82,980,105.93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414,555.02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49,191,088.89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34,203,572.06</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141,916,472.95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22,329,341.10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8,172,452.34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70,611,895.96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83,336.50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85,544,802.25</w:t>
            </w:r>
          </w:p>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其中本期坏账准备转回或收回金额重要的：</w:t>
      </w: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206" w:name="_Toc989118"/>
      <w:r>
        <w:rPr>
          <w:rFonts w:ascii="宋体" w:eastAsia="宋体" w:hAnsi="宋体" w:cs="宋体"/>
          <w:b/>
          <w:bCs/>
          <w:sz w:val="18"/>
          <w:szCs w:val="18"/>
        </w:rPr>
        <w:t>5） 本期实际核销的其他应收款情况</w:t>
      </w:r>
      <w:bookmarkEnd w:id="20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rsidTr="00F552EF">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核销金额</w:t>
            </w:r>
          </w:p>
        </w:tc>
      </w:tr>
      <w:tr w:rsidR="008820E4" w:rsidTr="00F552EF">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实际核销的其他应收款</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70,611,895.96</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其中重要的其他应收款核销情况：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其他应收</w:t>
            </w:r>
            <w:proofErr w:type="gramStart"/>
            <w:r>
              <w:rPr>
                <w:rFonts w:ascii="宋体" w:eastAsia="宋体" w:hAnsi="宋体" w:cs="宋体"/>
                <w:sz w:val="18"/>
                <w:szCs w:val="18"/>
              </w:rPr>
              <w:t>款性质</w:t>
            </w:r>
            <w:proofErr w:type="gramEnd"/>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款项是否由关联交易产生</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新疆生产建设兵团第六师财政局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贷款贴息</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17,034,739.77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确定无法收回的政府补助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新疆生产建设兵团第六师财政局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使用新疆棉补贴</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8,173,394.02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确定无法收回的政府补助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阿克苏纺织工业城（开发区）财政局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增值税返还</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4,592,600.00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确定无法收回的政府补助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增值税返还</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5,284,000.99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5年以上且提足坏账准备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使用新疆棉补贴</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7,888,494.25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5年以上且提足坏账准备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石河子市财政局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贷款贴息</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6,217,859.86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5年以上且提足坏账准备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宁波欧励实业有限公司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货款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21,420,807.07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确定无法收回</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财经中心核实批准核销</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70,611,895.96</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其他应收款核销说明：</w:t>
      </w: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207" w:name="_Toc989119"/>
      <w:r>
        <w:rPr>
          <w:rFonts w:ascii="宋体" w:eastAsia="宋体" w:hAnsi="宋体" w:cs="宋体"/>
          <w:b/>
          <w:bCs/>
          <w:sz w:val="18"/>
          <w:szCs w:val="18"/>
        </w:rPr>
        <w:t>6） 按欠款方归集的期末余额前五名的其他应收款情况</w:t>
      </w:r>
      <w:bookmarkEnd w:id="20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坏账准备期末余额</w:t>
            </w:r>
          </w:p>
        </w:tc>
      </w:tr>
      <w:tr w:rsidR="00F552EF" w:rsidTr="00F552EF">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47,342,955.45</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15.31%</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2,367,147.77</w:t>
            </w:r>
          </w:p>
        </w:tc>
      </w:tr>
      <w:tr w:rsidR="00F552EF" w:rsidTr="00F552EF">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2,080,932.53</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2-3年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0.67%</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416,186.51</w:t>
            </w:r>
          </w:p>
        </w:tc>
      </w:tr>
      <w:tr w:rsidR="00F552EF" w:rsidTr="00F552EF">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37,360,604.62</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12.09%</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29,888,483.70</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固定资产转让款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67,819,479.00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3,390,973.95</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股权转让款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19,070,000.00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2-3年</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13,612,963.00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680,648.15</w:t>
            </w:r>
          </w:p>
        </w:tc>
      </w:tr>
      <w:tr w:rsidR="00F552EF" w:rsidTr="0029457D">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1,129,444.45</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0.37%</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1,129,444.45</w:t>
            </w:r>
          </w:p>
        </w:tc>
      </w:tr>
      <w:tr w:rsidR="00F552EF" w:rsidTr="0029457D">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1,016,666.66</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0.33%</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1,016,666.66</w:t>
            </w:r>
          </w:p>
        </w:tc>
      </w:tr>
      <w:tr w:rsidR="00F552EF" w:rsidTr="0029457D">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9,700,000.00</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5年以上</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3.14%</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9,700,000.00</w:t>
            </w:r>
          </w:p>
        </w:tc>
      </w:tr>
      <w:tr w:rsidR="00F552EF" w:rsidTr="0029457D">
        <w:trPr>
          <w:trHeight w:val="240"/>
        </w:trPr>
        <w:tc>
          <w:tcPr>
            <w:tcW w:w="1606" w:type="dxa"/>
            <w:vMerge/>
            <w:tcBorders>
              <w:left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1,113,400.00</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0.36%</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1,113,400.00</w:t>
            </w:r>
          </w:p>
        </w:tc>
      </w:tr>
      <w:tr w:rsidR="00F552EF" w:rsidTr="0029457D">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F552EF" w:rsidRDefault="00F552EF">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8,955,274.97</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2.90%</w:t>
            </w:r>
          </w:p>
        </w:tc>
        <w:tc>
          <w:tcPr>
            <w:tcW w:w="1607" w:type="dxa"/>
            <w:tcBorders>
              <w:top w:val="single" w:sz="2" w:space="0" w:color="auto"/>
              <w:left w:val="single" w:sz="2" w:space="0" w:color="auto"/>
              <w:bottom w:val="single" w:sz="2" w:space="0" w:color="auto"/>
              <w:right w:val="single" w:sz="2" w:space="0" w:color="auto"/>
            </w:tcBorders>
            <w:vAlign w:val="center"/>
          </w:tcPr>
          <w:p w:rsidR="00F552EF" w:rsidRDefault="00F552EF">
            <w:pPr>
              <w:spacing w:line="0" w:lineRule="atLeast"/>
              <w:jc w:val="right"/>
              <w:rPr>
                <w:rFonts w:ascii="宋体" w:eastAsia="宋体" w:hAnsi="宋体" w:cs="宋体"/>
                <w:sz w:val="18"/>
                <w:szCs w:val="18"/>
              </w:rPr>
            </w:pPr>
            <w:r>
              <w:rPr>
                <w:rFonts w:ascii="宋体" w:eastAsia="宋体" w:hAnsi="宋体" w:cs="宋体"/>
                <w:sz w:val="18"/>
                <w:szCs w:val="18"/>
              </w:rPr>
              <w:t>8,955,274.97</w:t>
            </w:r>
          </w:p>
        </w:tc>
      </w:tr>
      <w:tr w:rsidR="008820E4" w:rsidTr="00F552EF">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209,201,720.68</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58,658,226.16</w:t>
            </w:r>
          </w:p>
        </w:tc>
      </w:tr>
    </w:tbl>
    <w:p w:rsidR="008820E4" w:rsidRDefault="005C49A8">
      <w:pPr>
        <w:keepNext/>
        <w:keepLines/>
        <w:spacing w:before="300" w:after="300" w:line="280" w:lineRule="exact"/>
        <w:outlineLvl w:val="4"/>
        <w:rPr>
          <w:rFonts w:ascii="宋体" w:eastAsia="宋体" w:hAnsi="宋体" w:cs="宋体"/>
          <w:b/>
          <w:bCs/>
          <w:szCs w:val="21"/>
        </w:rPr>
      </w:pPr>
      <w:bookmarkStart w:id="208" w:name="_Toc989120"/>
      <w:r>
        <w:rPr>
          <w:rFonts w:ascii="宋体" w:eastAsia="宋体" w:hAnsi="宋体" w:cs="宋体"/>
          <w:b/>
          <w:bCs/>
          <w:szCs w:val="21"/>
        </w:rPr>
        <w:t>7） 因资金集中管理而列报于其他应收款</w:t>
      </w:r>
      <w:bookmarkEnd w:id="208"/>
    </w:p>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09" w:name="_Toc989121"/>
      <w:r>
        <w:rPr>
          <w:rFonts w:ascii="宋体" w:hAnsi="宋体" w:cs="宋体"/>
          <w:b/>
          <w:bCs/>
        </w:rPr>
        <w:t>9、预付款项</w:t>
      </w:r>
      <w:bookmarkEnd w:id="209"/>
    </w:p>
    <w:p w:rsidR="008820E4" w:rsidRDefault="005C49A8">
      <w:pPr>
        <w:keepNext/>
        <w:keepLines/>
        <w:spacing w:before="300" w:after="300" w:line="280" w:lineRule="exact"/>
        <w:outlineLvl w:val="3"/>
        <w:rPr>
          <w:rFonts w:ascii="宋体" w:eastAsia="宋体" w:hAnsi="宋体" w:cs="宋体"/>
          <w:b/>
          <w:bCs/>
          <w:szCs w:val="21"/>
        </w:rPr>
      </w:pPr>
      <w:bookmarkStart w:id="210" w:name="_Toc989122"/>
      <w:r>
        <w:rPr>
          <w:rFonts w:ascii="宋体" w:eastAsia="宋体" w:hAnsi="宋体" w:cs="宋体"/>
          <w:b/>
          <w:bCs/>
          <w:szCs w:val="21"/>
        </w:rPr>
        <w:t>（1） 预付</w:t>
      </w:r>
      <w:proofErr w:type="gramStart"/>
      <w:r>
        <w:rPr>
          <w:rFonts w:ascii="宋体" w:eastAsia="宋体" w:hAnsi="宋体" w:cs="宋体"/>
          <w:b/>
          <w:bCs/>
          <w:szCs w:val="21"/>
        </w:rPr>
        <w:t>款项按账龄</w:t>
      </w:r>
      <w:proofErr w:type="gramEnd"/>
      <w:r>
        <w:rPr>
          <w:rFonts w:ascii="宋体" w:eastAsia="宋体" w:hAnsi="宋体" w:cs="宋体"/>
          <w:b/>
          <w:bCs/>
          <w:szCs w:val="21"/>
        </w:rPr>
        <w:t>列示</w:t>
      </w:r>
      <w:bookmarkEnd w:id="21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F552EF">
        <w:trPr>
          <w:trHeight w:val="240"/>
          <w:jc w:val="center"/>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F552EF">
        <w:trPr>
          <w:trHeight w:val="240"/>
          <w:jc w:val="center"/>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990,784,817.91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786,963,582.97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98.82%</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2,784,052.27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0.28%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6,934,112.74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0.87%</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2至3年</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426,039.64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2,193,999.96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0.28%</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615,084.94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271,483.80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0.03%</w:t>
            </w:r>
          </w:p>
        </w:tc>
      </w:tr>
      <w:tr w:rsidR="008820E4" w:rsidTr="00F552EF">
        <w:trPr>
          <w:trHeight w:val="240"/>
          <w:jc w:val="center"/>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994,609,994.76</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796,363,179.47</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账龄超过1年且金额重要的预付款项未及时结算原因的说明：</w:t>
      </w:r>
      <w:r>
        <w:rPr>
          <w:rFonts w:hint="eastAsia"/>
          <w:sz w:val="18"/>
          <w:szCs w:val="18"/>
        </w:rPr>
        <w:t>无</w:t>
      </w:r>
    </w:p>
    <w:p w:rsidR="00EA52D0" w:rsidRDefault="005C49A8">
      <w:pPr>
        <w:keepNext/>
        <w:keepLines/>
        <w:spacing w:before="300" w:after="300" w:line="280" w:lineRule="exact"/>
        <w:outlineLvl w:val="3"/>
        <w:rPr>
          <w:rFonts w:ascii="宋体" w:eastAsia="宋体" w:hAnsi="宋体" w:cs="宋体"/>
          <w:b/>
          <w:bCs/>
          <w:szCs w:val="21"/>
        </w:rPr>
      </w:pPr>
      <w:bookmarkStart w:id="211" w:name="_Toc989123"/>
      <w:r>
        <w:rPr>
          <w:rFonts w:ascii="宋体" w:eastAsia="宋体" w:hAnsi="宋体" w:cs="宋体"/>
          <w:b/>
          <w:bCs/>
          <w:szCs w:val="21"/>
        </w:rPr>
        <w:t>（2） 按预付对象归集的期末余额前五名的预付款情况</w:t>
      </w:r>
      <w:bookmarkEnd w:id="211"/>
    </w:p>
    <w:p w:rsidR="00EA52D0" w:rsidRPr="00EA52D0" w:rsidRDefault="00EA52D0" w:rsidP="00EA52D0">
      <w:pPr>
        <w:spacing w:before="100" w:after="100" w:line="240" w:lineRule="exact"/>
        <w:jc w:val="right"/>
        <w:rPr>
          <w:rFonts w:ascii="宋体" w:eastAsia="宋体" w:hAnsi="宋体" w:cs="宋体"/>
          <w:sz w:val="18"/>
          <w:szCs w:val="18"/>
        </w:rPr>
      </w:pPr>
      <w:r w:rsidRPr="00EA52D0">
        <w:rPr>
          <w:rFonts w:ascii="宋体" w:eastAsia="宋体" w:hAnsi="宋体" w:cs="宋体"/>
          <w:sz w:val="18"/>
          <w:szCs w:val="18"/>
        </w:rPr>
        <w:t>单位：元</w:t>
      </w:r>
    </w:p>
    <w:tbl>
      <w:tblPr>
        <w:tblW w:w="9599" w:type="dxa"/>
        <w:jc w:val="center"/>
        <w:tblInd w:w="509" w:type="dxa"/>
        <w:tblCellMar>
          <w:left w:w="0" w:type="dxa"/>
          <w:right w:w="0" w:type="dxa"/>
        </w:tblCellMar>
        <w:tblLook w:val="04A0" w:firstRow="1" w:lastRow="0" w:firstColumn="1" w:lastColumn="0" w:noHBand="0" w:noVBand="1"/>
      </w:tblPr>
      <w:tblGrid>
        <w:gridCol w:w="2164"/>
        <w:gridCol w:w="1972"/>
        <w:gridCol w:w="1971"/>
        <w:gridCol w:w="1972"/>
        <w:gridCol w:w="1520"/>
      </w:tblGrid>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单位名称</w:t>
            </w:r>
          </w:p>
        </w:tc>
        <w:tc>
          <w:tcPr>
            <w:tcW w:w="1972"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期末余额</w:t>
            </w:r>
          </w:p>
        </w:tc>
        <w:tc>
          <w:tcPr>
            <w:tcW w:w="1971"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占预付账款期末余额的比例(%)</w:t>
            </w:r>
          </w:p>
        </w:tc>
        <w:tc>
          <w:tcPr>
            <w:tcW w:w="1972"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账龄</w:t>
            </w:r>
          </w:p>
        </w:tc>
        <w:tc>
          <w:tcPr>
            <w:tcW w:w="1520" w:type="dxa"/>
            <w:tcBorders>
              <w:top w:val="single" w:sz="8" w:space="0" w:color="auto"/>
              <w:left w:val="nil"/>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未结算原因</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第一名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92,170,000.00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9.27</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第二名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90,000,000.00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9.05</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第三名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85,920,000.00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8.64</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第四名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74,972,100.80</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7.54</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hint="eastAsia"/>
                <w:sz w:val="18"/>
                <w:szCs w:val="18"/>
              </w:rPr>
              <w:t>第五名</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65,265,527.77</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6.56</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1年以内</w:t>
            </w:r>
          </w:p>
        </w:tc>
        <w:tc>
          <w:tcPr>
            <w:tcW w:w="1520"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合同未执行完毕</w:t>
            </w:r>
          </w:p>
        </w:tc>
      </w:tr>
      <w:tr w:rsidR="005C49A8" w:rsidTr="00F552EF">
        <w:trPr>
          <w:divId w:val="1670525227"/>
          <w:trHeight w:val="20"/>
          <w:jc w:val="center"/>
        </w:trPr>
        <w:tc>
          <w:tcPr>
            <w:tcW w:w="2164" w:type="dxa"/>
            <w:tcBorders>
              <w:top w:val="single" w:sz="8" w:space="0" w:color="auto"/>
              <w:left w:val="single" w:sz="8" w:space="0" w:color="auto"/>
              <w:bottom w:val="single" w:sz="8" w:space="0" w:color="auto"/>
              <w:right w:val="single" w:sz="8" w:space="0" w:color="auto"/>
            </w:tcBorders>
            <w:shd w:val="clear" w:color="auto" w:fill="D3D3D3"/>
            <w:vAlign w:val="center"/>
            <w:hideMark/>
          </w:tcPr>
          <w:p w:rsidR="005C49A8" w:rsidRPr="00F552EF" w:rsidRDefault="005C49A8">
            <w:pPr>
              <w:jc w:val="center"/>
              <w:rPr>
                <w:rFonts w:asciiTheme="minorEastAsia" w:hAnsiTheme="minorEastAsia" w:cs="宋体"/>
                <w:sz w:val="18"/>
                <w:szCs w:val="18"/>
              </w:rPr>
            </w:pPr>
            <w:r w:rsidRPr="00F552EF">
              <w:rPr>
                <w:rFonts w:asciiTheme="minorEastAsia" w:hAnsiTheme="minorEastAsia" w:hint="eastAsia"/>
                <w:sz w:val="18"/>
                <w:szCs w:val="18"/>
              </w:rPr>
              <w:t>合计</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408,327,628.57</w:t>
            </w:r>
          </w:p>
        </w:tc>
        <w:tc>
          <w:tcPr>
            <w:tcW w:w="1971" w:type="dxa"/>
            <w:tcBorders>
              <w:top w:val="nil"/>
              <w:left w:val="nil"/>
              <w:bottom w:val="single" w:sz="8" w:space="0" w:color="auto"/>
              <w:right w:val="single" w:sz="8" w:space="0" w:color="auto"/>
            </w:tcBorders>
            <w:vAlign w:val="center"/>
            <w:hideMark/>
          </w:tcPr>
          <w:p w:rsidR="005C49A8" w:rsidRPr="00F552EF" w:rsidRDefault="005C49A8">
            <w:pPr>
              <w:jc w:val="right"/>
              <w:rPr>
                <w:rFonts w:asciiTheme="minorEastAsia" w:hAnsiTheme="minorEastAsia" w:cs="宋体"/>
                <w:sz w:val="18"/>
                <w:szCs w:val="18"/>
              </w:rPr>
            </w:pPr>
            <w:r w:rsidRPr="00F552EF">
              <w:rPr>
                <w:rFonts w:asciiTheme="minorEastAsia" w:hAnsiTheme="minorEastAsia"/>
                <w:sz w:val="18"/>
                <w:szCs w:val="18"/>
              </w:rPr>
              <w:t>41.05</w:t>
            </w:r>
          </w:p>
        </w:tc>
        <w:tc>
          <w:tcPr>
            <w:tcW w:w="1972" w:type="dxa"/>
            <w:tcBorders>
              <w:top w:val="nil"/>
              <w:left w:val="nil"/>
              <w:bottom w:val="single" w:sz="8" w:space="0" w:color="auto"/>
              <w:right w:val="single" w:sz="8" w:space="0" w:color="auto"/>
            </w:tcBorders>
            <w:vAlign w:val="center"/>
            <w:hideMark/>
          </w:tcPr>
          <w:p w:rsidR="005C49A8" w:rsidRPr="00F552EF" w:rsidRDefault="005C49A8">
            <w:pPr>
              <w:jc w:val="both"/>
              <w:rPr>
                <w:rFonts w:asciiTheme="minorEastAsia" w:hAnsiTheme="minorEastAsia" w:cs="宋体"/>
                <w:sz w:val="18"/>
                <w:szCs w:val="18"/>
              </w:rPr>
            </w:pPr>
            <w:r w:rsidRPr="00F552EF">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noWrap/>
            <w:vAlign w:val="center"/>
            <w:hideMark/>
          </w:tcPr>
          <w:p w:rsidR="005C49A8" w:rsidRPr="00F552EF" w:rsidRDefault="005C49A8">
            <w:pPr>
              <w:jc w:val="both"/>
              <w:rPr>
                <w:rFonts w:asciiTheme="minorEastAsia" w:hAnsiTheme="minorEastAsia" w:cs="宋体"/>
                <w:sz w:val="22"/>
              </w:rPr>
            </w:pPr>
            <w:r w:rsidRPr="00F552EF">
              <w:rPr>
                <w:rFonts w:asciiTheme="minorEastAsia" w:hAnsiTheme="minorEastAsia"/>
                <w:sz w:val="22"/>
              </w:rPr>
              <w:t xml:space="preserve">　</w:t>
            </w:r>
          </w:p>
        </w:tc>
      </w:tr>
    </w:tbl>
    <w:p w:rsidR="005C49A8" w:rsidRPr="00F552EF" w:rsidRDefault="005C49A8" w:rsidP="00F552EF">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12" w:name="_Toc989124"/>
      <w:r>
        <w:rPr>
          <w:rFonts w:ascii="宋体" w:hAnsi="宋体" w:cs="宋体"/>
          <w:b/>
          <w:bCs/>
        </w:rPr>
        <w:t>10、存货</w:t>
      </w:r>
      <w:bookmarkEnd w:id="212"/>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公司是否需要遵守房地产行业的披露要求</w:t>
      </w:r>
    </w:p>
    <w:p w:rsidR="008820E4" w:rsidRDefault="005C49A8">
      <w:pPr>
        <w:spacing w:line="240" w:lineRule="exact"/>
        <w:rPr>
          <w:rFonts w:ascii="宋体" w:eastAsia="宋体" w:hAnsi="宋体" w:cs="宋体"/>
          <w:sz w:val="18"/>
          <w:szCs w:val="18"/>
        </w:rPr>
      </w:pPr>
      <w:proofErr w:type="gramStart"/>
      <w:r>
        <w:rPr>
          <w:rFonts w:ascii="宋体" w:eastAsia="宋体" w:hAnsi="宋体" w:cs="宋体"/>
          <w:sz w:val="18"/>
          <w:szCs w:val="18"/>
        </w:rPr>
        <w:t>否</w:t>
      </w:r>
      <w:proofErr w:type="gramEnd"/>
    </w:p>
    <w:p w:rsidR="008820E4" w:rsidRDefault="005C49A8">
      <w:pPr>
        <w:keepNext/>
        <w:keepLines/>
        <w:spacing w:before="300" w:after="300" w:line="280" w:lineRule="exact"/>
        <w:outlineLvl w:val="3"/>
        <w:rPr>
          <w:rFonts w:ascii="宋体" w:eastAsia="宋体" w:hAnsi="宋体" w:cs="宋体"/>
          <w:b/>
          <w:bCs/>
          <w:szCs w:val="21"/>
        </w:rPr>
      </w:pPr>
      <w:bookmarkStart w:id="213" w:name="_Toc989125"/>
      <w:r>
        <w:rPr>
          <w:rFonts w:ascii="宋体" w:eastAsia="宋体" w:hAnsi="宋体" w:cs="宋体"/>
          <w:b/>
          <w:bCs/>
          <w:szCs w:val="21"/>
        </w:rPr>
        <w:t>（1） 存货分类</w:t>
      </w:r>
      <w:bookmarkEnd w:id="21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1,901,930,252.66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4,196,638.88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1,897,733,613.78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2,705,612,661.75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5,738,451.24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2,699,874,210.51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在产品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205,376,669.92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4,547,032.76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200,829,637.16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146,343,834.95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4,868,046.91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141,475,788.04</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1,581,541,058.84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72,046,307.14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1,509,494,751.70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1,488,174,468.49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75,380,632.68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1,412,793,835.81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周转材料</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17,299,797.40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17,299,797.40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6,686,765.80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6,686,765.80</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发出商品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99,729,909.21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99,729,909.21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305,675,692.91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305,675,692.91</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委托加工物资</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456,885.19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456,885.19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430,190.78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430,190.78</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自制半成品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182,209,081.90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182,209,081.90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195,038,238.31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195,038,238.31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3,988,543,655.12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80,789,978.78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3,907,753,676.34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4,847,961,852.99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85,987,130.83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4,761,974,722.16</w:t>
            </w:r>
          </w:p>
        </w:tc>
      </w:tr>
    </w:tbl>
    <w:p w:rsidR="008820E4" w:rsidRDefault="005C49A8">
      <w:pPr>
        <w:keepNext/>
        <w:keepLines/>
        <w:spacing w:before="300" w:after="300" w:line="280" w:lineRule="exact"/>
        <w:outlineLvl w:val="3"/>
        <w:rPr>
          <w:rFonts w:ascii="宋体" w:eastAsia="宋体" w:hAnsi="宋体" w:cs="宋体"/>
          <w:b/>
          <w:bCs/>
          <w:szCs w:val="21"/>
        </w:rPr>
      </w:pPr>
      <w:bookmarkStart w:id="214" w:name="_Toc989126"/>
      <w:r>
        <w:rPr>
          <w:rFonts w:ascii="宋体" w:eastAsia="宋体" w:hAnsi="宋体" w:cs="宋体"/>
          <w:b/>
          <w:bCs/>
          <w:szCs w:val="21"/>
        </w:rPr>
        <w:t>（2） 确认为存货的数据资源</w:t>
      </w:r>
      <w:bookmarkEnd w:id="214"/>
    </w:p>
    <w:p w:rsidR="005C49A8" w:rsidRDefault="005C49A8">
      <w:pPr>
        <w:pStyle w:val="a3"/>
        <w:divId w:val="667515715"/>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15" w:name="_Toc989127"/>
      <w:r>
        <w:rPr>
          <w:rFonts w:ascii="宋体" w:eastAsia="宋体" w:hAnsi="宋体" w:cs="宋体"/>
          <w:b/>
          <w:bCs/>
          <w:szCs w:val="21"/>
        </w:rPr>
        <w:lastRenderedPageBreak/>
        <w:t>（3） 存货跌价准备和合同履约成本减值准备</w:t>
      </w:r>
      <w:bookmarkEnd w:id="21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29457D">
        <w:trPr>
          <w:cantSplit/>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本期增加金额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29457D">
        <w:trPr>
          <w:cantSplit/>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转回或转销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5,738,451.24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1,541,812.36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4,196,638.88</w:t>
            </w:r>
          </w:p>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在产品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4,868,046.91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321,014.15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4,547,032.76</w:t>
            </w:r>
          </w:p>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75,380,632.68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2,002,471.62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5,336,797.16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72,046,307.14</w:t>
            </w:r>
          </w:p>
        </w:tc>
      </w:tr>
      <w:tr w:rsidR="008820E4" w:rsidTr="0029457D">
        <w:trPr>
          <w:cantSplit/>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85,987,130.83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2,002,471.62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7,199,623.67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80,789,978.78</w:t>
            </w:r>
          </w:p>
        </w:tc>
      </w:tr>
    </w:tbl>
    <w:p w:rsidR="008820E4" w:rsidRDefault="005C49A8">
      <w:pPr>
        <w:keepNext/>
        <w:keepLines/>
        <w:spacing w:before="300" w:after="300" w:line="280" w:lineRule="exact"/>
        <w:outlineLvl w:val="3"/>
        <w:rPr>
          <w:rFonts w:ascii="宋体" w:eastAsia="宋体" w:hAnsi="宋体" w:cs="宋体"/>
          <w:b/>
          <w:bCs/>
          <w:szCs w:val="21"/>
        </w:rPr>
      </w:pPr>
      <w:bookmarkStart w:id="216" w:name="_Toc989128"/>
      <w:r>
        <w:rPr>
          <w:rFonts w:ascii="宋体" w:eastAsia="宋体" w:hAnsi="宋体" w:cs="宋体"/>
          <w:b/>
          <w:bCs/>
          <w:szCs w:val="21"/>
        </w:rPr>
        <w:t>（4） 存货期末余额含有借款费用资本</w:t>
      </w:r>
      <w:proofErr w:type="gramStart"/>
      <w:r>
        <w:rPr>
          <w:rFonts w:ascii="宋体" w:eastAsia="宋体" w:hAnsi="宋体" w:cs="宋体"/>
          <w:b/>
          <w:bCs/>
          <w:szCs w:val="21"/>
        </w:rPr>
        <w:t>化金额</w:t>
      </w:r>
      <w:proofErr w:type="gramEnd"/>
      <w:r>
        <w:rPr>
          <w:rFonts w:ascii="宋体" w:eastAsia="宋体" w:hAnsi="宋体" w:cs="宋体"/>
          <w:b/>
          <w:bCs/>
          <w:szCs w:val="21"/>
        </w:rPr>
        <w:t>的说明</w:t>
      </w:r>
      <w:bookmarkEnd w:id="216"/>
    </w:p>
    <w:p w:rsidR="005C49A8" w:rsidRDefault="005C49A8">
      <w:pPr>
        <w:pStyle w:val="a3"/>
        <w:divId w:val="168324334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17" w:name="_Toc989129"/>
      <w:r>
        <w:rPr>
          <w:rFonts w:ascii="宋体" w:eastAsia="宋体" w:hAnsi="宋体" w:cs="宋体"/>
          <w:b/>
          <w:bCs/>
          <w:szCs w:val="21"/>
        </w:rPr>
        <w:t>（5） 合同履约成本本期摊销金额的说明</w:t>
      </w:r>
      <w:bookmarkEnd w:id="217"/>
    </w:p>
    <w:p w:rsidR="005C49A8" w:rsidRDefault="005C49A8">
      <w:pPr>
        <w:pStyle w:val="a3"/>
        <w:divId w:val="2119988823"/>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18" w:name="_Toc989130"/>
      <w:r>
        <w:rPr>
          <w:rFonts w:ascii="宋体" w:hAnsi="宋体" w:cs="宋体"/>
          <w:b/>
          <w:bCs/>
        </w:rPr>
        <w:t>11、持有待售资产</w:t>
      </w:r>
      <w:bookmarkEnd w:id="218"/>
    </w:p>
    <w:p w:rsidR="005C49A8" w:rsidRDefault="005C49A8">
      <w:pPr>
        <w:pStyle w:val="a3"/>
        <w:divId w:val="10944526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19" w:name="_Toc989131"/>
      <w:r>
        <w:rPr>
          <w:rFonts w:ascii="宋体" w:hAnsi="宋体" w:cs="宋体"/>
          <w:b/>
          <w:bCs/>
        </w:rPr>
        <w:t>12、一年内到期的非流动资产</w:t>
      </w:r>
      <w:bookmarkEnd w:id="21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一年内到期的长期应收款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r>
    </w:tbl>
    <w:p w:rsidR="008820E4" w:rsidRDefault="005C49A8">
      <w:pPr>
        <w:keepNext/>
        <w:keepLines/>
        <w:spacing w:before="300" w:after="300" w:line="280" w:lineRule="exact"/>
        <w:outlineLvl w:val="3"/>
        <w:rPr>
          <w:rFonts w:ascii="宋体" w:eastAsia="宋体" w:hAnsi="宋体" w:cs="宋体"/>
          <w:b/>
          <w:bCs/>
          <w:szCs w:val="21"/>
        </w:rPr>
      </w:pPr>
      <w:bookmarkStart w:id="220" w:name="_Toc989132"/>
      <w:r>
        <w:rPr>
          <w:rFonts w:ascii="宋体" w:eastAsia="宋体" w:hAnsi="宋体" w:cs="宋体"/>
          <w:b/>
          <w:bCs/>
          <w:szCs w:val="21"/>
        </w:rPr>
        <w:t>（1） 一年内到期的债权投资</w:t>
      </w:r>
      <w:bookmarkEnd w:id="22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221" w:name="_Toc989133"/>
      <w:r>
        <w:rPr>
          <w:rFonts w:ascii="宋体" w:eastAsia="宋体" w:hAnsi="宋体" w:cs="宋体"/>
          <w:b/>
          <w:bCs/>
          <w:szCs w:val="21"/>
        </w:rPr>
        <w:t>（2） 一年内到期的其他债权投资</w:t>
      </w:r>
      <w:bookmarkEnd w:id="221"/>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22" w:name="_Toc989134"/>
      <w:r>
        <w:rPr>
          <w:rFonts w:ascii="宋体" w:hAnsi="宋体" w:cs="宋体"/>
          <w:b/>
          <w:bCs/>
        </w:rPr>
        <w:t>13、其他流动资产</w:t>
      </w:r>
      <w:bookmarkEnd w:id="22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增值税留抵扣额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265,005,791.06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185,034,897.34</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以</w:t>
            </w:r>
            <w:proofErr w:type="gramStart"/>
            <w:r>
              <w:rPr>
                <w:rFonts w:ascii="宋体" w:eastAsia="宋体" w:hAnsi="宋体" w:cs="宋体"/>
                <w:sz w:val="18"/>
                <w:szCs w:val="18"/>
              </w:rPr>
              <w:t>抵销</w:t>
            </w:r>
            <w:proofErr w:type="gramEnd"/>
            <w:r>
              <w:rPr>
                <w:rFonts w:ascii="宋体" w:eastAsia="宋体" w:hAnsi="宋体" w:cs="宋体"/>
                <w:sz w:val="18"/>
                <w:szCs w:val="18"/>
              </w:rPr>
              <w:t>后净额列示的所得税预缴税额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2,488,716.24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8,491,460.74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267,494,507.30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193,526,358.08</w:t>
            </w:r>
          </w:p>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23" w:name="_Toc989135"/>
      <w:r>
        <w:rPr>
          <w:rFonts w:ascii="宋体" w:hAnsi="宋体" w:cs="宋体"/>
          <w:b/>
          <w:bCs/>
        </w:rPr>
        <w:lastRenderedPageBreak/>
        <w:t>14、债权投资</w:t>
      </w:r>
      <w:bookmarkEnd w:id="223"/>
    </w:p>
    <w:p w:rsidR="005C49A8" w:rsidRDefault="005C49A8">
      <w:pPr>
        <w:pStyle w:val="a3"/>
        <w:divId w:val="128472999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24" w:name="_Toc989140"/>
      <w:r>
        <w:rPr>
          <w:rFonts w:ascii="宋体" w:hAnsi="宋体" w:cs="宋体"/>
          <w:b/>
          <w:bCs/>
        </w:rPr>
        <w:t>15、其他债权投资</w:t>
      </w:r>
      <w:bookmarkEnd w:id="224"/>
    </w:p>
    <w:p w:rsidR="005C49A8" w:rsidRDefault="005C49A8">
      <w:pPr>
        <w:pStyle w:val="a3"/>
        <w:divId w:val="16359379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25" w:name="_Toc989145"/>
      <w:r>
        <w:rPr>
          <w:rFonts w:ascii="宋体" w:hAnsi="宋体" w:cs="宋体"/>
          <w:b/>
          <w:bCs/>
        </w:rPr>
        <w:t>16、其他权益工具投资</w:t>
      </w:r>
      <w:bookmarkEnd w:id="22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rsidTr="0029457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本期计入其他综合收益的利得</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本期计入其他综合收益的损失</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本期末累计计入其他综合收益的利得</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本期末累计计入其他综合收益的损失</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本期确认的股利收入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指定为以公允价值计量且其变动计入其他综合收益的原因</w:t>
            </w:r>
          </w:p>
        </w:tc>
      </w:tr>
      <w:tr w:rsidR="008820E4" w:rsidTr="00CF103B">
        <w:trPr>
          <w:trHeight w:val="240"/>
        </w:trPr>
        <w:tc>
          <w:tcPr>
            <w:tcW w:w="107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浙江八达股份有限公司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石河子国民村镇银行有限责任公司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8"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杭州英涉时装</w:t>
            </w:r>
            <w:proofErr w:type="gramEnd"/>
            <w:r>
              <w:rPr>
                <w:rFonts w:ascii="宋体" w:eastAsia="宋体" w:hAnsi="宋体" w:cs="宋体"/>
                <w:sz w:val="18"/>
                <w:szCs w:val="18"/>
              </w:rPr>
              <w:t>有限公司</w:t>
            </w:r>
          </w:p>
        </w:tc>
        <w:tc>
          <w:tcPr>
            <w:tcW w:w="1071" w:type="dxa"/>
            <w:tcBorders>
              <w:top w:val="single" w:sz="2" w:space="0" w:color="auto"/>
              <w:left w:val="single" w:sz="8"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8"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徽商银行股份有限公司</w:t>
            </w:r>
          </w:p>
        </w:tc>
        <w:tc>
          <w:tcPr>
            <w:tcW w:w="1071" w:type="dxa"/>
            <w:tcBorders>
              <w:top w:val="single" w:sz="2" w:space="0" w:color="auto"/>
              <w:left w:val="single" w:sz="8"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58,313,147.94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89,742,490.87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广州思立德供应链管理有限公司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CF103B">
        <w:trPr>
          <w:trHeight w:val="240"/>
        </w:trPr>
        <w:tc>
          <w:tcPr>
            <w:tcW w:w="1071"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共青城</w:t>
            </w:r>
            <w:proofErr w:type="gramStart"/>
            <w:r>
              <w:rPr>
                <w:rFonts w:ascii="宋体" w:eastAsia="宋体" w:hAnsi="宋体" w:cs="宋体"/>
                <w:sz w:val="18"/>
                <w:szCs w:val="18"/>
              </w:rPr>
              <w:t>龙芯创零创业</w:t>
            </w:r>
            <w:proofErr w:type="gramEnd"/>
            <w:r>
              <w:rPr>
                <w:rFonts w:ascii="宋体" w:eastAsia="宋体" w:hAnsi="宋体" w:cs="宋体"/>
                <w:sz w:val="18"/>
                <w:szCs w:val="18"/>
              </w:rPr>
              <w:t>投资基金合伙企业（有限合伙）</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81,709,147.94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31,429,342.93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113,138,490.87</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分项披露</w:t>
      </w:r>
      <w:proofErr w:type="gramStart"/>
      <w:r>
        <w:rPr>
          <w:rFonts w:ascii="宋体" w:eastAsia="宋体" w:hAnsi="宋体" w:cs="宋体"/>
          <w:sz w:val="18"/>
          <w:szCs w:val="18"/>
        </w:rPr>
        <w:t>本期非交易</w:t>
      </w:r>
      <w:proofErr w:type="gramEnd"/>
      <w:r>
        <w:rPr>
          <w:rFonts w:ascii="宋体" w:eastAsia="宋体" w:hAnsi="宋体" w:cs="宋体"/>
          <w:sz w:val="18"/>
          <w:szCs w:val="18"/>
        </w:rPr>
        <w:t>性权益工具投资</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确认的股利收入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累计利得</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累计损失</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其他综合收益转入留存收益的金额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指定为以公允价值计量且其变动计入其他综合收益的原因</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其他综合收益转入留存收益的原因</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徽商银行股份有限公司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12,441,123.73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“三无”投资</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pPr>
        <w:pStyle w:val="a3"/>
        <w:divId w:val="1684937353"/>
        <w:rPr>
          <w:sz w:val="18"/>
          <w:szCs w:val="18"/>
        </w:rPr>
      </w:pPr>
      <w:r>
        <w:rPr>
          <w:rFonts w:hint="eastAsia"/>
          <w:sz w:val="18"/>
          <w:szCs w:val="18"/>
        </w:rPr>
        <w:lastRenderedPageBreak/>
        <w:t>（1）徽商银行(03698，HK)于2013年11月12日在香港联交所挂牌交易，本公司所持有徽商银行股份有限公司的投资拟长期持有，以资产负债表日收盘计算公允价值，公允价值变动计入其他综合收益。</w:t>
      </w:r>
    </w:p>
    <w:p w:rsidR="005C49A8" w:rsidRDefault="005C49A8">
      <w:pPr>
        <w:pStyle w:val="a3"/>
        <w:divId w:val="1684937353"/>
        <w:rPr>
          <w:sz w:val="18"/>
          <w:szCs w:val="18"/>
        </w:rPr>
      </w:pPr>
      <w:r>
        <w:rPr>
          <w:rFonts w:hint="eastAsia"/>
          <w:sz w:val="18"/>
          <w:szCs w:val="18"/>
        </w:rPr>
        <w:t>（2）其他公司的其他权益工具投资的公允价值可能估计金额分布范围很广，成本代表了该范围内对公允价值的最佳估计，</w:t>
      </w:r>
      <w:proofErr w:type="gramStart"/>
      <w:r>
        <w:rPr>
          <w:rFonts w:hint="eastAsia"/>
          <w:sz w:val="18"/>
          <w:szCs w:val="18"/>
        </w:rPr>
        <w:t>该成本</w:t>
      </w:r>
      <w:proofErr w:type="gramEnd"/>
      <w:r>
        <w:rPr>
          <w:rFonts w:hint="eastAsia"/>
          <w:sz w:val="18"/>
          <w:szCs w:val="18"/>
        </w:rPr>
        <w:t>可代表其在该分布范围内对公允价值的恰当估计。</w:t>
      </w:r>
    </w:p>
    <w:p w:rsidR="008820E4" w:rsidRDefault="005C49A8">
      <w:pPr>
        <w:pStyle w:val="3"/>
        <w:spacing w:line="280" w:lineRule="exact"/>
        <w:jc w:val="left"/>
        <w:rPr>
          <w:rFonts w:ascii="宋体" w:hAnsi="宋体" w:cs="宋体"/>
          <w:b/>
          <w:bCs/>
        </w:rPr>
      </w:pPr>
      <w:bookmarkStart w:id="226" w:name="_Toc989146"/>
      <w:r>
        <w:rPr>
          <w:rFonts w:ascii="宋体" w:hAnsi="宋体" w:cs="宋体"/>
          <w:b/>
          <w:bCs/>
        </w:rPr>
        <w:t>17、长期应收款</w:t>
      </w:r>
      <w:bookmarkEnd w:id="226"/>
    </w:p>
    <w:p w:rsidR="008820E4" w:rsidRDefault="005C49A8">
      <w:pPr>
        <w:keepNext/>
        <w:keepLines/>
        <w:spacing w:before="300" w:after="300" w:line="280" w:lineRule="exact"/>
        <w:outlineLvl w:val="3"/>
        <w:rPr>
          <w:rFonts w:ascii="宋体" w:eastAsia="宋体" w:hAnsi="宋体" w:cs="宋体"/>
          <w:b/>
          <w:bCs/>
          <w:szCs w:val="21"/>
        </w:rPr>
      </w:pPr>
      <w:bookmarkStart w:id="227" w:name="_Toc989147"/>
      <w:r>
        <w:rPr>
          <w:rFonts w:ascii="宋体" w:eastAsia="宋体" w:hAnsi="宋体" w:cs="宋体"/>
          <w:b/>
          <w:bCs/>
          <w:szCs w:val="21"/>
        </w:rPr>
        <w:t>（1） 长期应收款情况</w:t>
      </w:r>
      <w:bookmarkEnd w:id="22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385"/>
        <w:gridCol w:w="1275"/>
        <w:gridCol w:w="1418"/>
        <w:gridCol w:w="742"/>
      </w:tblGrid>
      <w:tr w:rsidR="008820E4" w:rsidTr="0029457D">
        <w:trPr>
          <w:trHeight w:val="240"/>
        </w:trPr>
        <w:tc>
          <w:tcPr>
            <w:tcW w:w="12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07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74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折现率区间</w:t>
            </w:r>
          </w:p>
        </w:tc>
      </w:tr>
      <w:tr w:rsidR="008820E4" w:rsidTr="0029457D">
        <w:trPr>
          <w:trHeight w:val="240"/>
        </w:trPr>
        <w:tc>
          <w:tcPr>
            <w:tcW w:w="120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8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74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融资租赁款</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3,478,822.10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3,169,604.73</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3,580,581.72</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3,271,364.35</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29457D">
            <w:pPr>
              <w:spacing w:before="40" w:after="40" w:line="0" w:lineRule="atLeast"/>
              <w:rPr>
                <w:rFonts w:ascii="宋体" w:eastAsia="宋体" w:hAnsi="宋体" w:cs="宋体"/>
                <w:sz w:val="18"/>
                <w:szCs w:val="18"/>
              </w:rPr>
            </w:pPr>
            <w:r>
              <w:rPr>
                <w:rFonts w:ascii="宋体" w:eastAsia="宋体" w:hAnsi="宋体" w:cs="宋体"/>
                <w:sz w:val="18"/>
                <w:szCs w:val="18"/>
              </w:rPr>
              <w:t>其中：未实现融资收益</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9,452.50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9,452.50</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15,720.40</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15,720.40</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减：一年内到期的长期应收款</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-3,092,173.69</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-2,782,956.32</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-3,351,271.93</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-309,217.37</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-3,042,054.56</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386,648.41</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386,648.41</w:t>
            </w:r>
          </w:p>
        </w:tc>
        <w:tc>
          <w:tcPr>
            <w:tcW w:w="138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229,309.79</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229,309.79</w:t>
            </w:r>
          </w:p>
        </w:tc>
        <w:tc>
          <w:tcPr>
            <w:tcW w:w="7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28" w:name="_Toc989151"/>
      <w:r>
        <w:rPr>
          <w:rFonts w:ascii="宋体" w:hAnsi="宋体" w:cs="宋体"/>
          <w:b/>
          <w:bCs/>
        </w:rPr>
        <w:t>18、长期股权投资</w:t>
      </w:r>
      <w:bookmarkEnd w:id="22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1"/>
        <w:gridCol w:w="741"/>
        <w:gridCol w:w="741"/>
        <w:gridCol w:w="741"/>
        <w:gridCol w:w="741"/>
        <w:gridCol w:w="741"/>
        <w:gridCol w:w="745"/>
        <w:gridCol w:w="741"/>
        <w:gridCol w:w="743"/>
      </w:tblGrid>
      <w:tr w:rsidR="008820E4">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期初余额（账面价值）</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减值准备期初余额</w:t>
            </w:r>
          </w:p>
        </w:tc>
        <w:tc>
          <w:tcPr>
            <w:tcW w:w="5932"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本期增减变动</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期末余额（账面价值）</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减值准备期末余额</w:t>
            </w:r>
          </w:p>
        </w:tc>
      </w:tr>
      <w:tr w:rsidR="008820E4">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追加投资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减少投资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权益法下确认的投资损益</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其他综合收益调整</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其他权益变动</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宣告发放现金股利或利润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计提减值准备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一、合营企业</w:t>
            </w:r>
          </w:p>
        </w:tc>
      </w:tr>
      <w:tr w:rsidR="008820E4">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二、联营企业</w:t>
            </w:r>
          </w:p>
        </w:tc>
      </w:tr>
      <w:tr w:rsidR="008820E4" w:rsidTr="00CF103B">
        <w:trPr>
          <w:trHeight w:val="240"/>
        </w:trPr>
        <w:tc>
          <w:tcPr>
            <w:tcW w:w="74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45,046,641.47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2,835.82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45,049,477.29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741" w:type="dxa"/>
            <w:tcBorders>
              <w:top w:val="single" w:sz="8" w:space="0" w:color="auto"/>
              <w:left w:val="single" w:sz="2" w:space="0" w:color="auto"/>
              <w:bottom w:val="nil"/>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福田实业（集团）有限公司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247,997,146.26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1,858,783.47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6,934,094.30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242,921,835.43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741" w:type="dxa"/>
            <w:tcBorders>
              <w:top w:val="nil"/>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w:t>
            </w:r>
            <w:r>
              <w:rPr>
                <w:rFonts w:ascii="宋体" w:eastAsia="宋体" w:hAnsi="宋体" w:cs="宋体"/>
                <w:sz w:val="18"/>
                <w:szCs w:val="18"/>
              </w:rPr>
              <w:lastRenderedPageBreak/>
              <w:t>运营有限公司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38,588,747.98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-1,228,220.</w:t>
            </w:r>
            <w:r>
              <w:rPr>
                <w:rFonts w:ascii="宋体" w:eastAsia="宋体" w:hAnsi="宋体" w:cs="宋体"/>
                <w:sz w:val="18"/>
                <w:szCs w:val="18"/>
              </w:rPr>
              <w:lastRenderedPageBreak/>
              <w:t>13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37,360,527.85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CF103B">
        <w:trPr>
          <w:trHeight w:val="240"/>
        </w:trPr>
        <w:tc>
          <w:tcPr>
            <w:tcW w:w="741" w:type="dxa"/>
            <w:tcBorders>
              <w:top w:val="single" w:sz="8"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平湖泽</w:t>
            </w:r>
            <w:proofErr w:type="gramStart"/>
            <w:r>
              <w:rPr>
                <w:rFonts w:ascii="宋体" w:eastAsia="宋体" w:hAnsi="宋体" w:cs="宋体"/>
                <w:sz w:val="18"/>
                <w:szCs w:val="18"/>
              </w:rPr>
              <w:t>奕</w:t>
            </w:r>
            <w:proofErr w:type="gramEnd"/>
            <w:r>
              <w:rPr>
                <w:rFonts w:ascii="宋体" w:eastAsia="宋体" w:hAnsi="宋体" w:cs="宋体"/>
                <w:sz w:val="18"/>
                <w:szCs w:val="18"/>
              </w:rPr>
              <w:t>拾号创业投资合伙企业（有限合伙）</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小计</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633,399.16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6,934,094.30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331,632,535.71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7,713,514.33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633,399.16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6,934,094.30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333,045,354.90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29457D">
        <w:rPr>
          <w:rFonts w:ascii="宋体" w:eastAsia="宋体" w:hAnsi="宋体" w:cs="宋体" w:hint="eastAsia"/>
          <w:sz w:val="18"/>
          <w:szCs w:val="18"/>
        </w:rPr>
        <w:t>：</w:t>
      </w:r>
      <w:r>
        <w:rPr>
          <w:rFonts w:hint="eastAsia"/>
          <w:sz w:val="18"/>
          <w:szCs w:val="18"/>
        </w:rPr>
        <w:t>无</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29457D">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rsidP="0029457D">
      <w:pPr>
        <w:pStyle w:val="a3"/>
        <w:ind w:firstLineChars="200" w:firstLine="360"/>
        <w:divId w:val="1317687027"/>
        <w:rPr>
          <w:sz w:val="18"/>
          <w:szCs w:val="18"/>
        </w:rPr>
      </w:pPr>
      <w:r>
        <w:rPr>
          <w:rFonts w:hint="eastAsia"/>
          <w:sz w:val="18"/>
          <w:szCs w:val="18"/>
        </w:rPr>
        <w:t>本公司子公司香港天成持有福田实业（集团）有限公司（以下简称福田实业，股票代码：HK0420）17.30%的股权及表决权。虽然该比例低于20%，但由于本公司在福田实业董事会中派有代表并参与财务和经营政策的决策，所以本公司 能够对福田实业施加重大影响。</w:t>
      </w:r>
    </w:p>
    <w:p w:rsidR="008820E4" w:rsidRDefault="005C49A8">
      <w:pPr>
        <w:pStyle w:val="3"/>
        <w:spacing w:line="280" w:lineRule="exact"/>
        <w:jc w:val="left"/>
        <w:rPr>
          <w:rFonts w:ascii="宋体" w:hAnsi="宋体" w:cs="宋体"/>
          <w:b/>
          <w:bCs/>
        </w:rPr>
      </w:pPr>
      <w:bookmarkStart w:id="229" w:name="_Toc989152"/>
      <w:r>
        <w:rPr>
          <w:rFonts w:ascii="宋体" w:hAnsi="宋体" w:cs="宋体"/>
          <w:b/>
          <w:bCs/>
        </w:rPr>
        <w:t>19、其他非流动金融资产</w:t>
      </w:r>
      <w:bookmarkEnd w:id="229"/>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30" w:name="_Toc989153"/>
      <w:r>
        <w:rPr>
          <w:rFonts w:ascii="宋体" w:hAnsi="宋体" w:cs="宋体"/>
          <w:b/>
          <w:bCs/>
        </w:rPr>
        <w:t>20、投资性房地产</w:t>
      </w:r>
      <w:bookmarkEnd w:id="230"/>
    </w:p>
    <w:p w:rsidR="008820E4" w:rsidRDefault="005C49A8">
      <w:pPr>
        <w:keepNext/>
        <w:keepLines/>
        <w:spacing w:before="300" w:after="300" w:line="280" w:lineRule="exact"/>
        <w:outlineLvl w:val="3"/>
        <w:rPr>
          <w:rFonts w:ascii="宋体" w:eastAsia="宋体" w:hAnsi="宋体" w:cs="宋体"/>
          <w:b/>
          <w:bCs/>
          <w:sz w:val="18"/>
          <w:szCs w:val="18"/>
        </w:rPr>
      </w:pPr>
      <w:bookmarkStart w:id="231" w:name="_Toc989154"/>
      <w:r>
        <w:rPr>
          <w:rFonts w:ascii="宋体" w:eastAsia="宋体" w:hAnsi="宋体" w:cs="宋体"/>
          <w:b/>
          <w:bCs/>
          <w:sz w:val="18"/>
          <w:szCs w:val="18"/>
        </w:rPr>
        <w:t>（1） 采用成本计量模式的投资性房地产</w:t>
      </w:r>
      <w:bookmarkEnd w:id="231"/>
    </w:p>
    <w:p w:rsidR="008820E4" w:rsidRDefault="005C49A8">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房屋、建筑物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土地使用权</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在建工程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201,662,136.52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201,662,136.52</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（1）外购</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（2）存货\固定资产\在建工程转入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lastRenderedPageBreak/>
              <w:t>（3）企业合并增加</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外币报表折算差额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-354,959.82</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（3）转自用房地产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174,755,878.35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174,755,878.35</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二、累计折旧和累计摊销</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67,452,299.80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67,452,299.80</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（1）计提或摊销</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2,901,110.80</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（3）转自用房地产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53,143,601.56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53,143,601.56</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121,612,276.79</w:t>
            </w:r>
          </w:p>
        </w:tc>
      </w:tr>
      <w:tr w:rsidR="008820E4" w:rsidTr="0029457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134,209,836.72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29457D">
        <w:rPr>
          <w:rFonts w:ascii="宋体" w:eastAsia="宋体" w:hAnsi="宋体" w:cs="宋体" w:hint="eastAsia"/>
          <w:sz w:val="18"/>
          <w:szCs w:val="18"/>
        </w:rPr>
        <w:t>：</w:t>
      </w:r>
      <w:r>
        <w:rPr>
          <w:rFonts w:hint="eastAsia"/>
          <w:sz w:val="18"/>
          <w:szCs w:val="18"/>
        </w:rPr>
        <w:t>无</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29457D">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232" w:name="_Toc989155"/>
      <w:r>
        <w:rPr>
          <w:rFonts w:ascii="宋体" w:eastAsia="宋体" w:hAnsi="宋体" w:cs="宋体"/>
          <w:b/>
          <w:bCs/>
          <w:sz w:val="18"/>
          <w:szCs w:val="18"/>
        </w:rPr>
        <w:t>（2） 采用公允价值计量模式的投资性房地产</w:t>
      </w:r>
      <w:bookmarkEnd w:id="232"/>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29457D">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33" w:name="_Toc989158"/>
      <w:r>
        <w:rPr>
          <w:rFonts w:ascii="宋体" w:hAnsi="宋体" w:cs="宋体"/>
          <w:b/>
          <w:bCs/>
        </w:rPr>
        <w:lastRenderedPageBreak/>
        <w:t>21、固定资产</w:t>
      </w:r>
      <w:bookmarkEnd w:id="23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4,290,980,705.95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固定资产清理</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52,415,354.74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4,343,396,060.69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bl>
    <w:p w:rsidR="008820E4" w:rsidRDefault="005C49A8">
      <w:pPr>
        <w:keepNext/>
        <w:keepLines/>
        <w:spacing w:before="300" w:after="300" w:line="280" w:lineRule="exact"/>
        <w:outlineLvl w:val="3"/>
        <w:rPr>
          <w:rFonts w:ascii="宋体" w:eastAsia="宋体" w:hAnsi="宋体" w:cs="宋体"/>
          <w:b/>
          <w:bCs/>
          <w:szCs w:val="21"/>
        </w:rPr>
      </w:pPr>
      <w:bookmarkStart w:id="234" w:name="_Toc989159"/>
      <w:r>
        <w:rPr>
          <w:rFonts w:ascii="宋体" w:eastAsia="宋体" w:hAnsi="宋体" w:cs="宋体"/>
          <w:b/>
          <w:bCs/>
          <w:szCs w:val="21"/>
        </w:rPr>
        <w:t>（1） 固定资产情况</w:t>
      </w:r>
      <w:bookmarkEnd w:id="23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机器设备</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运输工具</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电子及其他设备</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3,697,409,214.62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5,151,246,616.82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53,893,735.20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221,367,947.69</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9,123,917,514.33</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10,221,097.78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-20,314,665.41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481,789.05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-11,302,501.21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-20,914,279.79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（1）购置</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9,347,409.92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6,657,780.12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898,376.78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1,061,621.23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17,965,188.05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（2）在建工程转入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271,844.66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3,965,510.50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75,600.00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4,312,955.16</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（3）企业合并增加</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投资性房地产转入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26,551,298.35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-25,949,455.15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-30,937,956.03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-416,587.73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-12,439,722.44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-69,743,721.35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138,446,785.25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132,218,830.44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4,327,583.95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2,609,660.45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277,602,860.09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138,446,785.25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132,218,830.44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4,327,583.95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2,609,660.45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277,602,860.09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3,569,183,527.15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4,998,713,120.97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50,047,940.30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207,455,786.03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8,825,400,374.45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二、累计折旧</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1,191,839,066.54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2,953,771,993.44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41,585,559.06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202,004,156.37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4,389,200,775.41</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76,642,869.41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206,366,482.38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981,143.98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-26,930,915.18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257,059,580.59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69,753,951.32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181,513,606.30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1,183,383.72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4,627,246.54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257,078,187.88</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投资性房地产转入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17,209,809.04</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-10,320,890.95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24,852,876.08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-202,239.74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-31,558,161.72</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-17,228,416.33</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42,920,227.95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96,323,099.26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4,051,512.65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2,464,197.43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145,759,037.29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42,920,227.95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96,323,099.26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4,051,512.65</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2,464,197.43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145,759,037.29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1,225,561,708.00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3,063,815,376.56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38,515,190.39</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172,609,043.76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4,500,501,318.71</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lastRenderedPageBreak/>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27,855,790.59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5,928,643.64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38,569.60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95,345.96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33,918,349.79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27,855,790.59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5,928,643.64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38,569.60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95,345.96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33,918,349.79</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2,315,766,028.56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1,928,969,100.77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11,494,180.31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34,751,396.31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4,290,980,705.95</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2,477,714,357.49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2,191,545,979.74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12,269,606.54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19,268,445.36</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4,700,798,389.13</w:t>
            </w:r>
          </w:p>
        </w:tc>
      </w:tr>
    </w:tbl>
    <w:p w:rsidR="008820E4" w:rsidRDefault="005C49A8">
      <w:pPr>
        <w:keepNext/>
        <w:keepLines/>
        <w:spacing w:before="300" w:after="300" w:line="280" w:lineRule="exact"/>
        <w:outlineLvl w:val="3"/>
        <w:rPr>
          <w:rFonts w:ascii="宋体" w:eastAsia="宋体" w:hAnsi="宋体" w:cs="宋体"/>
          <w:b/>
          <w:bCs/>
          <w:szCs w:val="21"/>
        </w:rPr>
      </w:pPr>
      <w:bookmarkStart w:id="235" w:name="_Toc989160"/>
      <w:r>
        <w:rPr>
          <w:rFonts w:ascii="宋体" w:eastAsia="宋体" w:hAnsi="宋体" w:cs="宋体"/>
          <w:b/>
          <w:bCs/>
          <w:szCs w:val="21"/>
        </w:rPr>
        <w:t>（2） 暂时闲置的固定资产情况</w:t>
      </w:r>
      <w:bookmarkEnd w:id="23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账面原值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累计折旧</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备注</w:t>
            </w: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270,110,084.32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136,040,429.17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15,823,169.01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118,246,486.14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机器设备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260,937,311.08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217,484,988.71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4,464,017.46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38,988,304.91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运输设备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1,552,661.42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1,397,106.17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155,555.25</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电子及其他设备</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13,665,543.10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11,878,518.98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1,836.51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1,785,187.61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rsidTr="0029457D">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546,265,599.92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366,801,043.03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20,289,022.98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159,175,533.91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236" w:name="_Toc989161"/>
      <w:r>
        <w:rPr>
          <w:rFonts w:ascii="宋体" w:eastAsia="宋体" w:hAnsi="宋体" w:cs="宋体"/>
          <w:b/>
          <w:bCs/>
          <w:szCs w:val="21"/>
        </w:rPr>
        <w:t>（3）</w:t>
      </w:r>
      <w:bookmarkStart w:id="237" w:name="_Toc989162"/>
      <w:bookmarkEnd w:id="236"/>
      <w:r>
        <w:rPr>
          <w:rFonts w:ascii="宋体" w:eastAsia="宋体" w:hAnsi="宋体" w:cs="宋体"/>
          <w:b/>
          <w:bCs/>
          <w:szCs w:val="21"/>
        </w:rPr>
        <w:t>未办妥产权证书的固定资产情况</w:t>
      </w:r>
      <w:bookmarkEnd w:id="23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未办妥产权证书的原因</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房屋及建筑物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136,777,070.67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尚在办理中</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136,777,070.67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29457D">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38" w:name="_Toc989163"/>
      <w:r>
        <w:rPr>
          <w:rFonts w:ascii="宋体" w:eastAsia="宋体" w:hAnsi="宋体" w:cs="宋体"/>
          <w:b/>
          <w:bCs/>
          <w:szCs w:val="21"/>
        </w:rPr>
        <w:t>（5） 固定资产的减值测试情况</w:t>
      </w:r>
      <w:bookmarkEnd w:id="23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239" w:name="_Toc989164"/>
      <w:r>
        <w:rPr>
          <w:rFonts w:ascii="宋体" w:eastAsia="宋体" w:hAnsi="宋体" w:cs="宋体"/>
          <w:b/>
          <w:bCs/>
          <w:szCs w:val="21"/>
        </w:rPr>
        <w:t>（6） 固定资产清理</w:t>
      </w:r>
      <w:bookmarkEnd w:id="23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待处理设备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52,415,354.74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52,415,354.74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5C49A8" w:rsidRPr="0029457D" w:rsidRDefault="005C49A8" w:rsidP="0029457D">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40" w:name="_Toc989165"/>
      <w:r>
        <w:rPr>
          <w:rFonts w:ascii="宋体" w:hAnsi="宋体" w:cs="宋体"/>
          <w:b/>
          <w:bCs/>
        </w:rPr>
        <w:t>22、在建工程</w:t>
      </w:r>
      <w:bookmarkEnd w:id="24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bl>
    <w:p w:rsidR="008820E4" w:rsidRDefault="005C49A8">
      <w:pPr>
        <w:keepNext/>
        <w:keepLines/>
        <w:spacing w:before="300" w:after="300" w:line="280" w:lineRule="exact"/>
        <w:outlineLvl w:val="3"/>
        <w:rPr>
          <w:rFonts w:ascii="宋体" w:eastAsia="宋体" w:hAnsi="宋体" w:cs="宋体"/>
          <w:b/>
          <w:bCs/>
          <w:szCs w:val="21"/>
        </w:rPr>
      </w:pPr>
      <w:bookmarkStart w:id="241" w:name="_Toc989166"/>
      <w:r>
        <w:rPr>
          <w:rFonts w:ascii="宋体" w:eastAsia="宋体" w:hAnsi="宋体" w:cs="宋体"/>
          <w:b/>
          <w:bCs/>
          <w:szCs w:val="21"/>
        </w:rPr>
        <w:t>（1） 在建工程情况</w:t>
      </w:r>
      <w:bookmarkEnd w:id="24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29457D">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浙江色纺二期项目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18,843,952.21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18,843,952.21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4,725,973.72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4,725,973.72</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阿克苏二车间改造项目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65,888,685.17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65,888,685.17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4,450,471.69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4,450,471.69</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w:t>
            </w:r>
            <w:proofErr w:type="gramStart"/>
            <w:r>
              <w:rPr>
                <w:rFonts w:ascii="宋体" w:eastAsia="宋体" w:hAnsi="宋体" w:cs="宋体"/>
                <w:sz w:val="18"/>
                <w:szCs w:val="18"/>
              </w:rPr>
              <w:t>标信在建</w:t>
            </w:r>
            <w:proofErr w:type="gramEnd"/>
            <w:r>
              <w:rPr>
                <w:rFonts w:ascii="宋体" w:eastAsia="宋体" w:hAnsi="宋体" w:cs="宋体"/>
                <w:sz w:val="18"/>
                <w:szCs w:val="18"/>
              </w:rPr>
              <w:t>工程</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296,992.74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296,992.74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63,983.02</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63,983.02</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10,963,181.69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10,963,181.69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7,838,313.36</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7,838,313.36</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阿大数字</w:t>
            </w:r>
            <w:proofErr w:type="gramStart"/>
            <w:r>
              <w:rPr>
                <w:rFonts w:ascii="宋体" w:eastAsia="宋体" w:hAnsi="宋体" w:cs="宋体"/>
                <w:sz w:val="18"/>
                <w:szCs w:val="18"/>
              </w:rPr>
              <w:t>袜</w:t>
            </w:r>
            <w:proofErr w:type="gramEnd"/>
            <w:r>
              <w:rPr>
                <w:rFonts w:ascii="宋体" w:eastAsia="宋体" w:hAnsi="宋体" w:cs="宋体"/>
                <w:sz w:val="18"/>
                <w:szCs w:val="18"/>
              </w:rPr>
              <w:t>制品生产车间</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92,293,445.70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92,293,445.70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88,249,424.28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88,249,424.28</w:t>
            </w:r>
          </w:p>
        </w:tc>
      </w:tr>
      <w:tr w:rsidR="008820E4" w:rsidTr="0029457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30万锭智能产业园项目</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428,012,818.00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324,546,393.57</w:t>
            </w:r>
          </w:p>
        </w:tc>
      </w:tr>
    </w:tbl>
    <w:p w:rsidR="008820E4" w:rsidRDefault="005C49A8" w:rsidP="00CF103B">
      <w:pPr>
        <w:ind w:firstLineChars="200" w:firstLine="420"/>
      </w:pPr>
      <w:r>
        <w:rPr>
          <w:rFonts w:ascii="仿宋" w:eastAsia="仿宋" w:hAnsi="仿宋" w:cs="仿宋"/>
        </w:rPr>
        <w:t>注：</w:t>
      </w:r>
      <w:r w:rsidR="008E2575" w:rsidRPr="002711C8">
        <w:rPr>
          <w:rFonts w:ascii="仿宋" w:eastAsia="仿宋" w:hAnsi="仿宋" w:cs="仿宋"/>
        </w:rPr>
        <w:t>30万锭智能纺纱产业园项目</w:t>
      </w:r>
      <w:r w:rsidR="008E2575">
        <w:rPr>
          <w:rFonts w:ascii="仿宋" w:eastAsia="仿宋" w:hAnsi="仿宋" w:cs="仿宋"/>
        </w:rPr>
        <w:t>建设资金来源为募集资金和公司自筹资金，其中募集资金已使用完毕，募集资金使用进度为101</w:t>
      </w:r>
      <w:r w:rsidR="008E2575">
        <w:rPr>
          <w:rFonts w:ascii="仿宋" w:eastAsia="仿宋" w:hAnsi="仿宋" w:cs="仿宋" w:hint="eastAsia"/>
        </w:rPr>
        <w:t>.33</w:t>
      </w:r>
      <w:r w:rsidR="008E2575">
        <w:rPr>
          <w:rFonts w:ascii="仿宋" w:eastAsia="仿宋" w:hAnsi="仿宋" w:cs="仿宋"/>
        </w:rPr>
        <w:t>%（包含募集资金产生的利息），后续项目建设资金来源为自筹资金，报告</w:t>
      </w:r>
      <w:proofErr w:type="gramStart"/>
      <w:r w:rsidR="008E2575">
        <w:rPr>
          <w:rFonts w:ascii="仿宋" w:eastAsia="仿宋" w:hAnsi="仿宋" w:cs="仿宋"/>
        </w:rPr>
        <w:t>期末该</w:t>
      </w:r>
      <w:proofErr w:type="gramEnd"/>
      <w:r w:rsidR="008E2575">
        <w:rPr>
          <w:rFonts w:ascii="仿宋" w:eastAsia="仿宋" w:hAnsi="仿宋" w:cs="仿宋"/>
        </w:rPr>
        <w:t>项目整体建设进度为70</w:t>
      </w:r>
      <w:r w:rsidR="008E2575">
        <w:rPr>
          <w:rFonts w:ascii="仿宋" w:eastAsia="仿宋" w:hAnsi="仿宋" w:cs="仿宋" w:hint="eastAsia"/>
        </w:rPr>
        <w:t>.73</w:t>
      </w:r>
      <w:r w:rsidR="008E2575">
        <w:rPr>
          <w:rFonts w:ascii="仿宋" w:eastAsia="仿宋" w:hAnsi="仿宋" w:cs="仿宋"/>
        </w:rPr>
        <w:t>%。</w:t>
      </w:r>
    </w:p>
    <w:p w:rsidR="008820E4" w:rsidRDefault="005C49A8">
      <w:pPr>
        <w:keepNext/>
        <w:keepLines/>
        <w:spacing w:before="300" w:after="300" w:line="280" w:lineRule="exact"/>
        <w:outlineLvl w:val="3"/>
        <w:rPr>
          <w:rFonts w:ascii="宋体" w:eastAsia="宋体" w:hAnsi="宋体" w:cs="宋体"/>
          <w:b/>
          <w:bCs/>
          <w:szCs w:val="21"/>
        </w:rPr>
      </w:pPr>
      <w:bookmarkStart w:id="242" w:name="_Toc989167"/>
      <w:r>
        <w:rPr>
          <w:rFonts w:ascii="宋体" w:eastAsia="宋体" w:hAnsi="宋体" w:cs="宋体"/>
          <w:b/>
          <w:bCs/>
          <w:szCs w:val="21"/>
        </w:rPr>
        <w:t>（2） 重要在建工程项目本期变动情况</w:t>
      </w:r>
      <w:bookmarkEnd w:id="24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29457D" w:rsidRDefault="0029457D">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2"/>
        <w:gridCol w:w="742"/>
        <w:gridCol w:w="742"/>
        <w:gridCol w:w="742"/>
        <w:gridCol w:w="742"/>
        <w:gridCol w:w="742"/>
        <w:gridCol w:w="741"/>
        <w:gridCol w:w="741"/>
        <w:gridCol w:w="741"/>
        <w:gridCol w:w="741"/>
        <w:gridCol w:w="741"/>
        <w:gridCol w:w="741"/>
        <w:gridCol w:w="741"/>
      </w:tblGrid>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预算数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本期转入固定资产金额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本期其他减少金额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工程累计投入占预算比例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工程进度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利息资本化累计金额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其中：本期利息资本</w:t>
            </w:r>
            <w:proofErr w:type="gramStart"/>
            <w:r>
              <w:rPr>
                <w:rFonts w:ascii="宋体" w:eastAsia="宋体" w:hAnsi="宋体" w:cs="宋体"/>
                <w:sz w:val="18"/>
                <w:szCs w:val="18"/>
              </w:rPr>
              <w:t>化金额</w:t>
            </w:r>
            <w:proofErr w:type="gramEnd"/>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本期利息资本化率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资金来源</w:t>
            </w:r>
          </w:p>
        </w:tc>
      </w:tr>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30万锭智能产业园项目</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1,202,645,208.19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219,218,227.50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20,508,332.99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239,726,560.49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70.73%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70.73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24,890,067.48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7,988,359.62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r>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w:t>
            </w:r>
            <w:proofErr w:type="gramStart"/>
            <w:r>
              <w:rPr>
                <w:rFonts w:ascii="宋体" w:eastAsia="宋体" w:hAnsi="宋体" w:cs="宋体"/>
                <w:sz w:val="18"/>
                <w:szCs w:val="18"/>
              </w:rPr>
              <w:t>袜</w:t>
            </w:r>
            <w:proofErr w:type="gramEnd"/>
            <w:r>
              <w:rPr>
                <w:rFonts w:ascii="宋体" w:eastAsia="宋体" w:hAnsi="宋体" w:cs="宋体"/>
                <w:sz w:val="18"/>
                <w:szCs w:val="18"/>
              </w:rPr>
              <w:t>制品生产车间</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134,620,750.88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88,249,424.28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4,337,221.42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293,200.00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92,293,445.70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92.29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r>
      <w:tr w:rsidR="008820E4" w:rsidTr="0029457D">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阿克苏二车间改造项目</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193,910,000.00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4,450,471.69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61,438,213.48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65,888,685.17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31.68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r>
      <w:tr w:rsidR="008820E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1,531,175,959.07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311,918,123.47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86,283,767.89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293,200.00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397,908,691.36</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24,890,067.48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7,988,359.62</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keepNext/>
        <w:keepLines/>
        <w:spacing w:before="300" w:after="300" w:line="280" w:lineRule="exact"/>
        <w:outlineLvl w:val="3"/>
        <w:rPr>
          <w:rFonts w:ascii="宋体" w:eastAsia="宋体" w:hAnsi="宋体" w:cs="宋体"/>
          <w:b/>
          <w:bCs/>
          <w:szCs w:val="21"/>
        </w:rPr>
      </w:pPr>
      <w:bookmarkStart w:id="243" w:name="_Toc989168"/>
      <w:r>
        <w:rPr>
          <w:rFonts w:ascii="宋体" w:eastAsia="宋体" w:hAnsi="宋体" w:cs="宋体"/>
          <w:b/>
          <w:bCs/>
          <w:szCs w:val="21"/>
        </w:rPr>
        <w:t>（3） 本期计提在建工程减值准备情况</w:t>
      </w:r>
      <w:bookmarkEnd w:id="243"/>
    </w:p>
    <w:p w:rsidR="005C49A8" w:rsidRDefault="005C49A8">
      <w:pPr>
        <w:pStyle w:val="a3"/>
        <w:divId w:val="67680576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44" w:name="_Toc989169"/>
      <w:r>
        <w:rPr>
          <w:rFonts w:ascii="宋体" w:eastAsia="宋体" w:hAnsi="宋体" w:cs="宋体"/>
          <w:b/>
          <w:bCs/>
          <w:szCs w:val="21"/>
        </w:rPr>
        <w:t>（4） 在建工程的减值测试情况</w:t>
      </w:r>
      <w:bookmarkEnd w:id="24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245" w:name="_Toc989170"/>
      <w:r>
        <w:rPr>
          <w:rFonts w:ascii="宋体" w:eastAsia="宋体" w:hAnsi="宋体" w:cs="宋体"/>
          <w:b/>
          <w:bCs/>
          <w:szCs w:val="21"/>
        </w:rPr>
        <w:t>（5） 工程物资</w:t>
      </w:r>
      <w:bookmarkEnd w:id="245"/>
    </w:p>
    <w:p w:rsidR="005C49A8" w:rsidRDefault="005C49A8">
      <w:pPr>
        <w:pStyle w:val="a3"/>
        <w:divId w:val="35003566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46" w:name="_Toc989171"/>
      <w:r>
        <w:rPr>
          <w:rFonts w:ascii="宋体" w:hAnsi="宋体" w:cs="宋体"/>
          <w:b/>
          <w:bCs/>
        </w:rPr>
        <w:t>23、生产性生物资产</w:t>
      </w:r>
      <w:bookmarkEnd w:id="246"/>
    </w:p>
    <w:p w:rsidR="008820E4" w:rsidRDefault="005C49A8">
      <w:pPr>
        <w:keepNext/>
        <w:keepLines/>
        <w:spacing w:before="300" w:after="300" w:line="280" w:lineRule="exact"/>
        <w:outlineLvl w:val="3"/>
        <w:rPr>
          <w:rFonts w:ascii="宋体" w:eastAsia="宋体" w:hAnsi="宋体" w:cs="宋体"/>
          <w:b/>
          <w:bCs/>
          <w:szCs w:val="21"/>
        </w:rPr>
      </w:pPr>
      <w:bookmarkStart w:id="247" w:name="_Toc989172"/>
      <w:r>
        <w:rPr>
          <w:rFonts w:ascii="宋体" w:eastAsia="宋体" w:hAnsi="宋体" w:cs="宋体"/>
          <w:b/>
          <w:bCs/>
          <w:szCs w:val="21"/>
        </w:rPr>
        <w:t>（1） 采用成本计量模式的生产性生物资产</w:t>
      </w:r>
      <w:bookmarkEnd w:id="24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248" w:name="_Toc989173"/>
      <w:r>
        <w:rPr>
          <w:rFonts w:ascii="宋体" w:eastAsia="宋体" w:hAnsi="宋体" w:cs="宋体"/>
          <w:b/>
          <w:bCs/>
          <w:szCs w:val="21"/>
        </w:rPr>
        <w:t>（2） 采用成本计量模式的生产性生物资产的减值测试情况</w:t>
      </w:r>
      <w:bookmarkEnd w:id="24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249" w:name="_Toc989174"/>
      <w:r>
        <w:rPr>
          <w:rFonts w:ascii="宋体" w:eastAsia="宋体" w:hAnsi="宋体" w:cs="宋体"/>
          <w:b/>
          <w:bCs/>
          <w:szCs w:val="21"/>
        </w:rPr>
        <w:t>（3） 采用公允价值计量模式的生产性生物资产</w:t>
      </w:r>
      <w:bookmarkEnd w:id="249"/>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50" w:name="_Toc989175"/>
      <w:r>
        <w:rPr>
          <w:rFonts w:ascii="宋体" w:hAnsi="宋体" w:cs="宋体"/>
          <w:b/>
          <w:bCs/>
        </w:rPr>
        <w:t>24、油气资产</w:t>
      </w:r>
      <w:bookmarkEnd w:id="25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51" w:name="_Toc989176"/>
      <w:r>
        <w:rPr>
          <w:rFonts w:ascii="宋体" w:hAnsi="宋体" w:cs="宋体"/>
          <w:b/>
          <w:bCs/>
        </w:rPr>
        <w:t>25、使用权资产</w:t>
      </w:r>
      <w:bookmarkEnd w:id="251"/>
    </w:p>
    <w:p w:rsidR="008820E4" w:rsidRDefault="005C49A8">
      <w:pPr>
        <w:keepNext/>
        <w:keepLines/>
        <w:spacing w:before="300" w:after="300" w:line="280" w:lineRule="exact"/>
        <w:outlineLvl w:val="3"/>
        <w:rPr>
          <w:rFonts w:ascii="宋体" w:eastAsia="宋体" w:hAnsi="宋体" w:cs="宋体"/>
          <w:b/>
          <w:bCs/>
          <w:szCs w:val="21"/>
        </w:rPr>
      </w:pPr>
      <w:bookmarkStart w:id="252" w:name="_Toc989177"/>
      <w:r>
        <w:rPr>
          <w:rFonts w:ascii="宋体" w:eastAsia="宋体" w:hAnsi="宋体" w:cs="宋体"/>
          <w:b/>
          <w:bCs/>
          <w:szCs w:val="21"/>
        </w:rPr>
        <w:t>（1） 使用权资产情况</w:t>
      </w:r>
      <w:bookmarkEnd w:id="25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房屋及建筑物</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机器设备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36,700,594.20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715,358.08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37,415,952.28</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36,700,594.20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715,358.08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37,415,952.28</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二、累计折旧</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7,934,617.59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320,908.32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8,255,525.91</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lastRenderedPageBreak/>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11,600,227.42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320,908.32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11,921,135.74</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400" w:firstLine="720"/>
              <w:rPr>
                <w:rFonts w:ascii="宋体" w:eastAsia="宋体" w:hAnsi="宋体" w:cs="宋体"/>
                <w:sz w:val="18"/>
                <w:szCs w:val="18"/>
              </w:rPr>
            </w:pPr>
            <w:r>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1.期末账面价值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25,100,366.78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394,449.76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25,494,816.54</w:t>
            </w:r>
          </w:p>
        </w:tc>
      </w:tr>
      <w:tr w:rsidR="008820E4" w:rsidTr="00381B41">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2.期初账面价值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28,765,976.61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394,449.76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29,160,426.37</w:t>
            </w:r>
          </w:p>
        </w:tc>
      </w:tr>
    </w:tbl>
    <w:p w:rsidR="008820E4" w:rsidRDefault="005C49A8">
      <w:pPr>
        <w:keepNext/>
        <w:keepLines/>
        <w:spacing w:before="300" w:after="300" w:line="280" w:lineRule="exact"/>
        <w:outlineLvl w:val="3"/>
        <w:rPr>
          <w:rFonts w:ascii="宋体" w:eastAsia="宋体" w:hAnsi="宋体" w:cs="宋体"/>
          <w:b/>
          <w:bCs/>
          <w:szCs w:val="21"/>
        </w:rPr>
      </w:pPr>
      <w:bookmarkStart w:id="253" w:name="_Toc989178"/>
      <w:r>
        <w:rPr>
          <w:rFonts w:ascii="宋体" w:eastAsia="宋体" w:hAnsi="宋体" w:cs="宋体"/>
          <w:b/>
          <w:bCs/>
          <w:szCs w:val="21"/>
        </w:rPr>
        <w:t>（2） 使用权资产的减值测试情况</w:t>
      </w:r>
      <w:bookmarkEnd w:id="25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54" w:name="_Toc989179"/>
      <w:r>
        <w:rPr>
          <w:rFonts w:ascii="宋体" w:hAnsi="宋体" w:cs="宋体"/>
          <w:b/>
          <w:bCs/>
        </w:rPr>
        <w:t>26、无形资产</w:t>
      </w:r>
      <w:bookmarkEnd w:id="254"/>
    </w:p>
    <w:p w:rsidR="008820E4" w:rsidRDefault="005C49A8">
      <w:pPr>
        <w:keepNext/>
        <w:keepLines/>
        <w:spacing w:before="300" w:after="300" w:line="280" w:lineRule="exact"/>
        <w:outlineLvl w:val="3"/>
        <w:rPr>
          <w:rFonts w:ascii="宋体" w:eastAsia="宋体" w:hAnsi="宋体" w:cs="宋体"/>
          <w:b/>
          <w:bCs/>
          <w:szCs w:val="21"/>
        </w:rPr>
      </w:pPr>
      <w:bookmarkStart w:id="255" w:name="_Toc989180"/>
      <w:r>
        <w:rPr>
          <w:rFonts w:ascii="宋体" w:eastAsia="宋体" w:hAnsi="宋体" w:cs="宋体"/>
          <w:b/>
          <w:bCs/>
          <w:szCs w:val="21"/>
        </w:rPr>
        <w:t>（1） 无形资产情况</w:t>
      </w:r>
      <w:bookmarkEnd w:id="25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970"/>
        <w:gridCol w:w="1970"/>
        <w:gridCol w:w="1971"/>
        <w:gridCol w:w="1971"/>
        <w:gridCol w:w="1971"/>
      </w:tblGrid>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jc w:val="center"/>
              <w:rPr>
                <w:rFonts w:ascii="宋体" w:eastAsia="宋体" w:hAnsi="宋体" w:cs="宋体"/>
                <w:sz w:val="18"/>
                <w:szCs w:val="18"/>
              </w:rPr>
            </w:pPr>
            <w:r>
              <w:rPr>
                <w:rFonts w:ascii="宋体" w:eastAsia="宋体" w:hAnsi="宋体" w:cs="宋体"/>
                <w:sz w:val="18"/>
                <w:szCs w:val="18"/>
              </w:rPr>
              <w:t>土地使用权</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jc w:val="center"/>
              <w:rPr>
                <w:rFonts w:ascii="宋体" w:eastAsia="宋体" w:hAnsi="宋体" w:cs="宋体"/>
                <w:sz w:val="18"/>
                <w:szCs w:val="18"/>
              </w:rPr>
            </w:pPr>
            <w:r>
              <w:rPr>
                <w:rFonts w:ascii="宋体" w:eastAsia="宋体" w:hAnsi="宋体" w:cs="宋体"/>
                <w:sz w:val="18"/>
                <w:szCs w:val="18"/>
              </w:rPr>
              <w:t>专利权</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jc w:val="center"/>
              <w:rPr>
                <w:rFonts w:ascii="宋体" w:eastAsia="宋体" w:hAnsi="宋体" w:cs="宋体"/>
                <w:sz w:val="18"/>
                <w:szCs w:val="18"/>
              </w:rPr>
            </w:pPr>
            <w:r>
              <w:rPr>
                <w:rFonts w:ascii="宋体" w:eastAsia="宋体" w:hAnsi="宋体" w:cs="宋体"/>
                <w:sz w:val="18"/>
                <w:szCs w:val="18"/>
              </w:rPr>
              <w:t>非专利技术</w:t>
            </w:r>
          </w:p>
        </w:tc>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一、账面原值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1.期初余额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1,082,904,153.20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33,505,487.47</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6,928,639.43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1,123,338,280.10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2.本期增加金额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-18,242,140.17</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2,025,974.65</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2,667,184.40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-13,548,981.12</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（1）购置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50,233.66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2,025,974.65</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187,184.40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2,263,392.71</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（2）内部研发</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（3）企业合并增加</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2,480,000.00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rPr>
                <w:rFonts w:ascii="宋体" w:eastAsia="宋体" w:hAnsi="宋体" w:cs="宋体"/>
                <w:sz w:val="18"/>
                <w:szCs w:val="18"/>
              </w:rPr>
            </w:pPr>
            <w:r>
              <w:rPr>
                <w:rFonts w:ascii="宋体" w:eastAsia="宋体" w:hAnsi="宋体" w:cs="宋体"/>
                <w:sz w:val="18"/>
                <w:szCs w:val="18"/>
              </w:rPr>
              <w:t>（4）在建工程转入</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636,222.54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636,222.54</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rPr>
                <w:rFonts w:ascii="宋体" w:eastAsia="宋体" w:hAnsi="宋体" w:cs="宋体"/>
                <w:sz w:val="18"/>
                <w:szCs w:val="18"/>
              </w:rPr>
            </w:pPr>
            <w:r>
              <w:rPr>
                <w:rFonts w:ascii="宋体" w:eastAsia="宋体" w:hAnsi="宋体" w:cs="宋体"/>
                <w:sz w:val="18"/>
                <w:szCs w:val="18"/>
              </w:rPr>
              <w:t>（5）外币报表折算差额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-18,928,596.37</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-18,928,596.37</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3.本期减少金额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65,000,000.00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65,300,000.00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（1）处置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65,000,000.00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65,300,000.00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4.期末余额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999,662,013.03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35,531,462.12</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9,295,823.83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1,044,489,298.98</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二、累计摊销</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1.期初余额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212,721,971.04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26,057,847.06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5,914,488.65</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244,694,306.75</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2.本期增加金额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2,875,947.61</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1,047,222.60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161,132.34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4,084,302.55</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（1）计提</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8,303,994.09</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1,047,222.60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161,132.34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9,512,349.03</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line="0" w:lineRule="atLeast"/>
              <w:rPr>
                <w:rFonts w:ascii="宋体" w:eastAsia="宋体" w:hAnsi="宋体" w:cs="宋体"/>
                <w:sz w:val="18"/>
                <w:szCs w:val="18"/>
              </w:rPr>
            </w:pPr>
            <w:r>
              <w:rPr>
                <w:rFonts w:ascii="宋体" w:eastAsia="宋体" w:hAnsi="宋体" w:cs="宋体"/>
                <w:sz w:val="18"/>
                <w:szCs w:val="18"/>
              </w:rPr>
              <w:t>（2）外币报表折算差异</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-5,428,046.48</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-5,428,046.48</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3.本期减少金额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8,558,333.12</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8,858,333.12</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lastRenderedPageBreak/>
              <w:t>（1）处置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8,558,333.12</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300,000.00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8,858,333.12</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4.期末余额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207,039,585.53</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27,105,069.66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5,775,620.99</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239,920,276.18</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三、减值准备</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1.期初余额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2.本期增加金额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（1）计提</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3.本期减少金额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（1）处置</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4.期末余额</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pPr>
              <w:spacing w:before="40" w:after="40" w:line="0" w:lineRule="atLeast"/>
              <w:rPr>
                <w:rFonts w:ascii="宋体" w:eastAsia="宋体" w:hAnsi="宋体" w:cs="宋体"/>
                <w:sz w:val="18"/>
                <w:szCs w:val="18"/>
              </w:rPr>
            </w:pPr>
            <w:r>
              <w:rPr>
                <w:rFonts w:ascii="宋体" w:eastAsia="宋体" w:hAnsi="宋体" w:cs="宋体"/>
                <w:sz w:val="18"/>
                <w:szCs w:val="18"/>
              </w:rPr>
              <w:t>四、账面价值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1.期末账面价值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792,622,427.50</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8,426,392.46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3,520,202.84</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804,569,022.80</w:t>
            </w:r>
          </w:p>
        </w:tc>
      </w:tr>
      <w:tr w:rsidR="00EA52D0" w:rsidTr="00EA52D0">
        <w:trPr>
          <w:trHeight w:val="240"/>
        </w:trPr>
        <w:tc>
          <w:tcPr>
            <w:tcW w:w="1000" w:type="pct"/>
            <w:tcBorders>
              <w:top w:val="single" w:sz="2" w:space="0" w:color="auto"/>
              <w:left w:val="single" w:sz="2" w:space="0" w:color="auto"/>
              <w:bottom w:val="single" w:sz="2" w:space="0" w:color="auto"/>
              <w:right w:val="single" w:sz="2" w:space="0" w:color="auto"/>
            </w:tcBorders>
            <w:shd w:val="clear" w:color="auto" w:fill="D3D3D3"/>
            <w:vAlign w:val="center"/>
          </w:tcPr>
          <w:p w:rsidR="00EA52D0" w:rsidRDefault="00EA52D0" w:rsidP="00381B41">
            <w:pPr>
              <w:spacing w:before="40" w:after="40" w:line="0" w:lineRule="atLeast"/>
              <w:rPr>
                <w:rFonts w:ascii="宋体" w:eastAsia="宋体" w:hAnsi="宋体" w:cs="宋体"/>
                <w:sz w:val="18"/>
                <w:szCs w:val="18"/>
              </w:rPr>
            </w:pPr>
            <w:r>
              <w:rPr>
                <w:rFonts w:ascii="宋体" w:eastAsia="宋体" w:hAnsi="宋体" w:cs="宋体"/>
                <w:sz w:val="18"/>
                <w:szCs w:val="18"/>
              </w:rPr>
              <w:t>2.期初账面价值</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870,182,182.16</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7,447,640.41</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1,014,150.78</w:t>
            </w:r>
          </w:p>
        </w:tc>
        <w:tc>
          <w:tcPr>
            <w:tcW w:w="1000" w:type="pct"/>
            <w:tcBorders>
              <w:top w:val="single" w:sz="2" w:space="0" w:color="auto"/>
              <w:left w:val="single" w:sz="2" w:space="0" w:color="auto"/>
              <w:bottom w:val="single" w:sz="2" w:space="0" w:color="auto"/>
              <w:right w:val="single" w:sz="2" w:space="0" w:color="auto"/>
            </w:tcBorders>
            <w:vAlign w:val="center"/>
          </w:tcPr>
          <w:p w:rsidR="00EA52D0" w:rsidRDefault="00EA52D0">
            <w:pPr>
              <w:spacing w:line="0" w:lineRule="atLeast"/>
              <w:jc w:val="right"/>
              <w:rPr>
                <w:rFonts w:ascii="宋体" w:eastAsia="宋体" w:hAnsi="宋体" w:cs="宋体"/>
                <w:sz w:val="18"/>
                <w:szCs w:val="18"/>
              </w:rPr>
            </w:pPr>
            <w:r>
              <w:rPr>
                <w:rFonts w:ascii="宋体" w:eastAsia="宋体" w:hAnsi="宋体" w:cs="宋体"/>
                <w:sz w:val="18"/>
                <w:szCs w:val="18"/>
              </w:rPr>
              <w:t>878,643,973.35</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本期末通过公司内部研发形成的无形资产占无形资产余额的比例</w:t>
      </w:r>
    </w:p>
    <w:p w:rsidR="008820E4" w:rsidRDefault="005C49A8">
      <w:pPr>
        <w:keepNext/>
        <w:keepLines/>
        <w:spacing w:before="300" w:after="300" w:line="280" w:lineRule="exact"/>
        <w:outlineLvl w:val="3"/>
        <w:rPr>
          <w:rFonts w:ascii="宋体" w:eastAsia="宋体" w:hAnsi="宋体" w:cs="宋体"/>
          <w:b/>
          <w:bCs/>
          <w:szCs w:val="21"/>
        </w:rPr>
      </w:pPr>
      <w:bookmarkStart w:id="256" w:name="_Toc989181"/>
      <w:r>
        <w:rPr>
          <w:rFonts w:ascii="宋体" w:eastAsia="宋体" w:hAnsi="宋体" w:cs="宋体"/>
          <w:b/>
          <w:bCs/>
          <w:szCs w:val="21"/>
        </w:rPr>
        <w:t>（2） 确认为无形资产的数据资源</w:t>
      </w:r>
      <w:bookmarkEnd w:id="256"/>
    </w:p>
    <w:p w:rsidR="005C49A8" w:rsidRDefault="005C49A8">
      <w:pPr>
        <w:pStyle w:val="a3"/>
        <w:divId w:val="40017663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57" w:name="_Toc989182"/>
      <w:r>
        <w:rPr>
          <w:rFonts w:ascii="宋体" w:eastAsia="宋体" w:hAnsi="宋体" w:cs="宋体"/>
          <w:b/>
          <w:bCs/>
          <w:szCs w:val="21"/>
        </w:rPr>
        <w:t>（3） 未办妥产权证书的土地使用权情况</w:t>
      </w:r>
      <w:bookmarkEnd w:id="25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未办妥产权证书的原因</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土地使用权</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3,522,996.39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尚在办理中</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3,522,996.39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58" w:name="_Toc989183"/>
      <w:r>
        <w:rPr>
          <w:rFonts w:ascii="宋体" w:eastAsia="宋体" w:hAnsi="宋体" w:cs="宋体"/>
          <w:b/>
          <w:bCs/>
          <w:szCs w:val="21"/>
        </w:rPr>
        <w:t>（4） 无形资产的减值测试情况</w:t>
      </w:r>
      <w:bookmarkEnd w:id="25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259" w:name="_Toc989184"/>
      <w:r>
        <w:rPr>
          <w:rFonts w:ascii="宋体" w:hAnsi="宋体" w:cs="宋体"/>
          <w:b/>
          <w:bCs/>
        </w:rPr>
        <w:t>27、商誉</w:t>
      </w:r>
      <w:bookmarkEnd w:id="259"/>
    </w:p>
    <w:p w:rsidR="008820E4" w:rsidRDefault="005C49A8">
      <w:pPr>
        <w:keepNext/>
        <w:keepLines/>
        <w:spacing w:before="300" w:after="300" w:line="280" w:lineRule="exact"/>
        <w:outlineLvl w:val="3"/>
        <w:rPr>
          <w:rFonts w:ascii="宋体" w:eastAsia="宋体" w:hAnsi="宋体" w:cs="宋体"/>
          <w:b/>
          <w:bCs/>
          <w:szCs w:val="21"/>
        </w:rPr>
      </w:pPr>
      <w:bookmarkStart w:id="260" w:name="_Toc989185"/>
      <w:r>
        <w:rPr>
          <w:rFonts w:ascii="宋体" w:eastAsia="宋体" w:hAnsi="宋体" w:cs="宋体"/>
          <w:b/>
          <w:bCs/>
          <w:szCs w:val="21"/>
        </w:rPr>
        <w:t>（1） 商誉账面原值</w:t>
      </w:r>
      <w:bookmarkEnd w:id="26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2754"/>
        <w:gridCol w:w="2754"/>
        <w:gridCol w:w="1377"/>
      </w:tblGrid>
      <w:tr w:rsidR="008820E4" w:rsidTr="00381B41">
        <w:trPr>
          <w:trHeight w:val="240"/>
        </w:trPr>
        <w:tc>
          <w:tcPr>
            <w:tcW w:w="1377" w:type="dxa"/>
            <w:vMerge w:val="restart"/>
            <w:tcBorders>
              <w:top w:val="single" w:sz="2" w:space="0" w:color="auto"/>
              <w:left w:val="single" w:sz="2" w:space="0" w:color="auto"/>
              <w:bottom w:val="nil"/>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CF103B" w:rsidTr="003E2157">
        <w:trPr>
          <w:trHeight w:val="240"/>
        </w:trPr>
        <w:tc>
          <w:tcPr>
            <w:tcW w:w="1377" w:type="dxa"/>
            <w:vMerge/>
            <w:tcBorders>
              <w:top w:val="nil"/>
              <w:left w:val="single" w:sz="2" w:space="0" w:color="auto"/>
              <w:bottom w:val="single" w:sz="8" w:space="0" w:color="auto"/>
              <w:right w:val="single" w:sz="2" w:space="0" w:color="auto"/>
            </w:tcBorders>
            <w:shd w:val="clear" w:color="auto" w:fill="D3D3D3"/>
            <w:vAlign w:val="center"/>
          </w:tcPr>
          <w:p w:rsidR="00CF103B" w:rsidRDefault="00CF103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rsidP="00CF103B">
            <w:pPr>
              <w:spacing w:line="0" w:lineRule="atLeast"/>
              <w:jc w:val="center"/>
              <w:rPr>
                <w:rFonts w:ascii="宋体" w:eastAsia="宋体" w:hAnsi="宋体" w:cs="宋体"/>
                <w:sz w:val="18"/>
                <w:szCs w:val="18"/>
              </w:rPr>
            </w:pPr>
            <w:r>
              <w:rPr>
                <w:rFonts w:ascii="宋体" w:eastAsia="宋体" w:hAnsi="宋体" w:cs="宋体"/>
                <w:sz w:val="18"/>
                <w:szCs w:val="18"/>
              </w:rPr>
              <w:t>企业合并形成的</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jc w:val="center"/>
              <w:rPr>
                <w:rFonts w:ascii="宋体" w:eastAsia="宋体" w:hAnsi="宋体" w:cs="宋体"/>
                <w:sz w:val="18"/>
                <w:szCs w:val="18"/>
              </w:rPr>
            </w:pPr>
            <w:r>
              <w:rPr>
                <w:rFonts w:ascii="宋体" w:eastAsia="宋体" w:hAnsi="宋体" w:cs="宋体"/>
                <w:sz w:val="18"/>
                <w:szCs w:val="18"/>
              </w:rPr>
              <w:t>处置</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r>
      <w:tr w:rsidR="00CF103B" w:rsidTr="00F62C54">
        <w:trPr>
          <w:trHeight w:val="240"/>
        </w:trPr>
        <w:tc>
          <w:tcPr>
            <w:tcW w:w="1377" w:type="dxa"/>
            <w:tcBorders>
              <w:top w:val="single" w:sz="8" w:space="0" w:color="auto"/>
              <w:left w:val="single" w:sz="2" w:space="0" w:color="auto"/>
              <w:bottom w:val="single" w:sz="8" w:space="0" w:color="auto"/>
              <w:right w:val="single" w:sz="8"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377" w:type="dxa"/>
            <w:tcBorders>
              <w:top w:val="single" w:sz="2" w:space="0" w:color="auto"/>
              <w:left w:val="single" w:sz="8"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3,861,366.21</w:t>
            </w: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p>
        </w:tc>
        <w:tc>
          <w:tcPr>
            <w:tcW w:w="2754" w:type="dxa"/>
            <w:tcBorders>
              <w:top w:val="single" w:sz="2" w:space="0" w:color="auto"/>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3,861,366.21</w:t>
            </w:r>
          </w:p>
        </w:tc>
      </w:tr>
      <w:tr w:rsidR="00CF103B" w:rsidTr="00F62C54">
        <w:trPr>
          <w:trHeight w:val="240"/>
        </w:trPr>
        <w:tc>
          <w:tcPr>
            <w:tcW w:w="1377" w:type="dxa"/>
            <w:tcBorders>
              <w:top w:val="single" w:sz="8" w:space="0" w:color="auto"/>
              <w:left w:val="single" w:sz="2" w:space="0" w:color="auto"/>
              <w:bottom w:val="single" w:sz="8" w:space="0" w:color="auto"/>
              <w:right w:val="single" w:sz="2"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147,900,475.26</w:t>
            </w: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p>
        </w:tc>
        <w:tc>
          <w:tcPr>
            <w:tcW w:w="2754" w:type="dxa"/>
            <w:tcBorders>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147,900,475.26</w:t>
            </w:r>
          </w:p>
        </w:tc>
      </w:tr>
      <w:tr w:rsidR="00CF103B" w:rsidTr="00F62C54">
        <w:trPr>
          <w:trHeight w:val="240"/>
        </w:trPr>
        <w:tc>
          <w:tcPr>
            <w:tcW w:w="1377" w:type="dxa"/>
            <w:tcBorders>
              <w:top w:val="single" w:sz="8"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r>
              <w:rPr>
                <w:rFonts w:ascii="宋体" w:eastAsia="宋体" w:hAnsi="宋体" w:cs="宋体"/>
                <w:sz w:val="18"/>
                <w:szCs w:val="18"/>
              </w:rPr>
              <w:t>16,520,000.00</w:t>
            </w:r>
          </w:p>
        </w:tc>
        <w:tc>
          <w:tcPr>
            <w:tcW w:w="2754" w:type="dxa"/>
            <w:tcBorders>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16,520,000.00</w:t>
            </w:r>
          </w:p>
        </w:tc>
      </w:tr>
      <w:tr w:rsidR="00CF103B" w:rsidTr="00F62C5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151,761,841.47</w:t>
            </w:r>
          </w:p>
        </w:tc>
        <w:tc>
          <w:tcPr>
            <w:tcW w:w="2754" w:type="dxa"/>
            <w:tcBorders>
              <w:top w:val="single" w:sz="2" w:space="0" w:color="auto"/>
              <w:left w:val="single" w:sz="2" w:space="0" w:color="auto"/>
              <w:bottom w:val="single" w:sz="2" w:space="0" w:color="auto"/>
              <w:right w:val="single" w:sz="2" w:space="0" w:color="auto"/>
            </w:tcBorders>
            <w:vAlign w:val="center"/>
          </w:tcPr>
          <w:p w:rsidR="00CF103B" w:rsidRDefault="00CF103B" w:rsidP="00CF103B">
            <w:pPr>
              <w:spacing w:line="0" w:lineRule="atLeast"/>
              <w:jc w:val="center"/>
              <w:rPr>
                <w:rFonts w:ascii="宋体" w:eastAsia="宋体" w:hAnsi="宋体" w:cs="宋体"/>
                <w:sz w:val="18"/>
                <w:szCs w:val="18"/>
              </w:rPr>
            </w:pPr>
            <w:r>
              <w:rPr>
                <w:rFonts w:ascii="宋体" w:eastAsia="宋体" w:hAnsi="宋体" w:cs="宋体"/>
                <w:sz w:val="18"/>
                <w:szCs w:val="18"/>
              </w:rPr>
              <w:t>16,520,000.00</w:t>
            </w:r>
          </w:p>
        </w:tc>
        <w:tc>
          <w:tcPr>
            <w:tcW w:w="2754" w:type="dxa"/>
            <w:tcBorders>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168,281,841.47</w:t>
            </w:r>
          </w:p>
        </w:tc>
      </w:tr>
    </w:tbl>
    <w:p w:rsidR="008820E4" w:rsidRDefault="005C49A8">
      <w:pPr>
        <w:keepNext/>
        <w:keepLines/>
        <w:spacing w:before="300" w:after="300" w:line="280" w:lineRule="exact"/>
        <w:outlineLvl w:val="3"/>
        <w:rPr>
          <w:rFonts w:ascii="宋体" w:eastAsia="宋体" w:hAnsi="宋体" w:cs="宋体"/>
          <w:b/>
          <w:bCs/>
          <w:szCs w:val="21"/>
        </w:rPr>
      </w:pPr>
      <w:bookmarkStart w:id="261" w:name="_Toc989186"/>
      <w:r>
        <w:rPr>
          <w:rFonts w:ascii="宋体" w:eastAsia="宋体" w:hAnsi="宋体" w:cs="宋体"/>
          <w:b/>
          <w:bCs/>
          <w:szCs w:val="21"/>
        </w:rPr>
        <w:lastRenderedPageBreak/>
        <w:t>（2） 商誉减值准备</w:t>
      </w:r>
      <w:bookmarkEnd w:id="26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2754"/>
        <w:gridCol w:w="2754"/>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CF103B" w:rsidTr="00C53950">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jc w:val="center"/>
              <w:rPr>
                <w:rFonts w:ascii="宋体" w:eastAsia="宋体" w:hAnsi="宋体" w:cs="宋体"/>
                <w:sz w:val="18"/>
                <w:szCs w:val="18"/>
              </w:rPr>
            </w:pPr>
            <w:r>
              <w:rPr>
                <w:rFonts w:ascii="宋体" w:eastAsia="宋体" w:hAnsi="宋体" w:cs="宋体"/>
                <w:sz w:val="18"/>
                <w:szCs w:val="18"/>
              </w:rPr>
              <w:t>计提</w:t>
            </w:r>
          </w:p>
        </w:tc>
        <w:tc>
          <w:tcPr>
            <w:tcW w:w="2754"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jc w:val="center"/>
              <w:rPr>
                <w:rFonts w:ascii="宋体" w:eastAsia="宋体" w:hAnsi="宋体" w:cs="宋体"/>
                <w:sz w:val="18"/>
                <w:szCs w:val="18"/>
              </w:rPr>
            </w:pPr>
            <w:r>
              <w:rPr>
                <w:rFonts w:ascii="宋体" w:eastAsia="宋体" w:hAnsi="宋体" w:cs="宋体"/>
                <w:sz w:val="18"/>
                <w:szCs w:val="18"/>
              </w:rPr>
              <w:t>处置</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tc>
      </w:tr>
      <w:tr w:rsidR="00CF103B" w:rsidTr="004A156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c>
          <w:tcPr>
            <w:tcW w:w="2754" w:type="dxa"/>
            <w:tcBorders>
              <w:top w:val="single" w:sz="2" w:space="0" w:color="auto"/>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2754" w:type="dxa"/>
            <w:tcBorders>
              <w:top w:val="single" w:sz="2" w:space="0" w:color="auto"/>
              <w:left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r>
      <w:tr w:rsidR="00CF103B" w:rsidTr="004A156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CF103B" w:rsidRDefault="00CF103B">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c>
          <w:tcPr>
            <w:tcW w:w="2754" w:type="dxa"/>
            <w:tcBorders>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2754" w:type="dxa"/>
            <w:tcBorders>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CF103B" w:rsidRDefault="00CF103B">
            <w:pPr>
              <w:spacing w:line="0" w:lineRule="atLeast"/>
              <w:jc w:val="right"/>
              <w:rPr>
                <w:rFonts w:ascii="宋体" w:eastAsia="宋体" w:hAnsi="宋体" w:cs="宋体"/>
                <w:sz w:val="18"/>
                <w:szCs w:val="18"/>
              </w:rPr>
            </w:pPr>
            <w:r>
              <w:rPr>
                <w:rFonts w:ascii="宋体" w:eastAsia="宋体" w:hAnsi="宋体" w:cs="宋体"/>
                <w:sz w:val="18"/>
                <w:szCs w:val="18"/>
              </w:rPr>
              <w:t>19,831,313.14</w:t>
            </w:r>
          </w:p>
        </w:tc>
      </w:tr>
    </w:tbl>
    <w:p w:rsidR="00381B41" w:rsidRDefault="005C49A8" w:rsidP="00381B41">
      <w:pPr>
        <w:keepNext/>
        <w:keepLines/>
        <w:spacing w:before="300" w:after="300" w:line="280" w:lineRule="exact"/>
        <w:outlineLvl w:val="3"/>
        <w:rPr>
          <w:rFonts w:ascii="宋体" w:eastAsia="宋体" w:hAnsi="宋体" w:cs="宋体"/>
          <w:b/>
          <w:bCs/>
          <w:szCs w:val="21"/>
        </w:rPr>
      </w:pPr>
      <w:bookmarkStart w:id="262" w:name="_Toc989187"/>
      <w:r>
        <w:rPr>
          <w:rFonts w:ascii="宋体" w:eastAsia="宋体" w:hAnsi="宋体" w:cs="宋体"/>
          <w:b/>
          <w:bCs/>
          <w:szCs w:val="21"/>
        </w:rPr>
        <w:t>（3） 商誉所在资产组或资产组组合的相关信息</w:t>
      </w:r>
      <w:bookmarkEnd w:id="262"/>
    </w:p>
    <w:p w:rsidR="008820E4" w:rsidRDefault="005C49A8" w:rsidP="00381B41">
      <w:pPr>
        <w:keepNext/>
        <w:keepLines/>
        <w:spacing w:before="300" w:after="300" w:line="280" w:lineRule="exact"/>
        <w:outlineLvl w:val="3"/>
        <w:rPr>
          <w:rFonts w:ascii="宋体" w:eastAsia="宋体" w:hAnsi="宋体" w:cs="宋体"/>
          <w:sz w:val="18"/>
          <w:szCs w:val="18"/>
        </w:rPr>
      </w:pPr>
      <w:r>
        <w:rPr>
          <w:rFonts w:ascii="宋体" w:eastAsia="宋体" w:hAnsi="宋体" w:cs="宋体"/>
          <w:sz w:val="18"/>
          <w:szCs w:val="18"/>
        </w:rPr>
        <w:t>其他说明</w:t>
      </w:r>
    </w:p>
    <w:p w:rsidR="005C49A8" w:rsidRDefault="005C49A8" w:rsidP="00381B41">
      <w:pPr>
        <w:pStyle w:val="a3"/>
        <w:ind w:firstLineChars="200" w:firstLine="360"/>
        <w:divId w:val="1611276219"/>
        <w:rPr>
          <w:sz w:val="18"/>
          <w:szCs w:val="18"/>
        </w:rPr>
      </w:pPr>
      <w:r>
        <w:rPr>
          <w:rFonts w:hint="eastAsia"/>
          <w:sz w:val="18"/>
          <w:szCs w:val="18"/>
        </w:rPr>
        <w:t>本公司子公司新疆华孚棉业于2018年1月对新疆棉花交易市场进行增资；注入增资款3,520.00万元，占总价款的100%；合并日，取得的被投资单位可辨认净资产公允价值份额为3,233.86万元，从而形成商誉386.14万元；</w:t>
      </w:r>
    </w:p>
    <w:p w:rsidR="005C49A8" w:rsidRDefault="005C49A8" w:rsidP="00381B41">
      <w:pPr>
        <w:pStyle w:val="a3"/>
        <w:ind w:firstLineChars="200" w:firstLine="360"/>
        <w:divId w:val="1611276219"/>
        <w:rPr>
          <w:sz w:val="18"/>
          <w:szCs w:val="18"/>
        </w:rPr>
      </w:pPr>
      <w:r>
        <w:rPr>
          <w:rFonts w:hint="eastAsia"/>
          <w:sz w:val="18"/>
          <w:szCs w:val="18"/>
        </w:rPr>
        <w:t>本公司子公司深圳</w:t>
      </w:r>
      <w:proofErr w:type="gramStart"/>
      <w:r>
        <w:rPr>
          <w:rFonts w:hint="eastAsia"/>
          <w:sz w:val="18"/>
          <w:szCs w:val="18"/>
        </w:rPr>
        <w:t>网链于</w:t>
      </w:r>
      <w:proofErr w:type="gramEnd"/>
      <w:r>
        <w:rPr>
          <w:rFonts w:hint="eastAsia"/>
          <w:sz w:val="18"/>
          <w:szCs w:val="18"/>
        </w:rPr>
        <w:t>2021年8月以现金27,083.00万元和持有的阿克苏纺织小商品产业园有限公司100%股权、 浙江博忆纺织科技有限公司51%股权、浙江易孚贸易有限公司70%股权向目标公司浙江鲲驰互联科技有限公司进行增资， 投资成本合计为39,161.60万元，取得的被投资单位可辨认净资产公允价值份额为24,371.55万元，从而形成商誉 14,790.05万元。</w:t>
      </w:r>
    </w:p>
    <w:p w:rsidR="005C49A8" w:rsidRDefault="005C49A8" w:rsidP="00381B41">
      <w:pPr>
        <w:pStyle w:val="a3"/>
        <w:ind w:firstLineChars="200" w:firstLine="360"/>
        <w:divId w:val="1611276219"/>
        <w:rPr>
          <w:sz w:val="18"/>
          <w:szCs w:val="18"/>
        </w:rPr>
      </w:pPr>
      <w:r>
        <w:rPr>
          <w:rFonts w:hint="eastAsia"/>
          <w:sz w:val="18"/>
          <w:szCs w:val="18"/>
        </w:rPr>
        <w:t>本公司子公司新疆华孚种业科技股份有限公司于2025年3月以现金1900万元收购新疆硕丰种业有限公司，合并日，取得的被投资单位可辨认净资产公允价值份额为248万元，从而形成商誉1652万元。</w:t>
      </w:r>
    </w:p>
    <w:p w:rsidR="005C49A8" w:rsidRDefault="005C49A8" w:rsidP="00381B41">
      <w:pPr>
        <w:pStyle w:val="a3"/>
        <w:ind w:firstLineChars="200" w:firstLine="360"/>
        <w:divId w:val="1611276219"/>
        <w:rPr>
          <w:sz w:val="18"/>
          <w:szCs w:val="18"/>
        </w:rPr>
      </w:pPr>
      <w:r>
        <w:rPr>
          <w:rFonts w:hint="eastAsia"/>
          <w:sz w:val="18"/>
          <w:szCs w:val="18"/>
        </w:rPr>
        <w:t>上述资产组与购买日所确认的资产组一致。</w:t>
      </w:r>
    </w:p>
    <w:p w:rsidR="008820E4" w:rsidRDefault="005C49A8">
      <w:pPr>
        <w:keepNext/>
        <w:keepLines/>
        <w:spacing w:before="300" w:after="300" w:line="280" w:lineRule="exact"/>
        <w:outlineLvl w:val="3"/>
        <w:rPr>
          <w:rFonts w:ascii="宋体" w:eastAsia="宋体" w:hAnsi="宋体" w:cs="宋体"/>
          <w:b/>
          <w:bCs/>
          <w:szCs w:val="21"/>
        </w:rPr>
      </w:pPr>
      <w:bookmarkStart w:id="263" w:name="_Toc989188"/>
      <w:r>
        <w:rPr>
          <w:rFonts w:ascii="宋体" w:eastAsia="宋体" w:hAnsi="宋体" w:cs="宋体"/>
          <w:b/>
          <w:bCs/>
          <w:szCs w:val="21"/>
        </w:rPr>
        <w:t>（4） 可收回金额的具体确定方法</w:t>
      </w:r>
      <w:bookmarkEnd w:id="26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381B41">
        <w:rPr>
          <w:rFonts w:ascii="宋体" w:eastAsia="宋体" w:hAnsi="宋体" w:cs="宋体" w:hint="eastAsia"/>
          <w:sz w:val="18"/>
          <w:szCs w:val="18"/>
        </w:rPr>
        <w:t>：</w:t>
      </w:r>
      <w:r>
        <w:rPr>
          <w:rFonts w:hint="eastAsia"/>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381B41">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64" w:name="_Toc989189"/>
      <w:r>
        <w:rPr>
          <w:rFonts w:ascii="宋体" w:eastAsia="宋体" w:hAnsi="宋体" w:cs="宋体"/>
          <w:b/>
          <w:bCs/>
          <w:szCs w:val="21"/>
        </w:rPr>
        <w:t>（5） 业绩承诺完成及对应商誉减值情况</w:t>
      </w:r>
      <w:bookmarkEnd w:id="26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形成商誉时存在业绩承诺</w:t>
      </w:r>
      <w:proofErr w:type="gramStart"/>
      <w:r>
        <w:rPr>
          <w:rFonts w:ascii="宋体" w:eastAsia="宋体" w:hAnsi="宋体" w:cs="宋体"/>
          <w:sz w:val="18"/>
          <w:szCs w:val="18"/>
        </w:rPr>
        <w:t>且报告</w:t>
      </w:r>
      <w:proofErr w:type="gramEnd"/>
      <w:r>
        <w:rPr>
          <w:rFonts w:ascii="宋体" w:eastAsia="宋体" w:hAnsi="宋体" w:cs="宋体"/>
          <w:sz w:val="18"/>
          <w:szCs w:val="18"/>
        </w:rPr>
        <w:t>期或报告期上一期间处于业绩承诺期内</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pPr>
        <w:pStyle w:val="a3"/>
        <w:divId w:val="1438208389"/>
        <w:rPr>
          <w:sz w:val="18"/>
          <w:szCs w:val="18"/>
        </w:rPr>
      </w:pPr>
      <w:r>
        <w:rPr>
          <w:rFonts w:hint="eastAsia"/>
          <w:sz w:val="18"/>
          <w:szCs w:val="18"/>
        </w:rPr>
        <w:t>1.商誉减值测试过程、关键参数及商誉减值损失的确认方法</w:t>
      </w:r>
    </w:p>
    <w:p w:rsidR="005C49A8" w:rsidRDefault="005C49A8" w:rsidP="00381B41">
      <w:pPr>
        <w:pStyle w:val="a3"/>
        <w:ind w:firstLineChars="100" w:firstLine="180"/>
        <w:divId w:val="1438208389"/>
        <w:rPr>
          <w:sz w:val="18"/>
          <w:szCs w:val="18"/>
        </w:rPr>
      </w:pPr>
      <w:r>
        <w:rPr>
          <w:rFonts w:hint="eastAsia"/>
          <w:sz w:val="18"/>
          <w:szCs w:val="18"/>
        </w:rPr>
        <w:t>（1）新疆棉花交易市场有限责任公司</w:t>
      </w:r>
    </w:p>
    <w:p w:rsidR="005C49A8" w:rsidRDefault="005C49A8" w:rsidP="00381B41">
      <w:pPr>
        <w:pStyle w:val="a3"/>
        <w:ind w:firstLineChars="100" w:firstLine="180"/>
        <w:divId w:val="1438208389"/>
        <w:rPr>
          <w:sz w:val="18"/>
          <w:szCs w:val="18"/>
        </w:rPr>
      </w:pPr>
      <w:r>
        <w:rPr>
          <w:rFonts w:hint="eastAsia"/>
          <w:sz w:val="18"/>
          <w:szCs w:val="18"/>
        </w:rPr>
        <w:lastRenderedPageBreak/>
        <w:t xml:space="preserve"> 新疆棉花交易市场相关资产组的可收回金额是基于以前年度的经营情况、行业发展水平及管理层对市场发展的预期等因素，采用13.98%的折现率，测算预计未来现金流量现值确定得出。报告期内新疆棉花交易市场收入和利润都较收购前有了较大幅度增长，经公司管理层测算、评估，资产组可收回金额大于账面价值，确认商誉不存在减值的迹象，故未计提减值准备。</w:t>
      </w:r>
    </w:p>
    <w:p w:rsidR="005C49A8" w:rsidRDefault="005C49A8" w:rsidP="00381B41">
      <w:pPr>
        <w:pStyle w:val="a3"/>
        <w:ind w:firstLineChars="100" w:firstLine="180"/>
        <w:divId w:val="1438208389"/>
        <w:rPr>
          <w:sz w:val="18"/>
          <w:szCs w:val="18"/>
        </w:rPr>
      </w:pPr>
      <w:r>
        <w:rPr>
          <w:rFonts w:hint="eastAsia"/>
          <w:sz w:val="18"/>
          <w:szCs w:val="18"/>
        </w:rPr>
        <w:t>（2）浙江阿大互联科技有限公司</w:t>
      </w:r>
    </w:p>
    <w:p w:rsidR="005C49A8" w:rsidRDefault="005C49A8" w:rsidP="00381B41">
      <w:pPr>
        <w:pStyle w:val="a3"/>
        <w:ind w:firstLineChars="100" w:firstLine="180"/>
        <w:divId w:val="1438208389"/>
        <w:rPr>
          <w:sz w:val="18"/>
          <w:szCs w:val="18"/>
        </w:rPr>
      </w:pPr>
      <w:r>
        <w:rPr>
          <w:rFonts w:hint="eastAsia"/>
          <w:sz w:val="18"/>
          <w:szCs w:val="18"/>
        </w:rPr>
        <w:t xml:space="preserve"> 公司依据北方</w:t>
      </w:r>
      <w:proofErr w:type="gramStart"/>
      <w:r>
        <w:rPr>
          <w:rFonts w:hint="eastAsia"/>
          <w:sz w:val="18"/>
          <w:szCs w:val="18"/>
        </w:rPr>
        <w:t>亚事资产</w:t>
      </w:r>
      <w:proofErr w:type="gramEnd"/>
      <w:r>
        <w:rPr>
          <w:rFonts w:hint="eastAsia"/>
          <w:sz w:val="18"/>
          <w:szCs w:val="18"/>
        </w:rPr>
        <w:t>评估有限责任公司出具的编号为：</w:t>
      </w:r>
      <w:proofErr w:type="gramStart"/>
      <w:r>
        <w:rPr>
          <w:rFonts w:hint="eastAsia"/>
          <w:sz w:val="18"/>
          <w:szCs w:val="18"/>
        </w:rPr>
        <w:t>北方亚事评报</w:t>
      </w:r>
      <w:proofErr w:type="gramEnd"/>
      <w:r>
        <w:rPr>
          <w:rFonts w:hint="eastAsia"/>
          <w:sz w:val="18"/>
          <w:szCs w:val="18"/>
        </w:rPr>
        <w:t>字[2025]第01-0532号评估报告信息，经测试，浙江阿大互联科技有限公司的相关资产组在2024年12月31日的账面价值为154,795,826.97元，资产可回收金额是134,964,513.83元，包含相关资产组或者资产组组合的可收回金额小于账面价值，商誉发生减值。 </w:t>
      </w:r>
    </w:p>
    <w:p w:rsidR="008820E4" w:rsidRDefault="005C49A8">
      <w:pPr>
        <w:pStyle w:val="3"/>
        <w:spacing w:line="280" w:lineRule="exact"/>
        <w:jc w:val="left"/>
        <w:rPr>
          <w:rFonts w:ascii="宋体" w:hAnsi="宋体" w:cs="宋体"/>
          <w:b/>
          <w:bCs/>
        </w:rPr>
      </w:pPr>
      <w:bookmarkStart w:id="265" w:name="_Toc989190"/>
      <w:r>
        <w:rPr>
          <w:rFonts w:ascii="宋体" w:hAnsi="宋体" w:cs="宋体"/>
          <w:b/>
          <w:bCs/>
        </w:rPr>
        <w:t>28、长期待摊费用</w:t>
      </w:r>
      <w:bookmarkEnd w:id="26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本期摊销金额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其他减少金额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装修费</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7,037,444.04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1,035,409.39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3,136,493.44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4,936,359.99</w:t>
            </w:r>
          </w:p>
        </w:tc>
      </w:tr>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机物料</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2,268,946.04</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5,127,625.66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2,784,064.26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4,612,507.44</w:t>
            </w:r>
          </w:p>
        </w:tc>
      </w:tr>
      <w:tr w:rsidR="008820E4" w:rsidTr="00381B41">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2,314,648.38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2,406,117.43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3,110,810.29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85,553.76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1,524,401.76</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11,621,038.46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8,569,152.48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9,031,367.99</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85,553.76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11,073,269.19</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66" w:name="_Toc989191"/>
      <w:r>
        <w:rPr>
          <w:rFonts w:ascii="宋体" w:hAnsi="宋体" w:cs="宋体"/>
          <w:b/>
          <w:bCs/>
        </w:rPr>
        <w:t>29、递延所得税资产/递延所得税负债</w:t>
      </w:r>
      <w:bookmarkEnd w:id="266"/>
    </w:p>
    <w:p w:rsidR="008820E4" w:rsidRDefault="005C49A8">
      <w:pPr>
        <w:keepNext/>
        <w:keepLines/>
        <w:spacing w:before="300" w:after="300" w:line="280" w:lineRule="exact"/>
        <w:outlineLvl w:val="3"/>
        <w:rPr>
          <w:rFonts w:ascii="宋体" w:eastAsia="宋体" w:hAnsi="宋体" w:cs="宋体"/>
          <w:b/>
          <w:bCs/>
          <w:szCs w:val="21"/>
        </w:rPr>
      </w:pPr>
      <w:bookmarkStart w:id="267" w:name="_Toc989192"/>
      <w:r>
        <w:rPr>
          <w:rFonts w:ascii="宋体" w:eastAsia="宋体" w:hAnsi="宋体" w:cs="宋体"/>
          <w:b/>
          <w:bCs/>
          <w:szCs w:val="21"/>
        </w:rPr>
        <w:t>（1） 未经</w:t>
      </w:r>
      <w:proofErr w:type="gramStart"/>
      <w:r>
        <w:rPr>
          <w:rFonts w:ascii="宋体" w:eastAsia="宋体" w:hAnsi="宋体" w:cs="宋体"/>
          <w:b/>
          <w:bCs/>
          <w:szCs w:val="21"/>
        </w:rPr>
        <w:t>抵销</w:t>
      </w:r>
      <w:proofErr w:type="gramEnd"/>
      <w:r>
        <w:rPr>
          <w:rFonts w:ascii="宋体" w:eastAsia="宋体" w:hAnsi="宋体" w:cs="宋体"/>
          <w:b/>
          <w:bCs/>
          <w:szCs w:val="21"/>
        </w:rPr>
        <w:t>的递延所得税资产</w:t>
      </w:r>
      <w:bookmarkEnd w:id="26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381B41" w:rsidRDefault="00381B41">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381B41">
        <w:trPr>
          <w:trHeight w:val="240"/>
        </w:trPr>
        <w:tc>
          <w:tcPr>
            <w:tcW w:w="192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381B41">
        <w:trPr>
          <w:trHeight w:val="240"/>
        </w:trPr>
        <w:tc>
          <w:tcPr>
            <w:tcW w:w="192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资产减值准备</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256,435,465.19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37,516,762.09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163,203,069.04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34,319,724.34</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内部交易未实现利润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5,096,088.26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1,274,022.06</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可抵扣亏损</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846,915,826.70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168,163,606.55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824,149,808.03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165,493,035.55</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递延收益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8,092,256.19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53,948,374.63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8,092,256.19</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交易性金融资产公允价值变动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20,824,903.23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3,935,460.22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20,150,176.89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3,766,778.63</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919,411.67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153,603.02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1,657,390.19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264,299.80</w:t>
            </w:r>
          </w:p>
        </w:tc>
      </w:tr>
      <w:tr w:rsidR="008820E4" w:rsidTr="00381B41">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1,195,022,298.81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217,861,688.07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1,068,204,907.04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213,210,116.57</w:t>
            </w:r>
          </w:p>
        </w:tc>
      </w:tr>
    </w:tbl>
    <w:p w:rsidR="008820E4" w:rsidRDefault="005C49A8">
      <w:pPr>
        <w:keepNext/>
        <w:keepLines/>
        <w:spacing w:before="300" w:after="300" w:line="280" w:lineRule="exact"/>
        <w:outlineLvl w:val="3"/>
        <w:rPr>
          <w:rFonts w:ascii="宋体" w:eastAsia="宋体" w:hAnsi="宋体" w:cs="宋体"/>
          <w:b/>
          <w:bCs/>
          <w:szCs w:val="21"/>
        </w:rPr>
      </w:pPr>
      <w:bookmarkStart w:id="268" w:name="_Toc989193"/>
      <w:r>
        <w:rPr>
          <w:rFonts w:ascii="宋体" w:eastAsia="宋体" w:hAnsi="宋体" w:cs="宋体"/>
          <w:b/>
          <w:bCs/>
          <w:szCs w:val="21"/>
        </w:rPr>
        <w:t>（2） 未经</w:t>
      </w:r>
      <w:proofErr w:type="gramStart"/>
      <w:r>
        <w:rPr>
          <w:rFonts w:ascii="宋体" w:eastAsia="宋体" w:hAnsi="宋体" w:cs="宋体"/>
          <w:b/>
          <w:bCs/>
          <w:szCs w:val="21"/>
        </w:rPr>
        <w:t>抵销</w:t>
      </w:r>
      <w:proofErr w:type="gramEnd"/>
      <w:r>
        <w:rPr>
          <w:rFonts w:ascii="宋体" w:eastAsia="宋体" w:hAnsi="宋体" w:cs="宋体"/>
          <w:b/>
          <w:bCs/>
          <w:szCs w:val="21"/>
        </w:rPr>
        <w:t>的递延所得税负债</w:t>
      </w:r>
      <w:bookmarkEnd w:id="26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递延所得税负债</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其他权益工具投资公允价值变动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51,462,360.87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7,719,354.13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20,033,017.94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3,004,952.69</w:t>
            </w: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交易性金融资产公允价值变动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715,029.84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178,757.46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715,029.85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178,757.46</w:t>
            </w: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已计提尚未收到的政</w:t>
            </w:r>
            <w:r>
              <w:rPr>
                <w:rFonts w:ascii="宋体" w:eastAsia="宋体" w:hAnsi="宋体" w:cs="宋体"/>
                <w:sz w:val="18"/>
                <w:szCs w:val="18"/>
              </w:rPr>
              <w:lastRenderedPageBreak/>
              <w:t>府补助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86,114,240.87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12,917,136.13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74,335,389.11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11,150,308.37</w:t>
            </w: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未实现内部交易损失</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14,342,078.65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2,311,497.60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381B41">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13,205.07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1,980.76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13,205.09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1,980.76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152,646,915.30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23,128,726.08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95,096,641.99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14,335,999.28</w:t>
            </w:r>
          </w:p>
        </w:tc>
      </w:tr>
    </w:tbl>
    <w:p w:rsidR="008820E4" w:rsidRDefault="005C49A8">
      <w:pPr>
        <w:keepNext/>
        <w:keepLines/>
        <w:spacing w:before="300" w:after="300" w:line="280" w:lineRule="exact"/>
        <w:outlineLvl w:val="3"/>
        <w:rPr>
          <w:rFonts w:ascii="宋体" w:eastAsia="宋体" w:hAnsi="宋体" w:cs="宋体"/>
          <w:b/>
          <w:bCs/>
          <w:szCs w:val="21"/>
        </w:rPr>
      </w:pPr>
      <w:bookmarkStart w:id="269" w:name="_Toc989194"/>
      <w:r>
        <w:rPr>
          <w:rFonts w:ascii="宋体" w:eastAsia="宋体" w:hAnsi="宋体" w:cs="宋体"/>
          <w:b/>
          <w:bCs/>
          <w:szCs w:val="21"/>
        </w:rPr>
        <w:t>（3） 以</w:t>
      </w:r>
      <w:proofErr w:type="gramStart"/>
      <w:r>
        <w:rPr>
          <w:rFonts w:ascii="宋体" w:eastAsia="宋体" w:hAnsi="宋体" w:cs="宋体"/>
          <w:b/>
          <w:bCs/>
          <w:szCs w:val="21"/>
        </w:rPr>
        <w:t>抵销</w:t>
      </w:r>
      <w:proofErr w:type="gramEnd"/>
      <w:r>
        <w:rPr>
          <w:rFonts w:ascii="宋体" w:eastAsia="宋体" w:hAnsi="宋体" w:cs="宋体"/>
          <w:b/>
          <w:bCs/>
          <w:szCs w:val="21"/>
        </w:rPr>
        <w:t>后净额列示的递延所得税资产或负债</w:t>
      </w:r>
      <w:bookmarkEnd w:id="26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递延所得税资产和负债期末互</w:t>
            </w:r>
            <w:proofErr w:type="gramStart"/>
            <w:r>
              <w:rPr>
                <w:rFonts w:ascii="宋体" w:eastAsia="宋体" w:hAnsi="宋体" w:cs="宋体"/>
                <w:sz w:val="18"/>
                <w:szCs w:val="18"/>
              </w:rPr>
              <w:t>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抵销后递延</w:t>
            </w:r>
            <w:proofErr w:type="gramEnd"/>
            <w:r>
              <w:rPr>
                <w:rFonts w:ascii="宋体" w:eastAsia="宋体" w:hAnsi="宋体" w:cs="宋体"/>
                <w:sz w:val="18"/>
                <w:szCs w:val="18"/>
              </w:rPr>
              <w:t>所得税资产或负债期末余额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递延所得税资产和负债期</w:t>
            </w:r>
            <w:proofErr w:type="gramStart"/>
            <w:r>
              <w:rPr>
                <w:rFonts w:ascii="宋体" w:eastAsia="宋体" w:hAnsi="宋体" w:cs="宋体"/>
                <w:sz w:val="18"/>
                <w:szCs w:val="18"/>
              </w:rPr>
              <w:t>初互抵金额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抵销后递延</w:t>
            </w:r>
            <w:proofErr w:type="gramEnd"/>
            <w:r>
              <w:rPr>
                <w:rFonts w:ascii="宋体" w:eastAsia="宋体" w:hAnsi="宋体" w:cs="宋体"/>
                <w:sz w:val="18"/>
                <w:szCs w:val="18"/>
              </w:rPr>
              <w:t>所得税资产或负债期初余额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217,861,688.07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213,210,116.57</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23,128,726.08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14,335,999.28</w:t>
            </w:r>
          </w:p>
        </w:tc>
      </w:tr>
    </w:tbl>
    <w:p w:rsidR="008820E4" w:rsidRDefault="005C49A8">
      <w:pPr>
        <w:keepNext/>
        <w:keepLines/>
        <w:spacing w:before="300" w:after="300" w:line="280" w:lineRule="exact"/>
        <w:outlineLvl w:val="3"/>
        <w:rPr>
          <w:rFonts w:ascii="宋体" w:eastAsia="宋体" w:hAnsi="宋体" w:cs="宋体"/>
          <w:b/>
          <w:bCs/>
          <w:szCs w:val="21"/>
        </w:rPr>
      </w:pPr>
      <w:bookmarkStart w:id="270" w:name="_Toc989195"/>
      <w:r>
        <w:rPr>
          <w:rFonts w:ascii="宋体" w:eastAsia="宋体" w:hAnsi="宋体" w:cs="宋体"/>
          <w:b/>
          <w:bCs/>
          <w:szCs w:val="21"/>
        </w:rPr>
        <w:t>（4） 未确认递延所得税资产明细</w:t>
      </w:r>
      <w:bookmarkEnd w:id="27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可抵扣亏损</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1,809,777,592.96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1,832,237,504.45</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104,505,529.33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106,100,059.37</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存货跌价准备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27,156,073.20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32,353,225.25</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4,636,290.35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6,403,118.11</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19,163,405.00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13,600,938.35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24,573,168.01</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929,282.26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1,959,676,424.19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2,021,759,762.45</w:t>
            </w:r>
          </w:p>
        </w:tc>
      </w:tr>
    </w:tbl>
    <w:p w:rsidR="008820E4" w:rsidRDefault="005C49A8">
      <w:pPr>
        <w:keepNext/>
        <w:keepLines/>
        <w:spacing w:before="300" w:after="300" w:line="280" w:lineRule="exact"/>
        <w:outlineLvl w:val="3"/>
        <w:rPr>
          <w:rFonts w:ascii="宋体" w:eastAsia="宋体" w:hAnsi="宋体" w:cs="宋体"/>
          <w:b/>
          <w:bCs/>
          <w:szCs w:val="21"/>
        </w:rPr>
      </w:pPr>
      <w:bookmarkStart w:id="271" w:name="_Toc989196"/>
      <w:r>
        <w:rPr>
          <w:rFonts w:ascii="宋体" w:eastAsia="宋体" w:hAnsi="宋体" w:cs="宋体"/>
          <w:b/>
          <w:bCs/>
          <w:szCs w:val="21"/>
        </w:rPr>
        <w:t>（5） 未确认递延所得税资产的可抵扣亏损将于以下年度到期</w:t>
      </w:r>
      <w:bookmarkEnd w:id="271"/>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72" w:name="_Toc989197"/>
      <w:r>
        <w:rPr>
          <w:rFonts w:ascii="宋体" w:hAnsi="宋体" w:cs="宋体"/>
          <w:b/>
          <w:bCs/>
        </w:rPr>
        <w:t>30、其他非流动资产</w:t>
      </w:r>
      <w:bookmarkEnd w:id="27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rsidTr="00381B41">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预付工程及设备款等</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80,652,289.73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80,652,289.73</w:t>
            </w:r>
          </w:p>
        </w:tc>
      </w:tr>
      <w:tr w:rsidR="008820E4" w:rsidTr="00381B41">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预付土地款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90,000,000.00</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158,088,354.94</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170,652,289.73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170,652,289.73</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73" w:name="_Toc989198"/>
      <w:r>
        <w:rPr>
          <w:rFonts w:ascii="宋体" w:hAnsi="宋体" w:cs="宋体"/>
          <w:b/>
          <w:bCs/>
        </w:rPr>
        <w:t>31、所有权或使用权受到限制的资产</w:t>
      </w:r>
      <w:bookmarkEnd w:id="27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受限情况</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受限情况</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2,818,024,741.04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2,818,024,741.04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票据及借款等保证</w:t>
            </w:r>
            <w:r>
              <w:rPr>
                <w:rFonts w:ascii="宋体" w:eastAsia="宋体" w:hAnsi="宋体" w:cs="宋体"/>
                <w:sz w:val="18"/>
                <w:szCs w:val="18"/>
              </w:rPr>
              <w:lastRenderedPageBreak/>
              <w:t>金</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338,342,899.49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338,342,899.49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票据及借款等保证</w:t>
            </w:r>
            <w:r>
              <w:rPr>
                <w:rFonts w:ascii="宋体" w:eastAsia="宋体" w:hAnsi="宋体" w:cs="宋体"/>
                <w:sz w:val="18"/>
                <w:szCs w:val="18"/>
              </w:rPr>
              <w:lastRenderedPageBreak/>
              <w:t>金</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应收票据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16,895,779.20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应收票据质押借款</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17,303,319.98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17,303,319.98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应收票据质押借款</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2,581,706,760.57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1,434,434,093.40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3,534,281,575.43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1,959,719,011.79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无形资产</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71,252,465.89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54,285,076.30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79,338,472.99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60,296,927.65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抵押贷款</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5,487,879,746.70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4,323,639,689.94</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3,969,266,267.89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2,375,662,158.91</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74" w:name="_Toc989199"/>
      <w:r>
        <w:rPr>
          <w:rFonts w:ascii="宋体" w:hAnsi="宋体" w:cs="宋体"/>
          <w:b/>
          <w:bCs/>
        </w:rPr>
        <w:t>32、短期借款</w:t>
      </w:r>
      <w:bookmarkEnd w:id="274"/>
    </w:p>
    <w:p w:rsidR="008820E4" w:rsidRDefault="005C49A8">
      <w:pPr>
        <w:keepNext/>
        <w:keepLines/>
        <w:spacing w:before="300" w:after="300" w:line="280" w:lineRule="exact"/>
        <w:outlineLvl w:val="3"/>
        <w:rPr>
          <w:rFonts w:ascii="宋体" w:eastAsia="宋体" w:hAnsi="宋体" w:cs="宋体"/>
          <w:b/>
          <w:bCs/>
          <w:szCs w:val="21"/>
        </w:rPr>
      </w:pPr>
      <w:bookmarkStart w:id="275" w:name="_Toc989200"/>
      <w:r>
        <w:rPr>
          <w:rFonts w:ascii="宋体" w:eastAsia="宋体" w:hAnsi="宋体" w:cs="宋体"/>
          <w:b/>
          <w:bCs/>
          <w:szCs w:val="21"/>
        </w:rPr>
        <w:t>（1） 短期借款分类</w:t>
      </w:r>
      <w:bookmarkEnd w:id="27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2,039,240,000.00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258,148,536.90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1,174,352,235.07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3,424,662,297.29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3,444,050,000.00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161,500,000.00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1,034,670,000.00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保证及抵押借款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1,166,000,000.00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944,000,000.00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保证、抵押及质押借款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1,299,990,000.00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899,390,000.00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抵押、质押借款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269,360,000.00</w:t>
            </w:r>
          </w:p>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短期借款利息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509,020.82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5,660,840.51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8,350,049,855.01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7,771,483,075.58</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短期借款分类的说明：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76" w:name="_Toc989201"/>
      <w:r>
        <w:rPr>
          <w:rFonts w:ascii="宋体" w:eastAsia="宋体" w:hAnsi="宋体" w:cs="宋体"/>
          <w:b/>
          <w:bCs/>
          <w:szCs w:val="21"/>
        </w:rPr>
        <w:t>（2） 已逾期</w:t>
      </w:r>
      <w:proofErr w:type="gramStart"/>
      <w:r>
        <w:rPr>
          <w:rFonts w:ascii="宋体" w:eastAsia="宋体" w:hAnsi="宋体" w:cs="宋体"/>
          <w:b/>
          <w:bCs/>
          <w:szCs w:val="21"/>
        </w:rPr>
        <w:t>未偿</w:t>
      </w:r>
      <w:proofErr w:type="gramEnd"/>
      <w:r>
        <w:rPr>
          <w:rFonts w:ascii="宋体" w:eastAsia="宋体" w:hAnsi="宋体" w:cs="宋体"/>
          <w:b/>
          <w:bCs/>
          <w:szCs w:val="21"/>
        </w:rPr>
        <w:t>还的短期借款情况</w:t>
      </w:r>
      <w:bookmarkEnd w:id="276"/>
    </w:p>
    <w:p w:rsidR="005C49A8" w:rsidRDefault="005C49A8">
      <w:pPr>
        <w:pStyle w:val="a3"/>
        <w:divId w:val="170860081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77" w:name="_Toc989202"/>
      <w:r>
        <w:rPr>
          <w:rFonts w:ascii="宋体" w:hAnsi="宋体" w:cs="宋体"/>
          <w:b/>
          <w:bCs/>
        </w:rPr>
        <w:t>33、交易性金融负债</w:t>
      </w:r>
      <w:bookmarkEnd w:id="27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381B41">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CF103B">
            <w:pPr>
              <w:spacing w:line="0" w:lineRule="atLeast"/>
              <w:ind w:firstLineChars="200" w:firstLine="36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199,494.26</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78" w:name="_Toc989203"/>
      <w:r>
        <w:rPr>
          <w:rFonts w:ascii="宋体" w:hAnsi="宋体" w:cs="宋体"/>
          <w:b/>
          <w:bCs/>
        </w:rPr>
        <w:t>34、衍生金融负债</w:t>
      </w:r>
      <w:bookmarkEnd w:id="278"/>
    </w:p>
    <w:p w:rsidR="005C49A8" w:rsidRDefault="005C49A8">
      <w:pPr>
        <w:pStyle w:val="a3"/>
        <w:divId w:val="1736315104"/>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79" w:name="_Toc989204"/>
      <w:r>
        <w:rPr>
          <w:rFonts w:ascii="宋体" w:hAnsi="宋体" w:cs="宋体"/>
          <w:b/>
          <w:bCs/>
        </w:rPr>
        <w:lastRenderedPageBreak/>
        <w:t>35、应付票据</w:t>
      </w:r>
      <w:bookmarkEnd w:id="27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种类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银行承兑汇票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74,869,282.09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66,703,857.91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74,869,282.09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66,703,857.91</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w:t>
      </w:r>
      <w:proofErr w:type="gramStart"/>
      <w:r>
        <w:rPr>
          <w:rFonts w:ascii="宋体" w:eastAsia="宋体" w:hAnsi="宋体" w:cs="宋体"/>
          <w:sz w:val="18"/>
          <w:szCs w:val="18"/>
        </w:rPr>
        <w:t>期末已</w:t>
      </w:r>
      <w:proofErr w:type="gramEnd"/>
      <w:r>
        <w:rPr>
          <w:rFonts w:ascii="宋体" w:eastAsia="宋体" w:hAnsi="宋体" w:cs="宋体"/>
          <w:sz w:val="18"/>
          <w:szCs w:val="18"/>
        </w:rPr>
        <w:t>到期未支付的应付票据总额为0.00元，到期未付的原因为无。</w:t>
      </w:r>
    </w:p>
    <w:p w:rsidR="008820E4" w:rsidRDefault="005C49A8">
      <w:pPr>
        <w:pStyle w:val="3"/>
        <w:spacing w:line="280" w:lineRule="exact"/>
        <w:jc w:val="left"/>
        <w:rPr>
          <w:rFonts w:ascii="宋体" w:hAnsi="宋体" w:cs="宋体"/>
          <w:b/>
          <w:bCs/>
        </w:rPr>
      </w:pPr>
      <w:bookmarkStart w:id="280" w:name="_Toc989205"/>
      <w:r>
        <w:rPr>
          <w:rFonts w:ascii="宋体" w:hAnsi="宋体" w:cs="宋体"/>
          <w:b/>
          <w:bCs/>
        </w:rPr>
        <w:t>36、应付账款</w:t>
      </w:r>
      <w:bookmarkEnd w:id="280"/>
    </w:p>
    <w:p w:rsidR="008820E4" w:rsidRDefault="005C49A8">
      <w:pPr>
        <w:keepNext/>
        <w:keepLines/>
        <w:spacing w:before="300" w:after="300" w:line="280" w:lineRule="exact"/>
        <w:outlineLvl w:val="3"/>
        <w:rPr>
          <w:rFonts w:ascii="宋体" w:eastAsia="宋体" w:hAnsi="宋体" w:cs="宋体"/>
          <w:b/>
          <w:bCs/>
          <w:sz w:val="18"/>
          <w:szCs w:val="18"/>
        </w:rPr>
      </w:pPr>
      <w:bookmarkStart w:id="281" w:name="_Toc989206"/>
      <w:r>
        <w:rPr>
          <w:rFonts w:ascii="宋体" w:eastAsia="宋体" w:hAnsi="宋体" w:cs="宋体"/>
          <w:b/>
          <w:bCs/>
          <w:sz w:val="18"/>
          <w:szCs w:val="18"/>
        </w:rPr>
        <w:t>（1） 应付账款列示</w:t>
      </w:r>
      <w:bookmarkEnd w:id="28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应付货款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870,261,047.09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700,424,592.87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应付工程款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75,201,209.46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107,171,647.86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应付设备款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91,410,024.23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54,029,744.22</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13,087,016.26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17,199,552.83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1,049,959,297.04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878,825,537.78</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282" w:name="_Toc989207"/>
      <w:r>
        <w:rPr>
          <w:rFonts w:ascii="宋体" w:eastAsia="宋体" w:hAnsi="宋体" w:cs="宋体"/>
          <w:b/>
          <w:bCs/>
          <w:sz w:val="18"/>
          <w:szCs w:val="18"/>
        </w:rPr>
        <w:t>（2） 账龄超过1年或逾期的重要应付账款</w:t>
      </w:r>
      <w:bookmarkEnd w:id="28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新疆九州建设集团有限公司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1,101,000.00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未达到结算条件</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1,101,000.00</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283" w:name="_Toc989208"/>
      <w:r>
        <w:rPr>
          <w:rFonts w:ascii="宋体" w:hAnsi="宋体" w:cs="宋体"/>
          <w:b/>
          <w:bCs/>
        </w:rPr>
        <w:t>37、其他应付款</w:t>
      </w:r>
      <w:bookmarkEnd w:id="28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bl>
    <w:p w:rsidR="008820E4" w:rsidRDefault="005C49A8">
      <w:pPr>
        <w:keepNext/>
        <w:keepLines/>
        <w:spacing w:before="300" w:after="300" w:line="280" w:lineRule="exact"/>
        <w:outlineLvl w:val="3"/>
        <w:rPr>
          <w:rFonts w:ascii="宋体" w:eastAsia="宋体" w:hAnsi="宋体" w:cs="宋体"/>
          <w:b/>
          <w:bCs/>
          <w:szCs w:val="21"/>
        </w:rPr>
      </w:pPr>
      <w:bookmarkStart w:id="284" w:name="_Toc989209"/>
      <w:r>
        <w:rPr>
          <w:rFonts w:ascii="宋体" w:eastAsia="宋体" w:hAnsi="宋体" w:cs="宋体"/>
          <w:b/>
          <w:bCs/>
          <w:szCs w:val="21"/>
        </w:rPr>
        <w:t>（1） 应付利息</w:t>
      </w:r>
      <w:bookmarkEnd w:id="284"/>
    </w:p>
    <w:p w:rsidR="005C49A8" w:rsidRDefault="005C49A8">
      <w:pPr>
        <w:pStyle w:val="a3"/>
        <w:divId w:val="1406686626"/>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85" w:name="_Toc989210"/>
      <w:r>
        <w:rPr>
          <w:rFonts w:ascii="宋体" w:eastAsia="宋体" w:hAnsi="宋体" w:cs="宋体"/>
          <w:b/>
          <w:bCs/>
          <w:szCs w:val="21"/>
        </w:rPr>
        <w:t>（2） 应付股利</w:t>
      </w:r>
      <w:bookmarkEnd w:id="285"/>
    </w:p>
    <w:p w:rsidR="005C49A8" w:rsidRDefault="005C49A8">
      <w:pPr>
        <w:pStyle w:val="a3"/>
        <w:divId w:val="128693523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286" w:name="_Toc989211"/>
      <w:r>
        <w:rPr>
          <w:rFonts w:ascii="宋体" w:eastAsia="宋体" w:hAnsi="宋体" w:cs="宋体"/>
          <w:b/>
          <w:bCs/>
          <w:szCs w:val="21"/>
        </w:rPr>
        <w:lastRenderedPageBreak/>
        <w:t>（3） 其他应付款</w:t>
      </w:r>
      <w:bookmarkEnd w:id="286"/>
    </w:p>
    <w:p w:rsidR="008820E4" w:rsidRDefault="005C49A8">
      <w:pPr>
        <w:keepNext/>
        <w:keepLines/>
        <w:spacing w:before="300" w:after="300" w:line="280" w:lineRule="exact"/>
        <w:outlineLvl w:val="4"/>
        <w:rPr>
          <w:rFonts w:ascii="宋体" w:eastAsia="宋体" w:hAnsi="宋体" w:cs="宋体"/>
          <w:b/>
          <w:bCs/>
          <w:sz w:val="18"/>
          <w:szCs w:val="18"/>
        </w:rPr>
      </w:pPr>
      <w:bookmarkStart w:id="287" w:name="_Toc989212"/>
      <w:r>
        <w:rPr>
          <w:rFonts w:ascii="宋体" w:eastAsia="宋体" w:hAnsi="宋体" w:cs="宋体"/>
          <w:b/>
          <w:bCs/>
          <w:sz w:val="18"/>
          <w:szCs w:val="18"/>
        </w:rPr>
        <w:t>1） 按款项性质列示其他应付款</w:t>
      </w:r>
      <w:bookmarkEnd w:id="28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质保金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3,242,262.76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1,171,193.70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押金及保证金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46,497,182.47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67,647,395.24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20,437,212.60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19,326,328.26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暂收款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20,503,572.97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19,442,264.67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运费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20,388,712.61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31,220,403.99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5,887,726.70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5,887,828.70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其他预提费用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19,296,615.31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11,504,296.11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136,253,285.42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156,199,710.67</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288" w:name="_Toc989213"/>
      <w:r>
        <w:rPr>
          <w:rFonts w:ascii="宋体" w:eastAsia="宋体" w:hAnsi="宋体" w:cs="宋体"/>
          <w:b/>
          <w:bCs/>
          <w:sz w:val="18"/>
          <w:szCs w:val="18"/>
        </w:rPr>
        <w:t>2） 账龄超过1年或逾期的重要其他应付款</w:t>
      </w:r>
      <w:bookmarkEnd w:id="28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双五千资金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9,325,675.25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尚未拨付给员工</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应交土地费用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5,887,726.70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未支付</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15,213,401.95</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89" w:name="_Toc989214"/>
      <w:r>
        <w:rPr>
          <w:rFonts w:ascii="宋体" w:hAnsi="宋体" w:cs="宋体"/>
          <w:b/>
          <w:bCs/>
        </w:rPr>
        <w:t>38、预收款项</w:t>
      </w:r>
      <w:bookmarkEnd w:id="289"/>
    </w:p>
    <w:p w:rsidR="008820E4" w:rsidRDefault="005C49A8">
      <w:pPr>
        <w:keepNext/>
        <w:keepLines/>
        <w:spacing w:before="300" w:after="300" w:line="280" w:lineRule="exact"/>
        <w:outlineLvl w:val="3"/>
        <w:rPr>
          <w:rFonts w:ascii="宋体" w:eastAsia="宋体" w:hAnsi="宋体" w:cs="宋体"/>
          <w:b/>
          <w:bCs/>
          <w:szCs w:val="21"/>
        </w:rPr>
      </w:pPr>
      <w:bookmarkStart w:id="290" w:name="_Toc989215"/>
      <w:r>
        <w:rPr>
          <w:rFonts w:ascii="宋体" w:eastAsia="宋体" w:hAnsi="宋体" w:cs="宋体"/>
          <w:b/>
          <w:bCs/>
          <w:szCs w:val="21"/>
        </w:rPr>
        <w:t>（1） 预收款项列示</w:t>
      </w:r>
      <w:bookmarkEnd w:id="29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预收租金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11,132,758.67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7,589,549.18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11,132,758.67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7,589,549.18</w:t>
            </w:r>
          </w:p>
        </w:tc>
      </w:tr>
    </w:tbl>
    <w:p w:rsidR="008820E4" w:rsidRDefault="005C49A8">
      <w:pPr>
        <w:keepNext/>
        <w:keepLines/>
        <w:spacing w:before="300" w:after="300" w:line="280" w:lineRule="exact"/>
        <w:outlineLvl w:val="3"/>
        <w:rPr>
          <w:rFonts w:ascii="宋体" w:eastAsia="宋体" w:hAnsi="宋体" w:cs="宋体"/>
          <w:b/>
          <w:bCs/>
          <w:szCs w:val="21"/>
        </w:rPr>
      </w:pPr>
      <w:bookmarkStart w:id="291" w:name="_Toc989216"/>
      <w:r>
        <w:rPr>
          <w:rFonts w:ascii="宋体" w:eastAsia="宋体" w:hAnsi="宋体" w:cs="宋体"/>
          <w:b/>
          <w:bCs/>
          <w:szCs w:val="21"/>
        </w:rPr>
        <w:t>（2） 账龄超过1年或逾期的重要预收款项</w:t>
      </w:r>
      <w:bookmarkEnd w:id="291"/>
    </w:p>
    <w:p w:rsidR="005C49A8" w:rsidRDefault="005C49A8">
      <w:pPr>
        <w:pStyle w:val="a3"/>
        <w:divId w:val="157909691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92" w:name="_Toc989217"/>
      <w:r>
        <w:rPr>
          <w:rFonts w:ascii="宋体" w:hAnsi="宋体" w:cs="宋体"/>
          <w:b/>
          <w:bCs/>
        </w:rPr>
        <w:t>39、合同负债</w:t>
      </w:r>
      <w:bookmarkEnd w:id="29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预收货款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603,682,521.14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557,556,525.74</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账龄超过1年的重要合同负债</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proofErr w:type="gramStart"/>
            <w:r>
              <w:rPr>
                <w:rFonts w:ascii="宋体" w:eastAsia="宋体" w:hAnsi="宋体" w:cs="宋体"/>
                <w:sz w:val="18"/>
                <w:szCs w:val="18"/>
              </w:rPr>
              <w:t>未偿</w:t>
            </w:r>
            <w:proofErr w:type="gramEnd"/>
            <w:r>
              <w:rPr>
                <w:rFonts w:ascii="宋体" w:eastAsia="宋体" w:hAnsi="宋体" w:cs="宋体"/>
                <w:sz w:val="18"/>
                <w:szCs w:val="18"/>
              </w:rPr>
              <w:t>还或结转的原因</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库车利华纺织有限公司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1,179,245.28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未达到结算条件</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1,179,245.28</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pStyle w:val="3"/>
        <w:spacing w:line="280" w:lineRule="exact"/>
        <w:jc w:val="left"/>
        <w:rPr>
          <w:rFonts w:ascii="宋体" w:hAnsi="宋体" w:cs="宋体"/>
          <w:b/>
          <w:bCs/>
        </w:rPr>
      </w:pPr>
      <w:bookmarkStart w:id="293" w:name="_Toc989218"/>
      <w:r>
        <w:rPr>
          <w:rFonts w:ascii="宋体" w:hAnsi="宋体" w:cs="宋体"/>
          <w:b/>
          <w:bCs/>
        </w:rPr>
        <w:lastRenderedPageBreak/>
        <w:t>40、应付职工薪</w:t>
      </w:r>
      <w:proofErr w:type="gramStart"/>
      <w:r>
        <w:rPr>
          <w:rFonts w:ascii="宋体" w:hAnsi="宋体" w:cs="宋体"/>
          <w:b/>
          <w:bCs/>
        </w:rPr>
        <w:t>酬</w:t>
      </w:r>
      <w:bookmarkEnd w:id="293"/>
      <w:proofErr w:type="gramEnd"/>
    </w:p>
    <w:p w:rsidR="008820E4" w:rsidRDefault="005C49A8">
      <w:pPr>
        <w:keepNext/>
        <w:keepLines/>
        <w:spacing w:before="300" w:after="300" w:line="280" w:lineRule="exact"/>
        <w:outlineLvl w:val="3"/>
        <w:rPr>
          <w:rFonts w:ascii="宋体" w:eastAsia="宋体" w:hAnsi="宋体" w:cs="宋体"/>
          <w:b/>
          <w:bCs/>
          <w:szCs w:val="21"/>
        </w:rPr>
      </w:pPr>
      <w:bookmarkStart w:id="294" w:name="_Toc989219"/>
      <w:r>
        <w:rPr>
          <w:rFonts w:ascii="宋体" w:eastAsia="宋体" w:hAnsi="宋体" w:cs="宋体"/>
          <w:b/>
          <w:bCs/>
          <w:szCs w:val="21"/>
        </w:rPr>
        <w:t>（1） 应付职工薪</w:t>
      </w:r>
      <w:proofErr w:type="gramStart"/>
      <w:r>
        <w:rPr>
          <w:rFonts w:ascii="宋体" w:eastAsia="宋体" w:hAnsi="宋体" w:cs="宋体"/>
          <w:b/>
          <w:bCs/>
          <w:szCs w:val="21"/>
        </w:rPr>
        <w:t>酬</w:t>
      </w:r>
      <w:proofErr w:type="gramEnd"/>
      <w:r>
        <w:rPr>
          <w:rFonts w:ascii="宋体" w:eastAsia="宋体" w:hAnsi="宋体" w:cs="宋体"/>
          <w:b/>
          <w:bCs/>
          <w:szCs w:val="21"/>
        </w:rPr>
        <w:t>列示</w:t>
      </w:r>
      <w:bookmarkEnd w:id="29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一、短期薪酬</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70,461,124.45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394,719,398.13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408,808,375.39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56,372,147.19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二、离职后福利-设定提存计划</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761,966.95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27,538,393.12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27,410,324.29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890,035.78</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三、辞退福利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139,381.00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139,381.00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71,223,091.40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422,397,172.25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436,358,080.68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57,262,182.97</w:t>
            </w:r>
          </w:p>
        </w:tc>
      </w:tr>
    </w:tbl>
    <w:p w:rsidR="008820E4" w:rsidRDefault="005C49A8">
      <w:pPr>
        <w:keepNext/>
        <w:keepLines/>
        <w:spacing w:before="300" w:after="300" w:line="280" w:lineRule="exact"/>
        <w:outlineLvl w:val="3"/>
        <w:rPr>
          <w:rFonts w:ascii="宋体" w:eastAsia="宋体" w:hAnsi="宋体" w:cs="宋体"/>
          <w:b/>
          <w:bCs/>
          <w:szCs w:val="21"/>
        </w:rPr>
      </w:pPr>
      <w:bookmarkStart w:id="295" w:name="_Toc989220"/>
      <w:r>
        <w:rPr>
          <w:rFonts w:ascii="宋体" w:eastAsia="宋体" w:hAnsi="宋体" w:cs="宋体"/>
          <w:b/>
          <w:bCs/>
          <w:szCs w:val="21"/>
        </w:rPr>
        <w:t>（2） 短期薪酬列示</w:t>
      </w:r>
      <w:bookmarkEnd w:id="29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1、工资、奖金、津贴和补贴</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64,221,214.51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372,165,062.44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386,051,868.92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50,334,408.03</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2、职工福利费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566,717.44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4,800,551.39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4,789,090.85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578,177.98</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3、社会保险费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2,946,232.67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14,685,560.13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16,092,525.71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1,539,267.09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其中：医疗保险费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2,900,578.05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13,074,754.34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14,483,816.24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1,491,516.15</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工伤保险费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45,654.62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1,508,534.31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1,506,437.99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47,750.94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生育保险费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102,271.48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102,271.48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4、住房公积金</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117,147.00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1,010,428.76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1,010,928.76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116,647.00</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5、工会经费和职工教育经费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2,609,812.83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2,057,795.41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863,961.15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3,803,647.09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70,461,124.45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394,719,398.13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408,808,375.39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56,372,147.19</w:t>
            </w:r>
          </w:p>
        </w:tc>
      </w:tr>
    </w:tbl>
    <w:p w:rsidR="008820E4" w:rsidRDefault="005C49A8">
      <w:pPr>
        <w:keepNext/>
        <w:keepLines/>
        <w:spacing w:before="300" w:after="300" w:line="280" w:lineRule="exact"/>
        <w:outlineLvl w:val="3"/>
        <w:rPr>
          <w:rFonts w:ascii="宋体" w:eastAsia="宋体" w:hAnsi="宋体" w:cs="宋体"/>
          <w:b/>
          <w:bCs/>
          <w:szCs w:val="21"/>
        </w:rPr>
      </w:pPr>
      <w:bookmarkStart w:id="296" w:name="_Toc989221"/>
      <w:r>
        <w:rPr>
          <w:rFonts w:ascii="宋体" w:eastAsia="宋体" w:hAnsi="宋体" w:cs="宋体"/>
          <w:b/>
          <w:bCs/>
          <w:szCs w:val="21"/>
        </w:rPr>
        <w:t>（3） 设定提存计划列示</w:t>
      </w:r>
      <w:bookmarkEnd w:id="29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1、基本养老保险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666,950.06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26,706,513.27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26,580,770.14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792,693.19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2、失业保险费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95,016.89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831,879.85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829,554.15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97,342.59</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761,966.95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27,538,393.12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27,410,324.29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890,035.78</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97" w:name="_Toc989222"/>
      <w:r>
        <w:rPr>
          <w:rFonts w:ascii="宋体" w:hAnsi="宋体" w:cs="宋体"/>
          <w:b/>
          <w:bCs/>
        </w:rPr>
        <w:t>41、应交税费</w:t>
      </w:r>
      <w:bookmarkEnd w:id="29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增值税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26,367,706.86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8,699,137.52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企业所得税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5,391,239.69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14,017,357.47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个人所得税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2,816,427.07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1,621,731.87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860,530.07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689,024.84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4,795,241.95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5,581,658.99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土地使用税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3,908,872.36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6,749,295.27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615,017.72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485,006.17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4,078,752.01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4,870,191.24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48,833,787.73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42,713,403.37</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298" w:name="_Toc989223"/>
      <w:r>
        <w:rPr>
          <w:rFonts w:ascii="宋体" w:hAnsi="宋体" w:cs="宋体"/>
          <w:b/>
          <w:bCs/>
        </w:rPr>
        <w:t>42、持有待售负债</w:t>
      </w:r>
      <w:bookmarkEnd w:id="298"/>
    </w:p>
    <w:p w:rsidR="005C49A8" w:rsidRDefault="005C49A8">
      <w:pPr>
        <w:pStyle w:val="a3"/>
        <w:divId w:val="17631503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299" w:name="_Toc989224"/>
      <w:r>
        <w:rPr>
          <w:rFonts w:ascii="宋体" w:hAnsi="宋体" w:cs="宋体"/>
          <w:b/>
          <w:bCs/>
        </w:rPr>
        <w:t>43、一年内到期的非流动负债</w:t>
      </w:r>
      <w:bookmarkEnd w:id="29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441,696,000.00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312,180,000.00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3,419,820.65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4,281,566.77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计提的长期借款利息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651,305.33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1,355,306.65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445,767,125.98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317,816,873.42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00" w:name="_Toc989225"/>
      <w:r>
        <w:rPr>
          <w:rFonts w:ascii="宋体" w:hAnsi="宋体" w:cs="宋体"/>
          <w:b/>
          <w:bCs/>
        </w:rPr>
        <w:t>44、其他流动负债</w:t>
      </w:r>
      <w:bookmarkEnd w:id="30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EA52D0">
            <w:pPr>
              <w:spacing w:line="0" w:lineRule="atLeast"/>
              <w:rPr>
                <w:rFonts w:ascii="宋体" w:eastAsia="宋体" w:hAnsi="宋体" w:cs="宋体"/>
                <w:sz w:val="18"/>
                <w:szCs w:val="18"/>
              </w:rPr>
            </w:pPr>
            <w:r w:rsidRPr="00EA52D0">
              <w:rPr>
                <w:rFonts w:ascii="宋体" w:eastAsia="宋体" w:hAnsi="宋体" w:cs="宋体" w:hint="eastAsia"/>
                <w:sz w:val="18"/>
                <w:szCs w:val="18"/>
              </w:rPr>
              <w:t>待结转增值税额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51,230,493.75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60,619,344.22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51,230,493.75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60,619,344.22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01" w:name="_Toc989226"/>
      <w:r>
        <w:rPr>
          <w:rFonts w:ascii="宋体" w:hAnsi="宋体" w:cs="宋体"/>
          <w:b/>
          <w:bCs/>
        </w:rPr>
        <w:t>45、长期借款</w:t>
      </w:r>
      <w:bookmarkEnd w:id="301"/>
    </w:p>
    <w:p w:rsidR="008820E4" w:rsidRDefault="005C49A8">
      <w:pPr>
        <w:keepNext/>
        <w:keepLines/>
        <w:spacing w:before="300" w:after="300" w:line="280" w:lineRule="exact"/>
        <w:outlineLvl w:val="3"/>
        <w:rPr>
          <w:rFonts w:ascii="宋体" w:eastAsia="宋体" w:hAnsi="宋体" w:cs="宋体"/>
          <w:b/>
          <w:bCs/>
          <w:sz w:val="18"/>
          <w:szCs w:val="18"/>
        </w:rPr>
      </w:pPr>
      <w:bookmarkStart w:id="302" w:name="_Toc989227"/>
      <w:r>
        <w:rPr>
          <w:rFonts w:ascii="宋体" w:eastAsia="宋体" w:hAnsi="宋体" w:cs="宋体"/>
          <w:b/>
          <w:bCs/>
          <w:sz w:val="18"/>
          <w:szCs w:val="18"/>
        </w:rPr>
        <w:t>（1） 长期借款分类</w:t>
      </w:r>
      <w:bookmarkEnd w:id="30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413,991,436.67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414,182,438.84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555,600,000.00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299,980,000.00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3,642,973.62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35,067,415.43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保证、抵押借款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453,806,000.00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381,806,000.00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未到期应付利息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651,305.33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1,355,306.65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-442,347,305.33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-313,535,306.65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985,344,410.29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818,855,854.27</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长期借款分类的说明：</w:t>
      </w:r>
      <w:r>
        <w:rPr>
          <w:rFonts w:hint="eastAsia"/>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其他说明，包括利率区间：</w:t>
      </w:r>
      <w:r>
        <w:rPr>
          <w:rFonts w:hint="eastAsia"/>
          <w:sz w:val="18"/>
          <w:szCs w:val="18"/>
        </w:rPr>
        <w:t>无</w:t>
      </w:r>
    </w:p>
    <w:p w:rsidR="008820E4" w:rsidRDefault="005C49A8">
      <w:pPr>
        <w:pStyle w:val="3"/>
        <w:spacing w:line="280" w:lineRule="exact"/>
        <w:jc w:val="left"/>
        <w:rPr>
          <w:rFonts w:ascii="宋体" w:hAnsi="宋体" w:cs="宋体"/>
          <w:b/>
          <w:bCs/>
        </w:rPr>
      </w:pPr>
      <w:bookmarkStart w:id="303" w:name="_Toc989228"/>
      <w:r>
        <w:rPr>
          <w:rFonts w:ascii="宋体" w:hAnsi="宋体" w:cs="宋体"/>
          <w:b/>
          <w:bCs/>
        </w:rPr>
        <w:lastRenderedPageBreak/>
        <w:t>46、应付债券</w:t>
      </w:r>
      <w:bookmarkEnd w:id="303"/>
    </w:p>
    <w:p w:rsidR="008820E4" w:rsidRDefault="005C49A8">
      <w:pPr>
        <w:keepNext/>
        <w:keepLines/>
        <w:spacing w:before="300" w:after="300" w:line="280" w:lineRule="exact"/>
        <w:outlineLvl w:val="3"/>
        <w:rPr>
          <w:rFonts w:ascii="宋体" w:eastAsia="宋体" w:hAnsi="宋体" w:cs="宋体"/>
          <w:b/>
          <w:bCs/>
          <w:szCs w:val="21"/>
        </w:rPr>
      </w:pPr>
      <w:bookmarkStart w:id="304" w:name="_Toc989229"/>
      <w:r>
        <w:rPr>
          <w:rFonts w:ascii="宋体" w:eastAsia="宋体" w:hAnsi="宋体" w:cs="宋体"/>
          <w:b/>
          <w:bCs/>
          <w:szCs w:val="21"/>
        </w:rPr>
        <w:t>（1） 应付债券</w:t>
      </w:r>
      <w:bookmarkEnd w:id="304"/>
    </w:p>
    <w:p w:rsidR="00381B41" w:rsidRDefault="00381B41" w:rsidP="00381B41">
      <w:pPr>
        <w:spacing w:before="100" w:after="100" w:line="240" w:lineRule="exact"/>
        <w:rPr>
          <w:rFonts w:ascii="宋体" w:eastAsia="宋体" w:hAnsi="宋体" w:cs="宋体"/>
          <w:sz w:val="18"/>
          <w:szCs w:val="18"/>
        </w:rPr>
      </w:pPr>
      <w:bookmarkStart w:id="305" w:name="_Toc989230"/>
      <w:r>
        <w:rPr>
          <w:rFonts w:ascii="宋体" w:eastAsia="宋体" w:hAnsi="宋体" w:cs="宋体" w:hint="eastAsia"/>
          <w:sz w:val="18"/>
          <w:szCs w:val="18"/>
        </w:rPr>
        <w:t>无</w:t>
      </w:r>
    </w:p>
    <w:p w:rsidR="008820E4" w:rsidRDefault="00381B41">
      <w:pPr>
        <w:keepNext/>
        <w:keepLines/>
        <w:spacing w:before="300" w:after="300" w:line="280" w:lineRule="exact"/>
        <w:outlineLvl w:val="3"/>
        <w:rPr>
          <w:rFonts w:ascii="宋体" w:eastAsia="宋体" w:hAnsi="宋体" w:cs="宋体"/>
          <w:b/>
          <w:bCs/>
          <w:szCs w:val="21"/>
        </w:rPr>
      </w:pPr>
      <w:r>
        <w:rPr>
          <w:rFonts w:ascii="宋体" w:eastAsia="宋体" w:hAnsi="宋体" w:cs="宋体"/>
          <w:b/>
          <w:bCs/>
          <w:szCs w:val="21"/>
        </w:rPr>
        <w:t>（2） 应付债券的增减变动（不包括划分为金融负债的优先股、永续债等其他金融工具）</w:t>
      </w:r>
      <w:bookmarkEnd w:id="305"/>
    </w:p>
    <w:p w:rsidR="00381B41" w:rsidRDefault="00381B41" w:rsidP="00381B41">
      <w:pPr>
        <w:spacing w:before="100" w:after="100" w:line="240" w:lineRule="exact"/>
        <w:rPr>
          <w:rFonts w:ascii="宋体" w:eastAsia="宋体" w:hAnsi="宋体" w:cs="宋体"/>
          <w:sz w:val="18"/>
          <w:szCs w:val="18"/>
        </w:rPr>
      </w:pPr>
      <w:bookmarkStart w:id="306" w:name="_Toc989231"/>
      <w:r>
        <w:rPr>
          <w:rFonts w:ascii="宋体" w:eastAsia="宋体" w:hAnsi="宋体" w:cs="宋体"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r>
        <w:rPr>
          <w:rFonts w:ascii="宋体" w:eastAsia="宋体" w:hAnsi="宋体" w:cs="宋体"/>
          <w:b/>
          <w:bCs/>
          <w:szCs w:val="21"/>
        </w:rPr>
        <w:t>（3） 可转换公司债</w:t>
      </w:r>
      <w:proofErr w:type="gramStart"/>
      <w:r>
        <w:rPr>
          <w:rFonts w:ascii="宋体" w:eastAsia="宋体" w:hAnsi="宋体" w:cs="宋体"/>
          <w:b/>
          <w:bCs/>
          <w:szCs w:val="21"/>
        </w:rPr>
        <w:t>券</w:t>
      </w:r>
      <w:proofErr w:type="gramEnd"/>
      <w:r>
        <w:rPr>
          <w:rFonts w:ascii="宋体" w:eastAsia="宋体" w:hAnsi="宋体" w:cs="宋体"/>
          <w:b/>
          <w:bCs/>
          <w:szCs w:val="21"/>
        </w:rPr>
        <w:t>的说明</w:t>
      </w:r>
      <w:bookmarkEnd w:id="306"/>
    </w:p>
    <w:p w:rsidR="005C49A8" w:rsidRDefault="005C49A8">
      <w:pPr>
        <w:pStyle w:val="a3"/>
        <w:divId w:val="186767596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07" w:name="_Toc989232"/>
      <w:r>
        <w:rPr>
          <w:rFonts w:ascii="宋体" w:eastAsia="宋体" w:hAnsi="宋体" w:cs="宋体"/>
          <w:b/>
          <w:bCs/>
          <w:szCs w:val="21"/>
        </w:rPr>
        <w:t>（4） 划分为金融负债的其他金融工具说明</w:t>
      </w:r>
      <w:bookmarkEnd w:id="307"/>
    </w:p>
    <w:p w:rsidR="005C49A8" w:rsidRPr="00132FE9" w:rsidRDefault="005C49A8" w:rsidP="00132FE9">
      <w:pPr>
        <w:spacing w:before="100" w:after="100" w:line="240" w:lineRule="exact"/>
        <w:rPr>
          <w:rFonts w:ascii="宋体" w:eastAsia="宋体" w:hAnsi="宋体" w:cs="宋体"/>
          <w:sz w:val="18"/>
          <w:szCs w:val="18"/>
        </w:rPr>
      </w:pPr>
      <w:r>
        <w:rPr>
          <w:rFonts w:ascii="宋体" w:eastAsia="宋体" w:hAnsi="宋体" w:cs="宋体"/>
          <w:sz w:val="18"/>
          <w:szCs w:val="18"/>
        </w:rPr>
        <w:t>期末发行在外的优先股、永续债等其他金融工具基本情况</w:t>
      </w:r>
      <w:r w:rsidR="00132FE9">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期末发行在外的优先股、永续债等金融工具变动情况表</w:t>
      </w:r>
      <w:r w:rsidR="00132FE9">
        <w:rPr>
          <w:rFonts w:ascii="宋体" w:eastAsia="宋体" w:hAnsi="宋体" w:cs="宋体"/>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其他金融工具划分为金融负债的依据说明</w:t>
      </w:r>
      <w:r w:rsidR="00381B41">
        <w:rPr>
          <w:rFonts w:ascii="宋体" w:eastAsia="宋体" w:hAnsi="宋体" w:cs="宋体" w:hint="eastAsia"/>
          <w:sz w:val="18"/>
          <w:szCs w:val="18"/>
        </w:rPr>
        <w:t>：</w:t>
      </w:r>
      <w:r>
        <w:rPr>
          <w:rFonts w:hint="eastAsia"/>
          <w:sz w:val="18"/>
          <w:szCs w:val="18"/>
        </w:rPr>
        <w:t>无</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08" w:name="_Toc989233"/>
      <w:r>
        <w:rPr>
          <w:rFonts w:ascii="宋体" w:hAnsi="宋体" w:cs="宋体"/>
          <w:b/>
          <w:bCs/>
        </w:rPr>
        <w:t>47、租赁负债</w:t>
      </w:r>
      <w:bookmarkEnd w:id="30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租赁房屋建筑物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25,852,616.73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27,939,315.71</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租赁设备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381,244.67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435,103.17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减：未确认融资费用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-216,439.30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-757,272.14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-3,419,820.65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-4,281,566.77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22,597,601.45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23,335,579.97</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09" w:name="_Toc989234"/>
      <w:r>
        <w:rPr>
          <w:rFonts w:ascii="宋体" w:hAnsi="宋体" w:cs="宋体"/>
          <w:b/>
          <w:bCs/>
        </w:rPr>
        <w:t>48、长期应付款</w:t>
      </w:r>
      <w:bookmarkEnd w:id="30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310" w:name="_Toc989235"/>
      <w:r>
        <w:rPr>
          <w:rFonts w:ascii="宋体" w:eastAsia="宋体" w:hAnsi="宋体" w:cs="宋体"/>
          <w:b/>
          <w:bCs/>
          <w:sz w:val="18"/>
          <w:szCs w:val="18"/>
        </w:rPr>
        <w:t>（1） 按款项性质列示长期应付款</w:t>
      </w:r>
      <w:bookmarkEnd w:id="31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担保损失备付金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4,367,138.45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附限制</w:t>
            </w:r>
            <w:proofErr w:type="gramEnd"/>
            <w:r>
              <w:rPr>
                <w:rFonts w:ascii="宋体" w:eastAsia="宋体" w:hAnsi="宋体" w:cs="宋体"/>
                <w:sz w:val="18"/>
                <w:szCs w:val="18"/>
              </w:rPr>
              <w:t>条件的投资款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220,000,000.00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股权款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减：一年内到期的长期应付款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244,367,138.45</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11" w:name="_Toc989236"/>
      <w:r>
        <w:rPr>
          <w:rFonts w:ascii="宋体" w:eastAsia="宋体" w:hAnsi="宋体" w:cs="宋体"/>
          <w:b/>
          <w:bCs/>
          <w:sz w:val="18"/>
          <w:szCs w:val="18"/>
        </w:rPr>
        <w:t>（2） 专项应付款</w:t>
      </w:r>
      <w:bookmarkEnd w:id="311"/>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12" w:name="_Toc989237"/>
      <w:r>
        <w:rPr>
          <w:rFonts w:ascii="宋体" w:hAnsi="宋体" w:cs="宋体"/>
          <w:b/>
          <w:bCs/>
        </w:rPr>
        <w:t>49、长期应付职工薪</w:t>
      </w:r>
      <w:proofErr w:type="gramStart"/>
      <w:r>
        <w:rPr>
          <w:rFonts w:ascii="宋体" w:hAnsi="宋体" w:cs="宋体"/>
          <w:b/>
          <w:bCs/>
        </w:rPr>
        <w:t>酬</w:t>
      </w:r>
      <w:bookmarkEnd w:id="312"/>
      <w:proofErr w:type="gramEnd"/>
    </w:p>
    <w:p w:rsidR="008820E4" w:rsidRDefault="005C49A8">
      <w:pPr>
        <w:keepNext/>
        <w:keepLines/>
        <w:spacing w:before="300" w:after="300" w:line="280" w:lineRule="exact"/>
        <w:outlineLvl w:val="3"/>
        <w:rPr>
          <w:rFonts w:ascii="宋体" w:eastAsia="宋体" w:hAnsi="宋体" w:cs="宋体"/>
          <w:b/>
          <w:bCs/>
          <w:sz w:val="18"/>
          <w:szCs w:val="18"/>
        </w:rPr>
      </w:pPr>
      <w:bookmarkStart w:id="313" w:name="_Toc989238"/>
      <w:r>
        <w:rPr>
          <w:rFonts w:ascii="宋体" w:eastAsia="宋体" w:hAnsi="宋体" w:cs="宋体"/>
          <w:b/>
          <w:bCs/>
          <w:sz w:val="18"/>
          <w:szCs w:val="18"/>
        </w:rPr>
        <w:t>（1） 长期应付职工薪酬表</w:t>
      </w:r>
      <w:bookmarkEnd w:id="313"/>
    </w:p>
    <w:p w:rsidR="00381B41" w:rsidRDefault="00381B41" w:rsidP="00381B41">
      <w:pPr>
        <w:pStyle w:val="a3"/>
        <w:rPr>
          <w:sz w:val="18"/>
          <w:szCs w:val="18"/>
        </w:rPr>
      </w:pPr>
      <w:bookmarkStart w:id="314" w:name="_Toc989239"/>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r>
        <w:rPr>
          <w:rFonts w:ascii="宋体" w:eastAsia="宋体" w:hAnsi="宋体" w:cs="宋体"/>
          <w:b/>
          <w:bCs/>
          <w:sz w:val="18"/>
          <w:szCs w:val="18"/>
        </w:rPr>
        <w:t>（2） 设定受益计划变动情况</w:t>
      </w:r>
      <w:bookmarkEnd w:id="314"/>
    </w:p>
    <w:p w:rsidR="005C49A8" w:rsidRDefault="005C49A8">
      <w:pPr>
        <w:pStyle w:val="a3"/>
        <w:divId w:val="208425183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15" w:name="_Toc989240"/>
      <w:r>
        <w:rPr>
          <w:rFonts w:ascii="宋体" w:hAnsi="宋体" w:cs="宋体"/>
          <w:b/>
          <w:bCs/>
        </w:rPr>
        <w:t>50、预计负债</w:t>
      </w:r>
      <w:bookmarkEnd w:id="315"/>
    </w:p>
    <w:p w:rsidR="005C49A8" w:rsidRDefault="005C49A8">
      <w:pPr>
        <w:pStyle w:val="a3"/>
        <w:divId w:val="103357933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16" w:name="_Toc989241"/>
      <w:r>
        <w:rPr>
          <w:rFonts w:ascii="宋体" w:hAnsi="宋体" w:cs="宋体"/>
          <w:b/>
          <w:bCs/>
        </w:rPr>
        <w:t>51、递延收益</w:t>
      </w:r>
      <w:bookmarkEnd w:id="31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形成原因</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3,446,541.48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详见附注十一</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3,446,541.48</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17" w:name="_Toc989242"/>
      <w:r>
        <w:rPr>
          <w:rFonts w:ascii="宋体" w:hAnsi="宋体" w:cs="宋体"/>
          <w:b/>
          <w:bCs/>
        </w:rPr>
        <w:t>52、其他非流动负债</w:t>
      </w:r>
      <w:bookmarkEnd w:id="31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sz w:val="18"/>
          <w:szCs w:val="18"/>
        </w:rPr>
        <w:t>无</w:t>
      </w:r>
    </w:p>
    <w:p w:rsidR="008820E4" w:rsidRDefault="005C49A8">
      <w:pPr>
        <w:pStyle w:val="3"/>
        <w:spacing w:line="280" w:lineRule="exact"/>
        <w:jc w:val="left"/>
        <w:rPr>
          <w:rFonts w:ascii="宋体" w:hAnsi="宋体" w:cs="宋体"/>
          <w:b/>
          <w:bCs/>
        </w:rPr>
      </w:pPr>
      <w:bookmarkStart w:id="318" w:name="_Toc989243"/>
      <w:r>
        <w:rPr>
          <w:rFonts w:ascii="宋体" w:hAnsi="宋体" w:cs="宋体"/>
          <w:b/>
          <w:bCs/>
        </w:rPr>
        <w:t>53、股本</w:t>
      </w:r>
      <w:bookmarkEnd w:id="31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739"/>
        <w:gridCol w:w="1276"/>
        <w:gridCol w:w="992"/>
        <w:gridCol w:w="1276"/>
        <w:gridCol w:w="709"/>
        <w:gridCol w:w="709"/>
        <w:gridCol w:w="1734"/>
      </w:tblGrid>
      <w:tr w:rsidR="008820E4" w:rsidTr="00132FE9">
        <w:trPr>
          <w:trHeight w:val="240"/>
        </w:trPr>
        <w:tc>
          <w:tcPr>
            <w:tcW w:w="12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3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4962"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本次变动增减（+、-）</w:t>
            </w:r>
          </w:p>
        </w:tc>
        <w:tc>
          <w:tcPr>
            <w:tcW w:w="173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132FE9">
        <w:trPr>
          <w:trHeight w:val="240"/>
        </w:trPr>
        <w:tc>
          <w:tcPr>
            <w:tcW w:w="120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39"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发行新股</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送股</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公积金转股</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小计</w:t>
            </w:r>
          </w:p>
        </w:tc>
        <w:tc>
          <w:tcPr>
            <w:tcW w:w="173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32FE9">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股份总数</w:t>
            </w:r>
          </w:p>
        </w:tc>
        <w:tc>
          <w:tcPr>
            <w:tcW w:w="173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c>
          <w:tcPr>
            <w:tcW w:w="12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7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1,700,681,355.00</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19" w:name="_Toc989244"/>
      <w:r>
        <w:rPr>
          <w:rFonts w:ascii="宋体" w:hAnsi="宋体" w:cs="宋体"/>
          <w:b/>
          <w:bCs/>
        </w:rPr>
        <w:t>54、其他权益工具</w:t>
      </w:r>
      <w:bookmarkEnd w:id="319"/>
    </w:p>
    <w:p w:rsidR="008820E4" w:rsidRDefault="005C49A8">
      <w:pPr>
        <w:keepNext/>
        <w:keepLines/>
        <w:spacing w:before="300" w:after="300" w:line="280" w:lineRule="exact"/>
        <w:outlineLvl w:val="3"/>
        <w:rPr>
          <w:rFonts w:ascii="宋体" w:eastAsia="宋体" w:hAnsi="宋体" w:cs="宋体"/>
          <w:b/>
          <w:bCs/>
          <w:sz w:val="18"/>
          <w:szCs w:val="18"/>
        </w:rPr>
      </w:pPr>
      <w:bookmarkStart w:id="320" w:name="_Toc989245"/>
      <w:r>
        <w:rPr>
          <w:rFonts w:ascii="宋体" w:eastAsia="宋体" w:hAnsi="宋体" w:cs="宋体"/>
          <w:b/>
          <w:bCs/>
          <w:sz w:val="18"/>
          <w:szCs w:val="18"/>
        </w:rPr>
        <w:t>（1） 期末发行在外的优先股、永续债等其他金融工具基本情况</w:t>
      </w:r>
      <w:bookmarkEnd w:id="320"/>
    </w:p>
    <w:p w:rsidR="005C49A8" w:rsidRDefault="005C49A8">
      <w:pPr>
        <w:pStyle w:val="a3"/>
        <w:divId w:val="86063254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21" w:name="_Toc989246"/>
      <w:r>
        <w:rPr>
          <w:rFonts w:ascii="宋体" w:eastAsia="宋体" w:hAnsi="宋体" w:cs="宋体"/>
          <w:b/>
          <w:bCs/>
          <w:sz w:val="18"/>
          <w:szCs w:val="18"/>
        </w:rPr>
        <w:lastRenderedPageBreak/>
        <w:t>（2） 期末发行在外的优先股、永续债等金融工具变动情况表</w:t>
      </w:r>
      <w:bookmarkEnd w:id="321"/>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22" w:name="_Toc989247"/>
      <w:r>
        <w:rPr>
          <w:rFonts w:ascii="宋体" w:hAnsi="宋体" w:cs="宋体"/>
          <w:b/>
          <w:bCs/>
        </w:rPr>
        <w:t>55、资本公积</w:t>
      </w:r>
      <w:bookmarkEnd w:id="32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资本溢价（股本溢价）</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2,715,159,506.76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2,715,159,506.76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其他资本公积</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23,189,447.04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23,189,447.04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2,738,348,953.80</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323" w:name="_Toc989248"/>
      <w:r>
        <w:rPr>
          <w:rFonts w:ascii="宋体" w:hAnsi="宋体" w:cs="宋体"/>
          <w:b/>
          <w:bCs/>
        </w:rPr>
        <w:t>56、库存股</w:t>
      </w:r>
      <w:bookmarkEnd w:id="32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库存股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300,104,207.84</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324" w:name="_Toc989249"/>
      <w:r>
        <w:rPr>
          <w:rFonts w:ascii="宋体" w:hAnsi="宋体" w:cs="宋体"/>
          <w:b/>
          <w:bCs/>
        </w:rPr>
        <w:t>57、其他综合收益</w:t>
      </w:r>
      <w:bookmarkEnd w:id="32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6426"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本期所得税前发生额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减：前期计入其他综合收益当期转入损益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减：前期计入其他综合收益当期转入留存收益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减：所得税费用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税后归属于母公司</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税后归属于少数股东</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一、不能重分类进损益的其他综合收益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5,637,545.07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28,039,515.77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28,039,515.77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33,677,060.84</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权益法下不能转损益的其他综合收益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1,324,574.28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其他权益工具投资公允价值变动</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6,962,119.35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26,714,941.49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33,677,060.84</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二、将重分类进损益的其他综合收益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-117,973,358.44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-219,390,807.65</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外币</w:t>
            </w:r>
            <w:r>
              <w:rPr>
                <w:rFonts w:ascii="宋体" w:eastAsia="宋体" w:hAnsi="宋体" w:cs="宋体"/>
                <w:sz w:val="18"/>
                <w:szCs w:val="18"/>
              </w:rPr>
              <w:lastRenderedPageBreak/>
              <w:t>财务报表折算差额</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117,973,358.44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w:t>
            </w:r>
            <w:r>
              <w:rPr>
                <w:rFonts w:ascii="宋体" w:eastAsia="宋体" w:hAnsi="宋体" w:cs="宋体"/>
                <w:sz w:val="18"/>
                <w:szCs w:val="18"/>
              </w:rPr>
              <w:lastRenderedPageBreak/>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101,417,449.21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lastRenderedPageBreak/>
              <w:t>219,390,807.65</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其他综合收益合计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-112,335,813.37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-73,377,933.44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-185,713,746.81</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其他说明，包括对现金流量套期损益的有效部分转为被套</w:t>
      </w:r>
      <w:proofErr w:type="gramStart"/>
      <w:r>
        <w:rPr>
          <w:rFonts w:ascii="宋体" w:eastAsia="宋体" w:hAnsi="宋体" w:cs="宋体"/>
          <w:sz w:val="18"/>
          <w:szCs w:val="18"/>
        </w:rPr>
        <w:t>期项目</w:t>
      </w:r>
      <w:proofErr w:type="gramEnd"/>
      <w:r>
        <w:rPr>
          <w:rFonts w:ascii="宋体" w:eastAsia="宋体" w:hAnsi="宋体" w:cs="宋体"/>
          <w:sz w:val="18"/>
          <w:szCs w:val="18"/>
        </w:rPr>
        <w:t>初始确认金额调整：</w:t>
      </w:r>
      <w:r>
        <w:rPr>
          <w:rFonts w:hint="eastAsia"/>
          <w:sz w:val="18"/>
          <w:szCs w:val="18"/>
        </w:rPr>
        <w:t>无</w:t>
      </w:r>
    </w:p>
    <w:p w:rsidR="008820E4" w:rsidRDefault="005C49A8">
      <w:pPr>
        <w:pStyle w:val="3"/>
        <w:spacing w:line="280" w:lineRule="exact"/>
        <w:jc w:val="left"/>
        <w:rPr>
          <w:rFonts w:ascii="宋体" w:hAnsi="宋体" w:cs="宋体"/>
          <w:b/>
          <w:bCs/>
        </w:rPr>
      </w:pPr>
      <w:bookmarkStart w:id="325" w:name="_Toc989250"/>
      <w:r>
        <w:rPr>
          <w:rFonts w:ascii="宋体" w:hAnsi="宋体" w:cs="宋体"/>
          <w:b/>
          <w:bCs/>
        </w:rPr>
        <w:t>58、专项储备</w:t>
      </w:r>
      <w:bookmarkEnd w:id="325"/>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326" w:name="_Toc989251"/>
      <w:r>
        <w:rPr>
          <w:rFonts w:ascii="宋体" w:hAnsi="宋体" w:cs="宋体"/>
          <w:b/>
          <w:bCs/>
        </w:rPr>
        <w:t>59、盈余公积</w:t>
      </w:r>
      <w:bookmarkEnd w:id="32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法定盈余公积</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338,982,886.24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338,982,886.24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任意盈余公积</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1,778,753.91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1,778,753.91</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340,761,640.15</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盈余公积说明，包括本期增减变动情况、变动原因说明：</w:t>
      </w:r>
      <w:r>
        <w:rPr>
          <w:rFonts w:hint="eastAsia"/>
          <w:sz w:val="18"/>
          <w:szCs w:val="18"/>
        </w:rPr>
        <w:t>无</w:t>
      </w:r>
    </w:p>
    <w:p w:rsidR="008820E4" w:rsidRDefault="005C49A8">
      <w:pPr>
        <w:pStyle w:val="3"/>
        <w:spacing w:line="280" w:lineRule="exact"/>
        <w:jc w:val="left"/>
        <w:rPr>
          <w:rFonts w:ascii="宋体" w:hAnsi="宋体" w:cs="宋体"/>
          <w:b/>
          <w:bCs/>
        </w:rPr>
      </w:pPr>
      <w:bookmarkStart w:id="327" w:name="_Toc989252"/>
      <w:r>
        <w:rPr>
          <w:rFonts w:ascii="宋体" w:hAnsi="宋体" w:cs="宋体"/>
          <w:b/>
          <w:bCs/>
        </w:rPr>
        <w:t>60、未分配利润</w:t>
      </w:r>
      <w:bookmarkEnd w:id="32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381B41" w:rsidRDefault="00381B41">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调整前上期末未分配利润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调整后期初未分配利润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1,674,292,092.74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加：本期归属于母公司所有者的净利润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-207,764,974.56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减：提取法定盈余公积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1,293,902.43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应付普通股股利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49,666,360.27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1,440,664,626.77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1,415,566,855.48</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调整期初未分配利润明细：</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1)、由于《企业会计准则》及其相关新规定进行追溯调整，影响期初未分配利润0.00元。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2)、由于会计政策变更，影响期初未分配利润0.00元。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3)、由于重大会计差错更正，影响期初未分配利润0.00元。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4)、由于同</w:t>
      </w:r>
      <w:proofErr w:type="gramStart"/>
      <w:r>
        <w:rPr>
          <w:rFonts w:ascii="宋体" w:eastAsia="宋体" w:hAnsi="宋体" w:cs="宋体"/>
          <w:sz w:val="18"/>
          <w:szCs w:val="18"/>
        </w:rPr>
        <w:t>一控制</w:t>
      </w:r>
      <w:proofErr w:type="gramEnd"/>
      <w:r>
        <w:rPr>
          <w:rFonts w:ascii="宋体" w:eastAsia="宋体" w:hAnsi="宋体" w:cs="宋体"/>
          <w:sz w:val="18"/>
          <w:szCs w:val="18"/>
        </w:rPr>
        <w:t>导致的合并范围变更，影响期初未分配利润0.00元。</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5)、其他调整合计影响期初未分配利润0.00元。</w:t>
      </w:r>
    </w:p>
    <w:p w:rsidR="008820E4" w:rsidRDefault="005C49A8">
      <w:pPr>
        <w:pStyle w:val="3"/>
        <w:spacing w:line="280" w:lineRule="exact"/>
        <w:jc w:val="left"/>
        <w:rPr>
          <w:rFonts w:ascii="宋体" w:hAnsi="宋体" w:cs="宋体"/>
          <w:b/>
          <w:bCs/>
        </w:rPr>
      </w:pPr>
      <w:bookmarkStart w:id="328" w:name="_Toc989253"/>
      <w:r>
        <w:rPr>
          <w:rFonts w:ascii="宋体" w:hAnsi="宋体" w:cs="宋体"/>
          <w:b/>
          <w:bCs/>
        </w:rPr>
        <w:t>61、营业收入和营业成本</w:t>
      </w:r>
      <w:bookmarkEnd w:id="32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5,901,181,107.46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5,587,657,007.34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6,468,606,545.71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6,103,676,815.26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54,266,101.29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14,221,788.06</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6,522,872,647.00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6,117,898,603.32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营业收入、营业成本的分解信息：</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合同分类</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分部1</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业务类型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3,063,523,599.05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3,261,174,771.15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3,063,523,599.05</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2,419,513,992.51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2,502,229,218.69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2,419,513,992.51</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袜业</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84,920,794.76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113,719,039.78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84,920,794.76</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算力及</w:t>
            </w:r>
            <w:proofErr w:type="gramEnd"/>
            <w:r>
              <w:rPr>
                <w:rFonts w:ascii="宋体" w:eastAsia="宋体" w:hAnsi="宋体" w:cs="宋体"/>
                <w:sz w:val="18"/>
                <w:szCs w:val="18"/>
              </w:rPr>
              <w:t>AI</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19,698,621.02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24,058,077.84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19,698,621.02</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52,708,947.16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17,140,090.72</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按经营地区分类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境外销售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434,423,327.98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529,787,283.64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434,423,327.98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5,424,102,770.98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5,170,373,770.08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5,424,102,770.98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5,170,373,770.08</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市场或客户类型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合同类型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按商品转让的时间分类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在某一时点转让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5,940,862,881.54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5,601,256,892.92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5,940,862,881.54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5,601,256,892.92</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在某一时段内转让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3,540,205.14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3,540,205.14</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按合同期限分类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按销售渠道分类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5,604,797,098.06</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与履约义务相关的信息：</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履行履约义务的时间</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重要的支付条款</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公司承诺转让商品的性质</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是否为主要责任人</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公司承担的预期将退还给客户的款项</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公司提供的质量保证类型及相关义务</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lastRenderedPageBreak/>
        <w:t>本报告</w:t>
      </w:r>
      <w:proofErr w:type="gramStart"/>
      <w:r>
        <w:rPr>
          <w:rFonts w:ascii="宋体" w:eastAsia="宋体" w:hAnsi="宋体" w:cs="宋体"/>
          <w:sz w:val="18"/>
          <w:szCs w:val="18"/>
        </w:rPr>
        <w:t>期末已</w:t>
      </w:r>
      <w:proofErr w:type="gramEnd"/>
      <w:r>
        <w:rPr>
          <w:rFonts w:ascii="宋体" w:eastAsia="宋体" w:hAnsi="宋体" w:cs="宋体"/>
          <w:sz w:val="18"/>
          <w:szCs w:val="18"/>
        </w:rPr>
        <w:t>签订合同、但尚未履行或尚未履行完毕的履约义务所对应的收入金额为0.00元，其中，元预计将于年度确认收入，元预计将于年度确认收入，元预计将于年度确认收入。</w:t>
      </w:r>
    </w:p>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合同中可变对</w:t>
      </w:r>
      <w:proofErr w:type="gramStart"/>
      <w:r>
        <w:rPr>
          <w:rFonts w:ascii="宋体" w:eastAsia="宋体" w:hAnsi="宋体" w:cs="宋体"/>
          <w:sz w:val="18"/>
          <w:szCs w:val="18"/>
        </w:rPr>
        <w:t>价相关</w:t>
      </w:r>
      <w:proofErr w:type="gramEnd"/>
      <w:r>
        <w:rPr>
          <w:rFonts w:ascii="宋体" w:eastAsia="宋体" w:hAnsi="宋体" w:cs="宋体"/>
          <w:sz w:val="18"/>
          <w:szCs w:val="18"/>
        </w:rPr>
        <w:t>信息：</w:t>
      </w:r>
      <w:r>
        <w:rPr>
          <w:rFonts w:hint="eastAsia"/>
          <w:sz w:val="18"/>
          <w:szCs w:val="18"/>
        </w:rPr>
        <w:t>无</w:t>
      </w:r>
    </w:p>
    <w:p w:rsidR="008820E4" w:rsidRDefault="005C49A8">
      <w:pPr>
        <w:pStyle w:val="3"/>
        <w:spacing w:line="280" w:lineRule="exact"/>
        <w:jc w:val="left"/>
        <w:rPr>
          <w:rFonts w:ascii="宋体" w:hAnsi="宋体" w:cs="宋体"/>
          <w:b/>
          <w:bCs/>
        </w:rPr>
      </w:pPr>
      <w:bookmarkStart w:id="329" w:name="_Toc989254"/>
      <w:r>
        <w:rPr>
          <w:rFonts w:ascii="宋体" w:hAnsi="宋体" w:cs="宋体"/>
          <w:b/>
          <w:bCs/>
        </w:rPr>
        <w:t>62、税金及附加</w:t>
      </w:r>
      <w:bookmarkEnd w:id="32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5,205,496.22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2,662,453.87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3,875,033.31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1,975,215.83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12,816,978.17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12,600,317.76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11,230,396.09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11,840,975.50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车船使用税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22,566.00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31,080.96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印花税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7,511,734.59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10,363,401.09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519,198.67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760,600.21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41,181,403.05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40,234,045.22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30" w:name="_Toc989255"/>
      <w:r>
        <w:rPr>
          <w:rFonts w:ascii="宋体" w:hAnsi="宋体" w:cs="宋体"/>
          <w:b/>
          <w:bCs/>
        </w:rPr>
        <w:t>63、管理费用</w:t>
      </w:r>
      <w:bookmarkEnd w:id="33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p w:rsidR="00381B41" w:rsidRDefault="00381B41">
      <w:pPr>
        <w:spacing w:before="40" w:after="40" w:line="240" w:lineRule="exact"/>
        <w:jc w:val="right"/>
        <w:rPr>
          <w:rFonts w:ascii="宋体" w:eastAsia="宋体" w:hAnsi="宋体" w:cs="宋体"/>
          <w:sz w:val="18"/>
          <w:szCs w:val="18"/>
        </w:rPr>
      </w:pPr>
    </w:p>
    <w:p w:rsidR="00381B41" w:rsidRDefault="00381B41">
      <w:pPr>
        <w:spacing w:before="40" w:after="40" w:line="240" w:lineRule="exact"/>
        <w:jc w:val="right"/>
        <w:rPr>
          <w:rFonts w:ascii="宋体" w:eastAsia="宋体" w:hAnsi="宋体" w:cs="宋体"/>
          <w:sz w:val="18"/>
          <w:szCs w:val="18"/>
        </w:rPr>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工资及相关费用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73,212,237.03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76,475,696.92</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办公费用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9,554,775.74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9,629,941.35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低值易耗品</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2,775,313.30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1,630,626.26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1,848,942.06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1,070,226.17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43,669,881.33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37,522,461.15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3,071,833.32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4,999,694.68</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1,585,825.66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1,697,500.48</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1,801,138.87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1,990,559.05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2,453,576.00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1,402,161.25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保险费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492,104.51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884,520.34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5,987,749.83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7,378,420.39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322,204.54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1,215,870.99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中介机构费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10,947,007.77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10,962,509.99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157,722,589.96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156,860,189.02</w:t>
            </w:r>
          </w:p>
        </w:tc>
      </w:tr>
    </w:tbl>
    <w:p w:rsidR="005C49A8" w:rsidRPr="00381B41" w:rsidRDefault="005C49A8" w:rsidP="00381B4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381B4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31" w:name="_Toc989256"/>
      <w:r>
        <w:rPr>
          <w:rFonts w:ascii="宋体" w:hAnsi="宋体" w:cs="宋体"/>
          <w:b/>
          <w:bCs/>
        </w:rPr>
        <w:t>64、销售费用</w:t>
      </w:r>
      <w:bookmarkEnd w:id="33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工资及相关费用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21,220,289.77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16,894,253.13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办公费用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944,348.71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418,011.23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11,747,265.23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14,796,750.63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低值易耗品</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375,984.50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831,240.34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133,793.29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129,217.77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3,755,495.56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4,209,168.09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差旅费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453,911.42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369,477.54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129,122.02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129,151.07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电商平台服务费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13,673,436.21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11,999,550.80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2,165,086.17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3,013,171.26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54,598,732.88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52,789,991.86</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32" w:name="_Toc989257"/>
      <w:r>
        <w:rPr>
          <w:rFonts w:ascii="宋体" w:hAnsi="宋体" w:cs="宋体"/>
          <w:b/>
          <w:bCs/>
        </w:rPr>
        <w:t>65、研发费用</w:t>
      </w:r>
      <w:bookmarkEnd w:id="33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工资及奖金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16,386,045.29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11,753,038.85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燃料及动力</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4,380,887.25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6,043,567.77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原材料</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37,493,360.05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30,702,257.09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折旧及摊销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3,289,036.43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4,123,094.01</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2,582,724.42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4,237,847.61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64,132,053.44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56,859,805.33</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33" w:name="_Toc989258"/>
      <w:r>
        <w:rPr>
          <w:rFonts w:ascii="宋体" w:hAnsi="宋体" w:cs="宋体"/>
          <w:b/>
          <w:bCs/>
        </w:rPr>
        <w:t>66、财务费用</w:t>
      </w:r>
      <w:bookmarkEnd w:id="33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83,336,350.63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82,109,097.85</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-11,881,046.74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-8,464,181.30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汇兑损益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4,876,945.50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13,189,883.46</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贴现</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14,163,756.73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6,396,853.03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2,584,927.08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8,682,629.87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93,080,933.20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101,914,282.91</w:t>
            </w:r>
          </w:p>
        </w:tc>
      </w:tr>
    </w:tbl>
    <w:p w:rsidR="005C49A8" w:rsidRPr="00132FE9" w:rsidRDefault="005C49A8" w:rsidP="00132FE9">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132FE9">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34" w:name="_Toc989259"/>
      <w:r>
        <w:rPr>
          <w:rFonts w:ascii="宋体" w:hAnsi="宋体" w:cs="宋体"/>
          <w:b/>
          <w:bCs/>
        </w:rPr>
        <w:t>67、其他收益</w:t>
      </w:r>
      <w:bookmarkEnd w:id="33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产生其他收益的来源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41,764,407.62</w:t>
            </w:r>
          </w:p>
        </w:tc>
      </w:tr>
    </w:tbl>
    <w:p w:rsidR="008820E4" w:rsidRDefault="005C49A8">
      <w:pPr>
        <w:pStyle w:val="3"/>
        <w:spacing w:line="280" w:lineRule="exact"/>
        <w:jc w:val="left"/>
        <w:rPr>
          <w:rFonts w:ascii="宋体" w:hAnsi="宋体" w:cs="宋体"/>
          <w:b/>
          <w:bCs/>
        </w:rPr>
      </w:pPr>
      <w:bookmarkStart w:id="335" w:name="_Toc989260"/>
      <w:r>
        <w:rPr>
          <w:rFonts w:ascii="宋体" w:hAnsi="宋体" w:cs="宋体"/>
          <w:b/>
          <w:bCs/>
        </w:rPr>
        <w:t>68、净敞口套期收益</w:t>
      </w:r>
      <w:bookmarkEnd w:id="335"/>
    </w:p>
    <w:p w:rsidR="005C49A8" w:rsidRDefault="005C49A8">
      <w:pPr>
        <w:pStyle w:val="a3"/>
        <w:divId w:val="147718728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36" w:name="_Toc989261"/>
      <w:r>
        <w:rPr>
          <w:rFonts w:ascii="宋体" w:hAnsi="宋体" w:cs="宋体"/>
          <w:b/>
          <w:bCs/>
        </w:rPr>
        <w:t>69、公允价值变动收益</w:t>
      </w:r>
      <w:bookmarkEnd w:id="33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产生公允价值变动收益的来源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其中：衍生金融工具产生的公允价值变动收益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37" w:name="_Toc989262"/>
      <w:r>
        <w:rPr>
          <w:rFonts w:ascii="宋体" w:hAnsi="宋体" w:cs="宋体"/>
          <w:b/>
          <w:bCs/>
        </w:rPr>
        <w:t>70、投资收益</w:t>
      </w:r>
      <w:bookmarkEnd w:id="33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4,422,686.82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-3,328,800.78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处置长期股权投资产生的投资收益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122,455.54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处置交易性金融资产取得的投资收益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26,658,725.08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22,401,732.55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其他权益工具投资在持有期间取得的股利收入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892,500.00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委托理财收益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1,145,787.81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3,369,930.81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23,457,818.12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38" w:name="_Toc989263"/>
      <w:r>
        <w:rPr>
          <w:rFonts w:ascii="宋体" w:hAnsi="宋体" w:cs="宋体"/>
          <w:b/>
          <w:bCs/>
        </w:rPr>
        <w:t>71、信用减值损失</w:t>
      </w:r>
      <w:bookmarkEnd w:id="33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应收票据坏账损失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-666,773.81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-579,104.91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应收账款坏账损失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2,652,182.37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4,195,863.88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其他应收款坏账损失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-14,156,888.76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-558,913.22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-12,171,480.20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3,057,845.75</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39" w:name="_Toc989264"/>
      <w:r>
        <w:rPr>
          <w:rFonts w:ascii="宋体" w:hAnsi="宋体" w:cs="宋体"/>
          <w:b/>
          <w:bCs/>
        </w:rPr>
        <w:t>72、资产减值损失</w:t>
      </w:r>
      <w:bookmarkEnd w:id="339"/>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一、存货跌价损失及合同履约成本减值损失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-2,318,531.43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3,194,680.43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-2,318,531.43</w:t>
            </w:r>
          </w:p>
        </w:tc>
      </w:tr>
    </w:tbl>
    <w:p w:rsidR="008820E4" w:rsidRDefault="005C49A8">
      <w:pPr>
        <w:pStyle w:val="3"/>
        <w:spacing w:line="280" w:lineRule="exact"/>
        <w:jc w:val="left"/>
        <w:rPr>
          <w:rFonts w:ascii="宋体" w:hAnsi="宋体" w:cs="宋体"/>
          <w:b/>
          <w:bCs/>
        </w:rPr>
      </w:pPr>
      <w:bookmarkStart w:id="340" w:name="_Toc989265"/>
      <w:r>
        <w:rPr>
          <w:rFonts w:ascii="宋体" w:hAnsi="宋体" w:cs="宋体"/>
          <w:b/>
          <w:bCs/>
        </w:rPr>
        <w:t>73、资产处置收益</w:t>
      </w:r>
      <w:bookmarkEnd w:id="34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资产处置收益的来源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49,932,808.07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无形资产处置利得或损失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-81,024.68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bl>
    <w:p w:rsidR="008820E4" w:rsidRDefault="005C49A8">
      <w:pPr>
        <w:pStyle w:val="3"/>
        <w:spacing w:line="280" w:lineRule="exact"/>
        <w:jc w:val="left"/>
        <w:rPr>
          <w:rFonts w:ascii="宋体" w:hAnsi="宋体" w:cs="宋体"/>
          <w:b/>
          <w:bCs/>
        </w:rPr>
      </w:pPr>
      <w:bookmarkStart w:id="341" w:name="_Toc989266"/>
      <w:r>
        <w:rPr>
          <w:rFonts w:ascii="宋体" w:hAnsi="宋体" w:cs="宋体"/>
          <w:b/>
          <w:bCs/>
        </w:rPr>
        <w:t>74、营业外收入</w:t>
      </w:r>
      <w:bookmarkEnd w:id="34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8820E4" w:rsidTr="00132FE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确实无法支付的债务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197,056.55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624,480.51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197,056.55</w:t>
            </w:r>
          </w:p>
        </w:tc>
      </w:tr>
      <w:tr w:rsidR="008820E4" w:rsidTr="00132FE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赔偿金</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154,711.20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598,292.61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154,711.20</w:t>
            </w:r>
          </w:p>
        </w:tc>
      </w:tr>
      <w:tr w:rsidR="008820E4" w:rsidTr="00132FE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645,810.20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626,854.40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645,810.20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997,577.95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1,849,627.52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42" w:name="_Toc989267"/>
      <w:r>
        <w:rPr>
          <w:rFonts w:ascii="宋体" w:hAnsi="宋体" w:cs="宋体"/>
          <w:b/>
          <w:bCs/>
        </w:rPr>
        <w:t>75、营业外支出</w:t>
      </w:r>
      <w:bookmarkEnd w:id="34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计入当期非经常性损益的金额</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对外捐赠</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750,005.66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750,035.30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750,005.66</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固定资产报废损失</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92,005.47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6,680.59</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92,005.47</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罚款及滞纳金支出</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882,653.34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811,405.61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882,653.34</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赔偿支出</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556,376.53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460,046.70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556,376.53</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18,794.21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914,399.97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18,794.21</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2,942,568.17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2,299,835.21</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pStyle w:val="3"/>
        <w:spacing w:line="280" w:lineRule="exact"/>
        <w:jc w:val="left"/>
        <w:rPr>
          <w:rFonts w:ascii="宋体" w:hAnsi="宋体" w:cs="宋体"/>
          <w:b/>
          <w:bCs/>
        </w:rPr>
      </w:pPr>
      <w:bookmarkStart w:id="343" w:name="_Toc989268"/>
      <w:r>
        <w:rPr>
          <w:rFonts w:ascii="宋体" w:hAnsi="宋体" w:cs="宋体"/>
          <w:b/>
          <w:bCs/>
        </w:rPr>
        <w:t>76、所得税费用</w:t>
      </w:r>
      <w:bookmarkEnd w:id="343"/>
    </w:p>
    <w:p w:rsidR="008820E4" w:rsidRDefault="005C49A8">
      <w:pPr>
        <w:keepNext/>
        <w:keepLines/>
        <w:spacing w:before="300" w:after="300" w:line="280" w:lineRule="exact"/>
        <w:outlineLvl w:val="3"/>
        <w:rPr>
          <w:rFonts w:ascii="宋体" w:eastAsia="宋体" w:hAnsi="宋体" w:cs="宋体"/>
          <w:b/>
          <w:bCs/>
          <w:szCs w:val="21"/>
        </w:rPr>
      </w:pPr>
      <w:bookmarkStart w:id="344" w:name="_Toc989269"/>
      <w:r>
        <w:rPr>
          <w:rFonts w:ascii="宋体" w:eastAsia="宋体" w:hAnsi="宋体" w:cs="宋体"/>
          <w:b/>
          <w:bCs/>
          <w:szCs w:val="21"/>
        </w:rPr>
        <w:t>（1） 所得税费用表</w:t>
      </w:r>
      <w:bookmarkEnd w:id="34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当期所得税费用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7,426,494.90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8,986,571.73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-233,982.17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2,540,602.37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11,527,174.10</w:t>
            </w:r>
          </w:p>
        </w:tc>
      </w:tr>
    </w:tbl>
    <w:p w:rsidR="008820E4" w:rsidRDefault="005C49A8">
      <w:pPr>
        <w:keepNext/>
        <w:keepLines/>
        <w:spacing w:before="300" w:after="300" w:line="280" w:lineRule="exact"/>
        <w:outlineLvl w:val="3"/>
        <w:rPr>
          <w:rFonts w:ascii="宋体" w:eastAsia="宋体" w:hAnsi="宋体" w:cs="宋体"/>
          <w:b/>
          <w:bCs/>
          <w:szCs w:val="21"/>
        </w:rPr>
      </w:pPr>
      <w:bookmarkStart w:id="345" w:name="_Toc989270"/>
      <w:r>
        <w:rPr>
          <w:rFonts w:ascii="宋体" w:eastAsia="宋体" w:hAnsi="宋体" w:cs="宋体"/>
          <w:b/>
          <w:bCs/>
          <w:szCs w:val="21"/>
        </w:rPr>
        <w:t>（2） 会计利润与所得税费用调整过程</w:t>
      </w:r>
      <w:bookmarkEnd w:id="34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利润总额</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38,496,510.34</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按法定/适用税率计算的所得税费用</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5,774,476.55</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子公司适用不同税率的影响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6,754,534.47</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调整以前期间所得税的影响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61,510.98</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不可抵扣的成本、费用和损失的影响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1,196.45</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使用前期未确认递延所得税资产的可抵扣亏损的影响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-437,820.24</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proofErr w:type="gramStart"/>
            <w:r>
              <w:rPr>
                <w:rFonts w:ascii="宋体" w:eastAsia="宋体" w:hAnsi="宋体" w:cs="宋体"/>
                <w:sz w:val="18"/>
                <w:szCs w:val="18"/>
              </w:rPr>
              <w:t>本期未</w:t>
            </w:r>
            <w:proofErr w:type="gramEnd"/>
            <w:r>
              <w:rPr>
                <w:rFonts w:ascii="宋体" w:eastAsia="宋体" w:hAnsi="宋体" w:cs="宋体"/>
                <w:sz w:val="18"/>
                <w:szCs w:val="18"/>
              </w:rPr>
              <w:t>确认递延所得税资产的可抵扣暂时性差异或可抵扣亏损的影响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-446.45</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归属于合营企业和联营企业的损益（非应税收入）</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625,585.66</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研发费用加计扣除</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-5,586,524.69</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所得税费用</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7,192,512.73</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sidR="009372E1">
        <w:rPr>
          <w:rFonts w:ascii="宋体" w:eastAsia="宋体" w:hAnsi="宋体" w:cs="宋体" w:hint="eastAsia"/>
          <w:sz w:val="18"/>
          <w:szCs w:val="18"/>
        </w:rPr>
        <w:t>：</w:t>
      </w:r>
      <w:r>
        <w:rPr>
          <w:rFonts w:hint="eastAsia"/>
          <w:sz w:val="18"/>
          <w:szCs w:val="18"/>
        </w:rPr>
        <w:t>无</w:t>
      </w:r>
    </w:p>
    <w:p w:rsidR="008820E4" w:rsidRDefault="005C49A8">
      <w:pPr>
        <w:pStyle w:val="3"/>
        <w:spacing w:line="280" w:lineRule="exact"/>
        <w:jc w:val="left"/>
        <w:rPr>
          <w:rFonts w:ascii="宋体" w:hAnsi="宋体" w:cs="宋体"/>
          <w:b/>
          <w:bCs/>
        </w:rPr>
      </w:pPr>
      <w:bookmarkStart w:id="346" w:name="_Toc989271"/>
      <w:r>
        <w:rPr>
          <w:rFonts w:ascii="宋体" w:hAnsi="宋体" w:cs="宋体"/>
          <w:b/>
          <w:bCs/>
        </w:rPr>
        <w:lastRenderedPageBreak/>
        <w:t>77、其他综合收益</w:t>
      </w:r>
      <w:bookmarkEnd w:id="34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详见附注57</w:t>
      </w:r>
    </w:p>
    <w:p w:rsidR="008820E4" w:rsidRDefault="005C49A8">
      <w:pPr>
        <w:pStyle w:val="3"/>
        <w:spacing w:line="280" w:lineRule="exact"/>
        <w:jc w:val="left"/>
        <w:rPr>
          <w:rFonts w:ascii="宋体" w:hAnsi="宋体" w:cs="宋体"/>
          <w:b/>
          <w:bCs/>
        </w:rPr>
      </w:pPr>
      <w:bookmarkStart w:id="347" w:name="_Toc989272"/>
      <w:r>
        <w:rPr>
          <w:rFonts w:ascii="宋体" w:hAnsi="宋体" w:cs="宋体"/>
          <w:b/>
          <w:bCs/>
        </w:rPr>
        <w:t>78、现金流量表项目</w:t>
      </w:r>
      <w:bookmarkEnd w:id="347"/>
    </w:p>
    <w:p w:rsidR="008820E4" w:rsidRDefault="005C49A8">
      <w:pPr>
        <w:keepNext/>
        <w:keepLines/>
        <w:spacing w:before="300" w:after="300" w:line="280" w:lineRule="exact"/>
        <w:outlineLvl w:val="3"/>
        <w:rPr>
          <w:rFonts w:ascii="宋体" w:eastAsia="宋体" w:hAnsi="宋体" w:cs="宋体"/>
          <w:b/>
          <w:bCs/>
          <w:szCs w:val="21"/>
        </w:rPr>
      </w:pPr>
      <w:bookmarkStart w:id="348" w:name="_Toc989273"/>
      <w:r>
        <w:rPr>
          <w:rFonts w:ascii="宋体" w:eastAsia="宋体" w:hAnsi="宋体" w:cs="宋体"/>
          <w:b/>
          <w:bCs/>
          <w:szCs w:val="21"/>
        </w:rPr>
        <w:t>（1） 与经营活动有关的现金</w:t>
      </w:r>
      <w:bookmarkEnd w:id="34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收到的其他与经营活动有关的现金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11,881,046.74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8,464,181.30</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139,011,085.87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140,521,078.74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往来款及其他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579,918,070.39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412,061,383.84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730,810,203.00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561,046,643.88</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收到的其他与经营活动有关的现金说明：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支付的其他与经营活动有关的现金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费用类支出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62,249,982.76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39,860,756.32</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往来款及其他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424,369,195.60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623,130,587.74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486,619,178.36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662,991,344.06</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支付的其他与经营活动有关的现金说明：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49" w:name="_Toc989274"/>
      <w:r>
        <w:rPr>
          <w:rFonts w:ascii="宋体" w:eastAsia="宋体" w:hAnsi="宋体" w:cs="宋体"/>
          <w:b/>
          <w:bCs/>
          <w:szCs w:val="21"/>
        </w:rPr>
        <w:t>（2） 与投资活动有关的现金</w:t>
      </w:r>
      <w:bookmarkEnd w:id="349"/>
    </w:p>
    <w:p w:rsidR="005C49A8" w:rsidRDefault="005C49A8">
      <w:pPr>
        <w:pStyle w:val="a3"/>
        <w:divId w:val="209134889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50" w:name="_Toc989275"/>
      <w:r>
        <w:rPr>
          <w:rFonts w:ascii="宋体" w:eastAsia="宋体" w:hAnsi="宋体" w:cs="宋体"/>
          <w:b/>
          <w:bCs/>
          <w:szCs w:val="21"/>
        </w:rPr>
        <w:t>（3） 与筹资活动有关的现金</w:t>
      </w:r>
      <w:bookmarkEnd w:id="35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收到的其他与筹资活动有关的现金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受限的其他货币资金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19,529,385.69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19,918,769.82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19,529,385.69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19,918,769.82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收到的其他与筹资活动有关的现金说明：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支付的其他与筹资活动有关的现金</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受限的其他货币资金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2,499,184,227.24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1,709,477,177.54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回购公司股票</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100,033,114.48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2,499,184,227.24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1,809,510,292.02</w:t>
            </w:r>
          </w:p>
        </w:tc>
      </w:tr>
    </w:tbl>
    <w:p w:rsidR="005C49A8" w:rsidRPr="009372E1" w:rsidRDefault="005C49A8" w:rsidP="009372E1">
      <w:pPr>
        <w:spacing w:before="100" w:after="100" w:line="240" w:lineRule="exact"/>
        <w:rPr>
          <w:rFonts w:ascii="宋体" w:eastAsia="宋体" w:hAnsi="宋体" w:cs="宋体"/>
          <w:sz w:val="18"/>
          <w:szCs w:val="18"/>
        </w:rPr>
      </w:pPr>
      <w:r>
        <w:rPr>
          <w:rFonts w:ascii="宋体" w:eastAsia="宋体" w:hAnsi="宋体" w:cs="宋体"/>
          <w:sz w:val="18"/>
          <w:szCs w:val="18"/>
        </w:rPr>
        <w:t>支付的其他与筹资活动有关的现金说明：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筹资活动产生的各项负债变动情况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351" w:name="_Toc989276"/>
      <w:r>
        <w:rPr>
          <w:rFonts w:ascii="宋体" w:eastAsia="宋体" w:hAnsi="宋体" w:cs="宋体"/>
          <w:b/>
          <w:bCs/>
          <w:szCs w:val="21"/>
        </w:rPr>
        <w:lastRenderedPageBreak/>
        <w:t>（4） 以净额列报现金流量的说明</w:t>
      </w:r>
      <w:bookmarkEnd w:id="351"/>
    </w:p>
    <w:p w:rsidR="008820E4" w:rsidRDefault="005C49A8">
      <w:pPr>
        <w:keepNext/>
        <w:keepLines/>
        <w:spacing w:before="300" w:after="300" w:line="280" w:lineRule="exact"/>
        <w:outlineLvl w:val="3"/>
        <w:rPr>
          <w:rFonts w:ascii="宋体" w:eastAsia="宋体" w:hAnsi="宋体" w:cs="宋体"/>
          <w:b/>
          <w:bCs/>
          <w:szCs w:val="21"/>
        </w:rPr>
      </w:pPr>
      <w:bookmarkStart w:id="352" w:name="_Toc989277"/>
      <w:r>
        <w:rPr>
          <w:rFonts w:ascii="宋体" w:eastAsia="宋体" w:hAnsi="宋体" w:cs="宋体"/>
          <w:b/>
          <w:bCs/>
          <w:szCs w:val="21"/>
        </w:rPr>
        <w:t>（5） 不涉及当期现金收支、但影响企业财务状况或在未来可能影响企业现金流量的重大活动及财务影响</w:t>
      </w:r>
      <w:bookmarkEnd w:id="352"/>
    </w:p>
    <w:p w:rsidR="008820E4" w:rsidRDefault="005C49A8">
      <w:pPr>
        <w:pStyle w:val="3"/>
        <w:spacing w:line="280" w:lineRule="exact"/>
        <w:jc w:val="left"/>
        <w:rPr>
          <w:rFonts w:ascii="宋体" w:hAnsi="宋体" w:cs="宋体"/>
          <w:b/>
          <w:bCs/>
        </w:rPr>
      </w:pPr>
      <w:bookmarkStart w:id="353" w:name="_Toc989278"/>
      <w:r>
        <w:rPr>
          <w:rFonts w:ascii="宋体" w:hAnsi="宋体" w:cs="宋体"/>
          <w:b/>
          <w:bCs/>
        </w:rPr>
        <w:t>79、现金流量表补充资料</w:t>
      </w:r>
      <w:bookmarkEnd w:id="353"/>
    </w:p>
    <w:p w:rsidR="008820E4" w:rsidRDefault="005C49A8">
      <w:pPr>
        <w:keepNext/>
        <w:keepLines/>
        <w:spacing w:before="300" w:after="300" w:line="280" w:lineRule="exact"/>
        <w:outlineLvl w:val="3"/>
        <w:rPr>
          <w:rFonts w:ascii="宋体" w:eastAsia="宋体" w:hAnsi="宋体" w:cs="宋体"/>
          <w:b/>
          <w:bCs/>
          <w:szCs w:val="21"/>
        </w:rPr>
      </w:pPr>
      <w:bookmarkStart w:id="354" w:name="_Toc989279"/>
      <w:r>
        <w:rPr>
          <w:rFonts w:ascii="宋体" w:eastAsia="宋体" w:hAnsi="宋体" w:cs="宋体"/>
          <w:b/>
          <w:bCs/>
          <w:szCs w:val="21"/>
        </w:rPr>
        <w:t>（1） 现金流量表补充资料</w:t>
      </w:r>
      <w:bookmarkEnd w:id="35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补充资料</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上期金额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1．将净利润调节为经营活动现金流量：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净利润</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31,303,997.61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55,234,120.06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加：资产减值准备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8,976,799.77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-739,314.32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固定资产折旧、油气资产折耗、生产性生物资产折旧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259,979,298.67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263,602,934.68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使用权资产折旧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3,665,609.83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4,410,341.90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无形资产摊销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9,512,349.03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11,284,321.06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9,031,367.99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8,467,120.20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处置固定资产、无形资产和其他长期资产的损失（收益以“－”号填列）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-2,283,404.49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固定资产报废损失（收益以“－”号填列）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92,005.47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6,680.59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公允价值变动损失（收益以“－”号填列）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-674,726.34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-3,293,560.92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财务费用（收益以“－”号填列）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130,156,043.98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124,098,342.82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投资损失（收益以“－”号填列）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-33,119,699.71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-23,457,818.12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递延所得税资产减少（增加以“－”号填列）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-4,651,571.50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-2,369,241.21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递延所得税负债增加（减少以“－”号填列）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4,078,325.36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4,913,828.03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存货的减少（增加以“－”号填列）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857,415,726.25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1,299,406,693.02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经营性应收项目的减少（增加以“－”号填列）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-144,185,588.17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-634,737,167.55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经营性应付项目的增加（减少以“－”号填列）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150,800,661.23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-11,371,661.12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1,093,172,214.63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2．不涉及现金收支的重大投资和筹资活动：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债务转为资本</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一年内到期的可转换公司债</w:t>
            </w:r>
            <w:proofErr w:type="gramStart"/>
            <w:r>
              <w:rPr>
                <w:rFonts w:ascii="宋体" w:eastAsia="宋体" w:hAnsi="宋体" w:cs="宋体"/>
                <w:sz w:val="18"/>
                <w:szCs w:val="18"/>
              </w:rPr>
              <w:t>券</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融资租入固定资产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3．现金及现金等价物净变动情况：</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现金的期末余额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1,614,869,590.12</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减：现金的期初余额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2,183,880,557.50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加：现金等价物的期末余额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减：现金等价物的期初余额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100" w:firstLine="180"/>
              <w:rPr>
                <w:rFonts w:ascii="宋体" w:eastAsia="宋体" w:hAnsi="宋体" w:cs="宋体"/>
                <w:sz w:val="18"/>
                <w:szCs w:val="18"/>
              </w:rPr>
            </w:pPr>
            <w:r>
              <w:rPr>
                <w:rFonts w:ascii="宋体" w:eastAsia="宋体" w:hAnsi="宋体" w:cs="宋体"/>
                <w:sz w:val="18"/>
                <w:szCs w:val="18"/>
              </w:rPr>
              <w:t>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-937,608,814.21</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-569,010,967.38</w:t>
            </w:r>
          </w:p>
        </w:tc>
      </w:tr>
    </w:tbl>
    <w:p w:rsidR="008820E4" w:rsidRDefault="005C49A8">
      <w:pPr>
        <w:keepNext/>
        <w:keepLines/>
        <w:spacing w:before="300" w:after="300" w:line="280" w:lineRule="exact"/>
        <w:outlineLvl w:val="3"/>
        <w:rPr>
          <w:rFonts w:ascii="宋体" w:eastAsia="宋体" w:hAnsi="宋体" w:cs="宋体"/>
          <w:b/>
          <w:bCs/>
          <w:szCs w:val="21"/>
        </w:rPr>
      </w:pPr>
      <w:bookmarkStart w:id="355" w:name="_Toc989280"/>
      <w:r>
        <w:rPr>
          <w:rFonts w:ascii="宋体" w:eastAsia="宋体" w:hAnsi="宋体" w:cs="宋体"/>
          <w:b/>
          <w:bCs/>
          <w:szCs w:val="21"/>
        </w:rPr>
        <w:t>（2） 本期支付的取得子公司的现金净额</w:t>
      </w:r>
      <w:bookmarkEnd w:id="35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本期发生的企业合并于本期支付的现金或现金等价物</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取得子公司支付的现金净额</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9,000,000.00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56" w:name="_Toc989281"/>
      <w:r>
        <w:rPr>
          <w:rFonts w:ascii="宋体" w:eastAsia="宋体" w:hAnsi="宋体" w:cs="宋体"/>
          <w:b/>
          <w:bCs/>
          <w:szCs w:val="21"/>
        </w:rPr>
        <w:t>（3） 本期收到的处置子公司的现金净额</w:t>
      </w:r>
      <w:bookmarkEnd w:id="35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加：以前期间处置子公司于本期收到的现金或现金等价物</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481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32FE9">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处置子公司收到的现金净额</w:t>
            </w:r>
          </w:p>
        </w:tc>
        <w:tc>
          <w:tcPr>
            <w:tcW w:w="481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57" w:name="_Toc989282"/>
      <w:r>
        <w:rPr>
          <w:rFonts w:ascii="宋体" w:eastAsia="宋体" w:hAnsi="宋体" w:cs="宋体"/>
          <w:b/>
          <w:bCs/>
          <w:szCs w:val="21"/>
        </w:rPr>
        <w:t>（4） 现金和现金等价物的构成</w:t>
      </w:r>
      <w:bookmarkEnd w:id="35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其中：库存现金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100,875.56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69,644.90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可随时用于支付的银行存款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1,037,469,234.86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1,840,496,250.51</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可随时用于支付的其他货币资金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182,029,021.46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316,642,050.68</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三、期末现金及现金等价物余额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1,219,599,131.88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2,157,207,946.09</w:t>
            </w:r>
          </w:p>
        </w:tc>
      </w:tr>
    </w:tbl>
    <w:p w:rsidR="008820E4" w:rsidRDefault="005C49A8">
      <w:pPr>
        <w:keepNext/>
        <w:keepLines/>
        <w:spacing w:before="300" w:after="300" w:line="280" w:lineRule="exact"/>
        <w:outlineLvl w:val="3"/>
        <w:rPr>
          <w:rFonts w:ascii="宋体" w:eastAsia="宋体" w:hAnsi="宋体" w:cs="宋体"/>
          <w:b/>
          <w:bCs/>
          <w:szCs w:val="21"/>
        </w:rPr>
      </w:pPr>
      <w:bookmarkStart w:id="358" w:name="_Toc989283"/>
      <w:r>
        <w:rPr>
          <w:rFonts w:ascii="宋体" w:eastAsia="宋体" w:hAnsi="宋体" w:cs="宋体"/>
          <w:b/>
          <w:bCs/>
          <w:szCs w:val="21"/>
        </w:rPr>
        <w:t>（5） 使用范围受限但仍属于现金及现金等价物列示的情况</w:t>
      </w:r>
      <w:bookmarkEnd w:id="358"/>
    </w:p>
    <w:p w:rsidR="00112D20" w:rsidRDefault="00112D20" w:rsidP="00112D20">
      <w:pPr>
        <w:pStyle w:val="a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59" w:name="_Toc989284"/>
      <w:r>
        <w:rPr>
          <w:rFonts w:ascii="宋体" w:eastAsia="宋体" w:hAnsi="宋体" w:cs="宋体"/>
          <w:b/>
          <w:bCs/>
          <w:szCs w:val="21"/>
        </w:rPr>
        <w:t>（6） 不属于现金及现金等价物的货币资金</w:t>
      </w:r>
      <w:bookmarkEnd w:id="359"/>
    </w:p>
    <w:p w:rsidR="005C49A8" w:rsidRDefault="005C49A8">
      <w:pPr>
        <w:pStyle w:val="a3"/>
        <w:divId w:val="2002193277"/>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60" w:name="_Toc989285"/>
      <w:r>
        <w:rPr>
          <w:rFonts w:ascii="宋体" w:eastAsia="宋体" w:hAnsi="宋体" w:cs="宋体"/>
          <w:b/>
          <w:bCs/>
          <w:szCs w:val="21"/>
        </w:rPr>
        <w:lastRenderedPageBreak/>
        <w:t>（7） 其他重大活动说明</w:t>
      </w:r>
      <w:bookmarkEnd w:id="360"/>
    </w:p>
    <w:p w:rsidR="005C49A8" w:rsidRDefault="005C49A8">
      <w:pPr>
        <w:pStyle w:val="a3"/>
        <w:divId w:val="128739154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61" w:name="_Toc989286"/>
      <w:r>
        <w:rPr>
          <w:rFonts w:ascii="宋体" w:hAnsi="宋体" w:cs="宋体"/>
          <w:b/>
          <w:bCs/>
        </w:rPr>
        <w:t>80、所有者权益变动</w:t>
      </w:r>
      <w:proofErr w:type="gramStart"/>
      <w:r>
        <w:rPr>
          <w:rFonts w:ascii="宋体" w:hAnsi="宋体" w:cs="宋体"/>
          <w:b/>
          <w:bCs/>
        </w:rPr>
        <w:t>表项目</w:t>
      </w:r>
      <w:proofErr w:type="gramEnd"/>
      <w:r>
        <w:rPr>
          <w:rFonts w:ascii="宋体" w:hAnsi="宋体" w:cs="宋体"/>
          <w:b/>
          <w:bCs/>
        </w:rPr>
        <w:t>注释</w:t>
      </w:r>
      <w:bookmarkEnd w:id="361"/>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说明对上年年末余额进行调整的“其他”项目名称及调整金额等事项：</w:t>
      </w:r>
      <w:r>
        <w:rPr>
          <w:rFonts w:hint="eastAsia"/>
          <w:sz w:val="18"/>
          <w:szCs w:val="18"/>
        </w:rPr>
        <w:t>无</w:t>
      </w:r>
    </w:p>
    <w:p w:rsidR="008820E4" w:rsidRDefault="005C49A8">
      <w:pPr>
        <w:pStyle w:val="3"/>
        <w:spacing w:line="280" w:lineRule="exact"/>
        <w:jc w:val="left"/>
        <w:rPr>
          <w:rFonts w:ascii="宋体" w:hAnsi="宋体" w:cs="宋体"/>
          <w:b/>
          <w:bCs/>
        </w:rPr>
      </w:pPr>
      <w:bookmarkStart w:id="362" w:name="_Toc989287"/>
      <w:r>
        <w:rPr>
          <w:rFonts w:ascii="宋体" w:hAnsi="宋体" w:cs="宋体"/>
          <w:b/>
          <w:bCs/>
        </w:rPr>
        <w:t>81、外币货币性项目</w:t>
      </w:r>
      <w:bookmarkEnd w:id="362"/>
    </w:p>
    <w:p w:rsidR="008820E4" w:rsidRDefault="005C49A8">
      <w:pPr>
        <w:keepNext/>
        <w:keepLines/>
        <w:spacing w:before="300" w:after="300" w:line="280" w:lineRule="exact"/>
        <w:outlineLvl w:val="3"/>
        <w:rPr>
          <w:rFonts w:ascii="宋体" w:eastAsia="宋体" w:hAnsi="宋体" w:cs="宋体"/>
          <w:b/>
          <w:bCs/>
          <w:szCs w:val="21"/>
        </w:rPr>
      </w:pPr>
      <w:bookmarkStart w:id="363" w:name="_Toc989288"/>
      <w:r>
        <w:rPr>
          <w:rFonts w:ascii="宋体" w:eastAsia="宋体" w:hAnsi="宋体" w:cs="宋体"/>
          <w:b/>
          <w:bCs/>
          <w:szCs w:val="21"/>
        </w:rPr>
        <w:t>（1） 外币货币性项目</w:t>
      </w:r>
      <w:bookmarkEnd w:id="36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期末外币余额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折算汇率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期末折算人民币余额</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7,114,478.97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50,929,709.15</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6,384.17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8.40240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53,642.35</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16,496,009.94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15,043,536.26</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112D20">
            <w:pPr>
              <w:spacing w:line="0" w:lineRule="atLeast"/>
              <w:rPr>
                <w:rFonts w:ascii="宋体" w:eastAsia="宋体" w:hAnsi="宋体" w:cs="宋体"/>
                <w:sz w:val="18"/>
                <w:szCs w:val="18"/>
              </w:rPr>
            </w:pPr>
            <w:r>
              <w:rPr>
                <w:rFonts w:ascii="宋体" w:eastAsia="宋体" w:hAnsi="宋体" w:cs="宋体"/>
                <w:sz w:val="18"/>
                <w:szCs w:val="18"/>
              </w:rPr>
              <w:t xml:space="preserve">  </w:t>
            </w:r>
            <w:r>
              <w:rPr>
                <w:rFonts w:ascii="宋体" w:eastAsia="宋体" w:hAnsi="宋体" w:cs="宋体" w:hint="eastAsia"/>
                <w:sz w:val="18"/>
                <w:szCs w:val="18"/>
              </w:rPr>
              <w:t xml:space="preserve"> </w:t>
            </w:r>
            <w:r>
              <w:rPr>
                <w:rFonts w:ascii="宋体" w:eastAsia="宋体" w:hAnsi="宋体" w:cs="宋体"/>
                <w:sz w:val="18"/>
                <w:szCs w:val="18"/>
              </w:rPr>
              <w:t xml:space="preserve"> </w:t>
            </w:r>
            <w:r>
              <w:rPr>
                <w:rFonts w:ascii="宋体" w:eastAsia="宋体" w:hAnsi="宋体" w:cs="宋体" w:hint="eastAsia"/>
                <w:sz w:val="18"/>
                <w:szCs w:val="18"/>
              </w:rPr>
              <w:t xml:space="preserve"> </w:t>
            </w:r>
            <w:r>
              <w:rPr>
                <w:rFonts w:ascii="宋体" w:eastAsia="宋体" w:hAnsi="宋体" w:cs="宋体"/>
                <w:sz w:val="18"/>
                <w:szCs w:val="18"/>
              </w:rPr>
              <w:t xml:space="preserve"> </w:t>
            </w:r>
            <w:r w:rsidR="005C49A8">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187,586,326,560.00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51,460,259.72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韩元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140,970.00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0.00526</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741.95</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泰铢</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87.50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0.21968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印度尼西亚卢比</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0.00044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埃及镑</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0.14407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7.20</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台币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0.24624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0.49</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新加坡元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24.35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5.61790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136.80</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巴基斯坦卢比</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14,200.00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0.02524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358.37</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应收账款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676,197.57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4,840,627.92</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784,273.78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715,218.47</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2,183,444,782,855.00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598,980,947.41</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长期借款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其他应收款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67,201,335.43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481,067,479.81</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228,922,932.50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208,766,268.29</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129,659,548,647.00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35,569,298.52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短期借款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5,343,236.65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38,250,093.88</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137,525,783,700.00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37,727,230.32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541,492.65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3,876,329.28</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12D20">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113,456,730,223.00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31,124,405.02</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rPr>
                <w:rFonts w:ascii="宋体" w:eastAsia="宋体" w:hAnsi="宋体" w:cs="宋体"/>
                <w:sz w:val="18"/>
                <w:szCs w:val="18"/>
              </w:rPr>
            </w:pPr>
            <w:r>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42,708,412.84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7.15860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305,732,444.16</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364,530,140.72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0.91195</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332,433,261.83</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line="0" w:lineRule="atLeast"/>
              <w:ind w:firstLineChars="300" w:firstLine="540"/>
              <w:rPr>
                <w:rFonts w:ascii="宋体" w:eastAsia="宋体" w:hAnsi="宋体" w:cs="宋体"/>
                <w:sz w:val="18"/>
                <w:szCs w:val="18"/>
              </w:rPr>
            </w:pPr>
            <w:r>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105,440,644,584.00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0.00027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28,925,364.95</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64" w:name="_Toc989289"/>
      <w:r>
        <w:rPr>
          <w:rFonts w:ascii="宋体" w:eastAsia="宋体" w:hAnsi="宋体" w:cs="宋体"/>
          <w:b/>
          <w:bCs/>
          <w:szCs w:val="21"/>
        </w:rPr>
        <w:lastRenderedPageBreak/>
        <w:t>（2） 境外经营实体说明，包括对于重要的境外经营实体，应披露其境外主要经营地、记账本位币及选择依据，记账本位币发生变化的还应披露原因。</w:t>
      </w:r>
      <w:bookmarkEnd w:id="36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65" w:name="_Toc989290"/>
      <w:r>
        <w:rPr>
          <w:rFonts w:ascii="宋体" w:hAnsi="宋体" w:cs="宋体"/>
          <w:b/>
          <w:bCs/>
        </w:rPr>
        <w:t>82、租赁</w:t>
      </w:r>
      <w:bookmarkEnd w:id="365"/>
    </w:p>
    <w:p w:rsidR="008820E4" w:rsidRDefault="005C49A8">
      <w:pPr>
        <w:keepNext/>
        <w:keepLines/>
        <w:spacing w:before="300" w:after="300" w:line="280" w:lineRule="exact"/>
        <w:outlineLvl w:val="3"/>
        <w:rPr>
          <w:rFonts w:ascii="宋体" w:eastAsia="宋体" w:hAnsi="宋体" w:cs="宋体"/>
          <w:b/>
          <w:bCs/>
          <w:szCs w:val="21"/>
        </w:rPr>
      </w:pPr>
      <w:bookmarkStart w:id="366" w:name="_Toc989291"/>
      <w:r>
        <w:rPr>
          <w:rFonts w:ascii="宋体" w:eastAsia="宋体" w:hAnsi="宋体" w:cs="宋体"/>
          <w:b/>
          <w:bCs/>
          <w:szCs w:val="21"/>
        </w:rPr>
        <w:t>（1） 本公司作为承租方</w:t>
      </w:r>
      <w:bookmarkEnd w:id="36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未纳入租赁负债计量的可变租赁付款额</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简化处理的短期租赁或低价值资产的租赁费用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涉及售后租回交易的情况</w:t>
      </w:r>
    </w:p>
    <w:p w:rsidR="005C49A8" w:rsidRDefault="005C49A8">
      <w:pPr>
        <w:pStyle w:val="a3"/>
        <w:divId w:val="150524307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67" w:name="_Toc989292"/>
      <w:r>
        <w:rPr>
          <w:rFonts w:ascii="宋体" w:eastAsia="宋体" w:hAnsi="宋体" w:cs="宋体"/>
          <w:b/>
          <w:bCs/>
          <w:szCs w:val="21"/>
        </w:rPr>
        <w:t>（2） 本公司作为出租方</w:t>
      </w:r>
      <w:bookmarkEnd w:id="36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作为出租人的经营租赁</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租赁收入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其中：未计入</w:t>
            </w:r>
            <w:proofErr w:type="gramStart"/>
            <w:r>
              <w:rPr>
                <w:rFonts w:ascii="宋体" w:eastAsia="宋体" w:hAnsi="宋体" w:cs="宋体"/>
                <w:sz w:val="18"/>
                <w:szCs w:val="18"/>
              </w:rPr>
              <w:t>租赁收</w:t>
            </w:r>
            <w:proofErr w:type="gramEnd"/>
            <w:r>
              <w:rPr>
                <w:rFonts w:ascii="宋体" w:eastAsia="宋体" w:hAnsi="宋体" w:cs="宋体"/>
                <w:sz w:val="18"/>
                <w:szCs w:val="18"/>
              </w:rPr>
              <w:t>款额的可变租赁付款</w:t>
            </w:r>
            <w:proofErr w:type="gramStart"/>
            <w:r>
              <w:rPr>
                <w:rFonts w:ascii="宋体" w:eastAsia="宋体" w:hAnsi="宋体" w:cs="宋体"/>
                <w:sz w:val="18"/>
                <w:szCs w:val="18"/>
              </w:rPr>
              <w:t>额相关</w:t>
            </w:r>
            <w:proofErr w:type="gramEnd"/>
            <w:r>
              <w:rPr>
                <w:rFonts w:ascii="宋体" w:eastAsia="宋体" w:hAnsi="宋体" w:cs="宋体"/>
                <w:sz w:val="18"/>
                <w:szCs w:val="18"/>
              </w:rPr>
              <w:t>的收入</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厂房出租</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13,027,173.08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作为出租人的融资租赁</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未来五年每年未折现</w:t>
      </w:r>
      <w:proofErr w:type="gramStart"/>
      <w:r>
        <w:rPr>
          <w:rFonts w:ascii="宋体" w:eastAsia="宋体" w:hAnsi="宋体" w:cs="宋体"/>
          <w:sz w:val="18"/>
          <w:szCs w:val="18"/>
        </w:rPr>
        <w:t>租赁收</w:t>
      </w:r>
      <w:proofErr w:type="gramEnd"/>
      <w:r>
        <w:rPr>
          <w:rFonts w:ascii="宋体" w:eastAsia="宋体" w:hAnsi="宋体" w:cs="宋体"/>
          <w:sz w:val="18"/>
          <w:szCs w:val="18"/>
        </w:rPr>
        <w:t>款额</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未折现</w:t>
      </w:r>
      <w:proofErr w:type="gramStart"/>
      <w:r>
        <w:rPr>
          <w:rFonts w:ascii="宋体" w:eastAsia="宋体" w:hAnsi="宋体" w:cs="宋体"/>
          <w:sz w:val="18"/>
          <w:szCs w:val="18"/>
        </w:rPr>
        <w:t>租赁收</w:t>
      </w:r>
      <w:proofErr w:type="gramEnd"/>
      <w:r>
        <w:rPr>
          <w:rFonts w:ascii="宋体" w:eastAsia="宋体" w:hAnsi="宋体" w:cs="宋体"/>
          <w:sz w:val="18"/>
          <w:szCs w:val="18"/>
        </w:rPr>
        <w:t>款额与租赁投资净额的调节表</w:t>
      </w:r>
    </w:p>
    <w:p w:rsidR="005C49A8" w:rsidRDefault="005C49A8">
      <w:pPr>
        <w:pStyle w:val="a3"/>
        <w:divId w:val="57635554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368" w:name="_Toc989293"/>
      <w:r>
        <w:rPr>
          <w:rFonts w:ascii="宋体" w:eastAsia="宋体" w:hAnsi="宋体" w:cs="宋体"/>
          <w:b/>
          <w:bCs/>
          <w:szCs w:val="21"/>
        </w:rPr>
        <w:t>（3） 作为生产商或经销商确认融资租赁销售损益</w:t>
      </w:r>
      <w:bookmarkEnd w:id="36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369" w:name="_Toc989294"/>
      <w:r>
        <w:rPr>
          <w:rFonts w:ascii="宋体" w:hAnsi="宋体" w:cs="宋体"/>
          <w:b/>
          <w:bCs/>
        </w:rPr>
        <w:t>83、数据资源</w:t>
      </w:r>
      <w:bookmarkEnd w:id="369"/>
    </w:p>
    <w:p w:rsidR="005C49A8" w:rsidRDefault="005C49A8">
      <w:pPr>
        <w:pStyle w:val="a3"/>
        <w:divId w:val="45878594"/>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70" w:name="_Toc989295"/>
      <w:r>
        <w:rPr>
          <w:rFonts w:ascii="宋体" w:hAnsi="宋体" w:cs="宋体"/>
          <w:b/>
          <w:bCs/>
        </w:rPr>
        <w:t>84、其他</w:t>
      </w:r>
      <w:bookmarkEnd w:id="370"/>
    </w:p>
    <w:p w:rsidR="005C49A8" w:rsidRDefault="005C49A8">
      <w:pPr>
        <w:pStyle w:val="a3"/>
        <w:divId w:val="915477774"/>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71" w:name="_Toc989296"/>
      <w:r>
        <w:rPr>
          <w:rFonts w:ascii="宋体" w:eastAsia="宋体" w:hAnsi="宋体" w:cs="宋体"/>
          <w:b/>
          <w:bCs/>
          <w:sz w:val="24"/>
          <w:szCs w:val="24"/>
        </w:rPr>
        <w:lastRenderedPageBreak/>
        <w:t>八、研发支出</w:t>
      </w:r>
      <w:bookmarkEnd w:id="371"/>
    </w:p>
    <w:p w:rsidR="005C49A8" w:rsidRDefault="005C49A8">
      <w:pPr>
        <w:pStyle w:val="a3"/>
        <w:divId w:val="1492984786"/>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72" w:name="_Toc989299"/>
      <w:r>
        <w:rPr>
          <w:rFonts w:ascii="宋体" w:eastAsia="宋体" w:hAnsi="宋体" w:cs="宋体"/>
          <w:b/>
          <w:bCs/>
          <w:sz w:val="24"/>
          <w:szCs w:val="24"/>
        </w:rPr>
        <w:t>九、合并范围的变更</w:t>
      </w:r>
      <w:bookmarkEnd w:id="372"/>
    </w:p>
    <w:p w:rsidR="008820E4" w:rsidRDefault="005C49A8">
      <w:pPr>
        <w:pStyle w:val="3"/>
        <w:spacing w:line="280" w:lineRule="exact"/>
        <w:jc w:val="left"/>
        <w:rPr>
          <w:rFonts w:ascii="宋体" w:hAnsi="宋体" w:cs="宋体"/>
          <w:b/>
          <w:bCs/>
        </w:rPr>
      </w:pPr>
      <w:bookmarkStart w:id="373" w:name="_Toc989300"/>
      <w:r>
        <w:rPr>
          <w:rFonts w:ascii="宋体" w:hAnsi="宋体" w:cs="宋体"/>
          <w:b/>
          <w:bCs/>
        </w:rPr>
        <w:t>1、非同</w:t>
      </w:r>
      <w:proofErr w:type="gramStart"/>
      <w:r>
        <w:rPr>
          <w:rFonts w:ascii="宋体" w:hAnsi="宋体" w:cs="宋体"/>
          <w:b/>
          <w:bCs/>
        </w:rPr>
        <w:t>一控制</w:t>
      </w:r>
      <w:proofErr w:type="gramEnd"/>
      <w:r>
        <w:rPr>
          <w:rFonts w:ascii="宋体" w:hAnsi="宋体" w:cs="宋体"/>
          <w:b/>
          <w:bCs/>
        </w:rPr>
        <w:t>下企业合并</w:t>
      </w:r>
      <w:bookmarkEnd w:id="373"/>
    </w:p>
    <w:p w:rsidR="008820E4" w:rsidRDefault="005C49A8">
      <w:pPr>
        <w:keepNext/>
        <w:keepLines/>
        <w:spacing w:before="300" w:after="300" w:line="280" w:lineRule="exact"/>
        <w:outlineLvl w:val="3"/>
        <w:rPr>
          <w:rFonts w:ascii="宋体" w:eastAsia="宋体" w:hAnsi="宋体" w:cs="宋体"/>
          <w:b/>
          <w:bCs/>
          <w:sz w:val="18"/>
          <w:szCs w:val="18"/>
        </w:rPr>
      </w:pPr>
      <w:bookmarkStart w:id="374" w:name="_Toc989301"/>
      <w:r>
        <w:rPr>
          <w:rFonts w:ascii="宋体" w:eastAsia="宋体" w:hAnsi="宋体" w:cs="宋体"/>
          <w:b/>
          <w:bCs/>
          <w:sz w:val="18"/>
          <w:szCs w:val="18"/>
        </w:rPr>
        <w:t>（1） 本期发生的非同</w:t>
      </w:r>
      <w:proofErr w:type="gramStart"/>
      <w:r>
        <w:rPr>
          <w:rFonts w:ascii="宋体" w:eastAsia="宋体" w:hAnsi="宋体" w:cs="宋体"/>
          <w:b/>
          <w:bCs/>
          <w:sz w:val="18"/>
          <w:szCs w:val="18"/>
        </w:rPr>
        <w:t>一控制</w:t>
      </w:r>
      <w:proofErr w:type="gramEnd"/>
      <w:r>
        <w:rPr>
          <w:rFonts w:ascii="宋体" w:eastAsia="宋体" w:hAnsi="宋体" w:cs="宋体"/>
          <w:b/>
          <w:bCs/>
          <w:sz w:val="18"/>
          <w:szCs w:val="18"/>
        </w:rPr>
        <w:t>下企业合并</w:t>
      </w:r>
      <w:bookmarkEnd w:id="37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963"/>
        <w:gridCol w:w="964"/>
        <w:gridCol w:w="964"/>
        <w:gridCol w:w="964"/>
        <w:gridCol w:w="964"/>
        <w:gridCol w:w="964"/>
        <w:gridCol w:w="964"/>
        <w:gridCol w:w="964"/>
        <w:gridCol w:w="964"/>
        <w:gridCol w:w="964"/>
      </w:tblGrid>
      <w:tr w:rsidR="008820E4">
        <w:trPr>
          <w:trHeight w:val="240"/>
        </w:trPr>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被购买方名称</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股权取得时点</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股权取得成本</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股权取得比例</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股权取得方式</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购买日的确定依据</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购买方的收入</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购买方的净利润</w:t>
            </w:r>
          </w:p>
        </w:tc>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购买日至</w:t>
            </w:r>
            <w:proofErr w:type="gramStart"/>
            <w:r>
              <w:rPr>
                <w:rFonts w:ascii="宋体" w:eastAsia="宋体" w:hAnsi="宋体" w:cs="宋体"/>
                <w:sz w:val="18"/>
                <w:szCs w:val="18"/>
              </w:rPr>
              <w:t>期末被</w:t>
            </w:r>
            <w:proofErr w:type="gramEnd"/>
            <w:r>
              <w:rPr>
                <w:rFonts w:ascii="宋体" w:eastAsia="宋体" w:hAnsi="宋体" w:cs="宋体"/>
                <w:sz w:val="18"/>
                <w:szCs w:val="18"/>
              </w:rPr>
              <w:t>购买方的现金流</w:t>
            </w:r>
          </w:p>
        </w:tc>
      </w:tr>
      <w:tr w:rsidR="008820E4" w:rsidTr="00177DA4">
        <w:trPr>
          <w:trHeight w:val="240"/>
        </w:trPr>
        <w:tc>
          <w:tcPr>
            <w:tcW w:w="96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2025年03月24日</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现金</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2025年03月24日</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F74291">
            <w:pPr>
              <w:spacing w:line="0" w:lineRule="atLeast"/>
              <w:rPr>
                <w:rFonts w:ascii="宋体" w:eastAsia="宋体" w:hAnsi="宋体" w:cs="宋体"/>
                <w:sz w:val="18"/>
                <w:szCs w:val="18"/>
              </w:rPr>
            </w:pPr>
            <w:r>
              <w:rPr>
                <w:rFonts w:ascii="宋体" w:eastAsia="宋体" w:hAnsi="宋体" w:cs="宋体"/>
                <w:sz w:val="18"/>
                <w:szCs w:val="18"/>
              </w:rPr>
              <w:t>购买完成</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96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75" w:name="_Toc989302"/>
      <w:r>
        <w:rPr>
          <w:rFonts w:ascii="宋体" w:eastAsia="宋体" w:hAnsi="宋体" w:cs="宋体"/>
          <w:b/>
          <w:bCs/>
          <w:sz w:val="18"/>
          <w:szCs w:val="18"/>
        </w:rPr>
        <w:t>（2） 合并成本及商誉</w:t>
      </w:r>
      <w:bookmarkStart w:id="376" w:name="_GoBack"/>
      <w:bookmarkEnd w:id="375"/>
      <w:bookmarkEnd w:id="37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合并成本</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新疆硕丰种业有限公司</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--现金</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--非现金资产的公允价值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--发行或承担的债务的公允价值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--发行的权益</w:t>
            </w:r>
            <w:proofErr w:type="gramStart"/>
            <w:r>
              <w:rPr>
                <w:rFonts w:ascii="宋体" w:eastAsia="宋体" w:hAnsi="宋体" w:cs="宋体"/>
                <w:sz w:val="18"/>
                <w:szCs w:val="18"/>
              </w:rPr>
              <w:t>性证券</w:t>
            </w:r>
            <w:proofErr w:type="gramEnd"/>
            <w:r>
              <w:rPr>
                <w:rFonts w:ascii="宋体" w:eastAsia="宋体" w:hAnsi="宋体" w:cs="宋体"/>
                <w:sz w:val="18"/>
                <w:szCs w:val="18"/>
              </w:rPr>
              <w:t>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--或有对价的公允价值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--购买日之前持有的股权于购买日的公允价值</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合并成本合计</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减：取得的可辨认净资产公允价值份额</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r>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商誉/合并成本小于取得的可辨认净资产公允价值份额的金额</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16,520,000.00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合并成本公允价值的确定方法：</w:t>
      </w:r>
      <w:r>
        <w:rPr>
          <w:rFonts w:hint="eastAsia"/>
          <w:sz w:val="18"/>
          <w:szCs w:val="18"/>
        </w:rPr>
        <w:t>以经新疆天合资产评估天合评报字【</w:t>
      </w:r>
      <w:r>
        <w:rPr>
          <w:rFonts w:hint="eastAsia"/>
          <w:sz w:val="18"/>
          <w:szCs w:val="18"/>
        </w:rPr>
        <w:t>2025</w:t>
      </w:r>
      <w:r>
        <w:rPr>
          <w:rFonts w:hint="eastAsia"/>
          <w:sz w:val="18"/>
          <w:szCs w:val="18"/>
        </w:rPr>
        <w:t>】</w:t>
      </w:r>
      <w:r>
        <w:rPr>
          <w:rFonts w:hint="eastAsia"/>
          <w:sz w:val="18"/>
          <w:szCs w:val="18"/>
        </w:rPr>
        <w:t>1-0080</w:t>
      </w:r>
      <w:r>
        <w:rPr>
          <w:rFonts w:hint="eastAsia"/>
          <w:sz w:val="18"/>
          <w:szCs w:val="18"/>
        </w:rPr>
        <w:t>号评估报告作为可辨认公允价值的参考依据进行确认。</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或有对价及其变动的说明</w:t>
      </w:r>
      <w:r w:rsidR="00112D20">
        <w:rPr>
          <w:rFonts w:ascii="宋体" w:eastAsia="宋体" w:hAnsi="宋体" w:cs="宋体" w:hint="eastAsia"/>
          <w:sz w:val="18"/>
          <w:szCs w:val="18"/>
        </w:rPr>
        <w:t>：</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大额商誉形成的主要原因：</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77" w:name="_Toc989303"/>
      <w:r>
        <w:rPr>
          <w:rFonts w:ascii="宋体" w:eastAsia="宋体" w:hAnsi="宋体" w:cs="宋体"/>
          <w:b/>
          <w:bCs/>
          <w:sz w:val="18"/>
          <w:szCs w:val="18"/>
        </w:rPr>
        <w:t>（3） 被购买方于购买日可辨认资产、负债</w:t>
      </w:r>
      <w:bookmarkEnd w:id="377"/>
    </w:p>
    <w:p w:rsidR="00132FE9" w:rsidRDefault="00132FE9">
      <w:pPr>
        <w:spacing w:before="40" w:after="40" w:line="240" w:lineRule="exact"/>
        <w:jc w:val="right"/>
        <w:rPr>
          <w:rFonts w:ascii="宋体" w:eastAsia="宋体" w:hAnsi="宋体" w:cs="宋体"/>
          <w:sz w:val="18"/>
          <w:szCs w:val="18"/>
        </w:rPr>
      </w:pP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6426"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新疆硕丰种业有限公司</w:t>
            </w:r>
          </w:p>
        </w:tc>
      </w:tr>
      <w:tr w:rsidR="008820E4">
        <w:trPr>
          <w:trHeight w:val="240"/>
        </w:trPr>
        <w:tc>
          <w:tcPr>
            <w:tcW w:w="321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购买日公允价值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购买日账面价值</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借款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应付款项</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净资产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取得的净资产</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2,480,000.00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可辨认资产、负债公允价值的确定方法：</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企业合并中承担的被购买方的或有负债：</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78" w:name="_Toc989304"/>
      <w:r>
        <w:rPr>
          <w:rFonts w:ascii="宋体" w:eastAsia="宋体" w:hAnsi="宋体" w:cs="宋体"/>
          <w:b/>
          <w:bCs/>
          <w:sz w:val="18"/>
          <w:szCs w:val="18"/>
        </w:rPr>
        <w:t>（4） 购买日之前持有的股权按照公允价值重新计量产生的利得或损失</w:t>
      </w:r>
      <w:bookmarkEnd w:id="37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是否存在通过多次交易分步实现企业合并且在报告期内取得控制权的交易</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keepNext/>
        <w:keepLines/>
        <w:spacing w:before="300" w:after="300" w:line="280" w:lineRule="exact"/>
        <w:outlineLvl w:val="3"/>
        <w:rPr>
          <w:rFonts w:ascii="宋体" w:eastAsia="宋体" w:hAnsi="宋体" w:cs="宋体"/>
          <w:b/>
          <w:bCs/>
          <w:sz w:val="18"/>
          <w:szCs w:val="18"/>
        </w:rPr>
      </w:pPr>
      <w:bookmarkStart w:id="379" w:name="_Toc989305"/>
      <w:r>
        <w:rPr>
          <w:rFonts w:ascii="宋体" w:eastAsia="宋体" w:hAnsi="宋体" w:cs="宋体"/>
          <w:b/>
          <w:bCs/>
          <w:sz w:val="18"/>
          <w:szCs w:val="18"/>
        </w:rPr>
        <w:t>（5） 购买日或合并当期期末无法合理确定合并对价或被购买方可辨认资产、负债公允价值的相关说明</w:t>
      </w:r>
      <w:bookmarkEnd w:id="379"/>
    </w:p>
    <w:p w:rsidR="005C49A8" w:rsidRDefault="005C49A8">
      <w:pPr>
        <w:pStyle w:val="a3"/>
        <w:divId w:val="508833381"/>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80" w:name="_Toc989306"/>
      <w:r>
        <w:rPr>
          <w:rFonts w:ascii="宋体" w:eastAsia="宋体" w:hAnsi="宋体" w:cs="宋体"/>
          <w:b/>
          <w:bCs/>
          <w:sz w:val="18"/>
          <w:szCs w:val="18"/>
        </w:rPr>
        <w:t>（6） 其他说明</w:t>
      </w:r>
      <w:bookmarkEnd w:id="380"/>
    </w:p>
    <w:p w:rsidR="005C49A8" w:rsidRDefault="005C49A8">
      <w:pPr>
        <w:pStyle w:val="a3"/>
        <w:divId w:val="17782291"/>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81" w:name="_Toc989307"/>
      <w:r>
        <w:rPr>
          <w:rFonts w:ascii="宋体" w:hAnsi="宋体" w:cs="宋体"/>
          <w:b/>
          <w:bCs/>
        </w:rPr>
        <w:t>2、同</w:t>
      </w:r>
      <w:proofErr w:type="gramStart"/>
      <w:r>
        <w:rPr>
          <w:rFonts w:ascii="宋体" w:hAnsi="宋体" w:cs="宋体"/>
          <w:b/>
          <w:bCs/>
        </w:rPr>
        <w:t>一控制</w:t>
      </w:r>
      <w:proofErr w:type="gramEnd"/>
      <w:r>
        <w:rPr>
          <w:rFonts w:ascii="宋体" w:hAnsi="宋体" w:cs="宋体"/>
          <w:b/>
          <w:bCs/>
        </w:rPr>
        <w:t>下企业合并</w:t>
      </w:r>
      <w:bookmarkEnd w:id="381"/>
    </w:p>
    <w:p w:rsidR="008820E4" w:rsidRDefault="005C49A8">
      <w:pPr>
        <w:keepNext/>
        <w:keepLines/>
        <w:spacing w:before="300" w:after="300" w:line="280" w:lineRule="exact"/>
        <w:outlineLvl w:val="3"/>
        <w:rPr>
          <w:rFonts w:ascii="宋体" w:eastAsia="宋体" w:hAnsi="宋体" w:cs="宋体"/>
          <w:b/>
          <w:bCs/>
          <w:sz w:val="18"/>
          <w:szCs w:val="18"/>
        </w:rPr>
      </w:pPr>
      <w:bookmarkStart w:id="382" w:name="_Toc989308"/>
      <w:r>
        <w:rPr>
          <w:rFonts w:ascii="宋体" w:eastAsia="宋体" w:hAnsi="宋体" w:cs="宋体"/>
          <w:b/>
          <w:bCs/>
          <w:sz w:val="18"/>
          <w:szCs w:val="18"/>
        </w:rPr>
        <w:t>（1） 本期发生的同</w:t>
      </w:r>
      <w:proofErr w:type="gramStart"/>
      <w:r>
        <w:rPr>
          <w:rFonts w:ascii="宋体" w:eastAsia="宋体" w:hAnsi="宋体" w:cs="宋体"/>
          <w:b/>
          <w:bCs/>
          <w:sz w:val="18"/>
          <w:szCs w:val="18"/>
        </w:rPr>
        <w:t>一控制</w:t>
      </w:r>
      <w:proofErr w:type="gramEnd"/>
      <w:r>
        <w:rPr>
          <w:rFonts w:ascii="宋体" w:eastAsia="宋体" w:hAnsi="宋体" w:cs="宋体"/>
          <w:b/>
          <w:bCs/>
          <w:sz w:val="18"/>
          <w:szCs w:val="18"/>
        </w:rPr>
        <w:t>下企业合并</w:t>
      </w:r>
      <w:bookmarkEnd w:id="382"/>
    </w:p>
    <w:p w:rsidR="005C49A8" w:rsidRDefault="005C49A8">
      <w:pPr>
        <w:pStyle w:val="a3"/>
        <w:divId w:val="112395913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83" w:name="_Toc989309"/>
      <w:r>
        <w:rPr>
          <w:rFonts w:ascii="宋体" w:eastAsia="宋体" w:hAnsi="宋体" w:cs="宋体"/>
          <w:b/>
          <w:bCs/>
          <w:sz w:val="18"/>
          <w:szCs w:val="18"/>
        </w:rPr>
        <w:t>（2） 合并成本</w:t>
      </w:r>
      <w:bookmarkEnd w:id="383"/>
    </w:p>
    <w:p w:rsidR="005C49A8" w:rsidRDefault="005C49A8">
      <w:pPr>
        <w:pStyle w:val="a3"/>
        <w:divId w:val="33345402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84" w:name="_Toc989310"/>
      <w:r>
        <w:rPr>
          <w:rFonts w:ascii="宋体" w:eastAsia="宋体" w:hAnsi="宋体" w:cs="宋体"/>
          <w:b/>
          <w:bCs/>
          <w:sz w:val="18"/>
          <w:szCs w:val="18"/>
        </w:rPr>
        <w:t xml:space="preserve">（3） </w:t>
      </w:r>
      <w:proofErr w:type="gramStart"/>
      <w:r>
        <w:rPr>
          <w:rFonts w:ascii="宋体" w:eastAsia="宋体" w:hAnsi="宋体" w:cs="宋体"/>
          <w:b/>
          <w:bCs/>
          <w:sz w:val="18"/>
          <w:szCs w:val="18"/>
        </w:rPr>
        <w:t>合并日</w:t>
      </w:r>
      <w:proofErr w:type="gramEnd"/>
      <w:r>
        <w:rPr>
          <w:rFonts w:ascii="宋体" w:eastAsia="宋体" w:hAnsi="宋体" w:cs="宋体"/>
          <w:b/>
          <w:bCs/>
          <w:sz w:val="18"/>
          <w:szCs w:val="18"/>
        </w:rPr>
        <w:t>被合并方资产、负债的账面价值</w:t>
      </w:r>
      <w:bookmarkEnd w:id="384"/>
    </w:p>
    <w:p w:rsidR="005C49A8" w:rsidRDefault="005C49A8">
      <w:pPr>
        <w:pStyle w:val="a3"/>
        <w:divId w:val="609699513"/>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85" w:name="_Toc989311"/>
      <w:r>
        <w:rPr>
          <w:rFonts w:ascii="宋体" w:hAnsi="宋体" w:cs="宋体"/>
          <w:b/>
          <w:bCs/>
        </w:rPr>
        <w:lastRenderedPageBreak/>
        <w:t>3、反向购买</w:t>
      </w:r>
      <w:bookmarkEnd w:id="385"/>
    </w:p>
    <w:p w:rsidR="008820E4" w:rsidRDefault="005C49A8" w:rsidP="00112D20">
      <w:pPr>
        <w:spacing w:before="100" w:after="100" w:line="240" w:lineRule="exact"/>
        <w:ind w:firstLineChars="200" w:firstLine="360"/>
        <w:rPr>
          <w:rFonts w:ascii="宋体" w:eastAsia="宋体" w:hAnsi="宋体" w:cs="宋体"/>
          <w:sz w:val="18"/>
          <w:szCs w:val="18"/>
        </w:rPr>
      </w:pPr>
      <w:r>
        <w:rPr>
          <w:rFonts w:ascii="宋体" w:eastAsia="宋体" w:hAnsi="宋体" w:cs="宋体"/>
          <w:sz w:val="18"/>
          <w:szCs w:val="18"/>
        </w:rPr>
        <w:t>交易基本信息、交易构成反向购买的依据、上市公司保留的资产、负债是否构成业务及其依据、合并成本的确定、按照权益性交易处理时调整权益的金额及其计算：</w:t>
      </w:r>
    </w:p>
    <w:p w:rsidR="005C49A8" w:rsidRDefault="005C49A8">
      <w:pPr>
        <w:pStyle w:val="a3"/>
        <w:divId w:val="150805622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86" w:name="_Toc989312"/>
      <w:r>
        <w:rPr>
          <w:rFonts w:ascii="宋体" w:hAnsi="宋体" w:cs="宋体"/>
          <w:b/>
          <w:bCs/>
        </w:rPr>
        <w:t>4、处置子公司</w:t>
      </w:r>
      <w:bookmarkEnd w:id="38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本期是否存在丧失子公司控制权的交易或事项</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是否存在通过多次交易分步处置对子公司投资且在本期丧失控制权的情形</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8820E4" w:rsidRDefault="005C49A8">
      <w:pPr>
        <w:pStyle w:val="3"/>
        <w:spacing w:line="280" w:lineRule="exact"/>
        <w:jc w:val="left"/>
        <w:rPr>
          <w:rFonts w:ascii="宋体" w:hAnsi="宋体" w:cs="宋体"/>
          <w:b/>
          <w:bCs/>
        </w:rPr>
      </w:pPr>
      <w:bookmarkStart w:id="387" w:name="_Toc989313"/>
      <w:r>
        <w:rPr>
          <w:rFonts w:ascii="宋体" w:hAnsi="宋体" w:cs="宋体"/>
          <w:b/>
          <w:bCs/>
        </w:rPr>
        <w:t>5、其他原因的合并范围变动</w:t>
      </w:r>
      <w:bookmarkEnd w:id="387"/>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说明其他原因导致的合并范围变动（如，新设子公司、清算子公司等）及其相关情况：</w:t>
      </w:r>
    </w:p>
    <w:tbl>
      <w:tblPr>
        <w:tblW w:w="9229" w:type="dxa"/>
        <w:tblCellMar>
          <w:left w:w="0" w:type="dxa"/>
          <w:right w:w="0" w:type="dxa"/>
        </w:tblCellMar>
        <w:tblLook w:val="04A0" w:firstRow="1" w:lastRow="0" w:firstColumn="1" w:lastColumn="0" w:noHBand="0" w:noVBand="1"/>
      </w:tblPr>
      <w:tblGrid>
        <w:gridCol w:w="4614"/>
        <w:gridCol w:w="4615"/>
      </w:tblGrid>
      <w:tr w:rsidR="005C49A8" w:rsidTr="00177DA4">
        <w:trPr>
          <w:divId w:val="475804717"/>
          <w:trHeight w:val="390"/>
        </w:trPr>
        <w:tc>
          <w:tcPr>
            <w:tcW w:w="4614" w:type="dxa"/>
            <w:tcBorders>
              <w:top w:val="single" w:sz="2" w:space="0" w:color="auto"/>
              <w:left w:val="single" w:sz="2" w:space="0" w:color="auto"/>
              <w:bottom w:val="single" w:sz="2" w:space="0" w:color="auto"/>
              <w:right w:val="single" w:sz="2"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公司名称</w:t>
            </w:r>
          </w:p>
        </w:tc>
        <w:tc>
          <w:tcPr>
            <w:tcW w:w="4615" w:type="dxa"/>
            <w:tcBorders>
              <w:top w:val="single" w:sz="2" w:space="0" w:color="auto"/>
              <w:left w:val="single" w:sz="2" w:space="0" w:color="auto"/>
              <w:bottom w:val="single" w:sz="2" w:space="0" w:color="auto"/>
              <w:right w:val="single" w:sz="2"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变更原因</w:t>
            </w:r>
          </w:p>
        </w:tc>
      </w:tr>
      <w:tr w:rsidR="005C49A8" w:rsidTr="00177DA4">
        <w:trPr>
          <w:divId w:val="475804717"/>
          <w:trHeight w:val="390"/>
        </w:trPr>
        <w:tc>
          <w:tcPr>
            <w:tcW w:w="4614" w:type="dxa"/>
            <w:tcBorders>
              <w:top w:val="single" w:sz="2" w:space="0" w:color="auto"/>
              <w:left w:val="single" w:sz="4" w:space="0" w:color="000000"/>
              <w:bottom w:val="single" w:sz="4" w:space="0" w:color="000000"/>
              <w:right w:val="single" w:sz="4" w:space="0" w:color="000000"/>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20"/>
                <w:szCs w:val="20"/>
              </w:rPr>
            </w:pPr>
            <w:r>
              <w:rPr>
                <w:rFonts w:hint="eastAsia"/>
                <w:color w:val="000000"/>
                <w:sz w:val="20"/>
                <w:szCs w:val="20"/>
              </w:rPr>
              <w:t>阿克苏恒</w:t>
            </w:r>
            <w:proofErr w:type="gramStart"/>
            <w:r>
              <w:rPr>
                <w:rFonts w:hint="eastAsia"/>
                <w:color w:val="000000"/>
                <w:sz w:val="20"/>
                <w:szCs w:val="20"/>
              </w:rPr>
              <w:t>鑫</w:t>
            </w:r>
            <w:proofErr w:type="gramEnd"/>
            <w:r>
              <w:rPr>
                <w:rFonts w:hint="eastAsia"/>
                <w:color w:val="000000"/>
                <w:sz w:val="20"/>
                <w:szCs w:val="20"/>
              </w:rPr>
              <w:t>棉花有限公司</w:t>
            </w:r>
          </w:p>
        </w:tc>
        <w:tc>
          <w:tcPr>
            <w:tcW w:w="4615" w:type="dxa"/>
            <w:tcBorders>
              <w:top w:val="single" w:sz="2" w:space="0" w:color="auto"/>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20"/>
                <w:szCs w:val="20"/>
              </w:rPr>
            </w:pPr>
            <w:r>
              <w:rPr>
                <w:rFonts w:hint="eastAsia"/>
                <w:color w:val="000000"/>
                <w:sz w:val="20"/>
                <w:szCs w:val="20"/>
              </w:rPr>
              <w:t>新设</w:t>
            </w:r>
          </w:p>
        </w:tc>
      </w:tr>
    </w:tbl>
    <w:p w:rsidR="008820E4" w:rsidRDefault="005C49A8">
      <w:pPr>
        <w:pStyle w:val="3"/>
        <w:spacing w:line="280" w:lineRule="exact"/>
        <w:jc w:val="left"/>
        <w:rPr>
          <w:rFonts w:ascii="宋体" w:hAnsi="宋体" w:cs="宋体"/>
          <w:b/>
          <w:bCs/>
        </w:rPr>
      </w:pPr>
      <w:bookmarkStart w:id="388" w:name="_Toc989314"/>
      <w:r>
        <w:rPr>
          <w:rFonts w:ascii="宋体" w:hAnsi="宋体" w:cs="宋体"/>
          <w:b/>
          <w:bCs/>
        </w:rPr>
        <w:t>6、其他</w:t>
      </w:r>
      <w:bookmarkEnd w:id="388"/>
    </w:p>
    <w:p w:rsidR="005C49A8" w:rsidRDefault="005C49A8">
      <w:pPr>
        <w:pStyle w:val="a3"/>
        <w:divId w:val="1133016224"/>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389" w:name="_Toc989315"/>
      <w:r>
        <w:rPr>
          <w:rFonts w:ascii="宋体" w:eastAsia="宋体" w:hAnsi="宋体" w:cs="宋体"/>
          <w:b/>
          <w:bCs/>
          <w:sz w:val="24"/>
          <w:szCs w:val="24"/>
        </w:rPr>
        <w:t>十、在其他主体中的权益</w:t>
      </w:r>
      <w:bookmarkEnd w:id="389"/>
    </w:p>
    <w:p w:rsidR="008820E4" w:rsidRDefault="005C49A8">
      <w:pPr>
        <w:pStyle w:val="3"/>
        <w:spacing w:line="280" w:lineRule="exact"/>
        <w:jc w:val="left"/>
        <w:rPr>
          <w:rFonts w:ascii="宋体" w:hAnsi="宋体" w:cs="宋体"/>
          <w:b/>
          <w:bCs/>
        </w:rPr>
      </w:pPr>
      <w:bookmarkStart w:id="390" w:name="_Toc989316"/>
      <w:r>
        <w:rPr>
          <w:rFonts w:ascii="宋体" w:hAnsi="宋体" w:cs="宋体"/>
          <w:b/>
          <w:bCs/>
        </w:rPr>
        <w:t>1、在子公司中的权益</w:t>
      </w:r>
      <w:bookmarkEnd w:id="390"/>
    </w:p>
    <w:p w:rsidR="008820E4" w:rsidRDefault="005C49A8">
      <w:pPr>
        <w:keepNext/>
        <w:keepLines/>
        <w:spacing w:before="300" w:after="300" w:line="280" w:lineRule="exact"/>
        <w:outlineLvl w:val="3"/>
        <w:rPr>
          <w:rFonts w:ascii="宋体" w:eastAsia="宋体" w:hAnsi="宋体" w:cs="宋体"/>
          <w:b/>
          <w:bCs/>
          <w:sz w:val="18"/>
          <w:szCs w:val="18"/>
        </w:rPr>
      </w:pPr>
      <w:bookmarkStart w:id="391" w:name="_Toc989317"/>
      <w:r>
        <w:rPr>
          <w:rFonts w:ascii="宋体" w:eastAsia="宋体" w:hAnsi="宋体" w:cs="宋体"/>
          <w:b/>
          <w:bCs/>
          <w:sz w:val="18"/>
          <w:szCs w:val="18"/>
        </w:rPr>
        <w:t>（1） 企业集团的构成</w:t>
      </w:r>
      <w:bookmarkEnd w:id="39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820E4" w:rsidTr="00177DA4">
        <w:trPr>
          <w:trHeight w:val="240"/>
        </w:trPr>
        <w:tc>
          <w:tcPr>
            <w:tcW w:w="1205"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注册资本</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主要经营地</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注册地</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业务性质</w:t>
            </w:r>
          </w:p>
        </w:tc>
        <w:tc>
          <w:tcPr>
            <w:tcW w:w="241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持股比例</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取得方式</w:t>
            </w:r>
          </w:p>
        </w:tc>
      </w:tr>
      <w:tr w:rsidR="008820E4">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直接</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间接</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香港华孚有限公司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887,849,696.34</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香港天成贸易有限公司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88,200,000.00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新加坡耀佳国际贸易有限公司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4,722,789.00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新加坡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香港华孚贸易有限公司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宁海华孚纺</w:t>
            </w:r>
            <w:r>
              <w:rPr>
                <w:rFonts w:ascii="宋体" w:eastAsia="宋体" w:hAnsi="宋体" w:cs="宋体"/>
                <w:sz w:val="18"/>
                <w:szCs w:val="18"/>
              </w:rPr>
              <w:lastRenderedPageBreak/>
              <w:t>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182,757,74</w:t>
            </w:r>
            <w:r>
              <w:rPr>
                <w:rFonts w:ascii="宋体" w:eastAsia="宋体" w:hAnsi="宋体" w:cs="宋体"/>
                <w:sz w:val="18"/>
                <w:szCs w:val="18"/>
              </w:rPr>
              <w:lastRenderedPageBreak/>
              <w:t>9.00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浙江省宁波</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浙江省宁波</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w:t>
            </w:r>
            <w:r>
              <w:rPr>
                <w:rFonts w:ascii="宋体" w:eastAsia="宋体" w:hAnsi="宋体" w:cs="宋体"/>
                <w:sz w:val="18"/>
                <w:szCs w:val="18"/>
              </w:rPr>
              <w:lastRenderedPageBreak/>
              <w:t>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浙江华孚色纺有限公司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620,560,889.03</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浙江社标纤维有限公司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绍</w:t>
            </w:r>
            <w:proofErr w:type="gramEnd"/>
            <w:r>
              <w:rPr>
                <w:rFonts w:ascii="宋体" w:eastAsia="宋体" w:hAnsi="宋体" w:cs="宋体"/>
                <w:sz w:val="18"/>
                <w:szCs w:val="18"/>
              </w:rPr>
              <w:t>省兴市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w:t>
            </w:r>
            <w:proofErr w:type="gramStart"/>
            <w:r>
              <w:rPr>
                <w:rFonts w:ascii="宋体" w:eastAsia="宋体" w:hAnsi="宋体" w:cs="宋体"/>
                <w:sz w:val="18"/>
                <w:szCs w:val="18"/>
              </w:rPr>
              <w:t>标信纤维</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石河子标配纤维</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浙江昇孚贸易有限公司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49,497,897.00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浙江省上虞</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宁波华孚东</w:t>
            </w:r>
            <w:proofErr w:type="gramStart"/>
            <w:r>
              <w:rPr>
                <w:rFonts w:ascii="宋体" w:eastAsia="宋体" w:hAnsi="宋体" w:cs="宋体"/>
                <w:sz w:val="18"/>
                <w:szCs w:val="18"/>
              </w:rPr>
              <w:t>浩</w:t>
            </w:r>
            <w:proofErr w:type="gramEnd"/>
            <w:r>
              <w:rPr>
                <w:rFonts w:ascii="宋体" w:eastAsia="宋体" w:hAnsi="宋体" w:cs="宋体"/>
                <w:sz w:val="18"/>
                <w:szCs w:val="18"/>
              </w:rPr>
              <w:t>实业有限公司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浙江宁波</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浙江宁波</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九江中</w:t>
            </w:r>
            <w:proofErr w:type="gramStart"/>
            <w:r>
              <w:rPr>
                <w:rFonts w:ascii="宋体" w:eastAsia="宋体" w:hAnsi="宋体" w:cs="宋体"/>
                <w:sz w:val="18"/>
                <w:szCs w:val="18"/>
              </w:rPr>
              <w:t>浩</w:t>
            </w:r>
            <w:proofErr w:type="gramEnd"/>
            <w:r>
              <w:rPr>
                <w:rFonts w:ascii="宋体" w:eastAsia="宋体" w:hAnsi="宋体" w:cs="宋体"/>
                <w:sz w:val="18"/>
                <w:szCs w:val="18"/>
              </w:rPr>
              <w:t>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65,808,000.00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江西省九江市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江西省九江市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浙江金华华孚纺织有限公司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平湖市华孚金瓶纺织有限公司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浙江省平湖市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浙江省平湖市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上海华孚色纺贸易有限公司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2,634,516,140.00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新疆华孚算网科技有限公司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新疆六孚纺织工业</w:t>
            </w:r>
            <w:proofErr w:type="gramEnd"/>
            <w:r>
              <w:rPr>
                <w:rFonts w:ascii="宋体" w:eastAsia="宋体" w:hAnsi="宋体" w:cs="宋体"/>
                <w:sz w:val="18"/>
                <w:szCs w:val="18"/>
              </w:rPr>
              <w:t>园有限公司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338,250,000.00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新疆五家渠市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新疆五家渠市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新疆天宏新</w:t>
            </w:r>
            <w:proofErr w:type="gramStart"/>
            <w:r>
              <w:rPr>
                <w:rFonts w:ascii="宋体" w:eastAsia="宋体" w:hAnsi="宋体" w:cs="宋体"/>
                <w:sz w:val="18"/>
                <w:szCs w:val="18"/>
              </w:rPr>
              <w:t>八棉产业</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48,710,000.00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阿克苏华孚新能源有限公司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光</w:t>
            </w:r>
            <w:proofErr w:type="gramStart"/>
            <w:r>
              <w:rPr>
                <w:rFonts w:ascii="宋体" w:eastAsia="宋体" w:hAnsi="宋体" w:cs="宋体"/>
                <w:sz w:val="18"/>
                <w:szCs w:val="18"/>
              </w:rPr>
              <w:t>伏销售</w:t>
            </w:r>
            <w:proofErr w:type="gramEnd"/>
            <w:r>
              <w:rPr>
                <w:rFonts w:ascii="宋体" w:eastAsia="宋体" w:hAnsi="宋体" w:cs="宋体"/>
                <w:sz w:val="18"/>
                <w:szCs w:val="18"/>
              </w:rPr>
              <w:t>及技术服务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新疆华孚棉业集团有限公司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w:t>
            </w:r>
            <w:proofErr w:type="gramStart"/>
            <w:r>
              <w:rPr>
                <w:rFonts w:ascii="宋体" w:eastAsia="宋体" w:hAnsi="宋体" w:cs="宋体"/>
                <w:sz w:val="18"/>
                <w:szCs w:val="18"/>
              </w:rPr>
              <w:t>孚恒丰棉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库车纵横棉业有限责任公司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沙雅银花棉业有限责任公司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7,960,000.00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胡杨河华孚宏盛棉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w:t>
            </w:r>
            <w:proofErr w:type="gramStart"/>
            <w:r>
              <w:rPr>
                <w:rFonts w:ascii="宋体" w:eastAsia="宋体" w:hAnsi="宋体" w:cs="宋体"/>
                <w:sz w:val="18"/>
                <w:szCs w:val="18"/>
              </w:rPr>
              <w:t>胡杨河</w:t>
            </w:r>
            <w:proofErr w:type="gramEnd"/>
            <w:r>
              <w:rPr>
                <w:rFonts w:ascii="宋体" w:eastAsia="宋体" w:hAnsi="宋体" w:cs="宋体"/>
                <w:sz w:val="18"/>
                <w:szCs w:val="18"/>
              </w:rPr>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w:t>
            </w:r>
            <w:proofErr w:type="gramStart"/>
            <w:r>
              <w:rPr>
                <w:rFonts w:ascii="宋体" w:eastAsia="宋体" w:hAnsi="宋体" w:cs="宋体"/>
                <w:sz w:val="18"/>
                <w:szCs w:val="18"/>
              </w:rPr>
              <w:t>胡杨河</w:t>
            </w:r>
            <w:proofErr w:type="gramEnd"/>
            <w:r>
              <w:rPr>
                <w:rFonts w:ascii="宋体" w:eastAsia="宋体" w:hAnsi="宋体" w:cs="宋体"/>
                <w:sz w:val="18"/>
                <w:szCs w:val="18"/>
              </w:rPr>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浙江聚丰贸易有限公司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石河子华</w:t>
            </w:r>
            <w:proofErr w:type="gramStart"/>
            <w:r>
              <w:rPr>
                <w:rFonts w:ascii="宋体" w:eastAsia="宋体" w:hAnsi="宋体" w:cs="宋体"/>
                <w:sz w:val="18"/>
                <w:szCs w:val="18"/>
              </w:rPr>
              <w:t>孚宏盛棉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石河子市华</w:t>
            </w:r>
            <w:proofErr w:type="gramStart"/>
            <w:r>
              <w:rPr>
                <w:rFonts w:ascii="宋体" w:eastAsia="宋体" w:hAnsi="宋体" w:cs="宋体"/>
                <w:sz w:val="18"/>
                <w:szCs w:val="18"/>
              </w:rPr>
              <w:t>孚宏丰棉</w:t>
            </w:r>
            <w:proofErr w:type="gramEnd"/>
            <w:r>
              <w:rPr>
                <w:rFonts w:ascii="宋体" w:eastAsia="宋体" w:hAnsi="宋体" w:cs="宋体"/>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浙江维新贸易有限公司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浙江恒孚贸易有限公司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70.40%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物流运输业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40.80%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深圳华孚网链投资有限公司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淮北华孚供应链管理有限公司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浙江服人网络科技有限公司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阿克苏华孚科技有限公司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45,472,700.00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50.94%</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新疆阿大数字科技产业园有限公司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浙江昊载科技有限公司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诸暨中</w:t>
            </w:r>
            <w:proofErr w:type="gramStart"/>
            <w:r>
              <w:rPr>
                <w:rFonts w:ascii="宋体" w:eastAsia="宋体" w:hAnsi="宋体" w:cs="宋体"/>
                <w:sz w:val="18"/>
                <w:szCs w:val="18"/>
              </w:rPr>
              <w:t>昊</w:t>
            </w:r>
            <w:proofErr w:type="gramEnd"/>
            <w:r>
              <w:rPr>
                <w:rFonts w:ascii="宋体" w:eastAsia="宋体" w:hAnsi="宋体" w:cs="宋体"/>
                <w:sz w:val="18"/>
                <w:szCs w:val="18"/>
              </w:rPr>
              <w:t>投资管理有限公司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诸暨市承影电子商务有限公司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w:t>
            </w:r>
            <w:proofErr w:type="gramStart"/>
            <w:r>
              <w:rPr>
                <w:rFonts w:ascii="宋体" w:eastAsia="宋体" w:hAnsi="宋体" w:cs="宋体"/>
                <w:sz w:val="18"/>
                <w:szCs w:val="18"/>
              </w:rPr>
              <w:t>市渊虹</w:t>
            </w:r>
            <w:proofErr w:type="gramEnd"/>
            <w:r>
              <w:rPr>
                <w:rFonts w:ascii="宋体" w:eastAsia="宋体" w:hAnsi="宋体" w:cs="宋体"/>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杭州名</w:t>
            </w:r>
            <w:proofErr w:type="gramStart"/>
            <w:r>
              <w:rPr>
                <w:rFonts w:ascii="宋体" w:eastAsia="宋体" w:hAnsi="宋体" w:cs="宋体"/>
                <w:sz w:val="18"/>
                <w:szCs w:val="18"/>
              </w:rPr>
              <w:t>鲲</w:t>
            </w:r>
            <w:proofErr w:type="gramEnd"/>
            <w:r>
              <w:rPr>
                <w:rFonts w:ascii="宋体" w:eastAsia="宋体" w:hAnsi="宋体" w:cs="宋体"/>
                <w:sz w:val="18"/>
                <w:szCs w:val="18"/>
              </w:rPr>
              <w:t>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软件开发</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诸暨市卡拉美拉科技有限公司</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8,345,295.00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诸暨市龙渊电子商务有限公司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诸暨市湛</w:t>
            </w:r>
            <w:proofErr w:type="gramStart"/>
            <w:r>
              <w:rPr>
                <w:rFonts w:ascii="宋体" w:eastAsia="宋体" w:hAnsi="宋体" w:cs="宋体"/>
                <w:sz w:val="18"/>
                <w:szCs w:val="18"/>
              </w:rPr>
              <w:t>泸</w:t>
            </w:r>
            <w:proofErr w:type="gramEnd"/>
            <w:r>
              <w:rPr>
                <w:rFonts w:ascii="宋体" w:eastAsia="宋体" w:hAnsi="宋体" w:cs="宋体"/>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w:t>
            </w:r>
            <w:proofErr w:type="gramStart"/>
            <w:r>
              <w:rPr>
                <w:rFonts w:ascii="宋体" w:eastAsia="宋体" w:hAnsi="宋体" w:cs="宋体"/>
                <w:sz w:val="18"/>
                <w:szCs w:val="18"/>
              </w:rPr>
              <w:t>赤</w:t>
            </w:r>
            <w:proofErr w:type="gramEnd"/>
            <w:r>
              <w:rPr>
                <w:rFonts w:ascii="宋体" w:eastAsia="宋体" w:hAnsi="宋体" w:cs="宋体"/>
                <w:sz w:val="18"/>
                <w:szCs w:val="18"/>
              </w:rPr>
              <w:t>霄</w:t>
            </w:r>
            <w:r>
              <w:rPr>
                <w:rFonts w:ascii="宋体" w:eastAsia="宋体" w:hAnsi="宋体" w:cs="宋体"/>
                <w:sz w:val="18"/>
                <w:szCs w:val="18"/>
              </w:rPr>
              <w:lastRenderedPageBreak/>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1,000,000.</w:t>
            </w:r>
            <w:r>
              <w:rPr>
                <w:rFonts w:ascii="宋体" w:eastAsia="宋体" w:hAnsi="宋体" w:cs="宋体"/>
                <w:sz w:val="18"/>
                <w:szCs w:val="18"/>
              </w:rPr>
              <w:lastRenderedPageBreak/>
              <w:t>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浙江省诸暨</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浙江省诸暨</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诸暨市新亭电子商务有限公司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w:t>
            </w:r>
            <w:proofErr w:type="gramStart"/>
            <w:r>
              <w:rPr>
                <w:rFonts w:ascii="宋体" w:eastAsia="宋体" w:hAnsi="宋体" w:cs="宋体"/>
                <w:sz w:val="18"/>
                <w:szCs w:val="18"/>
              </w:rPr>
              <w:t>市纯钧</w:t>
            </w:r>
            <w:proofErr w:type="gramEnd"/>
            <w:r>
              <w:rPr>
                <w:rFonts w:ascii="宋体" w:eastAsia="宋体" w:hAnsi="宋体" w:cs="宋体"/>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诸暨市雪霁电子商务有限公司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诸暨</w:t>
            </w:r>
            <w:proofErr w:type="gramStart"/>
            <w:r>
              <w:rPr>
                <w:rFonts w:ascii="宋体" w:eastAsia="宋体" w:hAnsi="宋体" w:cs="宋体"/>
                <w:sz w:val="18"/>
                <w:szCs w:val="18"/>
              </w:rPr>
              <w:t>市胜跃纺织</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杭州</w:t>
            </w:r>
            <w:proofErr w:type="gramStart"/>
            <w:r>
              <w:rPr>
                <w:rFonts w:ascii="宋体" w:eastAsia="宋体" w:hAnsi="宋体" w:cs="宋体"/>
                <w:sz w:val="18"/>
                <w:szCs w:val="18"/>
              </w:rPr>
              <w:t>一</w:t>
            </w:r>
            <w:proofErr w:type="gramEnd"/>
            <w:r>
              <w:rPr>
                <w:rFonts w:ascii="宋体" w:eastAsia="宋体" w:hAnsi="宋体" w:cs="宋体"/>
                <w:sz w:val="18"/>
                <w:szCs w:val="18"/>
              </w:rPr>
              <w:t>酷服饰有限公司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浙江昊驰信息咨询有限公司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浙江昊创贸易有限公司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浙江广孚色纺有限公司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浙江易孚贸易有限公司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90.32%</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新疆棉花产业集团岳普湖棉业有限公司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新疆棉花产业集团伽师棉业有限公司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菁英电商管理</w:t>
            </w:r>
            <w:proofErr w:type="gramEnd"/>
            <w:r>
              <w:rPr>
                <w:rFonts w:ascii="宋体" w:eastAsia="宋体" w:hAnsi="宋体" w:cs="宋体"/>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金华市</w:t>
            </w:r>
            <w:proofErr w:type="gramStart"/>
            <w:r>
              <w:rPr>
                <w:rFonts w:ascii="宋体" w:eastAsia="宋体" w:hAnsi="宋体" w:cs="宋体"/>
                <w:sz w:val="18"/>
                <w:szCs w:val="18"/>
              </w:rPr>
              <w:t>菁</w:t>
            </w:r>
            <w:proofErr w:type="gramEnd"/>
            <w:r>
              <w:rPr>
                <w:rFonts w:ascii="宋体" w:eastAsia="宋体" w:hAnsi="宋体" w:cs="宋体"/>
                <w:sz w:val="18"/>
                <w:szCs w:val="18"/>
              </w:rPr>
              <w:t>英职业技能培训学校有限公司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金华市</w:t>
            </w:r>
            <w:proofErr w:type="gramStart"/>
            <w:r>
              <w:rPr>
                <w:rFonts w:ascii="宋体" w:eastAsia="宋体" w:hAnsi="宋体" w:cs="宋体"/>
                <w:sz w:val="18"/>
                <w:szCs w:val="18"/>
              </w:rPr>
              <w:t>菁</w:t>
            </w:r>
            <w:proofErr w:type="gramEnd"/>
            <w:r>
              <w:rPr>
                <w:rFonts w:ascii="宋体" w:eastAsia="宋体" w:hAnsi="宋体" w:cs="宋体"/>
                <w:sz w:val="18"/>
                <w:szCs w:val="18"/>
              </w:rPr>
              <w:t>英物业发展有限公司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w:t>
            </w:r>
            <w:proofErr w:type="gramStart"/>
            <w:r>
              <w:rPr>
                <w:rFonts w:ascii="宋体" w:eastAsia="宋体" w:hAnsi="宋体" w:cs="宋体"/>
                <w:sz w:val="18"/>
                <w:szCs w:val="18"/>
              </w:rPr>
              <w:t>菁英创业</w:t>
            </w:r>
            <w:proofErr w:type="gramEnd"/>
            <w:r>
              <w:rPr>
                <w:rFonts w:ascii="宋体" w:eastAsia="宋体" w:hAnsi="宋体" w:cs="宋体"/>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商务服务业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淮北中新纺织有限公司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高可续（上海）棉花有限公司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奎屯锦孚纺织</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230,343,900.00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新疆奎屯市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新疆奎屯市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非同</w:t>
            </w:r>
            <w:proofErr w:type="gramStart"/>
            <w:r>
              <w:rPr>
                <w:rFonts w:ascii="宋体" w:eastAsia="宋体" w:hAnsi="宋体" w:cs="宋体"/>
                <w:sz w:val="18"/>
                <w:szCs w:val="18"/>
              </w:rPr>
              <w:t>一控制</w:t>
            </w:r>
            <w:proofErr w:type="gramEnd"/>
            <w:r>
              <w:rPr>
                <w:rFonts w:ascii="宋体" w:eastAsia="宋体" w:hAnsi="宋体" w:cs="宋体"/>
                <w:sz w:val="18"/>
                <w:szCs w:val="18"/>
              </w:rPr>
              <w:t>下企业合并</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浙江果实设计有限公司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设计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浙江果实纺</w:t>
            </w:r>
            <w:r>
              <w:rPr>
                <w:rFonts w:ascii="宋体" w:eastAsia="宋体" w:hAnsi="宋体" w:cs="宋体"/>
                <w:sz w:val="18"/>
                <w:szCs w:val="18"/>
              </w:rPr>
              <w:lastRenderedPageBreak/>
              <w:t>织科技有限公司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10,000,000</w:t>
            </w:r>
            <w:r>
              <w:rPr>
                <w:rFonts w:ascii="宋体" w:eastAsia="宋体" w:hAnsi="宋体" w:cs="宋体"/>
                <w:sz w:val="18"/>
                <w:szCs w:val="18"/>
              </w:rPr>
              <w:lastRenderedPageBreak/>
              <w:t>.00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浙江省绍兴</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浙江省绍兴</w:t>
            </w:r>
            <w:r>
              <w:rPr>
                <w:rFonts w:ascii="宋体" w:eastAsia="宋体" w:hAnsi="宋体" w:cs="宋体"/>
                <w:sz w:val="18"/>
                <w:szCs w:val="18"/>
              </w:rPr>
              <w:lastRenderedPageBreak/>
              <w:t>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浙江其实科技有限公司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新疆华孚宏丰农业开发有限公司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新疆盛孚棉业有限公司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淮北华孚新能源有限公司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平湖市科新贸易有限公司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浙江省嘉兴市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浙江省嘉兴市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新疆华孚种业科技股份有限公司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浙江达米安品牌管理有限公司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华孚智算（上海）网络有限公司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上海市普陀区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上海市普陀区</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新疆华孚人工智能科技有限公司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绍兴</w:t>
            </w:r>
            <w:proofErr w:type="gramStart"/>
            <w:r>
              <w:rPr>
                <w:rFonts w:ascii="宋体" w:eastAsia="宋体" w:hAnsi="宋体" w:cs="宋体"/>
                <w:sz w:val="18"/>
                <w:szCs w:val="18"/>
              </w:rPr>
              <w:t>智宽科技</w:t>
            </w:r>
            <w:proofErr w:type="gramEnd"/>
            <w:r>
              <w:rPr>
                <w:rFonts w:ascii="宋体" w:eastAsia="宋体" w:hAnsi="宋体" w:cs="宋体"/>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绍兴华孚智算</w:t>
            </w:r>
            <w:proofErr w:type="gramEnd"/>
            <w:r>
              <w:rPr>
                <w:rFonts w:ascii="宋体" w:eastAsia="宋体" w:hAnsi="宋体" w:cs="宋体"/>
                <w:sz w:val="18"/>
                <w:szCs w:val="18"/>
              </w:rPr>
              <w:t>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新疆华孚智算科技有限公司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兰溪市</w:t>
            </w:r>
            <w:proofErr w:type="gramStart"/>
            <w:r>
              <w:rPr>
                <w:rFonts w:ascii="宋体" w:eastAsia="宋体" w:hAnsi="宋体" w:cs="宋体"/>
                <w:sz w:val="18"/>
                <w:szCs w:val="18"/>
              </w:rPr>
              <w:t>菁英数字</w:t>
            </w:r>
            <w:proofErr w:type="gramEnd"/>
            <w:r>
              <w:rPr>
                <w:rFonts w:ascii="宋体" w:eastAsia="宋体" w:hAnsi="宋体" w:cs="宋体"/>
                <w:sz w:val="18"/>
                <w:szCs w:val="18"/>
              </w:rPr>
              <w:t>产业发展有限公司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东阳市广厦</w:t>
            </w:r>
            <w:proofErr w:type="gramStart"/>
            <w:r>
              <w:rPr>
                <w:rFonts w:ascii="宋体" w:eastAsia="宋体" w:hAnsi="宋体" w:cs="宋体"/>
                <w:sz w:val="18"/>
                <w:szCs w:val="18"/>
              </w:rPr>
              <w:t>菁英创业</w:t>
            </w:r>
            <w:proofErr w:type="gramEnd"/>
            <w:r>
              <w:rPr>
                <w:rFonts w:ascii="宋体" w:eastAsia="宋体" w:hAnsi="宋体" w:cs="宋体"/>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浙江尚春酒店有限公司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r w:rsidR="008820E4" w:rsidTr="00177DA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新疆硕丰种业有限公司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非同控合并</w:t>
            </w:r>
            <w:proofErr w:type="gramEnd"/>
          </w:p>
        </w:tc>
      </w:tr>
      <w:tr w:rsidR="008820E4" w:rsidTr="00177DA4">
        <w:trPr>
          <w:trHeight w:val="240"/>
        </w:trPr>
        <w:tc>
          <w:tcPr>
            <w:tcW w:w="1205"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阿克苏恒</w:t>
            </w:r>
            <w:proofErr w:type="gramStart"/>
            <w:r>
              <w:rPr>
                <w:rFonts w:ascii="宋体" w:eastAsia="宋体" w:hAnsi="宋体" w:cs="宋体"/>
                <w:sz w:val="18"/>
                <w:szCs w:val="18"/>
              </w:rPr>
              <w:t>鑫</w:t>
            </w:r>
            <w:proofErr w:type="gramEnd"/>
            <w:r>
              <w:rPr>
                <w:rFonts w:ascii="宋体" w:eastAsia="宋体" w:hAnsi="宋体" w:cs="宋体"/>
                <w:sz w:val="18"/>
                <w:szCs w:val="18"/>
              </w:rPr>
              <w:t>棉花有限公司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投资设立</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在子公司的持股比例不同于表决权比例的说明：</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持有半数或以下表决权但仍控制被投资单位、以及持有半数以上表决权但不控制被投资单位的依据：</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对于纳入合并范围的重要的结构化主体，控制的依据：</w:t>
      </w:r>
      <w:r>
        <w:rPr>
          <w:rFonts w:hint="eastAsia"/>
          <w:sz w:val="18"/>
          <w:szCs w:val="18"/>
        </w:rPr>
        <w:t>无</w:t>
      </w:r>
    </w:p>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确定公司是代理人还是委托人的依据：</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92" w:name="_Toc989318"/>
      <w:r>
        <w:rPr>
          <w:rFonts w:ascii="宋体" w:eastAsia="宋体" w:hAnsi="宋体" w:cs="宋体"/>
          <w:b/>
          <w:bCs/>
          <w:sz w:val="18"/>
          <w:szCs w:val="18"/>
        </w:rPr>
        <w:lastRenderedPageBreak/>
        <w:t>（2） 重要的非全资子公司</w:t>
      </w:r>
      <w:bookmarkEnd w:id="39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177DA4">
        <w:trPr>
          <w:trHeight w:val="240"/>
        </w:trPr>
        <w:tc>
          <w:tcPr>
            <w:tcW w:w="1928" w:type="dxa"/>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少数股东持股比例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本期归属于少数股东的损益</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本期向少数股东宣告分派的股利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期末少数股东权益余额</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21.63%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-392,805.37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113,763,180.09</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217.66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57,658,745.49</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29.60%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5,152,914.78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26,597,901.08</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59.20%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3,430,208.31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75,016,050.64</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-453,352.55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18,575,286.99</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新疆华孚种业科技股份有限公司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1,748,368.18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21,496,645.19</w:t>
            </w:r>
          </w:p>
        </w:tc>
      </w:tr>
      <w:tr w:rsidR="008820E4" w:rsidTr="00177DA4">
        <w:trPr>
          <w:trHeight w:val="240"/>
        </w:trPr>
        <w:tc>
          <w:tcPr>
            <w:tcW w:w="1928"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9,485,551.02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313,107,809.49</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子公司少数股东的持股比例不同于表决权比例的说明：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93" w:name="_Toc989319"/>
      <w:r>
        <w:rPr>
          <w:rFonts w:ascii="宋体" w:eastAsia="宋体" w:hAnsi="宋体" w:cs="宋体"/>
          <w:b/>
          <w:bCs/>
          <w:sz w:val="18"/>
          <w:szCs w:val="18"/>
        </w:rPr>
        <w:t>（3） 重要非全资子公司的主要财务信息</w:t>
      </w:r>
      <w:bookmarkEnd w:id="393"/>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1"/>
        <w:gridCol w:w="741"/>
        <w:gridCol w:w="744"/>
        <w:gridCol w:w="741"/>
        <w:gridCol w:w="741"/>
        <w:gridCol w:w="741"/>
        <w:gridCol w:w="741"/>
        <w:gridCol w:w="741"/>
        <w:gridCol w:w="744"/>
      </w:tblGrid>
      <w:tr w:rsidR="008820E4" w:rsidTr="00177DA4">
        <w:trPr>
          <w:trHeight w:val="240"/>
        </w:trPr>
        <w:tc>
          <w:tcPr>
            <w:tcW w:w="741"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负债合计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负债合计</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467,901,993.78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131,022,617.66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598,924,611.44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9,414,010.80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1,406,000.26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10,820,011.06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581,157,883.14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246,495,156.90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827,653,040.04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274,662,063.26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6,410,284.16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281,072,347.42</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50,468,037.49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126,275,608.38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176,743,645.87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59,072,736.68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59,072,736.68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48,384,422.07</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126,275,608.38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174,660,030.45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56,989,565.46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56,989,565.46</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308,651,094.86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5,902,798.38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314,553,893.24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222,942,192.04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222,942,192.04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282,018,228.05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5,905,859.01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287,924,087.06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213,720,881.74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213,720,881.74</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67,619,034.19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78,551,783.14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146,170,817.33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17,484,422.85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17,484,422.85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56,622,904.13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79,856,481.40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136,479,385.53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13,587,261.85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13,587,261.85</w:t>
            </w:r>
          </w:p>
        </w:tc>
      </w:tr>
      <w:tr w:rsidR="008820E4" w:rsidTr="00177DA4">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w:t>
            </w:r>
            <w:r>
              <w:rPr>
                <w:rFonts w:ascii="宋体" w:eastAsia="宋体" w:hAnsi="宋体" w:cs="宋体"/>
                <w:sz w:val="18"/>
                <w:szCs w:val="18"/>
              </w:rPr>
              <w:lastRenderedPageBreak/>
              <w:t>英鸿投资股份有限公司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177,508,47</w:t>
            </w:r>
            <w:r>
              <w:rPr>
                <w:rFonts w:ascii="宋体" w:eastAsia="宋体" w:hAnsi="宋体" w:cs="宋体"/>
                <w:sz w:val="18"/>
                <w:szCs w:val="18"/>
              </w:rPr>
              <w:lastRenderedPageBreak/>
              <w:t>3.09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127,299,12</w:t>
            </w:r>
            <w:r>
              <w:rPr>
                <w:rFonts w:ascii="宋体" w:eastAsia="宋体" w:hAnsi="宋体" w:cs="宋体"/>
                <w:sz w:val="18"/>
                <w:szCs w:val="18"/>
              </w:rPr>
              <w:lastRenderedPageBreak/>
              <w:t>6.29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304,807,59</w:t>
            </w:r>
            <w:r>
              <w:rPr>
                <w:rFonts w:ascii="宋体" w:eastAsia="宋体" w:hAnsi="宋体" w:cs="宋体"/>
                <w:sz w:val="18"/>
                <w:szCs w:val="18"/>
              </w:rPr>
              <w:lastRenderedPageBreak/>
              <w:t>9.38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218,008,21</w:t>
            </w:r>
            <w:r>
              <w:rPr>
                <w:rFonts w:ascii="宋体" w:eastAsia="宋体" w:hAnsi="宋体" w:cs="宋体"/>
                <w:sz w:val="18"/>
                <w:szCs w:val="18"/>
              </w:rPr>
              <w:lastRenderedPageBreak/>
              <w:t>0.11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218,008,21</w:t>
            </w:r>
            <w:r>
              <w:rPr>
                <w:rFonts w:ascii="宋体" w:eastAsia="宋体" w:hAnsi="宋体" w:cs="宋体"/>
                <w:sz w:val="18"/>
                <w:szCs w:val="18"/>
              </w:rPr>
              <w:lastRenderedPageBreak/>
              <w:t>0.11</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187,634,66</w:t>
            </w:r>
            <w:r>
              <w:rPr>
                <w:rFonts w:ascii="宋体" w:eastAsia="宋体" w:hAnsi="宋体" w:cs="宋体"/>
                <w:sz w:val="18"/>
                <w:szCs w:val="18"/>
              </w:rPr>
              <w:lastRenderedPageBreak/>
              <w:t>5.04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134,319,82</w:t>
            </w:r>
            <w:r>
              <w:rPr>
                <w:rFonts w:ascii="宋体" w:eastAsia="宋体" w:hAnsi="宋体" w:cs="宋体"/>
                <w:sz w:val="18"/>
                <w:szCs w:val="18"/>
              </w:rPr>
              <w:lastRenderedPageBreak/>
              <w:t>7.44</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321,954,49</w:t>
            </w:r>
            <w:r>
              <w:rPr>
                <w:rFonts w:ascii="宋体" w:eastAsia="宋体" w:hAnsi="宋体" w:cs="宋体"/>
                <w:sz w:val="18"/>
                <w:szCs w:val="18"/>
              </w:rPr>
              <w:lastRenderedPageBreak/>
              <w:t>2.48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222,498,54</w:t>
            </w:r>
            <w:r>
              <w:rPr>
                <w:rFonts w:ascii="宋体" w:eastAsia="宋体" w:hAnsi="宋体" w:cs="宋体"/>
                <w:sz w:val="18"/>
                <w:szCs w:val="18"/>
              </w:rPr>
              <w:lastRenderedPageBreak/>
              <w:t>6.63</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222,498,54</w:t>
            </w:r>
            <w:r>
              <w:rPr>
                <w:rFonts w:ascii="宋体" w:eastAsia="宋体" w:hAnsi="宋体" w:cs="宋体"/>
                <w:sz w:val="18"/>
                <w:szCs w:val="18"/>
              </w:rPr>
              <w:lastRenderedPageBreak/>
              <w:t>6.63</w:t>
            </w:r>
          </w:p>
        </w:tc>
      </w:tr>
      <w:tr w:rsidR="008820E4" w:rsidTr="00177DA4">
        <w:trPr>
          <w:trHeight w:val="240"/>
        </w:trPr>
        <w:tc>
          <w:tcPr>
            <w:tcW w:w="74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新疆华孚种业科技股份有限公司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37,117,960.99</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19,548,987.06</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56,666,948.05</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2,809,747.98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2,809,747.98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29,411,596.00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84,987.00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29,496,583.00</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10,303.38</w:t>
            </w: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10,303.38</w:t>
            </w:r>
          </w:p>
        </w:tc>
      </w:tr>
    </w:tbl>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rsidTr="00177DA4">
        <w:trPr>
          <w:trHeight w:val="240"/>
        </w:trPr>
        <w:tc>
          <w:tcPr>
            <w:tcW w:w="1071"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子公司名称</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经营活动现金流量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经营活动现金流量</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浙江阿大互联科技有限公司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3,961,747.22</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-1,120,748.01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-1,120,748.01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95,453,250.08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7,221,516.14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-2,510,667.33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-2,510,667.33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-55,892,529.53</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新疆天孚棉花</w:t>
            </w:r>
            <w:proofErr w:type="gramEnd"/>
            <w:r>
              <w:rPr>
                <w:rFonts w:ascii="宋体" w:eastAsia="宋体" w:hAnsi="宋体" w:cs="宋体"/>
                <w:sz w:val="18"/>
                <w:szCs w:val="18"/>
              </w:rPr>
              <w:t>供应链股份有限公司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444.20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444.20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-4,025,435.25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1,003,565.68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221,052.70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221,052.70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-8,350,008.85</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新疆棉花交易市场有限责任公司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701,191,302.64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17,408,495.88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17,408,495.88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-33,196,774.41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672,186,379.99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-3,202,115.50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-3,202,115.50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-19,433,487.78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阿克苏银星物流有限公司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15,319,913.19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5,794,270.80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5,794,270.80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20,897,340.05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17,059,801.18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6,314,345.68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6,314,345.68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6,117,641.29</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越南隆安英鸿投资股份有限公司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382,895.44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-4,533,525.49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-15,813,265.54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-209,412,562.76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172,936.57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-7,326,814.73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-13,299,624.24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-2,681,665.46</w:t>
            </w:r>
          </w:p>
        </w:tc>
      </w:tr>
      <w:tr w:rsidR="008820E4" w:rsidTr="00177DA4">
        <w:trPr>
          <w:trHeight w:val="240"/>
        </w:trPr>
        <w:tc>
          <w:tcPr>
            <w:tcW w:w="1071"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新疆华孚种业科技股份有限公司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12,290,720.00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4,370,920.45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4,370,920.45</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-764,728.89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其他说明：</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94" w:name="_Toc989320"/>
      <w:r>
        <w:rPr>
          <w:rFonts w:ascii="宋体" w:eastAsia="宋体" w:hAnsi="宋体" w:cs="宋体"/>
          <w:b/>
          <w:bCs/>
          <w:sz w:val="18"/>
          <w:szCs w:val="18"/>
        </w:rPr>
        <w:t>（4） 使用企业集团资产和清偿企业集团债务的重大限制</w:t>
      </w:r>
      <w:bookmarkEnd w:id="394"/>
    </w:p>
    <w:p w:rsidR="005C49A8" w:rsidRDefault="005C49A8">
      <w:pPr>
        <w:pStyle w:val="a3"/>
        <w:divId w:val="1332636601"/>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95" w:name="_Toc989321"/>
      <w:r>
        <w:rPr>
          <w:rFonts w:ascii="宋体" w:eastAsia="宋体" w:hAnsi="宋体" w:cs="宋体"/>
          <w:b/>
          <w:bCs/>
          <w:sz w:val="18"/>
          <w:szCs w:val="18"/>
        </w:rPr>
        <w:t>（5） 向纳入合并财务报表范围的结构化主体提供的财务支持或其他支持</w:t>
      </w:r>
      <w:bookmarkEnd w:id="395"/>
    </w:p>
    <w:p w:rsidR="005C49A8" w:rsidRDefault="005C49A8">
      <w:pPr>
        <w:pStyle w:val="a3"/>
        <w:divId w:val="107439817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96" w:name="_Toc989322"/>
      <w:r>
        <w:rPr>
          <w:rFonts w:ascii="宋体" w:hAnsi="宋体" w:cs="宋体"/>
          <w:b/>
          <w:bCs/>
        </w:rPr>
        <w:t>2、在子公司的所有者权益份额发生变化且仍控制子公司的交易</w:t>
      </w:r>
      <w:bookmarkEnd w:id="396"/>
    </w:p>
    <w:p w:rsidR="008820E4" w:rsidRDefault="005C49A8">
      <w:pPr>
        <w:keepNext/>
        <w:keepLines/>
        <w:spacing w:before="300" w:after="300" w:line="280" w:lineRule="exact"/>
        <w:outlineLvl w:val="3"/>
        <w:rPr>
          <w:rFonts w:ascii="宋体" w:eastAsia="宋体" w:hAnsi="宋体" w:cs="宋体"/>
          <w:b/>
          <w:bCs/>
          <w:sz w:val="18"/>
          <w:szCs w:val="18"/>
        </w:rPr>
      </w:pPr>
      <w:bookmarkStart w:id="397" w:name="_Toc989323"/>
      <w:r>
        <w:rPr>
          <w:rFonts w:ascii="宋体" w:eastAsia="宋体" w:hAnsi="宋体" w:cs="宋体"/>
          <w:b/>
          <w:bCs/>
          <w:sz w:val="18"/>
          <w:szCs w:val="18"/>
        </w:rPr>
        <w:t>（1） 在子公司所有者权益份额发生变化的情况说明</w:t>
      </w:r>
      <w:bookmarkEnd w:id="397"/>
    </w:p>
    <w:p w:rsidR="005C49A8" w:rsidRDefault="005C49A8">
      <w:pPr>
        <w:pStyle w:val="a3"/>
        <w:divId w:val="909735709"/>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398" w:name="_Toc989324"/>
      <w:r>
        <w:rPr>
          <w:rFonts w:ascii="宋体" w:eastAsia="宋体" w:hAnsi="宋体" w:cs="宋体"/>
          <w:b/>
          <w:bCs/>
          <w:sz w:val="18"/>
          <w:szCs w:val="18"/>
        </w:rPr>
        <w:lastRenderedPageBreak/>
        <w:t>（2） 交易对于少数股东权益及归属于母公司所有者权益的影响</w:t>
      </w:r>
      <w:bookmarkEnd w:id="398"/>
    </w:p>
    <w:p w:rsidR="005C49A8" w:rsidRDefault="005C49A8">
      <w:pPr>
        <w:pStyle w:val="a3"/>
        <w:divId w:val="107277244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399" w:name="_Toc989325"/>
      <w:r>
        <w:rPr>
          <w:rFonts w:ascii="宋体" w:hAnsi="宋体" w:cs="宋体"/>
          <w:b/>
          <w:bCs/>
        </w:rPr>
        <w:t>3、在合营企业或联营企业中的权益</w:t>
      </w:r>
      <w:bookmarkEnd w:id="399"/>
    </w:p>
    <w:p w:rsidR="008820E4" w:rsidRDefault="005C49A8">
      <w:pPr>
        <w:keepNext/>
        <w:keepLines/>
        <w:spacing w:before="300" w:after="300" w:line="280" w:lineRule="exact"/>
        <w:outlineLvl w:val="3"/>
        <w:rPr>
          <w:rFonts w:ascii="宋体" w:eastAsia="宋体" w:hAnsi="宋体" w:cs="宋体"/>
          <w:b/>
          <w:bCs/>
          <w:szCs w:val="21"/>
        </w:rPr>
      </w:pPr>
      <w:bookmarkStart w:id="400" w:name="_Toc989326"/>
      <w:r>
        <w:rPr>
          <w:rFonts w:ascii="宋体" w:eastAsia="宋体" w:hAnsi="宋体" w:cs="宋体"/>
          <w:b/>
          <w:bCs/>
          <w:szCs w:val="21"/>
        </w:rPr>
        <w:t>（1） 重要的合营企业或联营企业</w:t>
      </w:r>
      <w:bookmarkEnd w:id="400"/>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rsidTr="00177DA4">
        <w:trPr>
          <w:trHeight w:val="240"/>
        </w:trPr>
        <w:tc>
          <w:tcPr>
            <w:tcW w:w="1377"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合营企业或联营企业名称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主要经营地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业务性质</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对合营企业或联营企业投资的会计处理方法</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直接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间接</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福田实业（集团）有限公司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境内外</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香港</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纱线生产贸易</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权益法核算</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江苏省常州市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江苏省常州市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批发业</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权益法核算</w:t>
            </w:r>
          </w:p>
        </w:tc>
      </w:tr>
      <w:tr w:rsidR="008820E4" w:rsidTr="00177DA4">
        <w:trPr>
          <w:trHeight w:val="240"/>
        </w:trPr>
        <w:tc>
          <w:tcPr>
            <w:tcW w:w="1377"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浙江省绍兴市</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园区管理及供应链</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权益法核算</w:t>
            </w:r>
          </w:p>
        </w:tc>
      </w:tr>
    </w:tbl>
    <w:p w:rsidR="005C49A8" w:rsidRPr="00112D20" w:rsidRDefault="005C49A8" w:rsidP="00112D20">
      <w:pPr>
        <w:spacing w:before="100" w:after="100" w:line="240" w:lineRule="exact"/>
        <w:rPr>
          <w:rFonts w:ascii="宋体" w:eastAsia="宋体" w:hAnsi="宋体" w:cs="宋体"/>
          <w:sz w:val="18"/>
          <w:szCs w:val="18"/>
        </w:rPr>
      </w:pPr>
      <w:r>
        <w:rPr>
          <w:rFonts w:ascii="宋体" w:eastAsia="宋体" w:hAnsi="宋体" w:cs="宋体"/>
          <w:sz w:val="18"/>
          <w:szCs w:val="18"/>
        </w:rPr>
        <w:t>在合营企业或联营企业的持股比例不同于表决权比例的说明：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持有20%以下表决权但具有重大影响，或者持有20%或以上表决权但不具有重大影响的依据：</w:t>
      </w:r>
    </w:p>
    <w:p w:rsidR="005C49A8" w:rsidRDefault="005C49A8" w:rsidP="00112D20">
      <w:pPr>
        <w:pStyle w:val="a3"/>
        <w:ind w:firstLineChars="200" w:firstLine="360"/>
        <w:divId w:val="1632511806"/>
        <w:rPr>
          <w:sz w:val="18"/>
          <w:szCs w:val="18"/>
        </w:rPr>
      </w:pPr>
      <w:r>
        <w:rPr>
          <w:rFonts w:hint="eastAsia"/>
          <w:sz w:val="18"/>
          <w:szCs w:val="18"/>
        </w:rPr>
        <w:t>本公司子公司香港天成持有福田实业（集团）有限公司（以下简称福田实业，股票代码：HK0420）17.30%的股权及表决权。虽然该比例低于20%，但由于本公司在福田实业董事会中派有代表并参与财务和经营政策的决策，所以本公司能够对福田实业施加重大影响。 </w:t>
      </w:r>
    </w:p>
    <w:p w:rsidR="008820E4" w:rsidRDefault="005C49A8">
      <w:pPr>
        <w:keepNext/>
        <w:keepLines/>
        <w:spacing w:before="300" w:after="300" w:line="280" w:lineRule="exact"/>
        <w:outlineLvl w:val="3"/>
        <w:rPr>
          <w:rFonts w:ascii="宋体" w:eastAsia="宋体" w:hAnsi="宋体" w:cs="宋体"/>
          <w:b/>
          <w:bCs/>
          <w:szCs w:val="21"/>
        </w:rPr>
      </w:pPr>
      <w:bookmarkStart w:id="401" w:name="_Toc989327"/>
      <w:r>
        <w:rPr>
          <w:rFonts w:ascii="宋体" w:eastAsia="宋体" w:hAnsi="宋体" w:cs="宋体"/>
          <w:b/>
          <w:bCs/>
          <w:szCs w:val="21"/>
        </w:rPr>
        <w:t>（2） 重要合营企业的主要财务信息</w:t>
      </w:r>
      <w:bookmarkEnd w:id="401"/>
    </w:p>
    <w:p w:rsidR="00112D20" w:rsidRPr="00112D20" w:rsidRDefault="00112D20" w:rsidP="00112D20">
      <w:pPr>
        <w:pStyle w:val="a3"/>
        <w:rPr>
          <w:sz w:val="18"/>
          <w:szCs w:val="18"/>
        </w:rPr>
      </w:pPr>
      <w:bookmarkStart w:id="402" w:name="_Toc989328"/>
      <w:r w:rsidRPr="00112D20">
        <w:rPr>
          <w:rFonts w:hint="eastAsia"/>
          <w:sz w:val="18"/>
          <w:szCs w:val="18"/>
        </w:rPr>
        <w:t>无</w:t>
      </w:r>
    </w:p>
    <w:p w:rsidR="008820E4" w:rsidRDefault="00112D20">
      <w:pPr>
        <w:keepNext/>
        <w:keepLines/>
        <w:spacing w:before="300" w:after="300" w:line="280" w:lineRule="exact"/>
        <w:outlineLvl w:val="3"/>
        <w:rPr>
          <w:rFonts w:ascii="宋体" w:eastAsia="宋体" w:hAnsi="宋体" w:cs="宋体"/>
          <w:b/>
          <w:bCs/>
          <w:szCs w:val="21"/>
        </w:rPr>
      </w:pPr>
      <w:r>
        <w:rPr>
          <w:rFonts w:ascii="宋体" w:eastAsia="宋体" w:hAnsi="宋体" w:cs="宋体"/>
          <w:b/>
          <w:bCs/>
          <w:szCs w:val="21"/>
        </w:rPr>
        <w:t>（3） 重要联营企业的主要财务信息</w:t>
      </w:r>
      <w:bookmarkEnd w:id="40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rsidTr="00177DA4">
        <w:trPr>
          <w:trHeight w:val="240"/>
        </w:trPr>
        <w:tc>
          <w:tcPr>
            <w:tcW w:w="1927" w:type="dxa"/>
            <w:vMerge w:val="restart"/>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期初余额/上期发生额</w:t>
            </w:r>
          </w:p>
        </w:tc>
      </w:tr>
      <w:tr w:rsidR="008820E4" w:rsidTr="00112D20">
        <w:trPr>
          <w:trHeight w:val="240"/>
        </w:trPr>
        <w:tc>
          <w:tcPr>
            <w:tcW w:w="192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江苏科孚纺织品贸易有限公司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浙江华尚产业运营有限公司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江苏科孚纺织品贸易有限公司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浙江华尚产业运营有限公司</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45,032,764.65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153,771,369.44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45,019,406.59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133,203,768.77</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25,958.74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57,483.46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33,038.38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215,404.72</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资产合计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45,058,723.39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153,828,852.90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45,052,444.97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133,419,173.49</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流动负债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60,151,295.96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36,637,303.56</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非流动负债</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负债合计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60,151,295.96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36,637,303.56</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少数股东权益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归属于母公司股东权益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45,055,280.79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93,427,556.94</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45,052,444.97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96,781,869.93</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按持股比例计算的净资产份额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31,192,113.73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37,371,022.78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31,190,150.47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38,712,747.97</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调整事项</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--商誉</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--内部交易未实现利润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对联营企业权益投资的账面价值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45,049,477.29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37,360,527.85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45,046,641.47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38,588,747.98</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存在公开报价的联营企业权益投资的公允价值</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营业收入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136,946,657.95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23,734,478.11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107,677,643.96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27,963,606.60</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净利润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6,301.82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-3,070,550.32</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-1,278,619.95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-3,039,574.50</w:t>
            </w: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终止经营的净利润</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其他综合收益</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12D20">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综合收益总额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927"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本年度收到的来自联营企业的股利</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rsidP="00112D20">
      <w:pPr>
        <w:pStyle w:val="a3"/>
        <w:wordWrap w:val="0"/>
        <w:divId w:val="1381591969"/>
        <w:rPr>
          <w:sz w:val="18"/>
          <w:szCs w:val="18"/>
        </w:rPr>
      </w:pPr>
      <w:r>
        <w:rPr>
          <w:rFonts w:hint="eastAsia"/>
          <w:sz w:val="18"/>
          <w:szCs w:val="18"/>
        </w:rPr>
        <w:t>联营企业福田实业(集团)有限公司（代码：HK0420）主要财务信息详见香港披露易：</w:t>
      </w:r>
      <w:r w:rsidRPr="00112D20">
        <w:rPr>
          <w:rFonts w:hint="eastAsia"/>
          <w:sz w:val="18"/>
          <w:szCs w:val="18"/>
        </w:rPr>
        <w:t>https://www1.hkexnews.hk/listedco/listconews/sehk/2025/0821/2025082101658_c.pdf</w:t>
      </w:r>
    </w:p>
    <w:p w:rsidR="008820E4" w:rsidRDefault="005C49A8">
      <w:pPr>
        <w:keepNext/>
        <w:keepLines/>
        <w:spacing w:before="300" w:after="300" w:line="280" w:lineRule="exact"/>
        <w:outlineLvl w:val="3"/>
        <w:rPr>
          <w:rFonts w:ascii="宋体" w:eastAsia="宋体" w:hAnsi="宋体" w:cs="宋体"/>
          <w:b/>
          <w:bCs/>
          <w:szCs w:val="21"/>
        </w:rPr>
      </w:pPr>
      <w:bookmarkStart w:id="403" w:name="_Toc989329"/>
      <w:r>
        <w:rPr>
          <w:rFonts w:ascii="宋体" w:eastAsia="宋体" w:hAnsi="宋体" w:cs="宋体"/>
          <w:b/>
          <w:bCs/>
          <w:szCs w:val="21"/>
        </w:rPr>
        <w:t>（4） 不重要的合营企业和联营企业的汇总财务信息</w:t>
      </w:r>
      <w:bookmarkEnd w:id="403"/>
    </w:p>
    <w:p w:rsidR="005C49A8" w:rsidRDefault="005C49A8">
      <w:pPr>
        <w:pStyle w:val="a3"/>
        <w:divId w:val="899555707"/>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04" w:name="_Toc989330"/>
      <w:r>
        <w:rPr>
          <w:rFonts w:ascii="宋体" w:eastAsia="宋体" w:hAnsi="宋体" w:cs="宋体"/>
          <w:b/>
          <w:bCs/>
          <w:szCs w:val="21"/>
        </w:rPr>
        <w:t>（5） 合营企业或联营企业向本公司转移资金的能力存在重大限制的说明</w:t>
      </w:r>
      <w:bookmarkEnd w:id="404"/>
    </w:p>
    <w:p w:rsidR="005C49A8" w:rsidRDefault="005C49A8">
      <w:pPr>
        <w:pStyle w:val="a3"/>
        <w:divId w:val="1975793364"/>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05" w:name="_Toc989331"/>
      <w:r>
        <w:rPr>
          <w:rFonts w:ascii="宋体" w:eastAsia="宋体" w:hAnsi="宋体" w:cs="宋体"/>
          <w:b/>
          <w:bCs/>
          <w:szCs w:val="21"/>
        </w:rPr>
        <w:t>（6） 合营企业或联营企业发生的超额亏损</w:t>
      </w:r>
      <w:bookmarkEnd w:id="405"/>
    </w:p>
    <w:p w:rsidR="005C49A8" w:rsidRDefault="005C49A8">
      <w:pPr>
        <w:pStyle w:val="a3"/>
        <w:divId w:val="197420958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06" w:name="_Toc989332"/>
      <w:r>
        <w:rPr>
          <w:rFonts w:ascii="宋体" w:eastAsia="宋体" w:hAnsi="宋体" w:cs="宋体"/>
          <w:b/>
          <w:bCs/>
          <w:szCs w:val="21"/>
        </w:rPr>
        <w:t>（7） 与合营企业投资相关的未确认承诺</w:t>
      </w:r>
      <w:bookmarkEnd w:id="406"/>
    </w:p>
    <w:p w:rsidR="005C49A8" w:rsidRDefault="005C49A8">
      <w:pPr>
        <w:pStyle w:val="a3"/>
        <w:divId w:val="882408404"/>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07" w:name="_Toc989333"/>
      <w:r>
        <w:rPr>
          <w:rFonts w:ascii="宋体" w:eastAsia="宋体" w:hAnsi="宋体" w:cs="宋体"/>
          <w:b/>
          <w:bCs/>
          <w:szCs w:val="21"/>
        </w:rPr>
        <w:t>（8） 与合营企业或联营企业投资相关的或有负债</w:t>
      </w:r>
      <w:bookmarkEnd w:id="407"/>
    </w:p>
    <w:p w:rsidR="005C49A8" w:rsidRDefault="005C49A8">
      <w:pPr>
        <w:pStyle w:val="a3"/>
        <w:divId w:val="52895607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08" w:name="_Toc989334"/>
      <w:r>
        <w:rPr>
          <w:rFonts w:ascii="宋体" w:hAnsi="宋体" w:cs="宋体"/>
          <w:b/>
          <w:bCs/>
        </w:rPr>
        <w:t>4、重要的共同经营</w:t>
      </w:r>
      <w:bookmarkEnd w:id="408"/>
    </w:p>
    <w:p w:rsidR="005C49A8" w:rsidRDefault="005C49A8">
      <w:pPr>
        <w:pStyle w:val="a3"/>
        <w:divId w:val="140013363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09" w:name="_Toc989335"/>
      <w:r>
        <w:rPr>
          <w:rFonts w:ascii="宋体" w:hAnsi="宋体" w:cs="宋体"/>
          <w:b/>
          <w:bCs/>
        </w:rPr>
        <w:lastRenderedPageBreak/>
        <w:t>5、在未纳入合并财务报表范围的结构化主体中的权益</w:t>
      </w:r>
      <w:bookmarkEnd w:id="409"/>
    </w:p>
    <w:p w:rsidR="005C49A8" w:rsidRDefault="005C49A8">
      <w:pPr>
        <w:pStyle w:val="a3"/>
        <w:divId w:val="122355713"/>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10" w:name="_Toc989336"/>
      <w:r>
        <w:rPr>
          <w:rFonts w:ascii="宋体" w:hAnsi="宋体" w:cs="宋体"/>
          <w:b/>
          <w:bCs/>
        </w:rPr>
        <w:t>6、其他</w:t>
      </w:r>
      <w:bookmarkEnd w:id="410"/>
    </w:p>
    <w:p w:rsidR="005C49A8" w:rsidRDefault="005C49A8">
      <w:pPr>
        <w:pStyle w:val="a3"/>
        <w:divId w:val="687608231"/>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11" w:name="_Toc989337"/>
      <w:r>
        <w:rPr>
          <w:rFonts w:ascii="宋体" w:eastAsia="宋体" w:hAnsi="宋体" w:cs="宋体"/>
          <w:b/>
          <w:bCs/>
          <w:sz w:val="24"/>
          <w:szCs w:val="24"/>
        </w:rPr>
        <w:t>十一、政府补助</w:t>
      </w:r>
      <w:bookmarkEnd w:id="411"/>
    </w:p>
    <w:p w:rsidR="008820E4" w:rsidRDefault="005C49A8">
      <w:pPr>
        <w:pStyle w:val="3"/>
        <w:spacing w:line="280" w:lineRule="exact"/>
        <w:jc w:val="left"/>
        <w:rPr>
          <w:rFonts w:ascii="宋体" w:hAnsi="宋体" w:cs="宋体"/>
          <w:b/>
          <w:bCs/>
        </w:rPr>
      </w:pPr>
      <w:bookmarkStart w:id="412" w:name="_Toc989338"/>
      <w:r>
        <w:rPr>
          <w:rFonts w:ascii="宋体" w:hAnsi="宋体" w:cs="宋体"/>
          <w:b/>
          <w:bCs/>
        </w:rPr>
        <w:t>1、报告期末按应收金额确认的政府补助</w:t>
      </w:r>
      <w:bookmarkEnd w:id="41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应收款项的期末余额：113,829,127.76元。</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未能在预计时点收到预计金额的政府补助的原因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13" w:name="_Toc989339"/>
      <w:r>
        <w:rPr>
          <w:rFonts w:ascii="宋体" w:hAnsi="宋体" w:cs="宋体"/>
          <w:b/>
          <w:bCs/>
        </w:rPr>
        <w:t>2、涉及政府补助的负债项目</w:t>
      </w:r>
      <w:bookmarkEnd w:id="41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820E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会计科目</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本期新增补助金额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本期计入营业外收入金额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本期转入其他收益金额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本期其他变动</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与资产/收益相关</w:t>
            </w:r>
          </w:p>
        </w:tc>
      </w:tr>
      <w:tr w:rsidR="008820E4">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递延收益</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73,373,233.50</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3,446,541.48</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69,926,692.02</w:t>
            </w:r>
          </w:p>
        </w:tc>
        <w:tc>
          <w:tcPr>
            <w:tcW w:w="120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 与资产相关</w:t>
            </w:r>
          </w:p>
        </w:tc>
      </w:tr>
    </w:tbl>
    <w:p w:rsidR="008820E4" w:rsidRDefault="005C49A8">
      <w:pPr>
        <w:pStyle w:val="3"/>
        <w:spacing w:line="280" w:lineRule="exact"/>
        <w:jc w:val="left"/>
        <w:rPr>
          <w:rFonts w:ascii="宋体" w:hAnsi="宋体" w:cs="宋体"/>
          <w:b/>
          <w:bCs/>
        </w:rPr>
      </w:pPr>
      <w:bookmarkStart w:id="414" w:name="_Toc989340"/>
      <w:r>
        <w:rPr>
          <w:rFonts w:ascii="宋体" w:hAnsi="宋体" w:cs="宋体"/>
          <w:b/>
          <w:bCs/>
        </w:rPr>
        <w:t>3、计入当期损益的政府补助</w:t>
      </w:r>
      <w:bookmarkEnd w:id="41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rsidTr="00177DA4">
        <w:trPr>
          <w:trHeight w:val="240"/>
        </w:trPr>
        <w:tc>
          <w:tcPr>
            <w:tcW w:w="3213" w:type="dxa"/>
            <w:tcBorders>
              <w:top w:val="single" w:sz="4"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会计科目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8"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41,764,407.62</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其他说明：</w:t>
      </w:r>
    </w:p>
    <w:p w:rsidR="005C49A8" w:rsidRDefault="005C49A8">
      <w:pPr>
        <w:pStyle w:val="a3"/>
        <w:divId w:val="443306635"/>
        <w:rPr>
          <w:sz w:val="18"/>
          <w:szCs w:val="18"/>
        </w:rPr>
      </w:pPr>
      <w:r>
        <w:rPr>
          <w:rFonts w:hint="eastAsia"/>
          <w:sz w:val="18"/>
          <w:szCs w:val="18"/>
        </w:rPr>
        <w:t>涉及政府补助的负债项目</w:t>
      </w:r>
    </w:p>
    <w:tbl>
      <w:tblPr>
        <w:tblW w:w="10691" w:type="dxa"/>
        <w:jc w:val="center"/>
        <w:tblInd w:w="998" w:type="dxa"/>
        <w:tblCellMar>
          <w:left w:w="0" w:type="dxa"/>
          <w:right w:w="0" w:type="dxa"/>
        </w:tblCellMar>
        <w:tblLook w:val="04A0" w:firstRow="1" w:lastRow="0" w:firstColumn="1" w:lastColumn="0" w:noHBand="0" w:noVBand="1"/>
      </w:tblPr>
      <w:tblGrid>
        <w:gridCol w:w="2139"/>
        <w:gridCol w:w="1276"/>
        <w:gridCol w:w="798"/>
        <w:gridCol w:w="722"/>
        <w:gridCol w:w="1520"/>
        <w:gridCol w:w="1018"/>
        <w:gridCol w:w="709"/>
        <w:gridCol w:w="1276"/>
        <w:gridCol w:w="1233"/>
      </w:tblGrid>
      <w:tr w:rsidR="00112D20" w:rsidRPr="00112D20" w:rsidTr="00177DA4">
        <w:trPr>
          <w:divId w:val="443306635"/>
          <w:trHeight w:val="285"/>
          <w:jc w:val="center"/>
        </w:trPr>
        <w:tc>
          <w:tcPr>
            <w:tcW w:w="2139" w:type="dxa"/>
            <w:tcBorders>
              <w:top w:val="single" w:sz="4" w:space="0" w:color="auto"/>
              <w:left w:val="single" w:sz="4" w:space="0" w:color="auto"/>
              <w:bottom w:val="single" w:sz="4" w:space="0" w:color="auto"/>
              <w:right w:val="single" w:sz="4"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proofErr w:type="gramStart"/>
            <w:r w:rsidRPr="00112D20">
              <w:rPr>
                <w:rFonts w:asciiTheme="minorEastAsia" w:hAnsiTheme="minorEastAsia" w:hint="eastAsia"/>
                <w:color w:val="000000"/>
                <w:sz w:val="18"/>
                <w:szCs w:val="18"/>
              </w:rPr>
              <w:t>债项目</w:t>
            </w:r>
            <w:proofErr w:type="gramEnd"/>
          </w:p>
        </w:tc>
        <w:tc>
          <w:tcPr>
            <w:tcW w:w="1276"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sz w:val="18"/>
                <w:szCs w:val="18"/>
              </w:rPr>
            </w:pPr>
            <w:r w:rsidRPr="00112D20">
              <w:rPr>
                <w:rFonts w:asciiTheme="minorEastAsia" w:hAnsiTheme="minorEastAsia"/>
                <w:sz w:val="18"/>
                <w:szCs w:val="18"/>
              </w:rPr>
              <w:t>期初余额</w:t>
            </w:r>
          </w:p>
        </w:tc>
        <w:tc>
          <w:tcPr>
            <w:tcW w:w="798"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sz w:val="18"/>
                <w:szCs w:val="18"/>
              </w:rPr>
            </w:pPr>
            <w:r w:rsidRPr="00112D20">
              <w:rPr>
                <w:rFonts w:asciiTheme="minorEastAsia" w:hAnsiTheme="minorEastAsia"/>
                <w:sz w:val="18"/>
                <w:szCs w:val="18"/>
              </w:rPr>
              <w:t>本期新增补助金额</w:t>
            </w:r>
          </w:p>
        </w:tc>
        <w:tc>
          <w:tcPr>
            <w:tcW w:w="722"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sz w:val="18"/>
                <w:szCs w:val="18"/>
              </w:rPr>
            </w:pPr>
            <w:r w:rsidRPr="00112D20">
              <w:rPr>
                <w:rFonts w:asciiTheme="minorEastAsia" w:hAnsiTheme="minorEastAsia"/>
                <w:sz w:val="18"/>
                <w:szCs w:val="18"/>
              </w:rPr>
              <w:t>本期计入营业外收入金额</w:t>
            </w:r>
          </w:p>
        </w:tc>
        <w:tc>
          <w:tcPr>
            <w:tcW w:w="1520" w:type="dxa"/>
            <w:tcBorders>
              <w:top w:val="single" w:sz="8" w:space="0" w:color="auto"/>
              <w:left w:val="nil"/>
              <w:bottom w:val="single" w:sz="8" w:space="0" w:color="auto"/>
              <w:right w:val="single" w:sz="8" w:space="0" w:color="auto"/>
            </w:tcBorders>
            <w:shd w:val="clear" w:color="auto" w:fill="D3D3D3"/>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color w:val="000000"/>
                <w:sz w:val="18"/>
                <w:szCs w:val="18"/>
              </w:rPr>
              <w:t>本期计入其他收益金额</w:t>
            </w:r>
          </w:p>
        </w:tc>
        <w:tc>
          <w:tcPr>
            <w:tcW w:w="1018"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color w:val="000000"/>
                <w:sz w:val="18"/>
                <w:szCs w:val="18"/>
              </w:rPr>
              <w:t>本期冲减成本费用金额</w:t>
            </w:r>
          </w:p>
        </w:tc>
        <w:tc>
          <w:tcPr>
            <w:tcW w:w="709"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hint="eastAsia"/>
                <w:color w:val="000000"/>
                <w:sz w:val="18"/>
                <w:szCs w:val="18"/>
              </w:rPr>
              <w:t>其他变动</w:t>
            </w:r>
          </w:p>
        </w:tc>
        <w:tc>
          <w:tcPr>
            <w:tcW w:w="1276"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hint="eastAsia"/>
                <w:color w:val="000000"/>
                <w:sz w:val="18"/>
                <w:szCs w:val="18"/>
              </w:rPr>
              <w:t>期末余额</w:t>
            </w:r>
          </w:p>
        </w:tc>
        <w:tc>
          <w:tcPr>
            <w:tcW w:w="1233" w:type="dxa"/>
            <w:tcBorders>
              <w:top w:val="single" w:sz="8" w:space="0" w:color="auto"/>
              <w:left w:val="nil"/>
              <w:bottom w:val="single" w:sz="8" w:space="0" w:color="auto"/>
              <w:right w:val="single" w:sz="8" w:space="0" w:color="auto"/>
            </w:tcBorders>
            <w:shd w:val="clear" w:color="auto" w:fill="D3D3D3"/>
            <w:noWrap/>
            <w:vAlign w:val="center"/>
            <w:hideMark/>
          </w:tcPr>
          <w:p w:rsidR="005C49A8" w:rsidRPr="00112D20" w:rsidRDefault="005C49A8" w:rsidP="00177DA4">
            <w:pPr>
              <w:jc w:val="cente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与资产相关/与收益相关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华孚时尚技改</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40,176,000.00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2,232,000.00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37,944,000.00</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节能设备补贴</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8,600,994.67</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247,476.00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8,353,518.67</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新疆</w:t>
            </w:r>
            <w:proofErr w:type="gramStart"/>
            <w:r w:rsidRPr="00112D20">
              <w:rPr>
                <w:rFonts w:asciiTheme="minorEastAsia" w:hAnsiTheme="minorEastAsia" w:hint="eastAsia"/>
                <w:color w:val="000000"/>
                <w:sz w:val="18"/>
                <w:szCs w:val="18"/>
              </w:rPr>
              <w:t>六孚基础</w:t>
            </w:r>
            <w:proofErr w:type="gramEnd"/>
            <w:r w:rsidRPr="00112D20">
              <w:rPr>
                <w:rFonts w:asciiTheme="minorEastAsia" w:hAnsiTheme="minorEastAsia" w:hint="eastAsia"/>
                <w:color w:val="000000"/>
                <w:sz w:val="18"/>
                <w:szCs w:val="18"/>
              </w:rPr>
              <w:t>设施配套款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4,655,685.83</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66,038.10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4,589,647.73</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阿克苏华孚土地补贴款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4,881,236.59</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66,713.95</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4,814,522.65</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阿克苏华孚产业技术改造资金</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7,183,388.67</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280,000.02</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6,903,388.66</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lastRenderedPageBreak/>
              <w:t>五家渠华孚色纱项目建设补助</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387,782.64</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114,051.12</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273,731.52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新疆</w:t>
            </w:r>
            <w:proofErr w:type="gramStart"/>
            <w:r w:rsidRPr="00112D20">
              <w:rPr>
                <w:rFonts w:asciiTheme="minorEastAsia" w:hAnsiTheme="minorEastAsia" w:hint="eastAsia"/>
                <w:color w:val="000000"/>
                <w:sz w:val="18"/>
                <w:szCs w:val="18"/>
              </w:rPr>
              <w:t>六孚土地</w:t>
            </w:r>
            <w:proofErr w:type="gramEnd"/>
            <w:r w:rsidRPr="00112D20">
              <w:rPr>
                <w:rFonts w:asciiTheme="minorEastAsia" w:hAnsiTheme="minorEastAsia" w:hint="eastAsia"/>
                <w:color w:val="000000"/>
                <w:sz w:val="18"/>
                <w:szCs w:val="18"/>
              </w:rPr>
              <w:t>补贴款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855,649.64</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10,900.02</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844,749.62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九江中</w:t>
            </w:r>
            <w:proofErr w:type="gramStart"/>
            <w:r w:rsidRPr="00112D20">
              <w:rPr>
                <w:rFonts w:asciiTheme="minorEastAsia" w:hAnsiTheme="minorEastAsia" w:hint="eastAsia"/>
                <w:color w:val="000000"/>
                <w:sz w:val="18"/>
                <w:szCs w:val="18"/>
              </w:rPr>
              <w:t>浩</w:t>
            </w:r>
            <w:proofErr w:type="gramEnd"/>
            <w:r w:rsidRPr="00112D20">
              <w:rPr>
                <w:rFonts w:asciiTheme="minorEastAsia" w:hAnsiTheme="minorEastAsia" w:hint="eastAsia"/>
                <w:color w:val="000000"/>
                <w:sz w:val="18"/>
                <w:szCs w:val="18"/>
              </w:rPr>
              <w:t>支持重点承接地厂房建设款</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504,000.00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18,000.00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486,000.00</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285"/>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阿克苏小商品</w:t>
            </w:r>
            <w:proofErr w:type="gramStart"/>
            <w:r w:rsidRPr="00112D20">
              <w:rPr>
                <w:rFonts w:asciiTheme="minorEastAsia" w:hAnsiTheme="minorEastAsia" w:hint="eastAsia"/>
                <w:color w:val="000000"/>
                <w:sz w:val="18"/>
                <w:szCs w:val="18"/>
              </w:rPr>
              <w:t>城设备</w:t>
            </w:r>
            <w:proofErr w:type="gramEnd"/>
            <w:r w:rsidRPr="00112D20">
              <w:rPr>
                <w:rFonts w:asciiTheme="minorEastAsia" w:hAnsiTheme="minorEastAsia" w:hint="eastAsia"/>
                <w:color w:val="000000"/>
                <w:sz w:val="18"/>
                <w:szCs w:val="18"/>
              </w:rPr>
              <w:t>补贴</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5,171,379.96</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338,670.00</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4,832,709.96</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42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rPr>
                <w:rFonts w:asciiTheme="minorEastAsia" w:hAnsiTheme="minorEastAsia" w:cs="宋体"/>
                <w:color w:val="000000"/>
                <w:sz w:val="18"/>
                <w:szCs w:val="18"/>
              </w:rPr>
            </w:pPr>
            <w:r w:rsidRPr="00112D20">
              <w:rPr>
                <w:rFonts w:asciiTheme="minorEastAsia" w:hAnsiTheme="minorEastAsia" w:hint="eastAsia"/>
                <w:color w:val="000000"/>
                <w:sz w:val="18"/>
                <w:szCs w:val="18"/>
              </w:rPr>
              <w:t>阿克苏华孚</w:t>
            </w:r>
            <w:proofErr w:type="gramStart"/>
            <w:r w:rsidRPr="00112D20">
              <w:rPr>
                <w:rFonts w:asciiTheme="minorEastAsia" w:hAnsiTheme="minorEastAsia" w:hint="eastAsia"/>
                <w:color w:val="000000"/>
                <w:sz w:val="18"/>
                <w:szCs w:val="18"/>
              </w:rPr>
              <w:t>16万锭与设备</w:t>
            </w:r>
            <w:proofErr w:type="gramEnd"/>
            <w:r w:rsidRPr="00112D20">
              <w:rPr>
                <w:rFonts w:asciiTheme="minorEastAsia" w:hAnsiTheme="minorEastAsia" w:hint="eastAsia"/>
                <w:color w:val="000000"/>
                <w:sz w:val="18"/>
                <w:szCs w:val="18"/>
              </w:rPr>
              <w:t>补贴</w:t>
            </w:r>
          </w:p>
        </w:tc>
        <w:tc>
          <w:tcPr>
            <w:tcW w:w="1276"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957,115.50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 xml:space="preserve">　</w:t>
            </w:r>
          </w:p>
        </w:tc>
        <w:tc>
          <w:tcPr>
            <w:tcW w:w="1520" w:type="dxa"/>
            <w:tcBorders>
              <w:top w:val="nil"/>
              <w:left w:val="nil"/>
              <w:bottom w:val="single" w:sz="8" w:space="0" w:color="auto"/>
              <w:right w:val="single" w:sz="8" w:space="0" w:color="auto"/>
            </w:tcBorders>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72,692.28</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color w:val="000000"/>
                <w:sz w:val="18"/>
                <w:szCs w:val="18"/>
              </w:rPr>
              <w:t xml:space="preserve">　</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884,423.22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与资产相关</w:t>
            </w:r>
          </w:p>
        </w:tc>
      </w:tr>
      <w:tr w:rsidR="00112D20" w:rsidRPr="00112D20" w:rsidTr="00177DA4">
        <w:trPr>
          <w:divId w:val="443306635"/>
          <w:trHeight w:val="300"/>
          <w:jc w:val="center"/>
        </w:trPr>
        <w:tc>
          <w:tcPr>
            <w:tcW w:w="2139" w:type="dxa"/>
            <w:tcBorders>
              <w:top w:val="nil"/>
              <w:left w:val="single" w:sz="8" w:space="0" w:color="auto"/>
              <w:bottom w:val="single" w:sz="8" w:space="0" w:color="auto"/>
              <w:right w:val="single" w:sz="8" w:space="0" w:color="auto"/>
            </w:tcBorders>
            <w:shd w:val="clear" w:color="auto" w:fill="D3D3D3"/>
            <w:noWrap/>
            <w:vAlign w:val="center"/>
            <w:hideMark/>
          </w:tcPr>
          <w:p w:rsidR="005C49A8" w:rsidRPr="00112D20" w:rsidRDefault="005C49A8" w:rsidP="00112D20">
            <w:pPr>
              <w:jc w:val="both"/>
              <w:rPr>
                <w:rFonts w:asciiTheme="minorEastAsia" w:hAnsiTheme="minorEastAsia" w:cs="宋体"/>
                <w:color w:val="000000"/>
                <w:sz w:val="18"/>
                <w:szCs w:val="18"/>
              </w:rPr>
            </w:pPr>
            <w:r w:rsidRPr="00112D20">
              <w:rPr>
                <w:rFonts w:asciiTheme="minorEastAsia" w:hAnsiTheme="minorEastAsia" w:hint="eastAsia"/>
                <w:color w:val="000000"/>
                <w:sz w:val="18"/>
                <w:szCs w:val="18"/>
              </w:rPr>
              <w:t>合计</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73,373,233.50</w:t>
            </w:r>
          </w:p>
        </w:tc>
        <w:tc>
          <w:tcPr>
            <w:tcW w:w="79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722"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1520"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3,446,541.48</w:t>
            </w:r>
          </w:p>
        </w:tc>
        <w:tc>
          <w:tcPr>
            <w:tcW w:w="1018"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709" w:type="dxa"/>
            <w:tcBorders>
              <w:top w:val="nil"/>
              <w:left w:val="nil"/>
              <w:bottom w:val="single" w:sz="8" w:space="0" w:color="auto"/>
              <w:right w:val="single" w:sz="8" w:space="0" w:color="auto"/>
            </w:tcBorders>
            <w:noWrap/>
            <w:vAlign w:val="center"/>
            <w:hideMark/>
          </w:tcPr>
          <w:p w:rsidR="005C49A8" w:rsidRPr="00112D20" w:rsidRDefault="005C49A8">
            <w:pPr>
              <w:jc w:val="right"/>
              <w:rPr>
                <w:rFonts w:asciiTheme="minorEastAsia" w:hAnsiTheme="minorEastAsia" w:cs="宋体"/>
                <w:sz w:val="18"/>
                <w:szCs w:val="18"/>
              </w:rPr>
            </w:pPr>
            <w:r w:rsidRPr="00112D20">
              <w:rPr>
                <w:rFonts w:asciiTheme="minorEastAsia" w:hAnsiTheme="minorEastAsia"/>
                <w:sz w:val="18"/>
                <w:szCs w:val="18"/>
              </w:rPr>
              <w:t>-</w:t>
            </w:r>
          </w:p>
        </w:tc>
        <w:tc>
          <w:tcPr>
            <w:tcW w:w="1276"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69,926,692.02</w:t>
            </w:r>
          </w:p>
        </w:tc>
        <w:tc>
          <w:tcPr>
            <w:tcW w:w="1233" w:type="dxa"/>
            <w:tcBorders>
              <w:top w:val="nil"/>
              <w:left w:val="nil"/>
              <w:bottom w:val="single" w:sz="8" w:space="0" w:color="auto"/>
              <w:right w:val="single" w:sz="8" w:space="0" w:color="auto"/>
            </w:tcBorders>
            <w:noWrap/>
            <w:vAlign w:val="center"/>
            <w:hideMark/>
          </w:tcPr>
          <w:p w:rsidR="005C49A8" w:rsidRPr="00112D20" w:rsidRDefault="005C49A8">
            <w:pPr>
              <w:rPr>
                <w:rFonts w:asciiTheme="minorEastAsia" w:hAnsiTheme="minorEastAsia" w:cs="宋体"/>
                <w:color w:val="000000"/>
                <w:sz w:val="18"/>
                <w:szCs w:val="18"/>
              </w:rPr>
            </w:pPr>
            <w:r w:rsidRPr="00112D20">
              <w:rPr>
                <w:rFonts w:asciiTheme="minorEastAsia" w:hAnsiTheme="minorEastAsia" w:hint="eastAsia"/>
                <w:color w:val="000000"/>
                <w:sz w:val="18"/>
                <w:szCs w:val="18"/>
              </w:rPr>
              <w:t xml:space="preserve">　</w:t>
            </w:r>
          </w:p>
        </w:tc>
      </w:tr>
    </w:tbl>
    <w:p w:rsidR="008820E4" w:rsidRDefault="005C49A8">
      <w:pPr>
        <w:pStyle w:val="2"/>
        <w:spacing w:before="300" w:after="300" w:line="320" w:lineRule="exact"/>
        <w:rPr>
          <w:rFonts w:ascii="宋体" w:eastAsia="宋体" w:hAnsi="宋体" w:cs="宋体"/>
          <w:b/>
          <w:bCs/>
          <w:sz w:val="24"/>
          <w:szCs w:val="24"/>
        </w:rPr>
      </w:pPr>
      <w:bookmarkStart w:id="415" w:name="_Toc989341"/>
      <w:r>
        <w:rPr>
          <w:rFonts w:ascii="宋体" w:eastAsia="宋体" w:hAnsi="宋体" w:cs="宋体"/>
          <w:b/>
          <w:bCs/>
          <w:sz w:val="24"/>
          <w:szCs w:val="24"/>
        </w:rPr>
        <w:t>十二、与金融工具相关的风险</w:t>
      </w:r>
      <w:bookmarkEnd w:id="415"/>
    </w:p>
    <w:p w:rsidR="008820E4" w:rsidRDefault="005C49A8">
      <w:pPr>
        <w:pStyle w:val="3"/>
        <w:spacing w:line="280" w:lineRule="exact"/>
        <w:jc w:val="left"/>
        <w:rPr>
          <w:rFonts w:ascii="宋体" w:hAnsi="宋体" w:cs="宋体"/>
          <w:b/>
          <w:bCs/>
        </w:rPr>
      </w:pPr>
      <w:bookmarkStart w:id="416" w:name="_Toc989342"/>
      <w:r>
        <w:rPr>
          <w:rFonts w:ascii="宋体" w:hAnsi="宋体" w:cs="宋体"/>
          <w:b/>
          <w:bCs/>
        </w:rPr>
        <w:t>1、金融工具产生的各类风险</w:t>
      </w:r>
      <w:bookmarkEnd w:id="416"/>
    </w:p>
    <w:p w:rsidR="005C49A8" w:rsidRDefault="005C49A8">
      <w:pPr>
        <w:pStyle w:val="a3"/>
        <w:divId w:val="1679699082"/>
        <w:rPr>
          <w:sz w:val="18"/>
          <w:szCs w:val="18"/>
        </w:rPr>
      </w:pPr>
      <w:r>
        <w:rPr>
          <w:rFonts w:hint="eastAsia"/>
          <w:sz w:val="18"/>
          <w:szCs w:val="18"/>
        </w:rPr>
        <w:t>1.信用风险</w:t>
      </w:r>
    </w:p>
    <w:p w:rsidR="005C49A8" w:rsidRDefault="005C49A8">
      <w:pPr>
        <w:pStyle w:val="a3"/>
        <w:divId w:val="1679699082"/>
        <w:rPr>
          <w:sz w:val="18"/>
          <w:szCs w:val="18"/>
        </w:rPr>
      </w:pPr>
      <w:r>
        <w:rPr>
          <w:rFonts w:hint="eastAsia"/>
          <w:sz w:val="18"/>
          <w:szCs w:val="18"/>
        </w:rPr>
        <w:t>  信用风险是指交易对手未能履行合同义务而导致本公司产生财务损失的风险，管理层已制定适当的信用政策，并且 不断监察信用风险的敞口。</w:t>
      </w:r>
    </w:p>
    <w:p w:rsidR="005C49A8" w:rsidRDefault="005C49A8" w:rsidP="00112D20">
      <w:pPr>
        <w:pStyle w:val="a3"/>
        <w:ind w:firstLineChars="200" w:firstLine="360"/>
        <w:divId w:val="1679699082"/>
        <w:rPr>
          <w:sz w:val="18"/>
          <w:szCs w:val="18"/>
        </w:rPr>
      </w:pPr>
      <w:r>
        <w:rPr>
          <w:rFonts w:hint="eastAsia"/>
          <w:sz w:val="18"/>
          <w:szCs w:val="18"/>
        </w:rPr>
        <w:t>本公司已采取政策只与信用良好的交易对手进行交易。另外，本公司基于对客户的财务状况、从第三方获取担保的可能性、信用记录及其它因素诸如目前市场状况等评估客户的信用资质并设置相应信用期。本公司对应收票据、应收账 款余额及收回情况进行持续监控，对于信用记录不良的客户，本公司会采用书面催款、缩短信用期或取消信用期等方式，以确保本公司不致面临重大信用损失。此外，本公司于每个资产负债表日审核金融资产的回收情况，以确保相关金融资产计提了充分的预期信用损失准备。</w:t>
      </w:r>
    </w:p>
    <w:p w:rsidR="005C49A8" w:rsidRDefault="005C49A8" w:rsidP="00112D20">
      <w:pPr>
        <w:pStyle w:val="a3"/>
        <w:ind w:firstLineChars="200" w:firstLine="360"/>
        <w:divId w:val="1679699082"/>
        <w:rPr>
          <w:sz w:val="18"/>
          <w:szCs w:val="18"/>
        </w:rPr>
      </w:pPr>
      <w:r>
        <w:rPr>
          <w:rFonts w:hint="eastAsia"/>
          <w:sz w:val="18"/>
          <w:szCs w:val="18"/>
        </w:rPr>
        <w:t>本公司其他金融资产包括货币资金、其他应收款、债权投资等，这些金融资产的信用风险源自于交易对手违约，最大信用风险敞口为资产负债表中每项金融资产的账面金额。除十四、关联方及关联交易所载本公司</w:t>
      </w:r>
      <w:proofErr w:type="gramStart"/>
      <w:r>
        <w:rPr>
          <w:rFonts w:hint="eastAsia"/>
          <w:sz w:val="18"/>
          <w:szCs w:val="18"/>
        </w:rPr>
        <w:t>作出</w:t>
      </w:r>
      <w:proofErr w:type="gramEnd"/>
      <w:r>
        <w:rPr>
          <w:rFonts w:hint="eastAsia"/>
          <w:sz w:val="18"/>
          <w:szCs w:val="18"/>
        </w:rPr>
        <w:t>的财务担保外，本公司没有提供任何其他可能令本公司承受信用风险的担保。</w:t>
      </w:r>
    </w:p>
    <w:p w:rsidR="005C49A8" w:rsidRDefault="005C49A8" w:rsidP="00112D20">
      <w:pPr>
        <w:pStyle w:val="a3"/>
        <w:ind w:firstLineChars="200" w:firstLine="360"/>
        <w:divId w:val="1679699082"/>
        <w:rPr>
          <w:sz w:val="18"/>
          <w:szCs w:val="18"/>
        </w:rPr>
      </w:pPr>
      <w:r>
        <w:rPr>
          <w:rFonts w:hint="eastAsia"/>
          <w:sz w:val="18"/>
          <w:szCs w:val="18"/>
        </w:rPr>
        <w:t>本公司持有的货币资金主要存放于国有控股银行和其他大中型商业银行等金融机构，管理层认为这些商业银行具备较高信誉和资产状况，不存在重大的信用风险，不会产生因对方单位违约而导致的任何重大损失。本公司的政策是根据各知名金融机构的市场信誉、经营规模及财务背景来控制存放当中的存款金额，以限制对任何单个金融机构的信用风险金额。</w:t>
      </w:r>
    </w:p>
    <w:p w:rsidR="005C49A8" w:rsidRDefault="005C49A8" w:rsidP="00112D20">
      <w:pPr>
        <w:pStyle w:val="a3"/>
        <w:ind w:firstLineChars="200" w:firstLine="360"/>
        <w:divId w:val="1679699082"/>
        <w:rPr>
          <w:sz w:val="18"/>
          <w:szCs w:val="18"/>
        </w:rPr>
      </w:pPr>
      <w:r>
        <w:rPr>
          <w:rFonts w:hint="eastAsia"/>
          <w:sz w:val="18"/>
          <w:szCs w:val="18"/>
        </w:rPr>
        <w:t>作为本公司信用风险资产管理的一部分，本公司利用账龄来评估应收账款和其他应收款的减值损失。本公司的应收账款和其他应收</w:t>
      </w:r>
      <w:proofErr w:type="gramStart"/>
      <w:r>
        <w:rPr>
          <w:rFonts w:hint="eastAsia"/>
          <w:sz w:val="18"/>
          <w:szCs w:val="18"/>
        </w:rPr>
        <w:t>款涉及</w:t>
      </w:r>
      <w:proofErr w:type="gramEnd"/>
      <w:r>
        <w:rPr>
          <w:rFonts w:hint="eastAsia"/>
          <w:sz w:val="18"/>
          <w:szCs w:val="18"/>
        </w:rPr>
        <w:t>大量客户，账</w:t>
      </w:r>
      <w:proofErr w:type="gramStart"/>
      <w:r>
        <w:rPr>
          <w:rFonts w:hint="eastAsia"/>
          <w:sz w:val="18"/>
          <w:szCs w:val="18"/>
        </w:rPr>
        <w:t>龄信息</w:t>
      </w:r>
      <w:proofErr w:type="gramEnd"/>
      <w:r>
        <w:rPr>
          <w:rFonts w:hint="eastAsia"/>
          <w:sz w:val="18"/>
          <w:szCs w:val="18"/>
        </w:rPr>
        <w:t>可以反映这些客户对于应收账款和其他应收款的偿付能力和坏账风险。本公司根据历史数据计算不同</w:t>
      </w:r>
      <w:proofErr w:type="gramStart"/>
      <w:r>
        <w:rPr>
          <w:rFonts w:hint="eastAsia"/>
          <w:sz w:val="18"/>
          <w:szCs w:val="18"/>
        </w:rPr>
        <w:t>账</w:t>
      </w:r>
      <w:proofErr w:type="gramEnd"/>
      <w:r>
        <w:rPr>
          <w:rFonts w:hint="eastAsia"/>
          <w:sz w:val="18"/>
          <w:szCs w:val="18"/>
        </w:rPr>
        <w:t>龄期间的历史实际坏账率，并考虑了当前及未来经济状况的预测，如国家GDP增速、基建投资总额、国家货币政策等前瞻性信息进行调整得出预期损失率。对于长期应收款，本公司综合考虑结算期、合同约定付款期、债务人的财务状况和债务人所处行业的经济形势，并考虑上述前瞻性信息进行调整后对于预期信用损失进行合理评估。</w:t>
      </w:r>
    </w:p>
    <w:p w:rsidR="005C49A8" w:rsidRDefault="005C49A8" w:rsidP="00112D20">
      <w:pPr>
        <w:pStyle w:val="a3"/>
        <w:ind w:firstLineChars="200" w:firstLine="360"/>
        <w:divId w:val="1679699082"/>
        <w:rPr>
          <w:sz w:val="18"/>
          <w:szCs w:val="18"/>
        </w:rPr>
      </w:pPr>
      <w:r>
        <w:rPr>
          <w:rFonts w:hint="eastAsia"/>
          <w:sz w:val="18"/>
          <w:szCs w:val="18"/>
        </w:rPr>
        <w:t>截止2025年6月30日，相关资产的账面余额与预期信用减值损失情况如下：</w:t>
      </w:r>
    </w:p>
    <w:tbl>
      <w:tblPr>
        <w:tblW w:w="9459" w:type="dxa"/>
        <w:jc w:val="center"/>
        <w:tblInd w:w="-2690" w:type="dxa"/>
        <w:tblCellMar>
          <w:left w:w="0" w:type="dxa"/>
          <w:right w:w="0" w:type="dxa"/>
        </w:tblCellMar>
        <w:tblLook w:val="04A0" w:firstRow="1" w:lastRow="0" w:firstColumn="1" w:lastColumn="0" w:noHBand="0" w:noVBand="1"/>
      </w:tblPr>
      <w:tblGrid>
        <w:gridCol w:w="4447"/>
        <w:gridCol w:w="2506"/>
        <w:gridCol w:w="2506"/>
      </w:tblGrid>
      <w:tr w:rsidR="005C49A8" w:rsidTr="00177DA4">
        <w:trPr>
          <w:divId w:val="1679699082"/>
          <w:trHeight w:val="20"/>
          <w:jc w:val="center"/>
        </w:trPr>
        <w:tc>
          <w:tcPr>
            <w:tcW w:w="4447" w:type="dxa"/>
            <w:tcBorders>
              <w:top w:val="single" w:sz="8" w:space="0" w:color="000000"/>
              <w:left w:val="single" w:sz="8" w:space="0" w:color="000000"/>
              <w:bottom w:val="single" w:sz="8" w:space="0" w:color="000000"/>
              <w:right w:val="single" w:sz="8" w:space="0" w:color="000000"/>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项目</w:t>
            </w:r>
          </w:p>
        </w:tc>
        <w:tc>
          <w:tcPr>
            <w:tcW w:w="2506"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账面余额</w:t>
            </w:r>
          </w:p>
        </w:tc>
        <w:tc>
          <w:tcPr>
            <w:tcW w:w="2506" w:type="dxa"/>
            <w:tcBorders>
              <w:top w:val="single" w:sz="8" w:space="0" w:color="auto"/>
              <w:left w:val="nil"/>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jc w:val="center"/>
              <w:rPr>
                <w:rFonts w:ascii="宋体" w:eastAsia="宋体" w:hAnsi="宋体" w:cs="宋体"/>
                <w:color w:val="000000"/>
                <w:sz w:val="18"/>
                <w:szCs w:val="18"/>
              </w:rPr>
            </w:pPr>
            <w:r>
              <w:rPr>
                <w:rFonts w:hint="eastAsia"/>
                <w:color w:val="000000"/>
                <w:sz w:val="18"/>
                <w:szCs w:val="18"/>
              </w:rPr>
              <w:t>减值准备</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应收票据</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61,350,358.39</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1,107,691.93</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应收账款</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1,492,720,738.04</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88,464,931.11</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其他应收款</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309,147,356.94</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85,544,802.25</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15"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lastRenderedPageBreak/>
              <w:t>长期应收款（含一年内到期的款项）</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3,478,822.10</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309,217.37</w:t>
            </w:r>
          </w:p>
        </w:tc>
      </w:tr>
      <w:tr w:rsidR="005C49A8" w:rsidTr="00177DA4">
        <w:trPr>
          <w:divId w:val="1679699082"/>
          <w:trHeight w:val="20"/>
          <w:jc w:val="center"/>
        </w:trPr>
        <w:tc>
          <w:tcPr>
            <w:tcW w:w="4447" w:type="dxa"/>
            <w:tcBorders>
              <w:top w:val="nil"/>
              <w:left w:val="single" w:sz="8" w:space="0" w:color="auto"/>
              <w:bottom w:val="single" w:sz="8" w:space="0" w:color="auto"/>
              <w:right w:val="single" w:sz="8" w:space="0" w:color="auto"/>
            </w:tcBorders>
            <w:shd w:val="clear" w:color="auto" w:fill="D3D3D3"/>
            <w:tcMar>
              <w:top w:w="15" w:type="dxa"/>
              <w:left w:w="0" w:type="dxa"/>
              <w:bottom w:w="0" w:type="dxa"/>
              <w:right w:w="15" w:type="dxa"/>
            </w:tcMar>
            <w:vAlign w:val="center"/>
            <w:hideMark/>
          </w:tcPr>
          <w:p w:rsidR="005C49A8" w:rsidRDefault="005C49A8">
            <w:pPr>
              <w:rPr>
                <w:rFonts w:ascii="宋体" w:eastAsia="宋体" w:hAnsi="宋体" w:cs="宋体"/>
                <w:color w:val="000000"/>
                <w:sz w:val="18"/>
                <w:szCs w:val="18"/>
              </w:rPr>
            </w:pPr>
            <w:r>
              <w:rPr>
                <w:rFonts w:hint="eastAsia"/>
                <w:color w:val="000000"/>
                <w:sz w:val="18"/>
                <w:szCs w:val="18"/>
              </w:rPr>
              <w:t>合计</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1,866,697,275.47</w:t>
            </w:r>
          </w:p>
        </w:tc>
        <w:tc>
          <w:tcPr>
            <w:tcW w:w="25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5C49A8" w:rsidRPr="00112D20" w:rsidRDefault="005C49A8">
            <w:pPr>
              <w:jc w:val="right"/>
              <w:rPr>
                <w:rFonts w:asciiTheme="minorEastAsia" w:hAnsiTheme="minorEastAsia" w:cs="宋体"/>
                <w:color w:val="000000"/>
                <w:sz w:val="18"/>
                <w:szCs w:val="18"/>
              </w:rPr>
            </w:pPr>
            <w:r w:rsidRPr="00112D20">
              <w:rPr>
                <w:rFonts w:asciiTheme="minorEastAsia" w:hAnsiTheme="minorEastAsia" w:hint="eastAsia"/>
                <w:color w:val="000000"/>
                <w:sz w:val="18"/>
                <w:szCs w:val="18"/>
              </w:rPr>
              <w:t>175,426,642.66</w:t>
            </w:r>
          </w:p>
        </w:tc>
      </w:tr>
    </w:tbl>
    <w:p w:rsidR="005C49A8" w:rsidRDefault="005C49A8">
      <w:pPr>
        <w:pStyle w:val="a3"/>
        <w:divId w:val="1679699082"/>
        <w:rPr>
          <w:sz w:val="18"/>
          <w:szCs w:val="18"/>
        </w:rPr>
      </w:pPr>
      <w:r>
        <w:rPr>
          <w:rFonts w:hint="eastAsia"/>
          <w:sz w:val="18"/>
          <w:szCs w:val="18"/>
        </w:rPr>
        <w:t>2.流动性风险</w:t>
      </w:r>
    </w:p>
    <w:p w:rsidR="005C49A8" w:rsidRDefault="005C49A8" w:rsidP="00112D20">
      <w:pPr>
        <w:pStyle w:val="a3"/>
        <w:ind w:firstLineChars="200" w:firstLine="360"/>
        <w:divId w:val="1679699082"/>
        <w:rPr>
          <w:sz w:val="18"/>
          <w:szCs w:val="18"/>
        </w:rPr>
      </w:pPr>
      <w:r>
        <w:rPr>
          <w:rFonts w:hint="eastAsia"/>
          <w:sz w:val="18"/>
          <w:szCs w:val="18"/>
        </w:rPr>
        <w:t>流动性风险是指本公司在履行以交付现金或其他金融资产的方式结算的义务时发生资金短缺的风险。本公司下属成员企业各自负责其现金流量预测。公司下属资金管理部门基于各成员企业的现金流量预测结果，在公司层面持续监控公司短期和长期的资金需求，以确保维持充裕的现金储备；同时持续监控是否符合借款协议的规定，从主要金融机构获得提供足够备用资金的承诺，以满足短期和长期的资金需求。此外，本公司与主要业务往来银行订立融资额度授信协议，为本公司履行与商业票据相关的义务提供支持。</w:t>
      </w:r>
    </w:p>
    <w:p w:rsidR="005C49A8" w:rsidRDefault="005C49A8">
      <w:pPr>
        <w:pStyle w:val="a3"/>
        <w:divId w:val="1679699082"/>
        <w:rPr>
          <w:sz w:val="18"/>
          <w:szCs w:val="18"/>
        </w:rPr>
      </w:pPr>
      <w:r>
        <w:rPr>
          <w:rFonts w:hint="eastAsia"/>
          <w:sz w:val="18"/>
          <w:szCs w:val="18"/>
        </w:rPr>
        <w:t>3.市场风险</w:t>
      </w:r>
    </w:p>
    <w:p w:rsidR="005C49A8" w:rsidRDefault="005C49A8" w:rsidP="00112D20">
      <w:pPr>
        <w:pStyle w:val="a3"/>
        <w:ind w:firstLineChars="200" w:firstLine="360"/>
        <w:divId w:val="1679699082"/>
        <w:rPr>
          <w:sz w:val="18"/>
          <w:szCs w:val="18"/>
        </w:rPr>
      </w:pPr>
      <w:r>
        <w:rPr>
          <w:rFonts w:hint="eastAsia"/>
          <w:sz w:val="18"/>
          <w:szCs w:val="18"/>
        </w:rPr>
        <w:t>（1）汇率风险</w:t>
      </w:r>
    </w:p>
    <w:p w:rsidR="005C49A8" w:rsidRDefault="005C49A8" w:rsidP="00112D20">
      <w:pPr>
        <w:pStyle w:val="a3"/>
        <w:ind w:firstLineChars="200" w:firstLine="360"/>
        <w:divId w:val="1679699082"/>
        <w:rPr>
          <w:sz w:val="18"/>
          <w:szCs w:val="18"/>
        </w:rPr>
      </w:pPr>
      <w:r>
        <w:rPr>
          <w:rFonts w:hint="eastAsia"/>
          <w:sz w:val="18"/>
          <w:szCs w:val="18"/>
        </w:rPr>
        <w:t>本公司的主要经营位于中国境内，主要业务以人民币结算。但本公司已确认的外币资产和负债及未来的外币交易（外币资产和负债及外币交易的计价货币主要为美元、港币和越南盾）依然存在汇率风险。本公司资金管理部门负责监控公司外币交易和外币资产及负债的规模，以最大程度降低面临的汇率风险；为此，本公司可能会以签署远期外汇合约或货币互换合约来达到规避汇率风险的目的。</w:t>
      </w:r>
    </w:p>
    <w:p w:rsidR="005C49A8" w:rsidRDefault="005C49A8" w:rsidP="00112D20">
      <w:pPr>
        <w:pStyle w:val="a3"/>
        <w:spacing w:before="0" w:beforeAutospacing="0" w:after="0" w:afterAutospacing="0"/>
        <w:ind w:firstLineChars="200" w:firstLine="360"/>
        <w:jc w:val="both"/>
        <w:divId w:val="1679699082"/>
        <w:rPr>
          <w:rFonts w:ascii="Calibri" w:hAnsi="Calibri" w:cs="Calibri"/>
          <w:sz w:val="21"/>
          <w:szCs w:val="21"/>
        </w:rPr>
      </w:pPr>
      <w:r>
        <w:rPr>
          <w:rFonts w:cs="Calibri" w:hint="eastAsia"/>
          <w:sz w:val="18"/>
          <w:szCs w:val="18"/>
        </w:rPr>
        <w:t>截止2025年6月30日，本公司持有的外币金融资产和外币金融负债折算成人民币的金额详见附注81。</w:t>
      </w:r>
    </w:p>
    <w:p w:rsidR="005C49A8" w:rsidRDefault="005C49A8" w:rsidP="00112D20">
      <w:pPr>
        <w:pStyle w:val="a3"/>
        <w:spacing w:before="0" w:beforeAutospacing="0" w:after="0" w:afterAutospacing="0"/>
        <w:ind w:firstLineChars="200" w:firstLine="360"/>
        <w:jc w:val="both"/>
        <w:divId w:val="1679699082"/>
        <w:rPr>
          <w:rFonts w:ascii="Calibri" w:hAnsi="Calibri" w:cs="Calibri"/>
          <w:sz w:val="21"/>
          <w:szCs w:val="21"/>
        </w:rPr>
      </w:pPr>
      <w:r>
        <w:rPr>
          <w:rFonts w:cs="Calibri" w:hint="eastAsia"/>
          <w:sz w:val="18"/>
          <w:szCs w:val="18"/>
        </w:rPr>
        <w:t>（2）利率风险</w:t>
      </w:r>
    </w:p>
    <w:p w:rsidR="005C49A8" w:rsidRDefault="005C49A8">
      <w:pPr>
        <w:pStyle w:val="a3"/>
        <w:spacing w:before="0" w:beforeAutospacing="0" w:after="0" w:afterAutospacing="0"/>
        <w:ind w:firstLine="420"/>
        <w:jc w:val="both"/>
        <w:divId w:val="1679699082"/>
      </w:pPr>
      <w:r>
        <w:rPr>
          <w:rFonts w:hint="eastAsia"/>
          <w:sz w:val="18"/>
          <w:szCs w:val="18"/>
        </w:rPr>
        <w:t>本公司的利率风险主要产生于银行借款等。浮动利率的金融负债使本公司面临现金流量利率风险，固定利率的金融负债使本公司面临公允价值利率风险。本公司根据当时的市场环境来决定固定利率及浮动利率合同的相对比例。</w:t>
      </w:r>
    </w:p>
    <w:p w:rsidR="005C49A8" w:rsidRDefault="005C49A8">
      <w:pPr>
        <w:pStyle w:val="a3"/>
        <w:spacing w:before="0" w:beforeAutospacing="0" w:after="0" w:afterAutospacing="0"/>
        <w:ind w:firstLine="420"/>
        <w:jc w:val="both"/>
        <w:divId w:val="1679699082"/>
      </w:pPr>
      <w:r>
        <w:rPr>
          <w:rFonts w:hint="eastAsia"/>
          <w:sz w:val="18"/>
          <w:szCs w:val="18"/>
        </w:rPr>
        <w:t>本公司财务部门持续监控公司利率水平。利率上升会增加新增带息债务的成本以及本公司尚未付清的以浮动利率计息的带息债务的利息支出，并对本公司的财务业绩产生重大的不利影响，管理层会依据最新的市场状况及时做出调整，这些调整可能是融资结构和融资渠道的安排来降低利率风险。</w:t>
      </w:r>
    </w:p>
    <w:p w:rsidR="005C49A8" w:rsidRDefault="005C49A8">
      <w:pPr>
        <w:pStyle w:val="a3"/>
        <w:spacing w:before="0" w:beforeAutospacing="0" w:after="0" w:afterAutospacing="0"/>
        <w:ind w:firstLine="420"/>
        <w:jc w:val="both"/>
        <w:divId w:val="1679699082"/>
      </w:pPr>
      <w:r>
        <w:rPr>
          <w:rFonts w:hint="eastAsia"/>
          <w:sz w:val="18"/>
          <w:szCs w:val="18"/>
        </w:rPr>
        <w:t>截至2025年6月30日，本公司的带息债务主要为人民币、港币和美元计价的固定利率长短借款，金额合计为人民币93.35亿元。</w:t>
      </w:r>
    </w:p>
    <w:p w:rsidR="005C49A8" w:rsidRDefault="005C49A8">
      <w:pPr>
        <w:pStyle w:val="a3"/>
        <w:spacing w:before="0" w:beforeAutospacing="0" w:after="0" w:afterAutospacing="0"/>
        <w:ind w:firstLine="420"/>
        <w:jc w:val="both"/>
        <w:divId w:val="1679699082"/>
      </w:pPr>
      <w:r>
        <w:rPr>
          <w:rFonts w:hint="eastAsia"/>
          <w:sz w:val="18"/>
          <w:szCs w:val="18"/>
        </w:rPr>
        <w:t>（3）价格风险</w:t>
      </w:r>
    </w:p>
    <w:p w:rsidR="005C49A8" w:rsidRDefault="005C49A8" w:rsidP="00112D20">
      <w:pPr>
        <w:pStyle w:val="a3"/>
        <w:spacing w:before="0" w:beforeAutospacing="0" w:after="0" w:afterAutospacing="0"/>
        <w:ind w:firstLineChars="200" w:firstLine="360"/>
        <w:jc w:val="both"/>
        <w:divId w:val="1679699082"/>
        <w:rPr>
          <w:rFonts w:ascii="Calibri" w:hAnsi="Calibri" w:cs="Calibri"/>
          <w:sz w:val="21"/>
          <w:szCs w:val="21"/>
        </w:rPr>
      </w:pPr>
      <w:r>
        <w:rPr>
          <w:rFonts w:cs="Calibri" w:hint="eastAsia"/>
          <w:sz w:val="18"/>
          <w:szCs w:val="18"/>
        </w:rPr>
        <w:t>价格风险指汇率风险和利率风险以外的市场价格变动而发生波动的风险，主要源于商品价格、股票市场指数、权益工具价格以及其他风险变量的变化。</w:t>
      </w:r>
    </w:p>
    <w:p w:rsidR="008820E4" w:rsidRDefault="005C49A8">
      <w:pPr>
        <w:pStyle w:val="3"/>
        <w:spacing w:line="280" w:lineRule="exact"/>
        <w:jc w:val="left"/>
        <w:rPr>
          <w:rFonts w:ascii="宋体" w:hAnsi="宋体" w:cs="宋体"/>
          <w:b/>
          <w:bCs/>
        </w:rPr>
      </w:pPr>
      <w:bookmarkStart w:id="417" w:name="_Toc989343"/>
      <w:r>
        <w:rPr>
          <w:rFonts w:ascii="宋体" w:hAnsi="宋体" w:cs="宋体"/>
          <w:b/>
          <w:bCs/>
        </w:rPr>
        <w:t>2、套期</w:t>
      </w:r>
      <w:bookmarkEnd w:id="417"/>
    </w:p>
    <w:p w:rsidR="008820E4" w:rsidRDefault="005C49A8">
      <w:pPr>
        <w:keepNext/>
        <w:keepLines/>
        <w:spacing w:before="300" w:after="300" w:line="280" w:lineRule="exact"/>
        <w:outlineLvl w:val="3"/>
        <w:rPr>
          <w:rFonts w:ascii="宋体" w:eastAsia="宋体" w:hAnsi="宋体" w:cs="宋体"/>
          <w:b/>
          <w:bCs/>
          <w:sz w:val="18"/>
          <w:szCs w:val="18"/>
        </w:rPr>
      </w:pPr>
      <w:bookmarkStart w:id="418" w:name="_Toc989344"/>
      <w:r>
        <w:rPr>
          <w:rFonts w:ascii="宋体" w:eastAsia="宋体" w:hAnsi="宋体" w:cs="宋体"/>
          <w:b/>
          <w:bCs/>
          <w:sz w:val="18"/>
          <w:szCs w:val="18"/>
        </w:rPr>
        <w:t>（1） 公司开展套期业务进行风险管理</w:t>
      </w:r>
      <w:bookmarkEnd w:id="41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419" w:name="_Toc989345"/>
      <w:r>
        <w:rPr>
          <w:rFonts w:ascii="宋体" w:eastAsia="宋体" w:hAnsi="宋体" w:cs="宋体"/>
          <w:b/>
          <w:bCs/>
          <w:sz w:val="18"/>
          <w:szCs w:val="18"/>
        </w:rPr>
        <w:t>（2） 公司开展符合条件套期业务并应用套期会计</w:t>
      </w:r>
      <w:bookmarkEnd w:id="419"/>
    </w:p>
    <w:p w:rsidR="005C49A8" w:rsidRDefault="005C49A8">
      <w:pPr>
        <w:pStyle w:val="a3"/>
        <w:divId w:val="1185944731"/>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420" w:name="_Toc989346"/>
      <w:r>
        <w:rPr>
          <w:rFonts w:ascii="宋体" w:eastAsia="宋体" w:hAnsi="宋体" w:cs="宋体"/>
          <w:b/>
          <w:bCs/>
          <w:sz w:val="18"/>
          <w:szCs w:val="18"/>
        </w:rPr>
        <w:t>（3） 公司开展套期业务进行风险管理、预期能实现风险管理目标但未应用套期会计</w:t>
      </w:r>
      <w:bookmarkEnd w:id="420"/>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21" w:name="_Toc989347"/>
      <w:r>
        <w:rPr>
          <w:rFonts w:ascii="宋体" w:hAnsi="宋体" w:cs="宋体"/>
          <w:b/>
          <w:bCs/>
        </w:rPr>
        <w:lastRenderedPageBreak/>
        <w:t>3、金融资产</w:t>
      </w:r>
      <w:bookmarkEnd w:id="421"/>
    </w:p>
    <w:p w:rsidR="008820E4" w:rsidRDefault="005C49A8">
      <w:pPr>
        <w:keepNext/>
        <w:keepLines/>
        <w:spacing w:before="300" w:after="300" w:line="280" w:lineRule="exact"/>
        <w:outlineLvl w:val="3"/>
        <w:rPr>
          <w:rFonts w:ascii="宋体" w:eastAsia="宋体" w:hAnsi="宋体" w:cs="宋体"/>
          <w:b/>
          <w:bCs/>
          <w:sz w:val="18"/>
          <w:szCs w:val="18"/>
        </w:rPr>
      </w:pPr>
      <w:bookmarkStart w:id="422" w:name="_Toc989348"/>
      <w:r>
        <w:rPr>
          <w:rFonts w:ascii="宋体" w:eastAsia="宋体" w:hAnsi="宋体" w:cs="宋体"/>
          <w:b/>
          <w:bCs/>
          <w:sz w:val="18"/>
          <w:szCs w:val="18"/>
        </w:rPr>
        <w:t>（1） 转移方式分类</w:t>
      </w:r>
      <w:bookmarkEnd w:id="42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423" w:name="_Toc989349"/>
      <w:r>
        <w:rPr>
          <w:rFonts w:ascii="宋体" w:eastAsia="宋体" w:hAnsi="宋体" w:cs="宋体"/>
          <w:b/>
          <w:bCs/>
          <w:sz w:val="18"/>
          <w:szCs w:val="18"/>
        </w:rPr>
        <w:t>（2） 因转移而终止确认的金融资产</w:t>
      </w:r>
      <w:bookmarkEnd w:id="423"/>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 w:val="18"/>
          <w:szCs w:val="18"/>
        </w:rPr>
      </w:pPr>
      <w:bookmarkStart w:id="424" w:name="_Toc989350"/>
      <w:r>
        <w:rPr>
          <w:rFonts w:ascii="宋体" w:eastAsia="宋体" w:hAnsi="宋体" w:cs="宋体"/>
          <w:b/>
          <w:bCs/>
          <w:sz w:val="18"/>
          <w:szCs w:val="18"/>
        </w:rPr>
        <w:t>（3） 继续涉入的资产转移金融资产</w:t>
      </w:r>
      <w:bookmarkEnd w:id="424"/>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425" w:name="_Toc989351"/>
      <w:r>
        <w:rPr>
          <w:rFonts w:ascii="宋体" w:eastAsia="宋体" w:hAnsi="宋体" w:cs="宋体"/>
          <w:b/>
          <w:bCs/>
          <w:sz w:val="24"/>
          <w:szCs w:val="24"/>
        </w:rPr>
        <w:t>十三、公允价值的披露</w:t>
      </w:r>
      <w:bookmarkEnd w:id="425"/>
    </w:p>
    <w:p w:rsidR="008820E4" w:rsidRDefault="005C49A8">
      <w:pPr>
        <w:pStyle w:val="3"/>
        <w:spacing w:line="280" w:lineRule="exact"/>
        <w:jc w:val="left"/>
        <w:rPr>
          <w:rFonts w:ascii="宋体" w:hAnsi="宋体" w:cs="宋体"/>
          <w:b/>
          <w:bCs/>
        </w:rPr>
      </w:pPr>
      <w:bookmarkStart w:id="426" w:name="_Toc989352"/>
      <w:r>
        <w:rPr>
          <w:rFonts w:ascii="宋体" w:hAnsi="宋体" w:cs="宋体"/>
          <w:b/>
          <w:bCs/>
        </w:rPr>
        <w:t>1、以公允价值计量的资产和负债的期末公允价值</w:t>
      </w:r>
      <w:bookmarkEnd w:id="42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771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期末公允价值</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第一层次公允价值计量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第二层次公允价值计量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第三层次公允价值计量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一、持续的公允价值计量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1.以公允价值计量且其变动计入当期损益的金融资产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177,640,025.91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622,876,207.94</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（2）权益工具投资</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32,109,239.03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32,109,239.03</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（3）衍生金融资产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61,714,260.50</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货币性基金</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83,816,526.37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83,816,526.37</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银行理财产品</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445,236,182.03</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二、非持续的公允价值计量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bl>
    <w:p w:rsidR="008820E4" w:rsidRDefault="005C49A8">
      <w:pPr>
        <w:pStyle w:val="3"/>
        <w:spacing w:line="280" w:lineRule="exact"/>
        <w:jc w:val="left"/>
        <w:rPr>
          <w:rFonts w:ascii="宋体" w:hAnsi="宋体" w:cs="宋体"/>
          <w:b/>
          <w:bCs/>
        </w:rPr>
      </w:pPr>
      <w:bookmarkStart w:id="427" w:name="_Toc989353"/>
      <w:r>
        <w:rPr>
          <w:rFonts w:ascii="宋体" w:hAnsi="宋体" w:cs="宋体"/>
          <w:b/>
          <w:bCs/>
        </w:rPr>
        <w:t>2、持续和非持续第一层次公允价值计量项目市价的确定依据</w:t>
      </w:r>
      <w:bookmarkEnd w:id="427"/>
    </w:p>
    <w:p w:rsidR="005C49A8" w:rsidRDefault="005C49A8">
      <w:pPr>
        <w:pStyle w:val="a3"/>
        <w:divId w:val="128164660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28" w:name="_Toc989354"/>
      <w:r>
        <w:rPr>
          <w:rFonts w:ascii="宋体" w:hAnsi="宋体" w:cs="宋体"/>
          <w:b/>
          <w:bCs/>
        </w:rPr>
        <w:t>3、持续和非持续第二层次公允价值计量项目，采用的估值技术和重要参数的定性及定量信息</w:t>
      </w:r>
      <w:bookmarkEnd w:id="428"/>
    </w:p>
    <w:p w:rsidR="005C49A8" w:rsidRDefault="005C49A8">
      <w:pPr>
        <w:pStyle w:val="a3"/>
        <w:divId w:val="140864897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29" w:name="_Toc989355"/>
      <w:r>
        <w:rPr>
          <w:rFonts w:ascii="宋体" w:hAnsi="宋体" w:cs="宋体"/>
          <w:b/>
          <w:bCs/>
        </w:rPr>
        <w:t>4、持续和非持续第三层次公允价值计量项目，采用的估值技术和重要参数的定性及定量信息</w:t>
      </w:r>
      <w:bookmarkEnd w:id="429"/>
    </w:p>
    <w:p w:rsidR="005C49A8" w:rsidRDefault="005C49A8">
      <w:pPr>
        <w:pStyle w:val="a3"/>
        <w:divId w:val="165302257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30" w:name="_Toc989356"/>
      <w:r>
        <w:rPr>
          <w:rFonts w:ascii="宋体" w:hAnsi="宋体" w:cs="宋体"/>
          <w:b/>
          <w:bCs/>
        </w:rPr>
        <w:lastRenderedPageBreak/>
        <w:t>5、持续的第三层次公允价值计量项目，期初与期末账面价值间的调节信息及不可观察参数敏感性分析</w:t>
      </w:r>
      <w:bookmarkEnd w:id="430"/>
    </w:p>
    <w:p w:rsidR="005C49A8" w:rsidRDefault="005C49A8">
      <w:pPr>
        <w:pStyle w:val="a3"/>
        <w:divId w:val="1269000547"/>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31" w:name="_Toc989357"/>
      <w:r>
        <w:rPr>
          <w:rFonts w:ascii="宋体" w:hAnsi="宋体" w:cs="宋体"/>
          <w:b/>
          <w:bCs/>
        </w:rPr>
        <w:t>6、持续的公允价值计量项目，本期内发生各层级之间转换的，转换的原因及确定转换时点的政策</w:t>
      </w:r>
      <w:bookmarkEnd w:id="431"/>
    </w:p>
    <w:p w:rsidR="005C49A8" w:rsidRDefault="005C49A8">
      <w:pPr>
        <w:pStyle w:val="a3"/>
        <w:divId w:val="337778970"/>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32" w:name="_Toc989358"/>
      <w:r>
        <w:rPr>
          <w:rFonts w:ascii="宋体" w:hAnsi="宋体" w:cs="宋体"/>
          <w:b/>
          <w:bCs/>
        </w:rPr>
        <w:t>7、本期内发生的估值技术变更及变更原因</w:t>
      </w:r>
      <w:bookmarkEnd w:id="432"/>
    </w:p>
    <w:p w:rsidR="005C49A8" w:rsidRDefault="005C49A8">
      <w:pPr>
        <w:pStyle w:val="a3"/>
        <w:divId w:val="2122845844"/>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33" w:name="_Toc989359"/>
      <w:r>
        <w:rPr>
          <w:rFonts w:ascii="宋体" w:hAnsi="宋体" w:cs="宋体"/>
          <w:b/>
          <w:bCs/>
        </w:rPr>
        <w:t>8、不以公允价值计量的金融资产和金融负债的公允价值情况</w:t>
      </w:r>
      <w:bookmarkEnd w:id="433"/>
    </w:p>
    <w:p w:rsidR="005C49A8" w:rsidRDefault="005C49A8">
      <w:pPr>
        <w:pStyle w:val="a3"/>
        <w:divId w:val="1230075809"/>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34" w:name="_Toc989360"/>
      <w:r>
        <w:rPr>
          <w:rFonts w:ascii="宋体" w:hAnsi="宋体" w:cs="宋体"/>
          <w:b/>
          <w:bCs/>
        </w:rPr>
        <w:t>9、其他</w:t>
      </w:r>
      <w:bookmarkEnd w:id="434"/>
    </w:p>
    <w:p w:rsidR="005C49A8" w:rsidRDefault="005C49A8">
      <w:pPr>
        <w:pStyle w:val="a3"/>
        <w:divId w:val="417021622"/>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35" w:name="_Toc989361"/>
      <w:r>
        <w:rPr>
          <w:rFonts w:ascii="宋体" w:eastAsia="宋体" w:hAnsi="宋体" w:cs="宋体"/>
          <w:b/>
          <w:bCs/>
          <w:sz w:val="24"/>
          <w:szCs w:val="24"/>
        </w:rPr>
        <w:t>十四、关联方及关联交易</w:t>
      </w:r>
      <w:bookmarkEnd w:id="435"/>
    </w:p>
    <w:p w:rsidR="008820E4" w:rsidRDefault="005C49A8">
      <w:pPr>
        <w:pStyle w:val="3"/>
        <w:spacing w:line="280" w:lineRule="exact"/>
        <w:jc w:val="left"/>
        <w:rPr>
          <w:rFonts w:ascii="宋体" w:hAnsi="宋体" w:cs="宋体"/>
          <w:b/>
          <w:bCs/>
        </w:rPr>
      </w:pPr>
      <w:bookmarkStart w:id="436" w:name="_Toc989362"/>
      <w:r>
        <w:rPr>
          <w:rFonts w:ascii="宋体" w:hAnsi="宋体" w:cs="宋体"/>
          <w:b/>
          <w:bCs/>
        </w:rPr>
        <w:t>1、本企业的母公司情况</w:t>
      </w:r>
      <w:bookmarkEnd w:id="436"/>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01"/>
        <w:gridCol w:w="708"/>
        <w:gridCol w:w="3402"/>
        <w:gridCol w:w="1214"/>
        <w:gridCol w:w="1607"/>
        <w:gridCol w:w="1607"/>
      </w:tblGrid>
      <w:tr w:rsidR="008820E4" w:rsidTr="00132FE9">
        <w:trPr>
          <w:trHeight w:val="240"/>
        </w:trPr>
        <w:tc>
          <w:tcPr>
            <w:tcW w:w="11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母公司名称</w:t>
            </w:r>
          </w:p>
        </w:tc>
        <w:tc>
          <w:tcPr>
            <w:tcW w:w="70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注册地</w:t>
            </w:r>
          </w:p>
        </w:tc>
        <w:tc>
          <w:tcPr>
            <w:tcW w:w="340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业务性质</w:t>
            </w:r>
          </w:p>
        </w:tc>
        <w:tc>
          <w:tcPr>
            <w:tcW w:w="121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注册资本</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母公司对本企业的持股比例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母公司对本企业的表决权比例</w:t>
            </w:r>
          </w:p>
        </w:tc>
      </w:tr>
      <w:tr w:rsidR="008820E4" w:rsidTr="00132FE9">
        <w:trPr>
          <w:trHeight w:val="240"/>
        </w:trPr>
        <w:tc>
          <w:tcPr>
            <w:tcW w:w="110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70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广东省</w:t>
            </w:r>
          </w:p>
        </w:tc>
        <w:tc>
          <w:tcPr>
            <w:tcW w:w="340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投资兴办实业(具体项目另行申报)；色纺纱、服装经营；纺织设备进出口业务；在合法取得的土地使用权范围内从事房地产开发、经营；计算机应用、软件开发。</w:t>
            </w:r>
          </w:p>
        </w:tc>
        <w:tc>
          <w:tcPr>
            <w:tcW w:w="121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41,300万元</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29.50%</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本企业最终控制方是孙伟挺和陈玲芬。</w:t>
      </w:r>
    </w:p>
    <w:p w:rsidR="008820E4" w:rsidRDefault="005C49A8">
      <w:pPr>
        <w:pStyle w:val="3"/>
        <w:spacing w:line="280" w:lineRule="exact"/>
        <w:jc w:val="left"/>
        <w:rPr>
          <w:rFonts w:ascii="宋体" w:hAnsi="宋体" w:cs="宋体"/>
          <w:b/>
          <w:bCs/>
        </w:rPr>
      </w:pPr>
      <w:bookmarkStart w:id="437" w:name="_Toc989363"/>
      <w:r>
        <w:rPr>
          <w:rFonts w:ascii="宋体" w:hAnsi="宋体" w:cs="宋体"/>
          <w:b/>
          <w:bCs/>
        </w:rPr>
        <w:t>2、本企业的子公司情况</w:t>
      </w:r>
      <w:bookmarkEnd w:id="43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本企业子公司的情况详见附注十 1、在子公司中的权益。</w:t>
      </w:r>
    </w:p>
    <w:p w:rsidR="008820E4" w:rsidRDefault="005C49A8">
      <w:pPr>
        <w:pStyle w:val="3"/>
        <w:spacing w:line="280" w:lineRule="exact"/>
        <w:jc w:val="left"/>
        <w:rPr>
          <w:rFonts w:ascii="宋体" w:hAnsi="宋体" w:cs="宋体"/>
          <w:b/>
          <w:bCs/>
        </w:rPr>
      </w:pPr>
      <w:bookmarkStart w:id="438" w:name="_Toc989364"/>
      <w:r>
        <w:rPr>
          <w:rFonts w:ascii="宋体" w:hAnsi="宋体" w:cs="宋体"/>
          <w:b/>
          <w:bCs/>
        </w:rPr>
        <w:t>3、本企业合营和联营企业情况</w:t>
      </w:r>
      <w:bookmarkEnd w:id="438"/>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本企业重要的合营或联营企业详见附注十 3、（ 1）重要的合营或联营企业。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本期与本公司发生关联方交易，或前期与本公司发生关联方交易形成余额的其他合营或联营企业情况如下：</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合营或联营企业名称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与本企业关系</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福田实业（集团）有限公司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东莞沙田丽海纺织印染有限公司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江阴福汇纺织</w:t>
            </w:r>
            <w:proofErr w:type="gramEnd"/>
            <w:r>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盐城福汇纺织</w:t>
            </w:r>
            <w:proofErr w:type="gramEnd"/>
            <w:r>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汉盛有限公司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本公司联营企业福田实业（集团）有限公司的子公司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lastRenderedPageBreak/>
              <w:t>绍兴领尚纺织</w:t>
            </w:r>
            <w:proofErr w:type="gramEnd"/>
            <w:r>
              <w:rPr>
                <w:rFonts w:ascii="宋体" w:eastAsia="宋体" w:hAnsi="宋体" w:cs="宋体"/>
                <w:sz w:val="18"/>
                <w:szCs w:val="18"/>
              </w:rPr>
              <w:t>科技有限公司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本公司子公司联营企业浙江华尚产业运营有限公司的子公司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绍兴尚兰商业服务有限公司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本公司子公司联营企业浙江华尚产业运营有限公司的子公司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浙江华孚网链投资管理有限公司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公司实际控制人孙伟挺在该公司担任董事</w:t>
            </w:r>
          </w:p>
        </w:tc>
      </w:tr>
    </w:tbl>
    <w:p w:rsidR="008820E4" w:rsidRDefault="005C49A8">
      <w:pPr>
        <w:pStyle w:val="3"/>
        <w:spacing w:line="280" w:lineRule="exact"/>
        <w:jc w:val="left"/>
        <w:rPr>
          <w:rFonts w:ascii="宋体" w:hAnsi="宋体" w:cs="宋体"/>
          <w:b/>
          <w:bCs/>
        </w:rPr>
      </w:pPr>
      <w:bookmarkStart w:id="439" w:name="_Toc989365"/>
      <w:r>
        <w:rPr>
          <w:rFonts w:ascii="宋体" w:hAnsi="宋体" w:cs="宋体"/>
          <w:b/>
          <w:bCs/>
        </w:rPr>
        <w:t>4、其他关联方情况</w:t>
      </w:r>
      <w:bookmarkEnd w:id="439"/>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820E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其他关联方名称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其他关联方与本企业关系</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宁海华联纺织有限公司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宁海县华兴纺织原料有限公司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实际控制人控制的公司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浙江华孚纺织有限公司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余姚华联纺织有限公司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浙江万孚投资集团有限公司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安徽新一棉纺织有限公司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深圳市华人投资有限公司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本公司股东、实际控制人控制的公司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浙江万孚物业管理</w:t>
            </w:r>
            <w:proofErr w:type="gramEnd"/>
            <w:r>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安徽飞亚纺织集团有限公司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本公司股东、与本公司为同一控股股东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石河子国民村镇银行有限责任公司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本公司持有5%的股权</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上虞市华孚房地产开发有限公司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新疆恒孚棉产业集团有限公司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控股子公司少数股东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孙伟挺，陈玲芬，孙小挺，陈翰，刁英峰，黄亚英，宋海涛，程桂松，王国友，张正，张际松，熊旭锋，宣刚江，张宝春，</w:t>
            </w:r>
            <w:proofErr w:type="gramStart"/>
            <w:r>
              <w:rPr>
                <w:rFonts w:ascii="宋体" w:eastAsia="宋体" w:hAnsi="宋体" w:cs="宋体"/>
                <w:sz w:val="18"/>
                <w:szCs w:val="18"/>
              </w:rPr>
              <w:t>陈存福</w:t>
            </w:r>
            <w:proofErr w:type="gramEnd"/>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本公司董事、监事及其他高级管理人员</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新疆纺织工业城有限公司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电子商务有限公司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其他关联方</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淡安（江苏）健康产业有限公司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w:t>
            </w:r>
            <w:proofErr w:type="gramStart"/>
            <w:r>
              <w:rPr>
                <w:rFonts w:ascii="宋体" w:eastAsia="宋体" w:hAnsi="宋体" w:cs="宋体"/>
                <w:sz w:val="18"/>
                <w:szCs w:val="18"/>
              </w:rPr>
              <w:t>传澄文化</w:t>
            </w:r>
            <w:proofErr w:type="gramEnd"/>
            <w:r>
              <w:rPr>
                <w:rFonts w:ascii="宋体" w:eastAsia="宋体" w:hAnsi="宋体" w:cs="宋体"/>
                <w:sz w:val="18"/>
                <w:szCs w:val="18"/>
              </w:rPr>
              <w:t>传播有限公司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上海</w:t>
            </w:r>
            <w:proofErr w:type="gramStart"/>
            <w:r>
              <w:rPr>
                <w:rFonts w:ascii="宋体" w:eastAsia="宋体" w:hAnsi="宋体" w:cs="宋体"/>
                <w:sz w:val="18"/>
                <w:szCs w:val="18"/>
              </w:rPr>
              <w:t>传澄供应</w:t>
            </w:r>
            <w:proofErr w:type="gramEnd"/>
            <w:r>
              <w:rPr>
                <w:rFonts w:ascii="宋体" w:eastAsia="宋体" w:hAnsi="宋体" w:cs="宋体"/>
                <w:sz w:val="18"/>
                <w:szCs w:val="18"/>
              </w:rPr>
              <w:t>链管理有限公司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市大澄企业管理</w:t>
            </w:r>
            <w:proofErr w:type="gramEnd"/>
            <w:r>
              <w:rPr>
                <w:rFonts w:ascii="宋体" w:eastAsia="宋体" w:hAnsi="宋体" w:cs="宋体"/>
                <w:sz w:val="18"/>
                <w:szCs w:val="18"/>
              </w:rPr>
              <w:t>合伙企业（有限合伙）</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子公司</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吉安供应链管理淮安有限公司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持有子公司阿克苏银星物流有限公司20%股份</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阿克苏地区华孚纺织职业培训学校</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与本公司为同一控股股东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安徽昊泰纺织有限公司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浙江万孚投资集团有限公司控股子公司，孙伟挺担任法定代表人</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钟耀栋、蔡姗妮</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控股子公司浙江</w:t>
            </w:r>
            <w:proofErr w:type="gramStart"/>
            <w:r>
              <w:rPr>
                <w:rFonts w:ascii="宋体" w:eastAsia="宋体" w:hAnsi="宋体" w:cs="宋体"/>
                <w:sz w:val="18"/>
                <w:szCs w:val="18"/>
              </w:rPr>
              <w:t>鲲驰小</w:t>
            </w:r>
            <w:proofErr w:type="gramEnd"/>
            <w:r>
              <w:rPr>
                <w:rFonts w:ascii="宋体" w:eastAsia="宋体" w:hAnsi="宋体" w:cs="宋体"/>
                <w:sz w:val="18"/>
                <w:szCs w:val="18"/>
              </w:rPr>
              <w:t>股东</w:t>
            </w:r>
          </w:p>
        </w:tc>
      </w:tr>
      <w:tr w:rsidR="008820E4" w:rsidTr="00177DA4">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胡杨河锦瑞国有</w:t>
            </w:r>
            <w:proofErr w:type="gramEnd"/>
            <w:r>
              <w:rPr>
                <w:rFonts w:ascii="宋体" w:eastAsia="宋体" w:hAnsi="宋体" w:cs="宋体"/>
                <w:sz w:val="18"/>
                <w:szCs w:val="18"/>
              </w:rPr>
              <w:t>资产运营管理有限公司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持有子公司</w:t>
            </w:r>
            <w:proofErr w:type="gramStart"/>
            <w:r>
              <w:rPr>
                <w:rFonts w:ascii="宋体" w:eastAsia="宋体" w:hAnsi="宋体" w:cs="宋体"/>
                <w:sz w:val="18"/>
                <w:szCs w:val="18"/>
              </w:rPr>
              <w:t>奎屯锦孚</w:t>
            </w:r>
            <w:proofErr w:type="gramEnd"/>
            <w:r>
              <w:rPr>
                <w:rFonts w:ascii="宋体" w:eastAsia="宋体" w:hAnsi="宋体" w:cs="宋体"/>
                <w:sz w:val="18"/>
                <w:szCs w:val="18"/>
              </w:rPr>
              <w:t>33%的小股东</w:t>
            </w:r>
          </w:p>
        </w:tc>
      </w:tr>
    </w:tbl>
    <w:p w:rsidR="008820E4" w:rsidRDefault="005C49A8">
      <w:pPr>
        <w:pStyle w:val="3"/>
        <w:spacing w:line="280" w:lineRule="exact"/>
        <w:jc w:val="left"/>
        <w:rPr>
          <w:rFonts w:ascii="宋体" w:hAnsi="宋体" w:cs="宋体"/>
          <w:b/>
          <w:bCs/>
        </w:rPr>
      </w:pPr>
      <w:bookmarkStart w:id="440" w:name="_Toc989366"/>
      <w:r>
        <w:rPr>
          <w:rFonts w:ascii="宋体" w:hAnsi="宋体" w:cs="宋体"/>
          <w:b/>
          <w:bCs/>
        </w:rPr>
        <w:t>5、关联交易情况</w:t>
      </w:r>
      <w:bookmarkEnd w:id="440"/>
    </w:p>
    <w:p w:rsidR="008820E4" w:rsidRDefault="005C49A8">
      <w:pPr>
        <w:keepNext/>
        <w:keepLines/>
        <w:spacing w:before="300" w:after="300" w:line="280" w:lineRule="exact"/>
        <w:outlineLvl w:val="3"/>
        <w:rPr>
          <w:rFonts w:ascii="宋体" w:eastAsia="宋体" w:hAnsi="宋体" w:cs="宋体"/>
          <w:b/>
          <w:bCs/>
          <w:szCs w:val="21"/>
        </w:rPr>
      </w:pPr>
      <w:bookmarkStart w:id="441" w:name="_Toc989367"/>
      <w:r>
        <w:rPr>
          <w:rFonts w:ascii="宋体" w:eastAsia="宋体" w:hAnsi="宋体" w:cs="宋体"/>
          <w:b/>
          <w:bCs/>
          <w:szCs w:val="21"/>
        </w:rPr>
        <w:t>（1） 购销商品、提供和接受劳务的关联交易</w:t>
      </w:r>
      <w:bookmarkEnd w:id="441"/>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采购商品/接受劳务情况表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关联交易内容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获批的交易额度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是否超过交易额度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江苏科孚纺织品贸易有限公司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采购棉花</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8,304,596.70</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物业服务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15,000,000.00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2,000,000.00</w:t>
            </w: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出售商品/提供劳务情况表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lastRenderedPageBreak/>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关联交易内容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销售原料</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837,475.37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销售纱线</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3,298,937.83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1,234,691.36</w:t>
            </w:r>
          </w:p>
        </w:tc>
      </w:tr>
    </w:tbl>
    <w:p w:rsidR="008820E4" w:rsidRDefault="005C49A8">
      <w:pPr>
        <w:keepNext/>
        <w:keepLines/>
        <w:spacing w:before="300" w:after="300" w:line="280" w:lineRule="exact"/>
        <w:outlineLvl w:val="3"/>
        <w:rPr>
          <w:rFonts w:ascii="宋体" w:eastAsia="宋体" w:hAnsi="宋体" w:cs="宋体"/>
          <w:b/>
          <w:bCs/>
          <w:szCs w:val="21"/>
        </w:rPr>
      </w:pPr>
      <w:bookmarkStart w:id="442" w:name="_Toc989368"/>
      <w:r>
        <w:rPr>
          <w:rFonts w:ascii="宋体" w:eastAsia="宋体" w:hAnsi="宋体" w:cs="宋体"/>
          <w:b/>
          <w:bCs/>
          <w:szCs w:val="21"/>
        </w:rPr>
        <w:t>（2） 关联受托管理/承包及委托管理/出包情况</w:t>
      </w:r>
      <w:bookmarkEnd w:id="442"/>
    </w:p>
    <w:p w:rsidR="008820E4" w:rsidRDefault="005C49A8">
      <w:pPr>
        <w:keepNext/>
        <w:keepLines/>
        <w:spacing w:before="300" w:after="300" w:line="280" w:lineRule="exact"/>
        <w:outlineLvl w:val="3"/>
        <w:rPr>
          <w:rFonts w:ascii="宋体" w:eastAsia="宋体" w:hAnsi="宋体" w:cs="宋体"/>
          <w:b/>
          <w:bCs/>
          <w:szCs w:val="21"/>
        </w:rPr>
      </w:pPr>
      <w:bookmarkStart w:id="443" w:name="_Toc989369"/>
      <w:r>
        <w:rPr>
          <w:rFonts w:ascii="宋体" w:eastAsia="宋体" w:hAnsi="宋体" w:cs="宋体"/>
          <w:b/>
          <w:bCs/>
          <w:szCs w:val="21"/>
        </w:rPr>
        <w:t>（3） 关联租赁情况</w:t>
      </w:r>
      <w:bookmarkEnd w:id="44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本公司作为出租方：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承租方名称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租赁资产种类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本期确认的租赁收入</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上期确认的租赁收入</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房屋建筑物</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34,845.18</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房屋建筑物</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553,516.81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本公司作为承租方：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4"/>
        <w:gridCol w:w="804"/>
        <w:gridCol w:w="804"/>
        <w:gridCol w:w="803"/>
        <w:gridCol w:w="803"/>
        <w:gridCol w:w="803"/>
        <w:gridCol w:w="803"/>
        <w:gridCol w:w="803"/>
        <w:gridCol w:w="803"/>
        <w:gridCol w:w="803"/>
        <w:gridCol w:w="803"/>
        <w:gridCol w:w="803"/>
      </w:tblGrid>
      <w:tr w:rsidR="008820E4">
        <w:trPr>
          <w:trHeight w:val="240"/>
        </w:trPr>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出租方名称</w:t>
            </w:r>
          </w:p>
        </w:tc>
        <w:tc>
          <w:tcPr>
            <w:tcW w:w="80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租赁资产种类</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简化处理的短期租赁和低价值资产租赁的租金费用（如适用）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未纳入租赁负债计量的可变租赁付款额（如适用）</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支付的租金</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承担的租赁负债利息支出</w:t>
            </w:r>
          </w:p>
        </w:tc>
        <w:tc>
          <w:tcPr>
            <w:tcW w:w="160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增加的使用权资产</w:t>
            </w:r>
          </w:p>
        </w:tc>
      </w:tr>
      <w:tr w:rsidR="008820E4">
        <w:trPr>
          <w:trHeight w:val="240"/>
        </w:trPr>
        <w:tc>
          <w:tcPr>
            <w:tcW w:w="8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803"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关联租赁情况说明</w:t>
      </w:r>
      <w:r w:rsidR="00A64732">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44" w:name="_Toc989370"/>
      <w:r>
        <w:rPr>
          <w:rFonts w:ascii="宋体" w:eastAsia="宋体" w:hAnsi="宋体" w:cs="宋体"/>
          <w:b/>
          <w:bCs/>
          <w:szCs w:val="21"/>
        </w:rPr>
        <w:t>（4） 关联担保情况</w:t>
      </w:r>
      <w:bookmarkEnd w:id="44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本公司作为担保方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担保是否已经履行完毕</w:t>
            </w: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本公司作为被担保方</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担保是否已经履行完毕</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29,500,000.00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26,320,000.00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2024年08月30日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2025年08月29日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2024年09月24日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33,000,000.00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51,570,000.00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2025年10月10日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14,580,000.00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48,370,000.00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64,240,000.00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2025年08月13日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37,390,000.00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2025年07月23日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2024年12月04日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2024年12月05日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2025年01月07日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2025年07月06日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2025年02月08日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2025年02月10日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2025年08月26日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2025年02月26日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2025年11月26日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2026年03月04日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63,000,000.00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2025年03月14日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2025年03月14日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2025年09月13日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2025年11月20日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2025年04月02日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2025年09月18日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2025年04月07日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2025年09月28日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99,990,000.00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2025年04月28日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2026年02月06日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2025年06月27日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2026年06月17日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2025年06月27日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2026年06月17日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2025年06月30日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2026年06月26日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2024年10月08日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2025年10月08日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2025年03月26日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2025年11月12日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r w:rsidR="008820E4" w:rsidTr="00177DA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28,230,000.00</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2020年05月19日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2029年05月18日</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否</w:t>
            </w:r>
          </w:p>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关联担保情况说明</w:t>
      </w:r>
      <w:r w:rsidR="00A64732">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45" w:name="_Toc989371"/>
      <w:r>
        <w:rPr>
          <w:rFonts w:ascii="宋体" w:eastAsia="宋体" w:hAnsi="宋体" w:cs="宋体"/>
          <w:b/>
          <w:bCs/>
          <w:szCs w:val="21"/>
        </w:rPr>
        <w:t>（5） 关联方资金拆借</w:t>
      </w:r>
      <w:bookmarkEnd w:id="445"/>
    </w:p>
    <w:p w:rsidR="008820E4" w:rsidRDefault="005C49A8">
      <w:pPr>
        <w:keepNext/>
        <w:keepLines/>
        <w:spacing w:before="300" w:after="300" w:line="280" w:lineRule="exact"/>
        <w:outlineLvl w:val="3"/>
        <w:rPr>
          <w:rFonts w:ascii="宋体" w:eastAsia="宋体" w:hAnsi="宋体" w:cs="宋体"/>
          <w:b/>
          <w:bCs/>
          <w:szCs w:val="21"/>
        </w:rPr>
      </w:pPr>
      <w:bookmarkStart w:id="446" w:name="_Toc989372"/>
      <w:r>
        <w:rPr>
          <w:rFonts w:ascii="宋体" w:eastAsia="宋体" w:hAnsi="宋体" w:cs="宋体"/>
          <w:b/>
          <w:bCs/>
          <w:szCs w:val="21"/>
        </w:rPr>
        <w:t>（6） 关联方资产转让、债务重组情况</w:t>
      </w:r>
      <w:bookmarkEnd w:id="446"/>
    </w:p>
    <w:p w:rsidR="008820E4" w:rsidRDefault="005C49A8">
      <w:pPr>
        <w:keepNext/>
        <w:keepLines/>
        <w:spacing w:before="300" w:after="300" w:line="280" w:lineRule="exact"/>
        <w:outlineLvl w:val="3"/>
        <w:rPr>
          <w:rFonts w:ascii="宋体" w:eastAsia="宋体" w:hAnsi="宋体" w:cs="宋体"/>
          <w:b/>
          <w:bCs/>
          <w:szCs w:val="21"/>
        </w:rPr>
      </w:pPr>
      <w:bookmarkStart w:id="447" w:name="_Toc989373"/>
      <w:r>
        <w:rPr>
          <w:rFonts w:ascii="宋体" w:eastAsia="宋体" w:hAnsi="宋体" w:cs="宋体"/>
          <w:b/>
          <w:bCs/>
          <w:szCs w:val="21"/>
        </w:rPr>
        <w:t>（7） 关键管理人员报酬</w:t>
      </w:r>
      <w:bookmarkEnd w:id="447"/>
    </w:p>
    <w:p w:rsidR="008820E4" w:rsidRDefault="005C49A8">
      <w:pPr>
        <w:keepNext/>
        <w:keepLines/>
        <w:spacing w:before="300" w:after="300" w:line="280" w:lineRule="exact"/>
        <w:outlineLvl w:val="3"/>
        <w:rPr>
          <w:rFonts w:ascii="宋体" w:eastAsia="宋体" w:hAnsi="宋体" w:cs="宋体"/>
          <w:b/>
          <w:bCs/>
          <w:szCs w:val="21"/>
        </w:rPr>
      </w:pPr>
      <w:bookmarkStart w:id="448" w:name="_Toc989374"/>
      <w:r>
        <w:rPr>
          <w:rFonts w:ascii="宋体" w:eastAsia="宋体" w:hAnsi="宋体" w:cs="宋体"/>
          <w:b/>
          <w:bCs/>
          <w:szCs w:val="21"/>
        </w:rPr>
        <w:t>（8） 其他关联交易</w:t>
      </w:r>
      <w:bookmarkEnd w:id="448"/>
    </w:p>
    <w:p w:rsidR="008820E4" w:rsidRDefault="005C49A8">
      <w:pPr>
        <w:pStyle w:val="3"/>
        <w:spacing w:line="280" w:lineRule="exact"/>
        <w:jc w:val="left"/>
        <w:rPr>
          <w:rFonts w:ascii="宋体" w:hAnsi="宋体" w:cs="宋体"/>
          <w:b/>
          <w:bCs/>
        </w:rPr>
      </w:pPr>
      <w:bookmarkStart w:id="449" w:name="_Toc989375"/>
      <w:r>
        <w:rPr>
          <w:rFonts w:ascii="宋体" w:hAnsi="宋体" w:cs="宋体"/>
          <w:b/>
          <w:bCs/>
        </w:rPr>
        <w:t>6、关联方应收应付款项</w:t>
      </w:r>
      <w:bookmarkEnd w:id="449"/>
    </w:p>
    <w:p w:rsidR="008820E4" w:rsidRDefault="005C49A8">
      <w:pPr>
        <w:keepNext/>
        <w:keepLines/>
        <w:spacing w:before="300" w:after="300" w:line="280" w:lineRule="exact"/>
        <w:outlineLvl w:val="3"/>
        <w:rPr>
          <w:rFonts w:ascii="宋体" w:eastAsia="宋体" w:hAnsi="宋体" w:cs="宋体"/>
          <w:b/>
          <w:bCs/>
          <w:szCs w:val="21"/>
        </w:rPr>
      </w:pPr>
      <w:bookmarkStart w:id="450" w:name="_Toc989376"/>
      <w:r>
        <w:rPr>
          <w:rFonts w:ascii="宋体" w:eastAsia="宋体" w:hAnsi="宋体" w:cs="宋体"/>
          <w:b/>
          <w:bCs/>
          <w:szCs w:val="21"/>
        </w:rPr>
        <w:t>（1） 应收项目</w:t>
      </w:r>
      <w:bookmarkEnd w:id="45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7"/>
        <w:gridCol w:w="1606"/>
        <w:gridCol w:w="1606"/>
        <w:gridCol w:w="1607"/>
        <w:gridCol w:w="1606"/>
        <w:gridCol w:w="1607"/>
      </w:tblGrid>
      <w:tr w:rsidR="008820E4" w:rsidTr="004D7FC3">
        <w:trPr>
          <w:cantSplit/>
          <w:trHeight w:val="240"/>
        </w:trPr>
        <w:tc>
          <w:tcPr>
            <w:tcW w:w="160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关联方</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4D7FC3">
        <w:trPr>
          <w:cantSplit/>
          <w:trHeight w:val="240"/>
        </w:trPr>
        <w:tc>
          <w:tcPr>
            <w:tcW w:w="160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r>
      <w:tr w:rsidR="004D7FC3" w:rsidTr="004D7FC3">
        <w:trPr>
          <w:cantSplit/>
          <w:trHeight w:val="485"/>
        </w:trPr>
        <w:tc>
          <w:tcPr>
            <w:tcW w:w="1607"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应收账款</w:t>
            </w:r>
          </w:p>
        </w:tc>
        <w:tc>
          <w:tcPr>
            <w:tcW w:w="1606" w:type="dxa"/>
            <w:tcBorders>
              <w:top w:val="single" w:sz="2" w:space="0" w:color="auto"/>
              <w:left w:val="single" w:sz="2" w:space="0" w:color="auto"/>
              <w:right w:val="single" w:sz="2" w:space="0" w:color="auto"/>
            </w:tcBorders>
            <w:vAlign w:val="center"/>
          </w:tcPr>
          <w:p w:rsidR="004D7FC3" w:rsidRDefault="004D7FC3" w:rsidP="001F7942">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1606" w:type="dxa"/>
            <w:tcBorders>
              <w:top w:val="single" w:sz="2" w:space="0" w:color="auto"/>
              <w:left w:val="single" w:sz="2" w:space="0" w:color="auto"/>
              <w:right w:val="single" w:sz="2" w:space="0" w:color="auto"/>
            </w:tcBorders>
            <w:vAlign w:val="center"/>
          </w:tcPr>
          <w:p w:rsidR="004D7FC3" w:rsidRDefault="004D7FC3" w:rsidP="00BE61E5">
            <w:pPr>
              <w:spacing w:line="0" w:lineRule="atLeast"/>
              <w:jc w:val="right"/>
              <w:rPr>
                <w:rFonts w:ascii="宋体" w:eastAsia="宋体" w:hAnsi="宋体" w:cs="宋体"/>
                <w:sz w:val="18"/>
                <w:szCs w:val="18"/>
              </w:rPr>
            </w:pPr>
            <w:r>
              <w:rPr>
                <w:rFonts w:ascii="宋体" w:eastAsia="宋体" w:hAnsi="宋体" w:cs="宋体"/>
                <w:sz w:val="18"/>
                <w:szCs w:val="18"/>
              </w:rPr>
              <w:t>2,724,777.66</w:t>
            </w:r>
          </w:p>
        </w:tc>
        <w:tc>
          <w:tcPr>
            <w:tcW w:w="1607" w:type="dxa"/>
            <w:tcBorders>
              <w:top w:val="single" w:sz="2" w:space="0" w:color="auto"/>
              <w:left w:val="single" w:sz="2" w:space="0" w:color="auto"/>
              <w:right w:val="single" w:sz="2" w:space="0" w:color="auto"/>
            </w:tcBorders>
            <w:vAlign w:val="center"/>
          </w:tcPr>
          <w:p w:rsidR="004D7FC3" w:rsidRDefault="004D7FC3" w:rsidP="006307C2">
            <w:pPr>
              <w:spacing w:line="0" w:lineRule="atLeast"/>
              <w:jc w:val="right"/>
              <w:rPr>
                <w:rFonts w:ascii="宋体" w:eastAsia="宋体" w:hAnsi="宋体" w:cs="宋体"/>
                <w:sz w:val="18"/>
                <w:szCs w:val="18"/>
              </w:rPr>
            </w:pPr>
            <w:r>
              <w:rPr>
                <w:rFonts w:ascii="宋体" w:eastAsia="宋体" w:hAnsi="宋体" w:cs="宋体"/>
                <w:sz w:val="18"/>
                <w:szCs w:val="18"/>
              </w:rPr>
              <w:t>136,238.88</w:t>
            </w:r>
          </w:p>
        </w:tc>
        <w:tc>
          <w:tcPr>
            <w:tcW w:w="1606" w:type="dxa"/>
            <w:tcBorders>
              <w:top w:val="single" w:sz="2" w:space="0" w:color="auto"/>
              <w:left w:val="single" w:sz="2" w:space="0" w:color="auto"/>
              <w:right w:val="single" w:sz="2" w:space="0" w:color="auto"/>
            </w:tcBorders>
            <w:vAlign w:val="center"/>
          </w:tcPr>
          <w:p w:rsidR="004D7FC3" w:rsidRDefault="004D7FC3" w:rsidP="001747D2">
            <w:pPr>
              <w:spacing w:line="0" w:lineRule="atLeast"/>
              <w:jc w:val="right"/>
              <w:rPr>
                <w:rFonts w:ascii="宋体" w:eastAsia="宋体" w:hAnsi="宋体" w:cs="宋体"/>
                <w:sz w:val="18"/>
                <w:szCs w:val="18"/>
              </w:rPr>
            </w:pPr>
            <w:r>
              <w:rPr>
                <w:rFonts w:ascii="宋体" w:eastAsia="宋体" w:hAnsi="宋体" w:cs="宋体"/>
                <w:sz w:val="18"/>
                <w:szCs w:val="18"/>
              </w:rPr>
              <w:t>3,515,475.11</w:t>
            </w:r>
          </w:p>
        </w:tc>
        <w:tc>
          <w:tcPr>
            <w:tcW w:w="1607" w:type="dxa"/>
            <w:tcBorders>
              <w:top w:val="single" w:sz="2" w:space="0" w:color="auto"/>
              <w:left w:val="single" w:sz="2" w:space="0" w:color="auto"/>
              <w:right w:val="single" w:sz="2" w:space="0" w:color="auto"/>
            </w:tcBorders>
            <w:vAlign w:val="center"/>
          </w:tcPr>
          <w:p w:rsidR="004D7FC3" w:rsidRDefault="004D7FC3" w:rsidP="008F5CD7">
            <w:pPr>
              <w:spacing w:line="0" w:lineRule="atLeast"/>
              <w:jc w:val="right"/>
              <w:rPr>
                <w:rFonts w:ascii="宋体" w:eastAsia="宋体" w:hAnsi="宋体" w:cs="宋体"/>
                <w:sz w:val="18"/>
                <w:szCs w:val="18"/>
              </w:rPr>
            </w:pPr>
            <w:r>
              <w:rPr>
                <w:rFonts w:ascii="宋体" w:eastAsia="宋体" w:hAnsi="宋体" w:cs="宋体"/>
                <w:sz w:val="18"/>
                <w:szCs w:val="18"/>
              </w:rPr>
              <w:t>175,773.76</w:t>
            </w:r>
          </w:p>
        </w:tc>
      </w:tr>
      <w:tr w:rsidR="004D7FC3" w:rsidTr="004D7FC3">
        <w:trPr>
          <w:cantSplit/>
          <w:trHeight w:val="240"/>
        </w:trPr>
        <w:tc>
          <w:tcPr>
            <w:tcW w:w="1607"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1,092,259.21</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54,612.96</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1,007,889.40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50,394.47</w:t>
            </w:r>
          </w:p>
        </w:tc>
      </w:tr>
      <w:tr w:rsidR="004D7FC3" w:rsidTr="004D7FC3">
        <w:trPr>
          <w:cantSplit/>
          <w:trHeight w:val="700"/>
        </w:trPr>
        <w:tc>
          <w:tcPr>
            <w:tcW w:w="1607"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其他应收款</w:t>
            </w:r>
          </w:p>
        </w:tc>
        <w:tc>
          <w:tcPr>
            <w:tcW w:w="1606" w:type="dxa"/>
            <w:tcBorders>
              <w:top w:val="single" w:sz="2" w:space="0" w:color="auto"/>
              <w:left w:val="single" w:sz="2" w:space="0" w:color="auto"/>
              <w:right w:val="single" w:sz="2" w:space="0" w:color="auto"/>
            </w:tcBorders>
            <w:vAlign w:val="center"/>
          </w:tcPr>
          <w:p w:rsidR="004D7FC3" w:rsidRDefault="004D7FC3" w:rsidP="00693D46">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电子商务有限公司及其子公司</w:t>
            </w:r>
          </w:p>
        </w:tc>
        <w:tc>
          <w:tcPr>
            <w:tcW w:w="1606" w:type="dxa"/>
            <w:tcBorders>
              <w:top w:val="single" w:sz="2" w:space="0" w:color="auto"/>
              <w:left w:val="single" w:sz="2" w:space="0" w:color="auto"/>
              <w:right w:val="single" w:sz="2" w:space="0" w:color="auto"/>
            </w:tcBorders>
            <w:vAlign w:val="center"/>
          </w:tcPr>
          <w:p w:rsidR="004D7FC3" w:rsidRDefault="004D7FC3" w:rsidP="006E6037">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607" w:type="dxa"/>
            <w:tcBorders>
              <w:top w:val="single" w:sz="2" w:space="0" w:color="auto"/>
              <w:left w:val="single" w:sz="2" w:space="0" w:color="auto"/>
              <w:right w:val="single" w:sz="2" w:space="0" w:color="auto"/>
            </w:tcBorders>
            <w:vAlign w:val="center"/>
          </w:tcPr>
          <w:p w:rsidR="004D7FC3" w:rsidRDefault="004D7FC3" w:rsidP="00860B61">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606" w:type="dxa"/>
            <w:tcBorders>
              <w:top w:val="single" w:sz="2" w:space="0" w:color="auto"/>
              <w:left w:val="single" w:sz="2" w:space="0" w:color="auto"/>
              <w:right w:val="single" w:sz="2" w:space="0" w:color="auto"/>
            </w:tcBorders>
            <w:vAlign w:val="center"/>
          </w:tcPr>
          <w:p w:rsidR="004D7FC3" w:rsidRDefault="004D7FC3" w:rsidP="0062372B">
            <w:pPr>
              <w:spacing w:line="0" w:lineRule="atLeast"/>
              <w:jc w:val="right"/>
              <w:rPr>
                <w:rFonts w:ascii="宋体" w:eastAsia="宋体" w:hAnsi="宋体" w:cs="宋体"/>
                <w:sz w:val="18"/>
                <w:szCs w:val="18"/>
              </w:rPr>
            </w:pPr>
            <w:r>
              <w:rPr>
                <w:rFonts w:ascii="宋体" w:eastAsia="宋体" w:hAnsi="宋体" w:cs="宋体"/>
                <w:sz w:val="18"/>
                <w:szCs w:val="18"/>
              </w:rPr>
              <w:t>21,914,786.08</w:t>
            </w:r>
          </w:p>
        </w:tc>
        <w:tc>
          <w:tcPr>
            <w:tcW w:w="1607" w:type="dxa"/>
            <w:tcBorders>
              <w:top w:val="single" w:sz="2" w:space="0" w:color="auto"/>
              <w:left w:val="single" w:sz="2" w:space="0" w:color="auto"/>
              <w:right w:val="single" w:sz="2" w:space="0" w:color="auto"/>
            </w:tcBorders>
            <w:vAlign w:val="center"/>
          </w:tcPr>
          <w:p w:rsidR="004D7FC3" w:rsidRDefault="004D7FC3" w:rsidP="0024035B">
            <w:pPr>
              <w:spacing w:line="0" w:lineRule="atLeast"/>
              <w:jc w:val="right"/>
              <w:rPr>
                <w:rFonts w:ascii="宋体" w:eastAsia="宋体" w:hAnsi="宋体" w:cs="宋体"/>
                <w:sz w:val="18"/>
                <w:szCs w:val="18"/>
              </w:rPr>
            </w:pPr>
            <w:r>
              <w:rPr>
                <w:rFonts w:ascii="宋体" w:eastAsia="宋体" w:hAnsi="宋体" w:cs="宋体"/>
                <w:sz w:val="18"/>
                <w:szCs w:val="18"/>
              </w:rPr>
              <w:t>13,194,539.71</w:t>
            </w:r>
          </w:p>
        </w:tc>
      </w:tr>
      <w:tr w:rsidR="004D7FC3" w:rsidTr="004D7FC3">
        <w:trPr>
          <w:cantSplit/>
          <w:trHeight w:val="240"/>
        </w:trPr>
        <w:tc>
          <w:tcPr>
            <w:tcW w:w="1607"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新疆棉花产业集团有限公司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93,562.80</w:t>
            </w:r>
          </w:p>
        </w:tc>
      </w:tr>
      <w:tr w:rsidR="004D7FC3" w:rsidTr="004D7FC3">
        <w:trPr>
          <w:cantSplit/>
          <w:trHeight w:val="240"/>
        </w:trPr>
        <w:tc>
          <w:tcPr>
            <w:tcW w:w="1607"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胡杨河锦瑞国有</w:t>
            </w:r>
            <w:proofErr w:type="gramEnd"/>
            <w:r>
              <w:rPr>
                <w:rFonts w:ascii="宋体" w:eastAsia="宋体" w:hAnsi="宋体" w:cs="宋体"/>
                <w:sz w:val="18"/>
                <w:szCs w:val="18"/>
              </w:rPr>
              <w:t>资产运营管理有限公司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371,904.51</w:t>
            </w:r>
          </w:p>
        </w:tc>
      </w:tr>
      <w:tr w:rsidR="004D7FC3" w:rsidTr="004D7FC3">
        <w:trPr>
          <w:cantSplit/>
          <w:trHeight w:val="240"/>
        </w:trPr>
        <w:tc>
          <w:tcPr>
            <w:tcW w:w="1607"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浙江华尚产业运营有限公司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1,877,484.34</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93,874.22</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1,000,000.00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50,000.00</w:t>
            </w:r>
          </w:p>
        </w:tc>
      </w:tr>
      <w:tr w:rsidR="004D7FC3" w:rsidTr="004D7FC3">
        <w:trPr>
          <w:cantSplit/>
          <w:trHeight w:val="240"/>
        </w:trPr>
        <w:tc>
          <w:tcPr>
            <w:tcW w:w="1607"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绍兴尚兰商业服务有限公司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18,804.00</w:t>
            </w: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940.20</w:t>
            </w:r>
          </w:p>
        </w:tc>
        <w:tc>
          <w:tcPr>
            <w:tcW w:w="1606"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451" w:name="_Toc989377"/>
      <w:r>
        <w:rPr>
          <w:rFonts w:ascii="宋体" w:eastAsia="宋体" w:hAnsi="宋体" w:cs="宋体"/>
          <w:b/>
          <w:bCs/>
          <w:szCs w:val="21"/>
        </w:rPr>
        <w:t>（2） 应付项目</w:t>
      </w:r>
      <w:bookmarkEnd w:id="45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rsidTr="004D7FC3">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4D7FC3" w:rsidTr="009C14F6">
        <w:trPr>
          <w:trHeight w:val="485"/>
        </w:trPr>
        <w:tc>
          <w:tcPr>
            <w:tcW w:w="2409"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合同负债</w:t>
            </w:r>
          </w:p>
        </w:tc>
        <w:tc>
          <w:tcPr>
            <w:tcW w:w="2410" w:type="dxa"/>
            <w:tcBorders>
              <w:top w:val="single" w:sz="2" w:space="0" w:color="auto"/>
              <w:left w:val="single" w:sz="2" w:space="0" w:color="auto"/>
              <w:right w:val="single" w:sz="2" w:space="0" w:color="auto"/>
            </w:tcBorders>
            <w:vAlign w:val="center"/>
          </w:tcPr>
          <w:p w:rsidR="004D7FC3" w:rsidRDefault="004D7FC3" w:rsidP="00CE574D">
            <w:pPr>
              <w:spacing w:line="0" w:lineRule="atLeast"/>
              <w:rPr>
                <w:rFonts w:ascii="宋体" w:eastAsia="宋体" w:hAnsi="宋体" w:cs="宋体"/>
                <w:sz w:val="18"/>
                <w:szCs w:val="18"/>
              </w:rPr>
            </w:pPr>
            <w:r>
              <w:rPr>
                <w:rFonts w:ascii="宋体" w:eastAsia="宋体" w:hAnsi="宋体" w:cs="宋体"/>
                <w:sz w:val="18"/>
                <w:szCs w:val="18"/>
              </w:rPr>
              <w:t>吉安供应链管理淮安有限公司</w:t>
            </w:r>
          </w:p>
        </w:tc>
        <w:tc>
          <w:tcPr>
            <w:tcW w:w="2410" w:type="dxa"/>
            <w:tcBorders>
              <w:top w:val="single" w:sz="2" w:space="0" w:color="auto"/>
              <w:left w:val="single" w:sz="2" w:space="0" w:color="auto"/>
              <w:right w:val="single" w:sz="2" w:space="0" w:color="auto"/>
            </w:tcBorders>
            <w:vAlign w:val="center"/>
          </w:tcPr>
          <w:p w:rsidR="004D7FC3" w:rsidRDefault="004D7FC3" w:rsidP="006B2C8D">
            <w:pPr>
              <w:spacing w:line="0" w:lineRule="atLeast"/>
              <w:jc w:val="right"/>
              <w:rPr>
                <w:rFonts w:ascii="宋体" w:eastAsia="宋体" w:hAnsi="宋体" w:cs="宋体"/>
                <w:sz w:val="18"/>
                <w:szCs w:val="18"/>
              </w:rPr>
            </w:pPr>
            <w:r>
              <w:rPr>
                <w:rFonts w:ascii="宋体" w:eastAsia="宋体" w:hAnsi="宋体" w:cs="宋体"/>
                <w:sz w:val="18"/>
                <w:szCs w:val="18"/>
              </w:rPr>
              <w:t>176,270.09</w:t>
            </w:r>
          </w:p>
        </w:tc>
        <w:tc>
          <w:tcPr>
            <w:tcW w:w="2410" w:type="dxa"/>
            <w:tcBorders>
              <w:top w:val="single" w:sz="2" w:space="0" w:color="auto"/>
              <w:left w:val="single" w:sz="2" w:space="0" w:color="auto"/>
              <w:right w:val="single" w:sz="2" w:space="0" w:color="auto"/>
            </w:tcBorders>
            <w:vAlign w:val="center"/>
          </w:tcPr>
          <w:p w:rsidR="004D7FC3" w:rsidRDefault="004D7FC3" w:rsidP="009C14F6">
            <w:pPr>
              <w:spacing w:line="0" w:lineRule="atLeast"/>
              <w:jc w:val="right"/>
              <w:rPr>
                <w:rFonts w:ascii="宋体" w:eastAsia="宋体" w:hAnsi="宋体" w:cs="宋体"/>
                <w:sz w:val="18"/>
                <w:szCs w:val="18"/>
              </w:rPr>
            </w:pPr>
            <w:r>
              <w:rPr>
                <w:rFonts w:ascii="宋体" w:eastAsia="宋体" w:hAnsi="宋体" w:cs="宋体"/>
                <w:sz w:val="18"/>
                <w:szCs w:val="18"/>
              </w:rPr>
              <w:t>56,500.08</w:t>
            </w:r>
          </w:p>
        </w:tc>
      </w:tr>
      <w:tr w:rsidR="004D7FC3" w:rsidTr="000277EA">
        <w:trPr>
          <w:trHeight w:val="240"/>
        </w:trPr>
        <w:tc>
          <w:tcPr>
            <w:tcW w:w="2409"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绍兴领尚纺织</w:t>
            </w:r>
            <w:proofErr w:type="gramEnd"/>
            <w:r>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1,793,893.30</w:t>
            </w:r>
          </w:p>
        </w:tc>
      </w:tr>
      <w:tr w:rsidR="004D7FC3" w:rsidTr="004D7FC3">
        <w:trPr>
          <w:trHeight w:val="75"/>
        </w:trPr>
        <w:tc>
          <w:tcPr>
            <w:tcW w:w="2409" w:type="dxa"/>
            <w:vMerge w:val="restart"/>
            <w:tcBorders>
              <w:top w:val="single" w:sz="2" w:space="0" w:color="auto"/>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其他应付款</w:t>
            </w:r>
          </w:p>
        </w:tc>
        <w:tc>
          <w:tcPr>
            <w:tcW w:w="2410" w:type="dxa"/>
            <w:tcBorders>
              <w:top w:val="single" w:sz="2" w:space="0" w:color="auto"/>
              <w:left w:val="single" w:sz="2" w:space="0" w:color="auto"/>
              <w:right w:val="single" w:sz="2" w:space="0" w:color="auto"/>
            </w:tcBorders>
            <w:vAlign w:val="center"/>
          </w:tcPr>
          <w:p w:rsidR="004D7FC3" w:rsidRDefault="004D7FC3" w:rsidP="006C68F3">
            <w:pPr>
              <w:spacing w:line="0" w:lineRule="atLeast"/>
              <w:rPr>
                <w:rFonts w:ascii="宋体" w:eastAsia="宋体" w:hAnsi="宋体" w:cs="宋体"/>
                <w:sz w:val="18"/>
                <w:szCs w:val="18"/>
              </w:rPr>
            </w:pPr>
            <w:r>
              <w:rPr>
                <w:rFonts w:ascii="宋体" w:eastAsia="宋体" w:hAnsi="宋体" w:cs="宋体"/>
                <w:sz w:val="18"/>
                <w:szCs w:val="18"/>
              </w:rPr>
              <w:t>新疆</w:t>
            </w:r>
            <w:proofErr w:type="gramStart"/>
            <w:r>
              <w:rPr>
                <w:rFonts w:ascii="宋体" w:eastAsia="宋体" w:hAnsi="宋体" w:cs="宋体"/>
                <w:sz w:val="18"/>
                <w:szCs w:val="18"/>
              </w:rPr>
              <w:t>新润气流纺</w:t>
            </w:r>
            <w:proofErr w:type="gramEnd"/>
            <w:r>
              <w:rPr>
                <w:rFonts w:ascii="宋体" w:eastAsia="宋体" w:hAnsi="宋体" w:cs="宋体"/>
                <w:sz w:val="18"/>
                <w:szCs w:val="18"/>
              </w:rPr>
              <w:t>有限公司</w:t>
            </w:r>
          </w:p>
        </w:tc>
        <w:tc>
          <w:tcPr>
            <w:tcW w:w="2410" w:type="dxa"/>
            <w:tcBorders>
              <w:top w:val="single" w:sz="2" w:space="0" w:color="auto"/>
              <w:left w:val="single" w:sz="2" w:space="0" w:color="auto"/>
              <w:right w:val="single" w:sz="2" w:space="0" w:color="auto"/>
            </w:tcBorders>
            <w:vAlign w:val="center"/>
          </w:tcPr>
          <w:p w:rsidR="004D7FC3" w:rsidRDefault="004D7FC3" w:rsidP="00E441B9">
            <w:pPr>
              <w:spacing w:line="0" w:lineRule="atLeast"/>
              <w:jc w:val="right"/>
              <w:rPr>
                <w:rFonts w:ascii="宋体" w:eastAsia="宋体" w:hAnsi="宋体" w:cs="宋体"/>
                <w:sz w:val="18"/>
                <w:szCs w:val="18"/>
              </w:rPr>
            </w:pPr>
            <w:r>
              <w:rPr>
                <w:rFonts w:ascii="宋体" w:eastAsia="宋体" w:hAnsi="宋体" w:cs="宋体"/>
                <w:sz w:val="18"/>
                <w:szCs w:val="18"/>
              </w:rPr>
              <w:t>516,959.12</w:t>
            </w:r>
          </w:p>
        </w:tc>
        <w:tc>
          <w:tcPr>
            <w:tcW w:w="2410" w:type="dxa"/>
            <w:tcBorders>
              <w:top w:val="single" w:sz="2" w:space="0" w:color="auto"/>
              <w:left w:val="single" w:sz="2" w:space="0" w:color="auto"/>
              <w:right w:val="single" w:sz="2" w:space="0" w:color="auto"/>
            </w:tcBorders>
            <w:vAlign w:val="center"/>
          </w:tcPr>
          <w:p w:rsidR="004D7FC3" w:rsidRDefault="004D7FC3" w:rsidP="000B36C8">
            <w:pPr>
              <w:spacing w:line="0" w:lineRule="atLeast"/>
              <w:jc w:val="right"/>
              <w:rPr>
                <w:rFonts w:ascii="宋体" w:eastAsia="宋体" w:hAnsi="宋体" w:cs="宋体"/>
                <w:sz w:val="18"/>
                <w:szCs w:val="18"/>
              </w:rPr>
            </w:pPr>
            <w:r>
              <w:rPr>
                <w:rFonts w:ascii="宋体" w:eastAsia="宋体" w:hAnsi="宋体" w:cs="宋体"/>
                <w:sz w:val="18"/>
                <w:szCs w:val="18"/>
              </w:rPr>
              <w:t>516,959.12</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新疆泽孚棉花有限公司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25,369.74</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25,369.74</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新疆棉花产业（集团）叶城棉业有限责任公司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197,056.55</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吉安供应链管理淮安有限公司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1,622,217.43</w:t>
            </w:r>
          </w:p>
        </w:tc>
      </w:tr>
      <w:tr w:rsidR="004D7FC3" w:rsidTr="00DF1650">
        <w:trPr>
          <w:trHeight w:val="240"/>
        </w:trPr>
        <w:tc>
          <w:tcPr>
            <w:tcW w:w="2409" w:type="dxa"/>
            <w:vMerge/>
            <w:tcBorders>
              <w:left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r>
              <w:rPr>
                <w:rFonts w:ascii="宋体" w:eastAsia="宋体" w:hAnsi="宋体" w:cs="宋体"/>
                <w:sz w:val="18"/>
                <w:szCs w:val="18"/>
              </w:rPr>
              <w:t>阿克苏地区华孚纺织职业培训学校</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1,000.00</w:t>
            </w:r>
          </w:p>
        </w:tc>
      </w:tr>
      <w:tr w:rsidR="004D7FC3" w:rsidTr="00DF1650">
        <w:trPr>
          <w:trHeight w:val="240"/>
        </w:trPr>
        <w:tc>
          <w:tcPr>
            <w:tcW w:w="2409" w:type="dxa"/>
            <w:vMerge/>
            <w:tcBorders>
              <w:left w:val="single" w:sz="2" w:space="0" w:color="auto"/>
              <w:bottom w:val="single" w:sz="2" w:space="0" w:color="auto"/>
              <w:right w:val="single" w:sz="2" w:space="0" w:color="auto"/>
            </w:tcBorders>
            <w:shd w:val="clear" w:color="auto" w:fill="D3D3D3"/>
            <w:vAlign w:val="center"/>
          </w:tcPr>
          <w:p w:rsidR="004D7FC3" w:rsidRDefault="004D7FC3">
            <w:pPr>
              <w:spacing w:line="0" w:lineRule="atLeas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rPr>
                <w:rFonts w:ascii="宋体" w:eastAsia="宋体" w:hAnsi="宋体" w:cs="宋体"/>
                <w:sz w:val="18"/>
                <w:szCs w:val="18"/>
              </w:rPr>
            </w:pPr>
            <w:proofErr w:type="gramStart"/>
            <w:r>
              <w:rPr>
                <w:rFonts w:ascii="宋体" w:eastAsia="宋体" w:hAnsi="宋体" w:cs="宋体"/>
                <w:sz w:val="18"/>
                <w:szCs w:val="18"/>
              </w:rPr>
              <w:t>钟耀栋</w:t>
            </w:r>
            <w:proofErr w:type="gramEnd"/>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1,539,654.00</w:t>
            </w:r>
          </w:p>
        </w:tc>
        <w:tc>
          <w:tcPr>
            <w:tcW w:w="2410" w:type="dxa"/>
            <w:tcBorders>
              <w:top w:val="single" w:sz="2" w:space="0" w:color="auto"/>
              <w:left w:val="single" w:sz="2" w:space="0" w:color="auto"/>
              <w:bottom w:val="single" w:sz="2" w:space="0" w:color="auto"/>
              <w:right w:val="single" w:sz="2" w:space="0" w:color="auto"/>
            </w:tcBorders>
            <w:vAlign w:val="center"/>
          </w:tcPr>
          <w:p w:rsidR="004D7FC3" w:rsidRDefault="004D7FC3">
            <w:pPr>
              <w:spacing w:line="0" w:lineRule="atLeast"/>
              <w:jc w:val="right"/>
              <w:rPr>
                <w:rFonts w:ascii="宋体" w:eastAsia="宋体" w:hAnsi="宋体" w:cs="宋体"/>
                <w:sz w:val="18"/>
                <w:szCs w:val="18"/>
              </w:rPr>
            </w:pPr>
            <w:r>
              <w:rPr>
                <w:rFonts w:ascii="宋体" w:eastAsia="宋体" w:hAnsi="宋体" w:cs="宋体"/>
                <w:sz w:val="18"/>
                <w:szCs w:val="18"/>
              </w:rPr>
              <w:t>1,539,654.00</w:t>
            </w:r>
          </w:p>
        </w:tc>
      </w:tr>
    </w:tbl>
    <w:p w:rsidR="008820E4" w:rsidRDefault="005C49A8">
      <w:pPr>
        <w:pStyle w:val="3"/>
        <w:spacing w:line="280" w:lineRule="exact"/>
        <w:jc w:val="left"/>
        <w:rPr>
          <w:rFonts w:ascii="宋体" w:hAnsi="宋体" w:cs="宋体"/>
          <w:b/>
          <w:bCs/>
        </w:rPr>
      </w:pPr>
      <w:bookmarkStart w:id="452" w:name="_Toc989378"/>
      <w:r>
        <w:rPr>
          <w:rFonts w:ascii="宋体" w:hAnsi="宋体" w:cs="宋体"/>
          <w:b/>
          <w:bCs/>
        </w:rPr>
        <w:t>7、关联方承诺</w:t>
      </w:r>
      <w:bookmarkEnd w:id="452"/>
    </w:p>
    <w:p w:rsidR="008820E4" w:rsidRDefault="005C49A8">
      <w:pPr>
        <w:pStyle w:val="3"/>
        <w:spacing w:line="280" w:lineRule="exact"/>
        <w:jc w:val="left"/>
        <w:rPr>
          <w:rFonts w:ascii="宋体" w:hAnsi="宋体" w:cs="宋体"/>
          <w:b/>
          <w:bCs/>
        </w:rPr>
      </w:pPr>
      <w:bookmarkStart w:id="453" w:name="_Toc989379"/>
      <w:r>
        <w:rPr>
          <w:rFonts w:ascii="宋体" w:hAnsi="宋体" w:cs="宋体"/>
          <w:b/>
          <w:bCs/>
        </w:rPr>
        <w:t>8、其他</w:t>
      </w:r>
      <w:bookmarkEnd w:id="453"/>
    </w:p>
    <w:p w:rsidR="005C49A8" w:rsidRDefault="005C49A8">
      <w:pPr>
        <w:pStyle w:val="a3"/>
        <w:divId w:val="1318997237"/>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54" w:name="_Toc989380"/>
      <w:r>
        <w:rPr>
          <w:rFonts w:ascii="宋体" w:eastAsia="宋体" w:hAnsi="宋体" w:cs="宋体"/>
          <w:b/>
          <w:bCs/>
          <w:sz w:val="24"/>
          <w:szCs w:val="24"/>
        </w:rPr>
        <w:t>十五、股份支付</w:t>
      </w:r>
      <w:bookmarkEnd w:id="454"/>
    </w:p>
    <w:p w:rsidR="008820E4" w:rsidRDefault="005C49A8">
      <w:pPr>
        <w:pStyle w:val="3"/>
        <w:spacing w:line="280" w:lineRule="exact"/>
        <w:jc w:val="left"/>
        <w:rPr>
          <w:rFonts w:ascii="宋体" w:hAnsi="宋体" w:cs="宋体"/>
          <w:b/>
          <w:bCs/>
        </w:rPr>
      </w:pPr>
      <w:bookmarkStart w:id="455" w:name="_Toc989381"/>
      <w:r>
        <w:rPr>
          <w:rFonts w:ascii="宋体" w:hAnsi="宋体" w:cs="宋体"/>
          <w:b/>
          <w:bCs/>
        </w:rPr>
        <w:t>1、股份支付总体情况</w:t>
      </w:r>
      <w:bookmarkEnd w:id="455"/>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56" w:name="_Toc989382"/>
      <w:r>
        <w:rPr>
          <w:rFonts w:ascii="宋体" w:hAnsi="宋体" w:cs="宋体"/>
          <w:b/>
          <w:bCs/>
        </w:rPr>
        <w:t>2、以权益结算的股份支付情况</w:t>
      </w:r>
      <w:bookmarkEnd w:id="456"/>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57" w:name="_Toc989383"/>
      <w:r>
        <w:rPr>
          <w:rFonts w:ascii="宋体" w:hAnsi="宋体" w:cs="宋体"/>
          <w:b/>
          <w:bCs/>
        </w:rPr>
        <w:t>3、以现金结算的股份支付情况</w:t>
      </w:r>
      <w:bookmarkEnd w:id="457"/>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58" w:name="_Toc989384"/>
      <w:r>
        <w:rPr>
          <w:rFonts w:ascii="宋体" w:hAnsi="宋体" w:cs="宋体"/>
          <w:b/>
          <w:bCs/>
        </w:rPr>
        <w:t>4、本期股份支付费用</w:t>
      </w:r>
      <w:bookmarkEnd w:id="458"/>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459" w:name="_Toc989385"/>
      <w:r>
        <w:rPr>
          <w:rFonts w:ascii="宋体" w:hAnsi="宋体" w:cs="宋体"/>
          <w:b/>
          <w:bCs/>
        </w:rPr>
        <w:t>5、股份支付的修改、终止情况</w:t>
      </w:r>
      <w:bookmarkEnd w:id="459"/>
    </w:p>
    <w:p w:rsidR="005C49A8" w:rsidRDefault="005C49A8">
      <w:pPr>
        <w:pStyle w:val="a3"/>
        <w:divId w:val="206236658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60" w:name="_Toc989386"/>
      <w:r>
        <w:rPr>
          <w:rFonts w:ascii="宋体" w:hAnsi="宋体" w:cs="宋体"/>
          <w:b/>
          <w:bCs/>
        </w:rPr>
        <w:lastRenderedPageBreak/>
        <w:t xml:space="preserve">6、其他 </w:t>
      </w:r>
      <w:bookmarkEnd w:id="460"/>
    </w:p>
    <w:p w:rsidR="005C49A8" w:rsidRDefault="005C49A8">
      <w:pPr>
        <w:pStyle w:val="a3"/>
        <w:divId w:val="1852987675"/>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61" w:name="_Toc989387"/>
      <w:r>
        <w:rPr>
          <w:rFonts w:ascii="宋体" w:eastAsia="宋体" w:hAnsi="宋体" w:cs="宋体"/>
          <w:b/>
          <w:bCs/>
          <w:sz w:val="24"/>
          <w:szCs w:val="24"/>
        </w:rPr>
        <w:t>十六、承诺及或有事项</w:t>
      </w:r>
      <w:bookmarkEnd w:id="461"/>
    </w:p>
    <w:p w:rsidR="008820E4" w:rsidRDefault="005C49A8">
      <w:pPr>
        <w:pStyle w:val="3"/>
        <w:spacing w:line="280" w:lineRule="exact"/>
        <w:jc w:val="left"/>
        <w:rPr>
          <w:rFonts w:ascii="宋体" w:hAnsi="宋体" w:cs="宋体"/>
          <w:b/>
          <w:bCs/>
        </w:rPr>
      </w:pPr>
      <w:bookmarkStart w:id="462" w:name="_Toc989388"/>
      <w:r>
        <w:rPr>
          <w:rFonts w:ascii="宋体" w:hAnsi="宋体" w:cs="宋体"/>
          <w:b/>
          <w:bCs/>
        </w:rPr>
        <w:t>1、重要承诺事项</w:t>
      </w:r>
      <w:bookmarkEnd w:id="462"/>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资产负债表</w:t>
      </w:r>
      <w:proofErr w:type="gramStart"/>
      <w:r>
        <w:rPr>
          <w:rFonts w:ascii="宋体" w:eastAsia="宋体" w:hAnsi="宋体" w:cs="宋体"/>
          <w:sz w:val="18"/>
          <w:szCs w:val="18"/>
        </w:rPr>
        <w:t>日存在</w:t>
      </w:r>
      <w:proofErr w:type="gramEnd"/>
      <w:r>
        <w:rPr>
          <w:rFonts w:ascii="宋体" w:eastAsia="宋体" w:hAnsi="宋体" w:cs="宋体"/>
          <w:sz w:val="18"/>
          <w:szCs w:val="18"/>
        </w:rPr>
        <w:t>的重要承诺</w:t>
      </w:r>
    </w:p>
    <w:p w:rsidR="005C49A8" w:rsidRDefault="005C49A8">
      <w:pPr>
        <w:pStyle w:val="a3"/>
        <w:divId w:val="32548205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63" w:name="_Toc989389"/>
      <w:r>
        <w:rPr>
          <w:rFonts w:ascii="宋体" w:hAnsi="宋体" w:cs="宋体"/>
          <w:b/>
          <w:bCs/>
        </w:rPr>
        <w:t>2、或有事项</w:t>
      </w:r>
      <w:bookmarkEnd w:id="463"/>
    </w:p>
    <w:p w:rsidR="008820E4" w:rsidRDefault="005C49A8">
      <w:pPr>
        <w:keepNext/>
        <w:keepLines/>
        <w:spacing w:before="300" w:after="300" w:line="280" w:lineRule="exact"/>
        <w:outlineLvl w:val="3"/>
        <w:rPr>
          <w:rFonts w:ascii="宋体" w:eastAsia="宋体" w:hAnsi="宋体" w:cs="宋体"/>
          <w:b/>
          <w:bCs/>
          <w:szCs w:val="21"/>
        </w:rPr>
      </w:pPr>
      <w:bookmarkStart w:id="464" w:name="_Toc989390"/>
      <w:r>
        <w:rPr>
          <w:rFonts w:ascii="宋体" w:eastAsia="宋体" w:hAnsi="宋体" w:cs="宋体"/>
          <w:b/>
          <w:bCs/>
          <w:szCs w:val="21"/>
        </w:rPr>
        <w:t>（1） 资产负债表</w:t>
      </w:r>
      <w:proofErr w:type="gramStart"/>
      <w:r>
        <w:rPr>
          <w:rFonts w:ascii="宋体" w:eastAsia="宋体" w:hAnsi="宋体" w:cs="宋体"/>
          <w:b/>
          <w:bCs/>
          <w:szCs w:val="21"/>
        </w:rPr>
        <w:t>日存在</w:t>
      </w:r>
      <w:proofErr w:type="gramEnd"/>
      <w:r>
        <w:rPr>
          <w:rFonts w:ascii="宋体" w:eastAsia="宋体" w:hAnsi="宋体" w:cs="宋体"/>
          <w:b/>
          <w:bCs/>
          <w:szCs w:val="21"/>
        </w:rPr>
        <w:t>的重要或有事项</w:t>
      </w:r>
      <w:bookmarkEnd w:id="464"/>
    </w:p>
    <w:p w:rsidR="008820E4" w:rsidRDefault="005C49A8">
      <w:pPr>
        <w:keepNext/>
        <w:keepLines/>
        <w:spacing w:before="300" w:after="300" w:line="280" w:lineRule="exact"/>
        <w:outlineLvl w:val="3"/>
        <w:rPr>
          <w:rFonts w:ascii="宋体" w:eastAsia="宋体" w:hAnsi="宋体" w:cs="宋体"/>
          <w:b/>
          <w:bCs/>
          <w:szCs w:val="21"/>
        </w:rPr>
      </w:pPr>
      <w:bookmarkStart w:id="465" w:name="_Toc989391"/>
      <w:r>
        <w:rPr>
          <w:rFonts w:ascii="宋体" w:eastAsia="宋体" w:hAnsi="宋体" w:cs="宋体"/>
          <w:b/>
          <w:bCs/>
          <w:szCs w:val="21"/>
        </w:rPr>
        <w:t>（2） 公司没有需要披露的重要或有事项，也应予以说明</w:t>
      </w:r>
      <w:bookmarkEnd w:id="46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公司不存在需要披露的重要或有事项。</w:t>
      </w:r>
    </w:p>
    <w:p w:rsidR="008820E4" w:rsidRDefault="005C49A8">
      <w:pPr>
        <w:pStyle w:val="3"/>
        <w:spacing w:line="280" w:lineRule="exact"/>
        <w:jc w:val="left"/>
        <w:rPr>
          <w:rFonts w:ascii="宋体" w:hAnsi="宋体" w:cs="宋体"/>
          <w:b/>
          <w:bCs/>
        </w:rPr>
      </w:pPr>
      <w:bookmarkStart w:id="466" w:name="_Toc989392"/>
      <w:r>
        <w:rPr>
          <w:rFonts w:ascii="宋体" w:hAnsi="宋体" w:cs="宋体"/>
          <w:b/>
          <w:bCs/>
        </w:rPr>
        <w:t>3、其他</w:t>
      </w:r>
      <w:bookmarkEnd w:id="466"/>
    </w:p>
    <w:p w:rsidR="005C49A8" w:rsidRDefault="005C49A8">
      <w:pPr>
        <w:pStyle w:val="a3"/>
        <w:divId w:val="802118567"/>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67" w:name="_Toc989393"/>
      <w:r>
        <w:rPr>
          <w:rFonts w:ascii="宋体" w:eastAsia="宋体" w:hAnsi="宋体" w:cs="宋体"/>
          <w:b/>
          <w:bCs/>
          <w:sz w:val="24"/>
          <w:szCs w:val="24"/>
        </w:rPr>
        <w:t>十七、资产负债表日后事项</w:t>
      </w:r>
      <w:bookmarkEnd w:id="467"/>
    </w:p>
    <w:p w:rsidR="008820E4" w:rsidRDefault="005C49A8">
      <w:pPr>
        <w:pStyle w:val="3"/>
        <w:spacing w:line="280" w:lineRule="exact"/>
        <w:jc w:val="left"/>
        <w:rPr>
          <w:rFonts w:ascii="宋体" w:hAnsi="宋体" w:cs="宋体"/>
          <w:b/>
          <w:bCs/>
        </w:rPr>
      </w:pPr>
      <w:bookmarkStart w:id="468" w:name="_Toc989394"/>
      <w:r>
        <w:rPr>
          <w:rFonts w:ascii="宋体" w:hAnsi="宋体" w:cs="宋体"/>
          <w:b/>
          <w:bCs/>
        </w:rPr>
        <w:t>1、重要的非调整事项</w:t>
      </w:r>
      <w:bookmarkEnd w:id="468"/>
    </w:p>
    <w:p w:rsidR="008820E4" w:rsidRDefault="005C49A8">
      <w:pPr>
        <w:pStyle w:val="3"/>
        <w:spacing w:line="280" w:lineRule="exact"/>
        <w:jc w:val="left"/>
        <w:rPr>
          <w:rFonts w:ascii="宋体" w:hAnsi="宋体" w:cs="宋体"/>
          <w:b/>
          <w:bCs/>
        </w:rPr>
      </w:pPr>
      <w:bookmarkStart w:id="469" w:name="_Toc989395"/>
      <w:r>
        <w:rPr>
          <w:rFonts w:ascii="宋体" w:hAnsi="宋体" w:cs="宋体"/>
          <w:b/>
          <w:bCs/>
        </w:rPr>
        <w:t>2、利润分配情况</w:t>
      </w:r>
      <w:bookmarkEnd w:id="469"/>
    </w:p>
    <w:p w:rsidR="008820E4" w:rsidRDefault="005C49A8">
      <w:pPr>
        <w:pStyle w:val="3"/>
        <w:spacing w:line="280" w:lineRule="exact"/>
        <w:jc w:val="left"/>
        <w:rPr>
          <w:rFonts w:ascii="宋体" w:hAnsi="宋体" w:cs="宋体"/>
          <w:b/>
          <w:bCs/>
        </w:rPr>
      </w:pPr>
      <w:bookmarkStart w:id="470" w:name="_Toc989396"/>
      <w:r>
        <w:rPr>
          <w:rFonts w:ascii="宋体" w:hAnsi="宋体" w:cs="宋体"/>
          <w:b/>
          <w:bCs/>
        </w:rPr>
        <w:t>3、销售退回</w:t>
      </w:r>
      <w:bookmarkEnd w:id="470"/>
    </w:p>
    <w:p w:rsidR="005C49A8" w:rsidRDefault="005C49A8">
      <w:pPr>
        <w:pStyle w:val="a3"/>
        <w:divId w:val="127193320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71" w:name="_Toc989397"/>
      <w:r>
        <w:rPr>
          <w:rFonts w:ascii="宋体" w:hAnsi="宋体" w:cs="宋体"/>
          <w:b/>
          <w:bCs/>
        </w:rPr>
        <w:t>4、其他资产负债表日后事项说明</w:t>
      </w:r>
      <w:bookmarkEnd w:id="471"/>
    </w:p>
    <w:p w:rsidR="005C49A8" w:rsidRDefault="005C49A8">
      <w:pPr>
        <w:pStyle w:val="a3"/>
        <w:divId w:val="616523381"/>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72" w:name="_Toc989398"/>
      <w:r>
        <w:rPr>
          <w:rFonts w:ascii="宋体" w:eastAsia="宋体" w:hAnsi="宋体" w:cs="宋体"/>
          <w:b/>
          <w:bCs/>
          <w:sz w:val="24"/>
          <w:szCs w:val="24"/>
        </w:rPr>
        <w:lastRenderedPageBreak/>
        <w:t>十八、其他重要事项</w:t>
      </w:r>
      <w:bookmarkEnd w:id="472"/>
    </w:p>
    <w:p w:rsidR="008820E4" w:rsidRDefault="005C49A8">
      <w:pPr>
        <w:pStyle w:val="3"/>
        <w:spacing w:line="280" w:lineRule="exact"/>
        <w:jc w:val="left"/>
        <w:rPr>
          <w:rFonts w:ascii="宋体" w:hAnsi="宋体" w:cs="宋体"/>
          <w:b/>
          <w:bCs/>
        </w:rPr>
      </w:pPr>
      <w:bookmarkStart w:id="473" w:name="_Toc989399"/>
      <w:r>
        <w:rPr>
          <w:rFonts w:ascii="宋体" w:hAnsi="宋体" w:cs="宋体"/>
          <w:b/>
          <w:bCs/>
        </w:rPr>
        <w:t>1、前期会计差错更正</w:t>
      </w:r>
      <w:bookmarkEnd w:id="473"/>
    </w:p>
    <w:p w:rsidR="008820E4" w:rsidRDefault="005C49A8">
      <w:pPr>
        <w:keepNext/>
        <w:keepLines/>
        <w:spacing w:before="300" w:after="300" w:line="280" w:lineRule="exact"/>
        <w:outlineLvl w:val="3"/>
        <w:rPr>
          <w:rFonts w:ascii="宋体" w:eastAsia="宋体" w:hAnsi="宋体" w:cs="宋体"/>
          <w:b/>
          <w:bCs/>
          <w:szCs w:val="21"/>
        </w:rPr>
      </w:pPr>
      <w:bookmarkStart w:id="474" w:name="_Toc989400"/>
      <w:r>
        <w:rPr>
          <w:rFonts w:ascii="宋体" w:eastAsia="宋体" w:hAnsi="宋体" w:cs="宋体"/>
          <w:b/>
          <w:bCs/>
          <w:szCs w:val="21"/>
        </w:rPr>
        <w:t>（1） 追溯重述法</w:t>
      </w:r>
      <w:bookmarkEnd w:id="474"/>
    </w:p>
    <w:p w:rsidR="008820E4" w:rsidRDefault="005C49A8">
      <w:pPr>
        <w:keepNext/>
        <w:keepLines/>
        <w:spacing w:before="300" w:after="300" w:line="280" w:lineRule="exact"/>
        <w:outlineLvl w:val="3"/>
        <w:rPr>
          <w:rFonts w:ascii="宋体" w:eastAsia="宋体" w:hAnsi="宋体" w:cs="宋体"/>
          <w:b/>
          <w:bCs/>
          <w:szCs w:val="21"/>
        </w:rPr>
      </w:pPr>
      <w:bookmarkStart w:id="475" w:name="_Toc989401"/>
      <w:r>
        <w:rPr>
          <w:rFonts w:ascii="宋体" w:eastAsia="宋体" w:hAnsi="宋体" w:cs="宋体"/>
          <w:b/>
          <w:bCs/>
          <w:szCs w:val="21"/>
        </w:rPr>
        <w:t>（2） 未来适用法</w:t>
      </w:r>
      <w:bookmarkEnd w:id="475"/>
    </w:p>
    <w:p w:rsidR="008820E4" w:rsidRDefault="005C49A8">
      <w:pPr>
        <w:pStyle w:val="3"/>
        <w:spacing w:line="280" w:lineRule="exact"/>
        <w:jc w:val="left"/>
        <w:rPr>
          <w:rFonts w:ascii="宋体" w:hAnsi="宋体" w:cs="宋体"/>
          <w:b/>
          <w:bCs/>
        </w:rPr>
      </w:pPr>
      <w:bookmarkStart w:id="476" w:name="_Toc989402"/>
      <w:r>
        <w:rPr>
          <w:rFonts w:ascii="宋体" w:hAnsi="宋体" w:cs="宋体"/>
          <w:b/>
          <w:bCs/>
        </w:rPr>
        <w:t>2、债务重组</w:t>
      </w:r>
      <w:bookmarkEnd w:id="476"/>
    </w:p>
    <w:p w:rsidR="005C49A8" w:rsidRDefault="005C49A8">
      <w:pPr>
        <w:pStyle w:val="a3"/>
        <w:divId w:val="1046681899"/>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77" w:name="_Toc989403"/>
      <w:r>
        <w:rPr>
          <w:rFonts w:ascii="宋体" w:hAnsi="宋体" w:cs="宋体"/>
          <w:b/>
          <w:bCs/>
        </w:rPr>
        <w:t>3、资产置换</w:t>
      </w:r>
      <w:bookmarkEnd w:id="477"/>
    </w:p>
    <w:p w:rsidR="008820E4" w:rsidRDefault="005C49A8">
      <w:pPr>
        <w:keepNext/>
        <w:keepLines/>
        <w:spacing w:before="300" w:after="300" w:line="280" w:lineRule="exact"/>
        <w:outlineLvl w:val="3"/>
        <w:rPr>
          <w:rFonts w:ascii="宋体" w:eastAsia="宋体" w:hAnsi="宋体" w:cs="宋体"/>
          <w:b/>
          <w:bCs/>
          <w:szCs w:val="21"/>
        </w:rPr>
      </w:pPr>
      <w:bookmarkStart w:id="478" w:name="_Toc989404"/>
      <w:r>
        <w:rPr>
          <w:rFonts w:ascii="宋体" w:eastAsia="宋体" w:hAnsi="宋体" w:cs="宋体"/>
          <w:b/>
          <w:bCs/>
          <w:szCs w:val="21"/>
        </w:rPr>
        <w:t>（1） 非货币性资产交换</w:t>
      </w:r>
      <w:bookmarkEnd w:id="478"/>
    </w:p>
    <w:p w:rsidR="005C49A8" w:rsidRDefault="005C49A8">
      <w:pPr>
        <w:pStyle w:val="a3"/>
        <w:divId w:val="440565063"/>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79" w:name="_Toc989405"/>
      <w:r>
        <w:rPr>
          <w:rFonts w:ascii="宋体" w:eastAsia="宋体" w:hAnsi="宋体" w:cs="宋体"/>
          <w:b/>
          <w:bCs/>
          <w:szCs w:val="21"/>
        </w:rPr>
        <w:t>（2） 其他资产置换</w:t>
      </w:r>
      <w:bookmarkEnd w:id="479"/>
    </w:p>
    <w:p w:rsidR="005C49A8" w:rsidRDefault="005C49A8">
      <w:pPr>
        <w:pStyle w:val="a3"/>
        <w:divId w:val="91030976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80" w:name="_Toc989406"/>
      <w:r>
        <w:rPr>
          <w:rFonts w:ascii="宋体" w:hAnsi="宋体" w:cs="宋体"/>
          <w:b/>
          <w:bCs/>
        </w:rPr>
        <w:t>4、年金计划</w:t>
      </w:r>
      <w:bookmarkEnd w:id="480"/>
    </w:p>
    <w:p w:rsidR="005C49A8" w:rsidRDefault="005C49A8">
      <w:pPr>
        <w:pStyle w:val="a3"/>
        <w:divId w:val="529417598"/>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81" w:name="_Toc989407"/>
      <w:r>
        <w:rPr>
          <w:rFonts w:ascii="宋体" w:hAnsi="宋体" w:cs="宋体"/>
          <w:b/>
          <w:bCs/>
        </w:rPr>
        <w:t>5、终止经营</w:t>
      </w:r>
      <w:bookmarkEnd w:id="481"/>
    </w:p>
    <w:p w:rsidR="008820E4" w:rsidRDefault="005C49A8">
      <w:pPr>
        <w:pStyle w:val="3"/>
        <w:spacing w:line="280" w:lineRule="exact"/>
        <w:jc w:val="left"/>
        <w:rPr>
          <w:rFonts w:ascii="宋体" w:hAnsi="宋体" w:cs="宋体"/>
          <w:b/>
          <w:bCs/>
        </w:rPr>
      </w:pPr>
      <w:bookmarkStart w:id="482" w:name="_Toc989408"/>
      <w:r>
        <w:rPr>
          <w:rFonts w:ascii="宋体" w:hAnsi="宋体" w:cs="宋体"/>
          <w:b/>
          <w:bCs/>
        </w:rPr>
        <w:t>6、分部信息</w:t>
      </w:r>
      <w:bookmarkEnd w:id="482"/>
    </w:p>
    <w:p w:rsidR="008820E4" w:rsidRDefault="005C49A8">
      <w:pPr>
        <w:keepNext/>
        <w:keepLines/>
        <w:spacing w:before="300" w:after="300" w:line="280" w:lineRule="exact"/>
        <w:outlineLvl w:val="3"/>
        <w:rPr>
          <w:rFonts w:ascii="宋体" w:eastAsia="宋体" w:hAnsi="宋体" w:cs="宋体"/>
          <w:b/>
          <w:bCs/>
          <w:szCs w:val="21"/>
        </w:rPr>
      </w:pPr>
      <w:bookmarkStart w:id="483" w:name="_Toc989409"/>
      <w:r>
        <w:rPr>
          <w:rFonts w:ascii="宋体" w:eastAsia="宋体" w:hAnsi="宋体" w:cs="宋体"/>
          <w:b/>
          <w:bCs/>
          <w:szCs w:val="21"/>
        </w:rPr>
        <w:t>（1） 报告分部的确定依据与会计政策</w:t>
      </w:r>
      <w:bookmarkEnd w:id="483"/>
    </w:p>
    <w:p w:rsidR="005C49A8" w:rsidRDefault="005C49A8">
      <w:pPr>
        <w:pStyle w:val="a3"/>
        <w:divId w:val="1363705595"/>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84" w:name="_Toc989410"/>
      <w:r>
        <w:rPr>
          <w:rFonts w:ascii="宋体" w:eastAsia="宋体" w:hAnsi="宋体" w:cs="宋体"/>
          <w:b/>
          <w:bCs/>
          <w:szCs w:val="21"/>
        </w:rPr>
        <w:t>（2） 报告分部的财务信息</w:t>
      </w:r>
      <w:bookmarkEnd w:id="484"/>
    </w:p>
    <w:p w:rsidR="008820E4" w:rsidRDefault="005C49A8">
      <w:pPr>
        <w:keepNext/>
        <w:keepLines/>
        <w:spacing w:before="300" w:after="300" w:line="280" w:lineRule="exact"/>
        <w:outlineLvl w:val="3"/>
        <w:rPr>
          <w:rFonts w:ascii="宋体" w:eastAsia="宋体" w:hAnsi="宋体" w:cs="宋体"/>
          <w:b/>
          <w:bCs/>
          <w:szCs w:val="21"/>
        </w:rPr>
      </w:pPr>
      <w:bookmarkStart w:id="485" w:name="_Toc989411"/>
      <w:r>
        <w:rPr>
          <w:rFonts w:ascii="宋体" w:eastAsia="宋体" w:hAnsi="宋体" w:cs="宋体"/>
          <w:b/>
          <w:bCs/>
          <w:szCs w:val="21"/>
        </w:rPr>
        <w:t>（3） 公司</w:t>
      </w:r>
      <w:proofErr w:type="gramStart"/>
      <w:r>
        <w:rPr>
          <w:rFonts w:ascii="宋体" w:eastAsia="宋体" w:hAnsi="宋体" w:cs="宋体"/>
          <w:b/>
          <w:bCs/>
          <w:szCs w:val="21"/>
        </w:rPr>
        <w:t>无报告</w:t>
      </w:r>
      <w:proofErr w:type="gramEnd"/>
      <w:r>
        <w:rPr>
          <w:rFonts w:ascii="宋体" w:eastAsia="宋体" w:hAnsi="宋体" w:cs="宋体"/>
          <w:b/>
          <w:bCs/>
          <w:szCs w:val="21"/>
        </w:rPr>
        <w:t>分部的，或者不能披露各报告分部的资产总额和负债总额的，应说明原因</w:t>
      </w:r>
      <w:bookmarkEnd w:id="485"/>
    </w:p>
    <w:p w:rsidR="005C49A8" w:rsidRDefault="005C49A8">
      <w:pPr>
        <w:pStyle w:val="a3"/>
        <w:divId w:val="206843637"/>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486" w:name="_Toc989412"/>
      <w:r>
        <w:rPr>
          <w:rFonts w:ascii="宋体" w:eastAsia="宋体" w:hAnsi="宋体" w:cs="宋体"/>
          <w:b/>
          <w:bCs/>
          <w:szCs w:val="21"/>
        </w:rPr>
        <w:t>（4） 其他说明</w:t>
      </w:r>
      <w:bookmarkEnd w:id="486"/>
    </w:p>
    <w:p w:rsidR="005C49A8" w:rsidRDefault="005C49A8">
      <w:pPr>
        <w:pStyle w:val="a3"/>
        <w:divId w:val="2021618921"/>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87" w:name="_Toc989413"/>
      <w:r>
        <w:rPr>
          <w:rFonts w:ascii="宋体" w:hAnsi="宋体" w:cs="宋体"/>
          <w:b/>
          <w:bCs/>
        </w:rPr>
        <w:t>7、其他对投资者决策有影响的重要交易和事项</w:t>
      </w:r>
      <w:bookmarkEnd w:id="487"/>
    </w:p>
    <w:p w:rsidR="005C49A8" w:rsidRDefault="005C49A8">
      <w:pPr>
        <w:pStyle w:val="a3"/>
        <w:divId w:val="879824535"/>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488" w:name="_Toc989414"/>
      <w:r>
        <w:rPr>
          <w:rFonts w:ascii="宋体" w:hAnsi="宋体" w:cs="宋体"/>
          <w:b/>
          <w:bCs/>
        </w:rPr>
        <w:lastRenderedPageBreak/>
        <w:t>8、其他</w:t>
      </w:r>
      <w:bookmarkEnd w:id="488"/>
    </w:p>
    <w:p w:rsidR="005C49A8" w:rsidRDefault="005C49A8">
      <w:pPr>
        <w:pStyle w:val="a3"/>
        <w:divId w:val="851839569"/>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489" w:name="_Toc989415"/>
      <w:r>
        <w:rPr>
          <w:rFonts w:ascii="宋体" w:eastAsia="宋体" w:hAnsi="宋体" w:cs="宋体"/>
          <w:b/>
          <w:bCs/>
          <w:sz w:val="24"/>
          <w:szCs w:val="24"/>
        </w:rPr>
        <w:t>十九、母公司财务报表主要项目注释</w:t>
      </w:r>
      <w:bookmarkEnd w:id="489"/>
    </w:p>
    <w:p w:rsidR="008820E4" w:rsidRDefault="005C49A8">
      <w:pPr>
        <w:pStyle w:val="3"/>
        <w:spacing w:line="280" w:lineRule="exact"/>
        <w:jc w:val="left"/>
        <w:rPr>
          <w:rFonts w:ascii="宋体" w:hAnsi="宋体" w:cs="宋体"/>
          <w:b/>
          <w:bCs/>
        </w:rPr>
      </w:pPr>
      <w:bookmarkStart w:id="490" w:name="_Toc989416"/>
      <w:r>
        <w:rPr>
          <w:rFonts w:ascii="宋体" w:hAnsi="宋体" w:cs="宋体"/>
          <w:b/>
          <w:bCs/>
        </w:rPr>
        <w:t>1、应收账款</w:t>
      </w:r>
      <w:bookmarkEnd w:id="490"/>
    </w:p>
    <w:p w:rsidR="008820E4" w:rsidRDefault="005C49A8">
      <w:pPr>
        <w:keepNext/>
        <w:keepLines/>
        <w:spacing w:before="300" w:after="300" w:line="280" w:lineRule="exact"/>
        <w:outlineLvl w:val="3"/>
        <w:rPr>
          <w:rFonts w:ascii="宋体" w:eastAsia="宋体" w:hAnsi="宋体" w:cs="宋体"/>
          <w:b/>
          <w:bCs/>
          <w:szCs w:val="21"/>
        </w:rPr>
      </w:pPr>
      <w:bookmarkStart w:id="491" w:name="_Toc989417"/>
      <w:r>
        <w:rPr>
          <w:rFonts w:ascii="宋体" w:eastAsia="宋体" w:hAnsi="宋体" w:cs="宋体"/>
          <w:b/>
          <w:bCs/>
          <w:szCs w:val="21"/>
        </w:rPr>
        <w:t xml:space="preserve">（1） </w:t>
      </w:r>
      <w:proofErr w:type="gramStart"/>
      <w:r>
        <w:rPr>
          <w:rFonts w:ascii="宋体" w:eastAsia="宋体" w:hAnsi="宋体" w:cs="宋体"/>
          <w:b/>
          <w:bCs/>
          <w:szCs w:val="21"/>
        </w:rPr>
        <w:t>按账龄</w:t>
      </w:r>
      <w:proofErr w:type="gramEnd"/>
      <w:r>
        <w:rPr>
          <w:rFonts w:ascii="宋体" w:eastAsia="宋体" w:hAnsi="宋体" w:cs="宋体"/>
          <w:b/>
          <w:bCs/>
          <w:szCs w:val="21"/>
        </w:rPr>
        <w:t>披露</w:t>
      </w:r>
      <w:bookmarkEnd w:id="491"/>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r>
    </w:tbl>
    <w:p w:rsidR="008820E4" w:rsidRDefault="005C49A8">
      <w:pPr>
        <w:keepNext/>
        <w:keepLines/>
        <w:spacing w:before="300" w:after="300" w:line="280" w:lineRule="exact"/>
        <w:outlineLvl w:val="3"/>
        <w:rPr>
          <w:rFonts w:ascii="宋体" w:eastAsia="宋体" w:hAnsi="宋体" w:cs="宋体"/>
          <w:b/>
          <w:bCs/>
          <w:szCs w:val="21"/>
        </w:rPr>
      </w:pPr>
      <w:bookmarkStart w:id="492" w:name="_Toc989418"/>
      <w:r>
        <w:rPr>
          <w:rFonts w:ascii="宋体" w:eastAsia="宋体" w:hAnsi="宋体" w:cs="宋体"/>
          <w:b/>
          <w:bCs/>
          <w:szCs w:val="21"/>
        </w:rPr>
        <w:t>（2） 按坏账计提方法分类披露</w:t>
      </w:r>
      <w:bookmarkEnd w:id="49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117,837,080.06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7,210,307.45</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122,764.86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5,125,494.13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68.65%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4,869,219.42</w:t>
            </w:r>
          </w:p>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99.89%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2,341,088.03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31.35%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2,341,088.03</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117,837,080.06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7,466,582.16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7,210,307.45</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按组合计提坏账准备类别名称：预期信用风险组合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按组合计提坏账准备类别名称：性质组合</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性质组合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117,714,315.20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如是按照预期信用损失一般模型计提应收账款坏账准备：</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493" w:name="_Toc989419"/>
      <w:r>
        <w:rPr>
          <w:rFonts w:ascii="宋体" w:eastAsia="宋体" w:hAnsi="宋体" w:cs="宋体"/>
          <w:b/>
          <w:bCs/>
          <w:szCs w:val="21"/>
        </w:rPr>
        <w:t>（3） 本期计提、收回或转回的坏账准备情况</w:t>
      </w:r>
      <w:bookmarkEnd w:id="49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249,813.40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256,274.71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249,813.40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bl>
    <w:p w:rsidR="008820E4" w:rsidRDefault="005C49A8">
      <w:pPr>
        <w:keepNext/>
        <w:keepLines/>
        <w:spacing w:before="300" w:after="300" w:line="280" w:lineRule="exact"/>
        <w:outlineLvl w:val="3"/>
        <w:rPr>
          <w:rFonts w:ascii="宋体" w:eastAsia="宋体" w:hAnsi="宋体" w:cs="宋体"/>
          <w:b/>
          <w:bCs/>
          <w:szCs w:val="21"/>
        </w:rPr>
      </w:pPr>
      <w:bookmarkStart w:id="494" w:name="_Toc989420"/>
      <w:r>
        <w:rPr>
          <w:rFonts w:ascii="宋体" w:eastAsia="宋体" w:hAnsi="宋体" w:cs="宋体"/>
          <w:b/>
          <w:bCs/>
          <w:szCs w:val="21"/>
        </w:rPr>
        <w:t>（4） 本期实际核销的应收账款情况</w:t>
      </w:r>
      <w:bookmarkEnd w:id="494"/>
    </w:p>
    <w:p w:rsidR="008820E4" w:rsidRDefault="005C49A8">
      <w:pPr>
        <w:keepNext/>
        <w:keepLines/>
        <w:spacing w:before="300" w:after="300" w:line="280" w:lineRule="exact"/>
        <w:outlineLvl w:val="3"/>
        <w:rPr>
          <w:rFonts w:ascii="宋体" w:eastAsia="宋体" w:hAnsi="宋体" w:cs="宋体"/>
          <w:b/>
          <w:bCs/>
          <w:szCs w:val="21"/>
        </w:rPr>
      </w:pPr>
      <w:bookmarkStart w:id="495" w:name="_Toc989421"/>
      <w:r>
        <w:rPr>
          <w:rFonts w:ascii="宋体" w:eastAsia="宋体" w:hAnsi="宋体" w:cs="宋体"/>
          <w:b/>
          <w:bCs/>
          <w:szCs w:val="21"/>
        </w:rPr>
        <w:t>（5） 按欠款方归集的期末余额前五名的应收账款和合同资产情况</w:t>
      </w:r>
      <w:bookmarkEnd w:id="49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应收账款和合同资产期末余额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占应收账款和合同资产期末余额合计数的比例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应收账款坏账准备和合同资产减值准备期末余额</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62,490,378.96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62,490,378.96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53.03%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52,918,468.63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52,918,468.63</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44.90%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2,305,467.61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2,305,467.61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1.96%</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129,226.17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0.11%</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r w:rsidR="008820E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117,843,541.37</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6,461.31</w:t>
            </w:r>
          </w:p>
        </w:tc>
      </w:tr>
    </w:tbl>
    <w:p w:rsidR="008820E4" w:rsidRDefault="005C49A8">
      <w:pPr>
        <w:pStyle w:val="3"/>
        <w:spacing w:line="280" w:lineRule="exact"/>
        <w:jc w:val="left"/>
        <w:rPr>
          <w:rFonts w:ascii="宋体" w:hAnsi="宋体" w:cs="宋体"/>
          <w:b/>
          <w:bCs/>
        </w:rPr>
      </w:pPr>
      <w:bookmarkStart w:id="496" w:name="_Toc989422"/>
      <w:r>
        <w:rPr>
          <w:rFonts w:ascii="宋体" w:hAnsi="宋体" w:cs="宋体"/>
          <w:b/>
          <w:bCs/>
        </w:rPr>
        <w:t>2、其他应收款</w:t>
      </w:r>
      <w:bookmarkEnd w:id="496"/>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bl>
    <w:p w:rsidR="008820E4" w:rsidRDefault="005C49A8">
      <w:pPr>
        <w:keepNext/>
        <w:keepLines/>
        <w:spacing w:before="300" w:after="300" w:line="280" w:lineRule="exact"/>
        <w:outlineLvl w:val="3"/>
        <w:rPr>
          <w:rFonts w:ascii="宋体" w:eastAsia="宋体" w:hAnsi="宋体" w:cs="宋体"/>
          <w:b/>
          <w:bCs/>
          <w:sz w:val="18"/>
          <w:szCs w:val="18"/>
        </w:rPr>
      </w:pPr>
      <w:bookmarkStart w:id="497" w:name="_Toc989423"/>
      <w:r>
        <w:rPr>
          <w:rFonts w:ascii="宋体" w:eastAsia="宋体" w:hAnsi="宋体" w:cs="宋体"/>
          <w:b/>
          <w:bCs/>
          <w:sz w:val="18"/>
          <w:szCs w:val="18"/>
        </w:rPr>
        <w:lastRenderedPageBreak/>
        <w:t>（1） 应收利息</w:t>
      </w:r>
      <w:bookmarkEnd w:id="497"/>
    </w:p>
    <w:p w:rsidR="008820E4" w:rsidRDefault="005C49A8">
      <w:pPr>
        <w:keepNext/>
        <w:keepLines/>
        <w:spacing w:before="300" w:after="300" w:line="280" w:lineRule="exact"/>
        <w:outlineLvl w:val="4"/>
        <w:rPr>
          <w:rFonts w:ascii="宋体" w:eastAsia="宋体" w:hAnsi="宋体" w:cs="宋体"/>
          <w:b/>
          <w:bCs/>
          <w:sz w:val="18"/>
          <w:szCs w:val="18"/>
        </w:rPr>
      </w:pPr>
      <w:bookmarkStart w:id="498" w:name="_Toc989424"/>
      <w:r>
        <w:rPr>
          <w:rFonts w:ascii="宋体" w:eastAsia="宋体" w:hAnsi="宋体" w:cs="宋体"/>
          <w:b/>
          <w:bCs/>
          <w:sz w:val="18"/>
          <w:szCs w:val="18"/>
        </w:rPr>
        <w:t>1） 应收利息分类</w:t>
      </w:r>
      <w:bookmarkEnd w:id="498"/>
    </w:p>
    <w:p w:rsidR="008820E4" w:rsidRDefault="005C49A8">
      <w:pPr>
        <w:keepNext/>
        <w:keepLines/>
        <w:spacing w:before="300" w:after="300" w:line="280" w:lineRule="exact"/>
        <w:outlineLvl w:val="4"/>
        <w:rPr>
          <w:rFonts w:ascii="宋体" w:eastAsia="宋体" w:hAnsi="宋体" w:cs="宋体"/>
          <w:b/>
          <w:bCs/>
          <w:sz w:val="18"/>
          <w:szCs w:val="18"/>
        </w:rPr>
      </w:pPr>
      <w:bookmarkStart w:id="499" w:name="_Toc989425"/>
      <w:r>
        <w:rPr>
          <w:rFonts w:ascii="宋体" w:eastAsia="宋体" w:hAnsi="宋体" w:cs="宋体"/>
          <w:b/>
          <w:bCs/>
          <w:sz w:val="18"/>
          <w:szCs w:val="18"/>
        </w:rPr>
        <w:t>2） 重要逾期利息</w:t>
      </w:r>
      <w:bookmarkEnd w:id="499"/>
    </w:p>
    <w:p w:rsidR="008820E4" w:rsidRDefault="005C49A8">
      <w:pPr>
        <w:keepNext/>
        <w:keepLines/>
        <w:spacing w:before="300" w:after="300" w:line="280" w:lineRule="exact"/>
        <w:outlineLvl w:val="4"/>
        <w:rPr>
          <w:rFonts w:ascii="宋体" w:eastAsia="宋体" w:hAnsi="宋体" w:cs="宋体"/>
          <w:b/>
          <w:bCs/>
          <w:sz w:val="18"/>
          <w:szCs w:val="18"/>
        </w:rPr>
      </w:pPr>
      <w:bookmarkStart w:id="500" w:name="_Toc989426"/>
      <w:r>
        <w:rPr>
          <w:rFonts w:ascii="宋体" w:eastAsia="宋体" w:hAnsi="宋体" w:cs="宋体"/>
          <w:b/>
          <w:bCs/>
          <w:sz w:val="18"/>
          <w:szCs w:val="18"/>
        </w:rPr>
        <w:t>3） 按坏账计提方法分类披露</w:t>
      </w:r>
      <w:bookmarkEnd w:id="500"/>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501" w:name="_Toc989427"/>
      <w:r>
        <w:rPr>
          <w:rFonts w:ascii="宋体" w:eastAsia="宋体" w:hAnsi="宋体" w:cs="宋体"/>
          <w:b/>
          <w:bCs/>
          <w:sz w:val="18"/>
          <w:szCs w:val="18"/>
        </w:rPr>
        <w:t>4） 本期计提、收回或转回的坏账准备的情况</w:t>
      </w:r>
      <w:bookmarkEnd w:id="501"/>
    </w:p>
    <w:p w:rsidR="005C49A8" w:rsidRDefault="005C49A8">
      <w:pPr>
        <w:pStyle w:val="a3"/>
        <w:divId w:val="1059014022"/>
        <w:rPr>
          <w:sz w:val="18"/>
          <w:szCs w:val="18"/>
        </w:rPr>
      </w:pP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502" w:name="_Toc989428"/>
      <w:r>
        <w:rPr>
          <w:rFonts w:ascii="宋体" w:eastAsia="宋体" w:hAnsi="宋体" w:cs="宋体"/>
          <w:b/>
          <w:bCs/>
          <w:sz w:val="18"/>
          <w:szCs w:val="18"/>
        </w:rPr>
        <w:t>5） 本期实际核销的应收利息情况</w:t>
      </w:r>
      <w:bookmarkEnd w:id="502"/>
    </w:p>
    <w:p w:rsidR="005C49A8" w:rsidRDefault="005C49A8">
      <w:pPr>
        <w:pStyle w:val="a3"/>
        <w:divId w:val="1011108222"/>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503" w:name="_Toc989429"/>
      <w:r>
        <w:rPr>
          <w:rFonts w:ascii="宋体" w:eastAsia="宋体" w:hAnsi="宋体" w:cs="宋体"/>
          <w:b/>
          <w:bCs/>
          <w:sz w:val="18"/>
          <w:szCs w:val="18"/>
        </w:rPr>
        <w:t>（2） 应收股利</w:t>
      </w:r>
      <w:bookmarkEnd w:id="503"/>
    </w:p>
    <w:p w:rsidR="008820E4" w:rsidRDefault="005C49A8">
      <w:pPr>
        <w:keepNext/>
        <w:keepLines/>
        <w:spacing w:before="300" w:after="300" w:line="280" w:lineRule="exact"/>
        <w:outlineLvl w:val="4"/>
        <w:rPr>
          <w:rFonts w:ascii="宋体" w:eastAsia="宋体" w:hAnsi="宋体" w:cs="宋体"/>
          <w:b/>
          <w:bCs/>
          <w:sz w:val="18"/>
          <w:szCs w:val="18"/>
        </w:rPr>
      </w:pPr>
      <w:bookmarkStart w:id="504" w:name="_Toc989430"/>
      <w:r>
        <w:rPr>
          <w:rFonts w:ascii="宋体" w:eastAsia="宋体" w:hAnsi="宋体" w:cs="宋体"/>
          <w:b/>
          <w:bCs/>
          <w:sz w:val="18"/>
          <w:szCs w:val="18"/>
        </w:rPr>
        <w:t>1） 应收股利分类</w:t>
      </w:r>
      <w:bookmarkEnd w:id="504"/>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项目(或被投资单位)</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505" w:name="_Toc989431"/>
      <w:r>
        <w:rPr>
          <w:rFonts w:ascii="宋体" w:eastAsia="宋体" w:hAnsi="宋体" w:cs="宋体"/>
          <w:b/>
          <w:bCs/>
          <w:sz w:val="18"/>
          <w:szCs w:val="18"/>
        </w:rPr>
        <w:t>2） 重要的账龄超过1年的应收股利</w:t>
      </w:r>
      <w:bookmarkEnd w:id="505"/>
    </w:p>
    <w:p w:rsidR="008820E4" w:rsidRDefault="005C49A8">
      <w:pPr>
        <w:keepNext/>
        <w:keepLines/>
        <w:spacing w:before="300" w:after="300" w:line="280" w:lineRule="exact"/>
        <w:outlineLvl w:val="4"/>
        <w:rPr>
          <w:rFonts w:ascii="宋体" w:eastAsia="宋体" w:hAnsi="宋体" w:cs="宋体"/>
          <w:b/>
          <w:bCs/>
          <w:sz w:val="18"/>
          <w:szCs w:val="18"/>
        </w:rPr>
      </w:pPr>
      <w:bookmarkStart w:id="506" w:name="_Toc989432"/>
      <w:r>
        <w:rPr>
          <w:rFonts w:ascii="宋体" w:eastAsia="宋体" w:hAnsi="宋体" w:cs="宋体"/>
          <w:b/>
          <w:bCs/>
          <w:sz w:val="18"/>
          <w:szCs w:val="18"/>
        </w:rPr>
        <w:t>3） 按坏账计提方法分类披露</w:t>
      </w:r>
      <w:bookmarkEnd w:id="506"/>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507" w:name="_Toc989433"/>
      <w:r>
        <w:rPr>
          <w:rFonts w:ascii="宋体" w:eastAsia="宋体" w:hAnsi="宋体" w:cs="宋体"/>
          <w:b/>
          <w:bCs/>
          <w:sz w:val="18"/>
          <w:szCs w:val="18"/>
        </w:rPr>
        <w:t>4） 本期计提、收回或转回的坏账准备的情况</w:t>
      </w:r>
      <w:bookmarkEnd w:id="507"/>
    </w:p>
    <w:p w:rsidR="005C49A8" w:rsidRDefault="005C49A8">
      <w:pPr>
        <w:pStyle w:val="a3"/>
        <w:divId w:val="315306950"/>
        <w:rPr>
          <w:sz w:val="18"/>
          <w:szCs w:val="18"/>
        </w:rPr>
      </w:pP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508" w:name="_Toc989434"/>
      <w:r>
        <w:rPr>
          <w:rFonts w:ascii="宋体" w:eastAsia="宋体" w:hAnsi="宋体" w:cs="宋体"/>
          <w:b/>
          <w:bCs/>
          <w:sz w:val="18"/>
          <w:szCs w:val="18"/>
        </w:rPr>
        <w:t>5） 本期实际核销的应收股利情况</w:t>
      </w:r>
      <w:bookmarkEnd w:id="508"/>
    </w:p>
    <w:p w:rsidR="005C49A8" w:rsidRDefault="005C49A8">
      <w:pPr>
        <w:pStyle w:val="a3"/>
        <w:divId w:val="1497190258"/>
        <w:rPr>
          <w:sz w:val="18"/>
          <w:szCs w:val="18"/>
        </w:rPr>
      </w:pP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 w:val="18"/>
          <w:szCs w:val="18"/>
        </w:rPr>
      </w:pPr>
      <w:bookmarkStart w:id="509" w:name="_Toc989435"/>
      <w:r>
        <w:rPr>
          <w:rFonts w:ascii="宋体" w:eastAsia="宋体" w:hAnsi="宋体" w:cs="宋体"/>
          <w:b/>
          <w:bCs/>
          <w:sz w:val="18"/>
          <w:szCs w:val="18"/>
        </w:rPr>
        <w:t>（3） 其他应收款</w:t>
      </w:r>
      <w:bookmarkEnd w:id="509"/>
    </w:p>
    <w:p w:rsidR="008820E4" w:rsidRDefault="005C49A8">
      <w:pPr>
        <w:keepNext/>
        <w:keepLines/>
        <w:spacing w:before="300" w:after="300" w:line="280" w:lineRule="exact"/>
        <w:outlineLvl w:val="4"/>
        <w:rPr>
          <w:rFonts w:ascii="宋体" w:eastAsia="宋体" w:hAnsi="宋体" w:cs="宋体"/>
          <w:b/>
          <w:bCs/>
          <w:sz w:val="18"/>
          <w:szCs w:val="18"/>
        </w:rPr>
      </w:pPr>
      <w:bookmarkStart w:id="510" w:name="_Toc989436"/>
      <w:r>
        <w:rPr>
          <w:rFonts w:ascii="宋体" w:eastAsia="宋体" w:hAnsi="宋体" w:cs="宋体"/>
          <w:b/>
          <w:bCs/>
          <w:sz w:val="18"/>
          <w:szCs w:val="18"/>
        </w:rPr>
        <w:t>1） 其他应收款按款项性质分类情况</w:t>
      </w:r>
      <w:bookmarkEnd w:id="510"/>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045950">
            <w:pPr>
              <w:spacing w:line="0" w:lineRule="atLeast"/>
              <w:rPr>
                <w:rFonts w:ascii="宋体" w:eastAsia="宋体" w:hAnsi="宋体" w:cs="宋体"/>
                <w:sz w:val="18"/>
                <w:szCs w:val="18"/>
              </w:rPr>
            </w:pPr>
            <w:r w:rsidRPr="00045950">
              <w:rPr>
                <w:rFonts w:ascii="宋体" w:eastAsia="宋体" w:hAnsi="宋体" w:cs="宋体" w:hint="eastAsia"/>
                <w:sz w:val="18"/>
                <w:szCs w:val="18"/>
              </w:rPr>
              <w:lastRenderedPageBreak/>
              <w:t>代付款</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137,371.83</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19,115,777.77</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23,495,614.04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减：坏账准备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-19,127,102.05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511" w:name="_Toc989437"/>
      <w:r>
        <w:rPr>
          <w:rFonts w:ascii="宋体" w:eastAsia="宋体" w:hAnsi="宋体" w:cs="宋体"/>
          <w:b/>
          <w:bCs/>
          <w:sz w:val="18"/>
          <w:szCs w:val="18"/>
        </w:rPr>
        <w:t xml:space="preserve">2） </w:t>
      </w:r>
      <w:proofErr w:type="gramStart"/>
      <w:r>
        <w:rPr>
          <w:rFonts w:ascii="宋体" w:eastAsia="宋体" w:hAnsi="宋体" w:cs="宋体"/>
          <w:b/>
          <w:bCs/>
          <w:sz w:val="18"/>
          <w:szCs w:val="18"/>
        </w:rPr>
        <w:t>按账龄</w:t>
      </w:r>
      <w:proofErr w:type="gramEnd"/>
      <w:r>
        <w:rPr>
          <w:rFonts w:ascii="宋体" w:eastAsia="宋体" w:hAnsi="宋体" w:cs="宋体"/>
          <w:b/>
          <w:bCs/>
          <w:sz w:val="18"/>
          <w:szCs w:val="18"/>
        </w:rPr>
        <w:t>披露</w:t>
      </w:r>
      <w:bookmarkEnd w:id="51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期初账面余额</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12,676,799.57</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23,627,985.87</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1,735.99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2,084,444.44</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19,120,777.78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17,036,333.33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A64732">
            <w:pPr>
              <w:spacing w:before="40" w:after="40" w:line="0" w:lineRule="atLeast"/>
              <w:rPr>
                <w:rFonts w:ascii="宋体" w:eastAsia="宋体" w:hAnsi="宋体" w:cs="宋体"/>
                <w:sz w:val="18"/>
                <w:szCs w:val="18"/>
              </w:rPr>
            </w:pPr>
            <w:r>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2,084,444.45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7,331,333.33</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A64732">
            <w:pPr>
              <w:spacing w:before="40" w:after="40" w:line="0" w:lineRule="atLeast"/>
              <w:rPr>
                <w:rFonts w:ascii="宋体" w:eastAsia="宋体" w:hAnsi="宋体" w:cs="宋体"/>
                <w:sz w:val="18"/>
                <w:szCs w:val="18"/>
              </w:rPr>
            </w:pPr>
            <w:r>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7,331,333.33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9,700,000.00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A64732">
            <w:pPr>
              <w:spacing w:before="40" w:after="40" w:line="0" w:lineRule="atLeast"/>
              <w:rPr>
                <w:rFonts w:ascii="宋体" w:eastAsia="宋体" w:hAnsi="宋体" w:cs="宋体"/>
                <w:sz w:val="18"/>
                <w:szCs w:val="18"/>
              </w:rPr>
            </w:pPr>
            <w:r>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9,705,000.00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31,799,313.34</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42,748,763.64</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512" w:name="_Toc989438"/>
      <w:r>
        <w:rPr>
          <w:rFonts w:ascii="宋体" w:eastAsia="宋体" w:hAnsi="宋体" w:cs="宋体"/>
          <w:b/>
          <w:bCs/>
          <w:sz w:val="18"/>
          <w:szCs w:val="18"/>
        </w:rPr>
        <w:t>3） 按坏账计提方法分类披露</w:t>
      </w:r>
      <w:bookmarkEnd w:id="51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820E4">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按单项计提坏账准备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60.11%</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按组合计提坏账准备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12,683,535.56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39.89%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42,748,763.64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rsidP="00132FE9">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1.02%</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118,425.16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19,253,149.60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61.57%</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7,398,975.45</w:t>
            </w:r>
          </w:p>
        </w:tc>
      </w:tr>
      <w:tr w:rsidR="008820E4" w:rsidTr="00177DA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合并范围内关联方组合</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98.98%</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23,495,614.04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54.96%</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23,495,614.04</w:t>
            </w:r>
          </w:p>
        </w:tc>
      </w:tr>
      <w:tr w:rsidR="008820E4">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31,799,313.34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19,127,102.05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12,672,211.29</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42,748,763.64</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30,894,589.49</w:t>
            </w:r>
          </w:p>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按单项计提坏账准备类别名称：</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计提理由</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江苏</w:t>
            </w:r>
            <w:proofErr w:type="gramStart"/>
            <w:r>
              <w:rPr>
                <w:rFonts w:ascii="宋体" w:eastAsia="宋体" w:hAnsi="宋体" w:cs="宋体"/>
                <w:sz w:val="18"/>
                <w:szCs w:val="18"/>
              </w:rPr>
              <w:t>传澄文化</w:t>
            </w:r>
            <w:proofErr w:type="gramEnd"/>
            <w:r>
              <w:rPr>
                <w:rFonts w:ascii="宋体" w:eastAsia="宋体" w:hAnsi="宋体" w:cs="宋体"/>
                <w:sz w:val="18"/>
                <w:szCs w:val="18"/>
              </w:rPr>
              <w:t>传播有限公司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11,846,111.11</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w:t>
            </w:r>
            <w:r>
              <w:rPr>
                <w:rFonts w:ascii="宋体" w:eastAsia="宋体" w:hAnsi="宋体" w:cs="宋体"/>
                <w:sz w:val="18"/>
                <w:szCs w:val="18"/>
              </w:rPr>
              <w:lastRenderedPageBreak/>
              <w:t>子商务有限公司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7,269,666.67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7,269,666.67</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预计无法收回</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lastRenderedPageBreak/>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按组合计提坏账准备类别名称：预期信用风险组合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8.73%</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129,749.43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按组合计提坏账准备类别名称：合并范围内关联方组合</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计提比例</w:t>
            </w:r>
          </w:p>
        </w:tc>
      </w:tr>
      <w:tr w:rsidR="008820E4" w:rsidTr="00177DA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合并范围内关联方组合</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12,553,786.13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确定该组合依据的说明：</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按预期信用损失一般模型计提坏账准备：</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2025年1月1日余额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2025年1月1日余额在本期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2025年6月30日余额</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r>
    </w:tbl>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各阶段划分依据和坏账准备计提比例</w:t>
      </w:r>
      <w:r w:rsidR="00A64732">
        <w:rPr>
          <w:rFonts w:ascii="宋体" w:eastAsia="宋体" w:hAnsi="宋体" w:cs="宋体" w:hint="eastAsia"/>
          <w:sz w:val="18"/>
          <w:szCs w:val="18"/>
        </w:rPr>
        <w:t>：</w:t>
      </w:r>
      <w:r>
        <w:rPr>
          <w:rFonts w:hint="eastAsia"/>
          <w:sz w:val="18"/>
          <w:szCs w:val="18"/>
        </w:rPr>
        <w:t>无。</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损失准备本期变动金额重大的账面余额变动情况</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4"/>
        <w:rPr>
          <w:rFonts w:ascii="宋体" w:eastAsia="宋体" w:hAnsi="宋体" w:cs="宋体"/>
          <w:b/>
          <w:bCs/>
          <w:sz w:val="18"/>
          <w:szCs w:val="18"/>
        </w:rPr>
      </w:pPr>
      <w:bookmarkStart w:id="513" w:name="_Toc989439"/>
      <w:r>
        <w:rPr>
          <w:rFonts w:ascii="宋体" w:eastAsia="宋体" w:hAnsi="宋体" w:cs="宋体"/>
          <w:b/>
          <w:bCs/>
          <w:sz w:val="18"/>
          <w:szCs w:val="18"/>
        </w:rPr>
        <w:t>4） 本期计提、收回或转回的坏账准备情况</w:t>
      </w:r>
      <w:bookmarkEnd w:id="513"/>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本期计提坏账准备情况：</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转销或核销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按单项计提坏账准备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r>
      <w:tr w:rsidR="008820E4" w:rsidTr="00177DA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11,324.27</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11,854,174.15</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19,115,777.78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11,842,849.88</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19,127,102.05</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514" w:name="_Toc989440"/>
      <w:r>
        <w:rPr>
          <w:rFonts w:ascii="宋体" w:eastAsia="宋体" w:hAnsi="宋体" w:cs="宋体"/>
          <w:b/>
          <w:bCs/>
          <w:sz w:val="18"/>
          <w:szCs w:val="18"/>
        </w:rPr>
        <w:lastRenderedPageBreak/>
        <w:t>5） 本期实际核销的其他应收款情况</w:t>
      </w:r>
      <w:bookmarkEnd w:id="514"/>
    </w:p>
    <w:p w:rsidR="005C49A8" w:rsidRDefault="005C49A8">
      <w:pPr>
        <w:pStyle w:val="a3"/>
        <w:divId w:val="1524399744"/>
        <w:rPr>
          <w:sz w:val="18"/>
          <w:szCs w:val="18"/>
        </w:rPr>
      </w:pPr>
      <w:r>
        <w:rPr>
          <w:rFonts w:hint="eastAsia"/>
          <w:sz w:val="18"/>
          <w:szCs w:val="18"/>
        </w:rPr>
        <w:t>无。</w:t>
      </w:r>
    </w:p>
    <w:p w:rsidR="008820E4" w:rsidRDefault="005C49A8">
      <w:pPr>
        <w:keepNext/>
        <w:keepLines/>
        <w:spacing w:before="300" w:after="300" w:line="280" w:lineRule="exact"/>
        <w:outlineLvl w:val="4"/>
        <w:rPr>
          <w:rFonts w:ascii="宋体" w:eastAsia="宋体" w:hAnsi="宋体" w:cs="宋体"/>
          <w:b/>
          <w:bCs/>
          <w:sz w:val="18"/>
          <w:szCs w:val="18"/>
        </w:rPr>
      </w:pPr>
      <w:bookmarkStart w:id="515" w:name="_Toc989441"/>
      <w:r>
        <w:rPr>
          <w:rFonts w:ascii="宋体" w:eastAsia="宋体" w:hAnsi="宋体" w:cs="宋体"/>
          <w:b/>
          <w:bCs/>
          <w:sz w:val="18"/>
          <w:szCs w:val="18"/>
        </w:rPr>
        <w:t>6） 按欠款方归集的期末余额前五名的其他应收款情况</w:t>
      </w:r>
      <w:bookmarkEnd w:id="515"/>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账龄</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占其他应收款期末余额合计数的比例</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坏账准备期末余额</w:t>
            </w:r>
          </w:p>
        </w:tc>
      </w:tr>
      <w:tr w:rsidR="00177DA4" w:rsidTr="00177DA4">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1,129,444.45</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3.55%</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1,129,444.45</w:t>
            </w:r>
          </w:p>
        </w:tc>
      </w:tr>
      <w:tr w:rsidR="00177DA4" w:rsidTr="00177DA4">
        <w:trPr>
          <w:trHeight w:val="240"/>
        </w:trPr>
        <w:tc>
          <w:tcPr>
            <w:tcW w:w="1606" w:type="dxa"/>
            <w:vMerge/>
            <w:tcBorders>
              <w:left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1,016,666.66</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3.20%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1,016,666.66</w:t>
            </w:r>
          </w:p>
        </w:tc>
      </w:tr>
      <w:tr w:rsidR="00177DA4" w:rsidTr="00177DA4">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9,700,000.00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5年以上</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30.50%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9,700,000.00</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9,053,786.13</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28.47%</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177DA4" w:rsidTr="00EA52D0">
        <w:trPr>
          <w:trHeight w:val="240"/>
        </w:trPr>
        <w:tc>
          <w:tcPr>
            <w:tcW w:w="1606" w:type="dxa"/>
            <w:vMerge w:val="restart"/>
            <w:tcBorders>
              <w:top w:val="single" w:sz="2" w:space="0" w:color="auto"/>
              <w:left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955,000.00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3-4年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3.00%</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955,000.00</w:t>
            </w:r>
          </w:p>
        </w:tc>
      </w:tr>
      <w:tr w:rsidR="00177DA4" w:rsidTr="00EA52D0">
        <w:trPr>
          <w:trHeight w:val="240"/>
        </w:trPr>
        <w:tc>
          <w:tcPr>
            <w:tcW w:w="1606" w:type="dxa"/>
            <w:vMerge/>
            <w:tcBorders>
              <w:left w:val="single" w:sz="2" w:space="0" w:color="auto"/>
              <w:bottom w:val="single" w:sz="2" w:space="0" w:color="auto"/>
              <w:right w:val="single" w:sz="2" w:space="0" w:color="auto"/>
            </w:tcBorders>
            <w:shd w:val="clear" w:color="auto" w:fill="D3D3D3"/>
            <w:vAlign w:val="center"/>
          </w:tcPr>
          <w:p w:rsidR="00177DA4" w:rsidRDefault="00177DA4">
            <w:pPr>
              <w:spacing w:line="0" w:lineRule="atLeas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6,314,666.67</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rPr>
                <w:rFonts w:ascii="宋体" w:eastAsia="宋体" w:hAnsi="宋体" w:cs="宋体"/>
                <w:sz w:val="18"/>
                <w:szCs w:val="18"/>
              </w:rPr>
            </w:pPr>
            <w:r>
              <w:rPr>
                <w:rFonts w:ascii="宋体" w:eastAsia="宋体" w:hAnsi="宋体" w:cs="宋体"/>
                <w:sz w:val="18"/>
                <w:szCs w:val="18"/>
              </w:rPr>
              <w:t>4-5年</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19.86%</w:t>
            </w:r>
          </w:p>
        </w:tc>
        <w:tc>
          <w:tcPr>
            <w:tcW w:w="1607" w:type="dxa"/>
            <w:tcBorders>
              <w:top w:val="single" w:sz="2" w:space="0" w:color="auto"/>
              <w:left w:val="single" w:sz="2" w:space="0" w:color="auto"/>
              <w:bottom w:val="single" w:sz="2" w:space="0" w:color="auto"/>
              <w:right w:val="single" w:sz="2" w:space="0" w:color="auto"/>
            </w:tcBorders>
            <w:vAlign w:val="center"/>
          </w:tcPr>
          <w:p w:rsidR="00177DA4" w:rsidRDefault="00177DA4">
            <w:pPr>
              <w:spacing w:line="0" w:lineRule="atLeast"/>
              <w:jc w:val="right"/>
              <w:rPr>
                <w:rFonts w:ascii="宋体" w:eastAsia="宋体" w:hAnsi="宋体" w:cs="宋体"/>
                <w:sz w:val="18"/>
                <w:szCs w:val="18"/>
              </w:rPr>
            </w:pPr>
            <w:r>
              <w:rPr>
                <w:rFonts w:ascii="宋体" w:eastAsia="宋体" w:hAnsi="宋体" w:cs="宋体"/>
                <w:sz w:val="18"/>
                <w:szCs w:val="18"/>
              </w:rPr>
              <w:t>6,314,666.67</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3,500,000.00</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11.01%</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暂借款</w:t>
            </w:r>
          </w:p>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123,013.44</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1年以内</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0.39%</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6,150.67</w:t>
            </w:r>
          </w:p>
        </w:tc>
      </w:tr>
      <w:tr w:rsidR="008820E4" w:rsidTr="00177DA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6"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31,792,577.35</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99.98%</w:t>
            </w:r>
          </w:p>
        </w:tc>
        <w:tc>
          <w:tcPr>
            <w:tcW w:w="160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19,121,928.45</w:t>
            </w:r>
          </w:p>
        </w:tc>
      </w:tr>
    </w:tbl>
    <w:p w:rsidR="008820E4" w:rsidRDefault="005C49A8">
      <w:pPr>
        <w:keepNext/>
        <w:keepLines/>
        <w:spacing w:before="300" w:after="300" w:line="280" w:lineRule="exact"/>
        <w:outlineLvl w:val="4"/>
        <w:rPr>
          <w:rFonts w:ascii="宋体" w:eastAsia="宋体" w:hAnsi="宋体" w:cs="宋体"/>
          <w:b/>
          <w:bCs/>
          <w:sz w:val="18"/>
          <w:szCs w:val="18"/>
        </w:rPr>
      </w:pPr>
      <w:bookmarkStart w:id="516" w:name="_Toc989442"/>
      <w:r>
        <w:rPr>
          <w:rFonts w:ascii="宋体" w:eastAsia="宋体" w:hAnsi="宋体" w:cs="宋体"/>
          <w:b/>
          <w:bCs/>
          <w:sz w:val="18"/>
          <w:szCs w:val="18"/>
        </w:rPr>
        <w:t>7） 因资金集中管理而列报于其他应收款</w:t>
      </w:r>
      <w:bookmarkEnd w:id="516"/>
    </w:p>
    <w:p w:rsidR="005C49A8" w:rsidRDefault="005C49A8">
      <w:pPr>
        <w:pStyle w:val="a3"/>
        <w:divId w:val="580062146"/>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517" w:name="_Toc989443"/>
      <w:r>
        <w:rPr>
          <w:rFonts w:ascii="宋体" w:hAnsi="宋体" w:cs="宋体"/>
          <w:b/>
          <w:bCs/>
        </w:rPr>
        <w:t>3、长期股权投资</w:t>
      </w:r>
      <w:bookmarkEnd w:id="517"/>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820E4">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r>
      <w:tr w:rsidR="008820E4">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账面价值</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对子公司投资</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r>
      <w:tr w:rsidR="008820E4">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r>
    </w:tbl>
    <w:p w:rsidR="008820E4" w:rsidRDefault="005C49A8">
      <w:pPr>
        <w:keepNext/>
        <w:keepLines/>
        <w:spacing w:before="300" w:after="300" w:line="280" w:lineRule="exact"/>
        <w:outlineLvl w:val="3"/>
        <w:rPr>
          <w:rFonts w:ascii="宋体" w:eastAsia="宋体" w:hAnsi="宋体" w:cs="宋体"/>
          <w:b/>
          <w:bCs/>
          <w:szCs w:val="21"/>
        </w:rPr>
      </w:pPr>
      <w:bookmarkStart w:id="518" w:name="_Toc989444"/>
      <w:r>
        <w:rPr>
          <w:rFonts w:ascii="宋体" w:eastAsia="宋体" w:hAnsi="宋体" w:cs="宋体"/>
          <w:b/>
          <w:bCs/>
          <w:szCs w:val="21"/>
        </w:rPr>
        <w:t>（1） 对子公司投资</w:t>
      </w:r>
      <w:bookmarkEnd w:id="518"/>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被投资单位</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期初余额（账面价值）</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减值准备期初余额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本期增减变动</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期末余额（账面价值）</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减值准备期末余额</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追加投资</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减少投资</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计提减值准备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其他</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深圳市华孚进出口有限公司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2,126,565,336.11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2,126,565,336.11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浙江金华华孚纺织</w:t>
            </w:r>
            <w:r>
              <w:rPr>
                <w:rFonts w:ascii="宋体" w:eastAsia="宋体" w:hAnsi="宋体" w:cs="宋体"/>
                <w:sz w:val="18"/>
                <w:szCs w:val="18"/>
              </w:rPr>
              <w:lastRenderedPageBreak/>
              <w:t>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lastRenderedPageBreak/>
              <w:t>12,832,704.89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12,832,704.89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浙江华孚色纺有限公司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144,067,052.44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144,067,052.44</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淮北中新纺织有限公司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205,306,183.89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205,306,183.89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奎屯锦孚纺织有限公司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154,330,400.00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154,330,400.00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深圳华孚网链投资有限公司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新疆华孚棉业集团有限公司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4,143,101,677.33</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bl>
    <w:p w:rsidR="008820E4" w:rsidRDefault="005C49A8">
      <w:pPr>
        <w:keepNext/>
        <w:keepLines/>
        <w:spacing w:before="300" w:after="300" w:line="280" w:lineRule="exact"/>
        <w:outlineLvl w:val="3"/>
        <w:rPr>
          <w:rFonts w:ascii="宋体" w:eastAsia="宋体" w:hAnsi="宋体" w:cs="宋体"/>
          <w:b/>
          <w:bCs/>
          <w:szCs w:val="21"/>
        </w:rPr>
      </w:pPr>
      <w:bookmarkStart w:id="519" w:name="_Toc989445"/>
      <w:r>
        <w:rPr>
          <w:rFonts w:ascii="宋体" w:eastAsia="宋体" w:hAnsi="宋体" w:cs="宋体"/>
          <w:b/>
          <w:bCs/>
          <w:szCs w:val="21"/>
        </w:rPr>
        <w:t>（2） 对联营、合营企业投资</w:t>
      </w:r>
      <w:bookmarkEnd w:id="519"/>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可收回金额按公允价值减去处置费用后的净额确定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可收回金额按预计未来现金流量的现值确定</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前述信息与以前年度减值测试采用的信息或外部信息明显不一致的差异原因</w:t>
      </w:r>
      <w:r w:rsidR="00A64732">
        <w:rPr>
          <w:rFonts w:ascii="宋体" w:eastAsia="宋体" w:hAnsi="宋体" w:cs="宋体" w:hint="eastAsia"/>
          <w:sz w:val="18"/>
          <w:szCs w:val="18"/>
        </w:rPr>
        <w:t>：</w:t>
      </w:r>
      <w:r>
        <w:rPr>
          <w:rFonts w:hint="eastAsia"/>
          <w:sz w:val="18"/>
          <w:szCs w:val="18"/>
        </w:rPr>
        <w:t>无。</w:t>
      </w:r>
    </w:p>
    <w:p w:rsidR="005C49A8" w:rsidRPr="00A64732" w:rsidRDefault="005C49A8" w:rsidP="00A64732">
      <w:pPr>
        <w:spacing w:before="100" w:after="100" w:line="240" w:lineRule="exact"/>
        <w:rPr>
          <w:rFonts w:ascii="宋体" w:eastAsia="宋体" w:hAnsi="宋体" w:cs="宋体"/>
          <w:sz w:val="18"/>
          <w:szCs w:val="18"/>
        </w:rPr>
      </w:pPr>
      <w:r>
        <w:rPr>
          <w:rFonts w:ascii="宋体" w:eastAsia="宋体" w:hAnsi="宋体" w:cs="宋体"/>
          <w:sz w:val="18"/>
          <w:szCs w:val="18"/>
        </w:rPr>
        <w:t>公司以前年度减值测试采用信息与当年实际情况明显不一致的差异原因</w:t>
      </w:r>
      <w:r w:rsidR="00A64732">
        <w:rPr>
          <w:rFonts w:ascii="宋体" w:eastAsia="宋体" w:hAnsi="宋体" w:cs="宋体" w:hint="eastAsia"/>
          <w:sz w:val="18"/>
          <w:szCs w:val="18"/>
        </w:rPr>
        <w:t>：</w:t>
      </w:r>
      <w:r>
        <w:rPr>
          <w:rFonts w:hint="eastAsia"/>
          <w:sz w:val="18"/>
          <w:szCs w:val="18"/>
        </w:rPr>
        <w:t>无。</w:t>
      </w:r>
    </w:p>
    <w:p w:rsidR="008820E4" w:rsidRDefault="005C49A8">
      <w:pPr>
        <w:keepNext/>
        <w:keepLines/>
        <w:spacing w:before="300" w:after="300" w:line="280" w:lineRule="exact"/>
        <w:outlineLvl w:val="3"/>
        <w:rPr>
          <w:rFonts w:ascii="宋体" w:eastAsia="宋体" w:hAnsi="宋体" w:cs="宋体"/>
          <w:b/>
          <w:bCs/>
          <w:szCs w:val="21"/>
        </w:rPr>
      </w:pPr>
      <w:bookmarkStart w:id="520" w:name="_Toc989446"/>
      <w:r>
        <w:rPr>
          <w:rFonts w:ascii="宋体" w:eastAsia="宋体" w:hAnsi="宋体" w:cs="宋体"/>
          <w:b/>
          <w:bCs/>
          <w:szCs w:val="21"/>
        </w:rPr>
        <w:t>（3） 其他说明</w:t>
      </w:r>
      <w:bookmarkEnd w:id="520"/>
    </w:p>
    <w:p w:rsidR="005C49A8" w:rsidRDefault="005C49A8">
      <w:pPr>
        <w:pStyle w:val="a3"/>
        <w:divId w:val="1575778152"/>
        <w:rPr>
          <w:sz w:val="18"/>
          <w:szCs w:val="18"/>
        </w:rPr>
      </w:pPr>
      <w:r>
        <w:rPr>
          <w:rFonts w:hint="eastAsia"/>
          <w:sz w:val="18"/>
          <w:szCs w:val="18"/>
        </w:rPr>
        <w:t>无。</w:t>
      </w:r>
    </w:p>
    <w:p w:rsidR="008820E4" w:rsidRDefault="005C49A8">
      <w:pPr>
        <w:pStyle w:val="3"/>
        <w:spacing w:line="280" w:lineRule="exact"/>
        <w:jc w:val="left"/>
        <w:rPr>
          <w:rFonts w:ascii="宋体" w:hAnsi="宋体" w:cs="宋体"/>
          <w:b/>
          <w:bCs/>
        </w:rPr>
      </w:pPr>
      <w:bookmarkStart w:id="521" w:name="_Toc989447"/>
      <w:r>
        <w:rPr>
          <w:rFonts w:ascii="宋体" w:hAnsi="宋体" w:cs="宋体"/>
          <w:b/>
          <w:bCs/>
        </w:rPr>
        <w:t>4、营业收入和营业成本</w:t>
      </w:r>
      <w:bookmarkEnd w:id="521"/>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820E4">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成本</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472,800,459.98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457,245,311.69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522,522,825.45</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424,878,105.21</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899,441.98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28,081.49</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185,084.26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21,401.87</w:t>
            </w:r>
          </w:p>
        </w:tc>
      </w:tr>
      <w:tr w:rsidR="008820E4">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522,707,909.71</w:t>
            </w:r>
          </w:p>
        </w:tc>
        <w:tc>
          <w:tcPr>
            <w:tcW w:w="192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424,899,507.08</w:t>
            </w:r>
          </w:p>
        </w:tc>
      </w:tr>
    </w:tbl>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营业收入、营业成本的分解信息：</w:t>
      </w:r>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820E4">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合同分类</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分部1</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分部2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合计</w:t>
            </w:r>
          </w:p>
        </w:tc>
      </w:tr>
      <w:tr w:rsidR="008820E4">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营业成本</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业务类型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纱线</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388,305,213.21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375,507,748.01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388,305,213.21</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375,507,748.01</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棉业</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84,495,246.77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81,737,563.68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84,495,246.77</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81,737,563.68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lastRenderedPageBreak/>
              <w:t>其他</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899,441.98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28,081.49</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899,441.98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28,081.49</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按经营地区分类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境外销售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境内销售</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市场或客户类型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合同类型</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按商品转让的时间分类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在某一时点转让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472,969,970.76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472,969,970.76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r>
      <w:tr w:rsidR="008820E4" w:rsidTr="00177DA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在某一时段内转让</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729,931.20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729,931.20</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按合同期限分类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按销售渠道分类</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r>
      <w:tr w:rsidR="008820E4">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473,699,901.96</w:t>
            </w:r>
          </w:p>
        </w:tc>
        <w:tc>
          <w:tcPr>
            <w:tcW w:w="1071"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457,273,393.18</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与分摊至剩余履约义务的交易价格相关的信息：</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本报告</w:t>
      </w:r>
      <w:proofErr w:type="gramStart"/>
      <w:r>
        <w:rPr>
          <w:rFonts w:ascii="宋体" w:eastAsia="宋体" w:hAnsi="宋体" w:cs="宋体"/>
          <w:sz w:val="18"/>
          <w:szCs w:val="18"/>
        </w:rPr>
        <w:t>期末已</w:t>
      </w:r>
      <w:proofErr w:type="gramEnd"/>
      <w:r>
        <w:rPr>
          <w:rFonts w:ascii="宋体" w:eastAsia="宋体" w:hAnsi="宋体" w:cs="宋体"/>
          <w:sz w:val="18"/>
          <w:szCs w:val="18"/>
        </w:rPr>
        <w:t>签订合同、但尚未履行或尚未履行完毕的履约义务所对应的收入金额为0.00元，其中，元预计将于年度确认收入，元预计将于年度确认收入，元预计将于年度确认收入。</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重大合同变更或重大交易价格调整</w:t>
      </w:r>
    </w:p>
    <w:p w:rsidR="008820E4" w:rsidRDefault="005C49A8">
      <w:pPr>
        <w:pStyle w:val="3"/>
        <w:spacing w:line="280" w:lineRule="exact"/>
        <w:jc w:val="left"/>
        <w:rPr>
          <w:rFonts w:ascii="宋体" w:hAnsi="宋体" w:cs="宋体"/>
          <w:b/>
          <w:bCs/>
        </w:rPr>
      </w:pPr>
      <w:bookmarkStart w:id="522" w:name="_Toc989448"/>
      <w:r>
        <w:rPr>
          <w:rFonts w:ascii="宋体" w:hAnsi="宋体" w:cs="宋体"/>
          <w:b/>
          <w:bCs/>
        </w:rPr>
        <w:t>5、投资收益</w:t>
      </w:r>
      <w:bookmarkEnd w:id="522"/>
    </w:p>
    <w:p w:rsidR="008820E4" w:rsidRDefault="005C49A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上期发生额</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子公司分红取得的投资收益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60,000,000.00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4,868.14</w:t>
            </w:r>
          </w:p>
        </w:tc>
      </w:tr>
      <w:tr w:rsidR="008820E4" w:rsidTr="00177DA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理财产品收益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835,141.32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835,995.55</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60,835,141.32</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840,863.69</w:t>
            </w:r>
          </w:p>
        </w:tc>
      </w:tr>
    </w:tbl>
    <w:p w:rsidR="008820E4" w:rsidRDefault="005C49A8">
      <w:pPr>
        <w:pStyle w:val="3"/>
        <w:spacing w:line="280" w:lineRule="exact"/>
        <w:jc w:val="left"/>
        <w:rPr>
          <w:rFonts w:ascii="宋体" w:hAnsi="宋体" w:cs="宋体"/>
          <w:b/>
          <w:bCs/>
        </w:rPr>
      </w:pPr>
      <w:bookmarkStart w:id="523" w:name="_Toc989449"/>
      <w:r>
        <w:rPr>
          <w:rFonts w:ascii="宋体" w:hAnsi="宋体" w:cs="宋体"/>
          <w:b/>
          <w:bCs/>
        </w:rPr>
        <w:t>6、其他</w:t>
      </w:r>
      <w:bookmarkEnd w:id="523"/>
    </w:p>
    <w:p w:rsidR="005C49A8" w:rsidRDefault="005C49A8">
      <w:pPr>
        <w:pStyle w:val="a3"/>
        <w:divId w:val="1289624742"/>
        <w:rPr>
          <w:sz w:val="18"/>
          <w:szCs w:val="18"/>
        </w:rPr>
      </w:pPr>
      <w:r>
        <w:rPr>
          <w:rFonts w:hint="eastAsia"/>
          <w:sz w:val="18"/>
          <w:szCs w:val="18"/>
        </w:rPr>
        <w:t>无。</w:t>
      </w:r>
    </w:p>
    <w:p w:rsidR="008820E4" w:rsidRDefault="005C49A8">
      <w:pPr>
        <w:pStyle w:val="2"/>
        <w:spacing w:before="300" w:after="300" w:line="320" w:lineRule="exact"/>
        <w:rPr>
          <w:rFonts w:ascii="宋体" w:eastAsia="宋体" w:hAnsi="宋体" w:cs="宋体"/>
          <w:b/>
          <w:bCs/>
          <w:sz w:val="24"/>
          <w:szCs w:val="24"/>
        </w:rPr>
      </w:pPr>
      <w:bookmarkStart w:id="524" w:name="_Toc989450"/>
      <w:r>
        <w:rPr>
          <w:rFonts w:ascii="宋体" w:eastAsia="宋体" w:hAnsi="宋体" w:cs="宋体"/>
          <w:b/>
          <w:bCs/>
          <w:sz w:val="24"/>
          <w:szCs w:val="24"/>
        </w:rPr>
        <w:lastRenderedPageBreak/>
        <w:t>二十、补充资料</w:t>
      </w:r>
      <w:bookmarkEnd w:id="524"/>
    </w:p>
    <w:p w:rsidR="008820E4" w:rsidRDefault="005C49A8">
      <w:pPr>
        <w:pStyle w:val="3"/>
        <w:spacing w:line="280" w:lineRule="exact"/>
        <w:jc w:val="left"/>
        <w:rPr>
          <w:rFonts w:ascii="宋体" w:hAnsi="宋体" w:cs="宋体"/>
          <w:b/>
          <w:bCs/>
        </w:rPr>
      </w:pPr>
      <w:bookmarkStart w:id="525" w:name="_Toc989451"/>
      <w:r>
        <w:rPr>
          <w:rFonts w:ascii="宋体" w:hAnsi="宋体" w:cs="宋体"/>
          <w:b/>
          <w:bCs/>
        </w:rPr>
        <w:t>1、当期非经常性损益明细表</w:t>
      </w:r>
      <w:bookmarkEnd w:id="525"/>
    </w:p>
    <w:p w:rsidR="008820E4" w:rsidRDefault="005C49A8">
      <w:pPr>
        <w:spacing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说明</w:t>
            </w: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非流动性资产处置损益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49,851,783.39</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计入当期损益的政府补助（与公司正常经营业务密切相关、符合国家政策规定、按照确定的标准享有、对公司损益产生持续影响的政府补助除外）</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26,752,113.90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除同公司正常经营业务相关的有效套期保值业务外，非金融企业持有金融资产和金融负债产生的公允价值变动损益以及处置金融资产和金融负债产生的损益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32,477,354.80</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委托他人投资或管理资产的损益</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1,317,071.25</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-1,302,257.26</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减：所得税影响额</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22,556,032.08</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ind w:firstLineChars="200" w:firstLine="360"/>
              <w:rPr>
                <w:rFonts w:ascii="宋体" w:eastAsia="宋体" w:hAnsi="宋体" w:cs="宋体"/>
                <w:sz w:val="18"/>
                <w:szCs w:val="18"/>
              </w:rPr>
            </w:pPr>
            <w:r>
              <w:rPr>
                <w:rFonts w:ascii="宋体" w:eastAsia="宋体" w:hAnsi="宋体" w:cs="宋体"/>
                <w:sz w:val="18"/>
                <w:szCs w:val="18"/>
              </w:rPr>
              <w:t>少数股东权益影响额（税后）</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6,999,729.73</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rPr>
                <w:rFonts w:ascii="宋体" w:eastAsia="宋体" w:hAnsi="宋体" w:cs="宋体"/>
                <w:sz w:val="18"/>
                <w:szCs w:val="18"/>
              </w:rPr>
            </w:pPr>
          </w:p>
        </w:tc>
      </w:tr>
      <w:tr w:rsidR="008820E4">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79,540,304.27</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r>
    </w:tbl>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10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3"/>
        <w:spacing w:line="280" w:lineRule="exact"/>
        <w:jc w:val="left"/>
        <w:rPr>
          <w:rFonts w:ascii="宋体" w:hAnsi="宋体" w:cs="宋体"/>
          <w:b/>
          <w:bCs/>
        </w:rPr>
      </w:pPr>
      <w:bookmarkStart w:id="526" w:name="_Toc989452"/>
      <w:r>
        <w:rPr>
          <w:rFonts w:ascii="宋体" w:hAnsi="宋体" w:cs="宋体"/>
          <w:b/>
          <w:bCs/>
        </w:rPr>
        <w:t>2、净资产收益率及每股收益</w:t>
      </w:r>
      <w:bookmarkEnd w:id="526"/>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820E4">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报告期利润</w:t>
            </w:r>
          </w:p>
        </w:tc>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加权平均净资产收益率</w:t>
            </w:r>
          </w:p>
        </w:tc>
        <w:tc>
          <w:tcPr>
            <w:tcW w:w="482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每股收益</w:t>
            </w:r>
          </w:p>
        </w:tc>
      </w:tr>
      <w:tr w:rsidR="008820E4">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8820E4"/>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基本每股收益（元/股）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稀释每股收益（元/股）</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0.43%</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0.02</w:t>
            </w:r>
          </w:p>
        </w:tc>
      </w:tr>
      <w:tr w:rsidR="008820E4">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扣除非经常性损益后归属于公司普通股股东的净利润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-0.94%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-0.04</w:t>
            </w:r>
          </w:p>
        </w:tc>
        <w:tc>
          <w:tcPr>
            <w:tcW w:w="241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-0.04</w:t>
            </w:r>
          </w:p>
        </w:tc>
      </w:tr>
    </w:tbl>
    <w:p w:rsidR="008820E4" w:rsidRDefault="005C49A8">
      <w:pPr>
        <w:pStyle w:val="3"/>
        <w:spacing w:line="280" w:lineRule="exact"/>
        <w:jc w:val="left"/>
        <w:rPr>
          <w:rFonts w:ascii="宋体" w:hAnsi="宋体" w:cs="宋体"/>
          <w:b/>
          <w:bCs/>
        </w:rPr>
      </w:pPr>
      <w:bookmarkStart w:id="527" w:name="_Toc989453"/>
      <w:r>
        <w:rPr>
          <w:rFonts w:ascii="宋体" w:hAnsi="宋体" w:cs="宋体"/>
          <w:b/>
          <w:bCs/>
        </w:rPr>
        <w:t>3、境内外会计准则下会计数据差异</w:t>
      </w:r>
      <w:bookmarkEnd w:id="527"/>
    </w:p>
    <w:p w:rsidR="008820E4" w:rsidRDefault="005C49A8">
      <w:pPr>
        <w:keepNext/>
        <w:keepLines/>
        <w:spacing w:before="300" w:after="300" w:line="280" w:lineRule="exact"/>
        <w:outlineLvl w:val="3"/>
        <w:rPr>
          <w:rFonts w:ascii="宋体" w:eastAsia="宋体" w:hAnsi="宋体" w:cs="宋体"/>
          <w:b/>
          <w:bCs/>
          <w:szCs w:val="21"/>
        </w:rPr>
      </w:pPr>
      <w:bookmarkStart w:id="528" w:name="_Toc989454"/>
      <w:r>
        <w:rPr>
          <w:rFonts w:ascii="宋体" w:eastAsia="宋体" w:hAnsi="宋体" w:cs="宋体"/>
          <w:b/>
          <w:bCs/>
          <w:szCs w:val="21"/>
        </w:rPr>
        <w:t>（1） 同时按照国际会计准则与按中国会计准则披露的财务</w:t>
      </w:r>
      <w:proofErr w:type="gramStart"/>
      <w:r>
        <w:rPr>
          <w:rFonts w:ascii="宋体" w:eastAsia="宋体" w:hAnsi="宋体" w:cs="宋体"/>
          <w:b/>
          <w:bCs/>
          <w:szCs w:val="21"/>
        </w:rPr>
        <w:t>报告中净利润</w:t>
      </w:r>
      <w:proofErr w:type="gramEnd"/>
      <w:r>
        <w:rPr>
          <w:rFonts w:ascii="宋体" w:eastAsia="宋体" w:hAnsi="宋体" w:cs="宋体"/>
          <w:b/>
          <w:bCs/>
          <w:szCs w:val="21"/>
        </w:rPr>
        <w:t>和净资产差异情况</w:t>
      </w:r>
      <w:bookmarkEnd w:id="528"/>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529" w:name="_Toc989455"/>
      <w:r>
        <w:rPr>
          <w:rFonts w:ascii="宋体" w:eastAsia="宋体" w:hAnsi="宋体" w:cs="宋体"/>
          <w:b/>
          <w:bCs/>
          <w:szCs w:val="21"/>
        </w:rPr>
        <w:lastRenderedPageBreak/>
        <w:t>（2） 同时按照境外会计准则与按中国会计准则披露的财务</w:t>
      </w:r>
      <w:proofErr w:type="gramStart"/>
      <w:r>
        <w:rPr>
          <w:rFonts w:ascii="宋体" w:eastAsia="宋体" w:hAnsi="宋体" w:cs="宋体"/>
          <w:b/>
          <w:bCs/>
          <w:szCs w:val="21"/>
        </w:rPr>
        <w:t>报告中净利润</w:t>
      </w:r>
      <w:proofErr w:type="gramEnd"/>
      <w:r>
        <w:rPr>
          <w:rFonts w:ascii="宋体" w:eastAsia="宋体" w:hAnsi="宋体" w:cs="宋体"/>
          <w:b/>
          <w:bCs/>
          <w:szCs w:val="21"/>
        </w:rPr>
        <w:t>和净资产差异情况</w:t>
      </w:r>
      <w:bookmarkEnd w:id="529"/>
    </w:p>
    <w:p w:rsidR="008820E4" w:rsidRDefault="005C49A8">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keepNext/>
        <w:keepLines/>
        <w:spacing w:before="300" w:after="300" w:line="280" w:lineRule="exact"/>
        <w:outlineLvl w:val="3"/>
        <w:rPr>
          <w:rFonts w:ascii="宋体" w:eastAsia="宋体" w:hAnsi="宋体" w:cs="宋体"/>
          <w:b/>
          <w:bCs/>
          <w:szCs w:val="21"/>
        </w:rPr>
      </w:pPr>
      <w:bookmarkStart w:id="530" w:name="_Toc989456"/>
      <w:r>
        <w:rPr>
          <w:rFonts w:ascii="宋体" w:eastAsia="宋体" w:hAnsi="宋体" w:cs="宋体"/>
          <w:b/>
          <w:bCs/>
          <w:szCs w:val="21"/>
        </w:rPr>
        <w:t>（3） 境内外会计准则下会计数据差异原因说明，对已经境外审计机构审计的数据进行差异调节的，应注明该境外机构的名称</w:t>
      </w:r>
      <w:bookmarkEnd w:id="530"/>
    </w:p>
    <w:p w:rsidR="008820E4" w:rsidRDefault="005C49A8">
      <w:pPr>
        <w:pStyle w:val="3"/>
        <w:spacing w:line="280" w:lineRule="exact"/>
        <w:jc w:val="left"/>
        <w:rPr>
          <w:rFonts w:ascii="宋体" w:hAnsi="宋体" w:cs="宋体"/>
          <w:b/>
          <w:bCs/>
        </w:rPr>
      </w:pPr>
      <w:bookmarkStart w:id="531" w:name="_Toc989457"/>
      <w:r>
        <w:rPr>
          <w:rFonts w:ascii="宋体" w:hAnsi="宋体" w:cs="宋体"/>
          <w:b/>
          <w:bCs/>
        </w:rPr>
        <w:t>4、其他</w:t>
      </w:r>
      <w:bookmarkEnd w:id="531"/>
    </w:p>
    <w:p w:rsidR="005C49A8" w:rsidRDefault="005C49A8">
      <w:pPr>
        <w:pStyle w:val="a3"/>
        <w:divId w:val="219050730"/>
        <w:rPr>
          <w:sz w:val="18"/>
          <w:szCs w:val="18"/>
        </w:rPr>
      </w:pPr>
      <w:r>
        <w:rPr>
          <w:rFonts w:hint="eastAsia"/>
          <w:sz w:val="18"/>
          <w:szCs w:val="18"/>
        </w:rPr>
        <w:t>无。</w:t>
      </w:r>
    </w:p>
    <w:p w:rsidR="008820E4" w:rsidRDefault="005C49A8">
      <w:r>
        <w:br w:type="page"/>
      </w:r>
    </w:p>
    <w:p w:rsidR="008820E4" w:rsidRDefault="005C49A8">
      <w:pPr>
        <w:pStyle w:val="headingh1"/>
        <w:spacing w:before="340" w:after="330" w:line="773" w:lineRule="exact"/>
        <w:jc w:val="center"/>
        <w:rPr>
          <w:rFonts w:ascii="宋体" w:eastAsia="宋体" w:hAnsi="宋体" w:cs="宋体"/>
          <w:b/>
          <w:bCs/>
          <w:sz w:val="32"/>
          <w:szCs w:val="32"/>
        </w:rPr>
      </w:pPr>
      <w:bookmarkStart w:id="532" w:name="_Toc989458"/>
      <w:r>
        <w:rPr>
          <w:rFonts w:ascii="宋体" w:eastAsia="宋体" w:hAnsi="宋体" w:cs="宋体"/>
          <w:b/>
          <w:bCs/>
          <w:sz w:val="32"/>
          <w:szCs w:val="32"/>
        </w:rPr>
        <w:lastRenderedPageBreak/>
        <w:t>第九节 其他报送数据</w:t>
      </w:r>
      <w:bookmarkEnd w:id="532"/>
    </w:p>
    <w:p w:rsidR="008820E4" w:rsidRDefault="005C49A8">
      <w:pPr>
        <w:pStyle w:val="2"/>
        <w:spacing w:before="300" w:after="300" w:line="320" w:lineRule="exact"/>
        <w:rPr>
          <w:rFonts w:ascii="宋体" w:eastAsia="宋体" w:hAnsi="宋体" w:cs="宋体"/>
          <w:b/>
          <w:bCs/>
          <w:sz w:val="24"/>
          <w:szCs w:val="24"/>
        </w:rPr>
      </w:pPr>
      <w:bookmarkStart w:id="533" w:name="_Toc989459"/>
      <w:r>
        <w:rPr>
          <w:rFonts w:ascii="宋体" w:eastAsia="宋体" w:hAnsi="宋体" w:cs="宋体"/>
          <w:b/>
          <w:bCs/>
          <w:sz w:val="24"/>
          <w:szCs w:val="24"/>
        </w:rPr>
        <w:t>一、其他重大社会安全问题情况</w:t>
      </w:r>
      <w:bookmarkEnd w:id="533"/>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上市公司及其子公司是否存在其他重大社会安全问题</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□否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spacing w:before="100" w:after="40" w:line="240" w:lineRule="exact"/>
        <w:rPr>
          <w:rFonts w:ascii="宋体" w:eastAsia="宋体" w:hAnsi="宋体" w:cs="宋体"/>
          <w:sz w:val="18"/>
          <w:szCs w:val="18"/>
        </w:rPr>
      </w:pPr>
      <w:r>
        <w:rPr>
          <w:rFonts w:ascii="宋体" w:eastAsia="宋体" w:hAnsi="宋体" w:cs="宋体"/>
          <w:sz w:val="18"/>
          <w:szCs w:val="18"/>
        </w:rPr>
        <w:t>报告期内是否被行政处罚</w:t>
      </w:r>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t xml:space="preserve">□是 □否 </w:t>
      </w:r>
      <w:r>
        <w:rPr>
          <w:rFonts w:ascii="宋体" w:eastAsia="宋体" w:hAnsi="宋体" w:cs="宋体"/>
          <w:sz w:val="18"/>
          <w:szCs w:val="18"/>
        </w:rPr>
        <w:sym w:font="Wingdings 2" w:char="F052"/>
      </w:r>
      <w:r>
        <w:rPr>
          <w:rFonts w:ascii="宋体" w:eastAsia="宋体" w:hAnsi="宋体" w:cs="宋体"/>
          <w:sz w:val="18"/>
          <w:szCs w:val="18"/>
        </w:rPr>
        <w:t>不适用</w:t>
      </w:r>
    </w:p>
    <w:p w:rsidR="008820E4" w:rsidRDefault="005C49A8">
      <w:pPr>
        <w:pStyle w:val="2"/>
        <w:spacing w:before="300" w:after="300" w:line="320" w:lineRule="exact"/>
        <w:rPr>
          <w:rFonts w:ascii="宋体" w:eastAsia="宋体" w:hAnsi="宋体" w:cs="宋体"/>
          <w:b/>
          <w:bCs/>
          <w:sz w:val="24"/>
          <w:szCs w:val="24"/>
        </w:rPr>
      </w:pPr>
      <w:bookmarkStart w:id="534" w:name="_Toc989460"/>
      <w:r>
        <w:rPr>
          <w:rFonts w:ascii="宋体" w:eastAsia="宋体" w:hAnsi="宋体" w:cs="宋体"/>
          <w:b/>
          <w:bCs/>
          <w:sz w:val="24"/>
          <w:szCs w:val="24"/>
        </w:rPr>
        <w:t>二、报告期内接待调研、沟通、采访等活动登记表</w:t>
      </w:r>
      <w:bookmarkEnd w:id="534"/>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959"/>
        <w:gridCol w:w="1417"/>
        <w:gridCol w:w="993"/>
        <w:gridCol w:w="850"/>
        <w:gridCol w:w="2268"/>
        <w:gridCol w:w="1559"/>
        <w:gridCol w:w="1593"/>
      </w:tblGrid>
      <w:tr w:rsidR="008820E4" w:rsidTr="00A64732">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接待时间</w:t>
            </w:r>
          </w:p>
        </w:tc>
        <w:tc>
          <w:tcPr>
            <w:tcW w:w="1417"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接待地点</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接待方式</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接待对象类型</w:t>
            </w:r>
          </w:p>
        </w:tc>
        <w:tc>
          <w:tcPr>
            <w:tcW w:w="226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接待对象</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谈论的主要内容及提供的资料</w:t>
            </w:r>
          </w:p>
        </w:tc>
        <w:tc>
          <w:tcPr>
            <w:tcW w:w="1593"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调研的基本情况索引</w:t>
            </w:r>
          </w:p>
        </w:tc>
      </w:tr>
      <w:tr w:rsidR="008820E4" w:rsidTr="00177DA4">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2025年05月09日</w:t>
            </w:r>
          </w:p>
        </w:tc>
        <w:tc>
          <w:tcPr>
            <w:tcW w:w="1417"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全景网“投资者关系互动平台”（https://ir.p5w.net）</w:t>
            </w:r>
          </w:p>
        </w:tc>
        <w:tc>
          <w:tcPr>
            <w:tcW w:w="9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网络平台线上交流</w:t>
            </w:r>
          </w:p>
        </w:tc>
        <w:tc>
          <w:tcPr>
            <w:tcW w:w="850"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其他</w:t>
            </w:r>
          </w:p>
        </w:tc>
        <w:tc>
          <w:tcPr>
            <w:tcW w:w="226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线上参与华孚时尚股份有限公司2024年度网上业绩说明会的投资者</w:t>
            </w:r>
          </w:p>
        </w:tc>
        <w:tc>
          <w:tcPr>
            <w:tcW w:w="155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公司2024年度业绩情况等</w:t>
            </w:r>
          </w:p>
        </w:tc>
        <w:tc>
          <w:tcPr>
            <w:tcW w:w="1593"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详见公司2025年5月9日于巨潮资讯网披露的《投资者关系活动记录表》</w:t>
            </w:r>
          </w:p>
        </w:tc>
      </w:tr>
    </w:tbl>
    <w:p w:rsidR="008820E4" w:rsidRDefault="005C49A8">
      <w:pPr>
        <w:pStyle w:val="2"/>
        <w:spacing w:before="300" w:after="300" w:line="320" w:lineRule="exact"/>
        <w:rPr>
          <w:rFonts w:ascii="宋体" w:eastAsia="宋体" w:hAnsi="宋体" w:cs="宋体"/>
          <w:b/>
          <w:bCs/>
          <w:sz w:val="24"/>
          <w:szCs w:val="24"/>
        </w:rPr>
      </w:pPr>
      <w:bookmarkStart w:id="535" w:name="_Toc989461"/>
      <w:r>
        <w:rPr>
          <w:rFonts w:ascii="宋体" w:eastAsia="宋体" w:hAnsi="宋体" w:cs="宋体"/>
          <w:b/>
          <w:bCs/>
          <w:sz w:val="24"/>
          <w:szCs w:val="24"/>
        </w:rPr>
        <w:t>三、上市公司与控股股东及其他关联方资金往来情况</w:t>
      </w:r>
      <w:bookmarkEnd w:id="535"/>
    </w:p>
    <w:p w:rsidR="008820E4" w:rsidRDefault="005C49A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8820E4" w:rsidRDefault="005C49A8">
      <w:pPr>
        <w:spacing w:before="120" w:after="120" w:line="240" w:lineRule="exact"/>
        <w:jc w:val="right"/>
        <w:rPr>
          <w:rFonts w:ascii="宋体" w:eastAsia="宋体" w:hAnsi="宋体" w:cs="宋体"/>
          <w:sz w:val="18"/>
          <w:szCs w:val="18"/>
        </w:rPr>
      </w:pPr>
      <w:r>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235"/>
        <w:gridCol w:w="1275"/>
        <w:gridCol w:w="1134"/>
        <w:gridCol w:w="1134"/>
        <w:gridCol w:w="1418"/>
        <w:gridCol w:w="992"/>
        <w:gridCol w:w="709"/>
        <w:gridCol w:w="742"/>
      </w:tblGrid>
      <w:tr w:rsidR="008820E4" w:rsidTr="00A64732">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往来方名称</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往来性质</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期初余额</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报告期发生额</w:t>
            </w:r>
          </w:p>
        </w:tc>
        <w:tc>
          <w:tcPr>
            <w:tcW w:w="1418"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报告期偿还额</w:t>
            </w:r>
          </w:p>
        </w:tc>
        <w:tc>
          <w:tcPr>
            <w:tcW w:w="99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期末余额</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利息收入</w:t>
            </w:r>
          </w:p>
        </w:tc>
        <w:tc>
          <w:tcPr>
            <w:tcW w:w="742"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利息支出</w:t>
            </w: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淮北华孚供应链管理有限公司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1,849.56</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1,849.56</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浙江金华华孚纺织有限公司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500</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150</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350</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淮北中新纺织有限公司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905.38</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905.38</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新疆棉花产业集团有限公司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9.36</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9.36</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proofErr w:type="gramStart"/>
            <w:r>
              <w:rPr>
                <w:rFonts w:ascii="宋体" w:eastAsia="宋体" w:hAnsi="宋体" w:cs="宋体"/>
                <w:sz w:val="18"/>
                <w:szCs w:val="18"/>
              </w:rPr>
              <w:t>胡杨河锦瑞国有</w:t>
            </w:r>
            <w:proofErr w:type="gramEnd"/>
            <w:r>
              <w:rPr>
                <w:rFonts w:ascii="宋体" w:eastAsia="宋体" w:hAnsi="宋体" w:cs="宋体"/>
                <w:sz w:val="18"/>
                <w:szCs w:val="18"/>
              </w:rPr>
              <w:t>资产运营管理有限公司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37.19</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37.19</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江阴</w:t>
            </w:r>
            <w:proofErr w:type="gramStart"/>
            <w:r>
              <w:rPr>
                <w:rFonts w:ascii="宋体" w:eastAsia="宋体" w:hAnsi="宋体" w:cs="宋体"/>
                <w:sz w:val="18"/>
                <w:szCs w:val="18"/>
              </w:rPr>
              <w:t>市传澄</w:t>
            </w:r>
            <w:proofErr w:type="gramEnd"/>
            <w:r>
              <w:rPr>
                <w:rFonts w:ascii="宋体" w:eastAsia="宋体" w:hAnsi="宋体" w:cs="宋体"/>
                <w:sz w:val="18"/>
                <w:szCs w:val="18"/>
              </w:rPr>
              <w:t>电子商务有限公司及其子公司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2,191.48</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2,191.48</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浙江华尚产业运营有限公司及其子公司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452.34</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1,355.83</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1,426.47</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381.7</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177DA4">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浙江华尚产业运营有限公司及其子公司</w:t>
            </w:r>
          </w:p>
        </w:tc>
        <w:tc>
          <w:tcPr>
            <w:tcW w:w="1275"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非经营性往来</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100</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90.64</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1.01</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189.63</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8820E4">
            <w:pPr>
              <w:spacing w:line="0" w:lineRule="atLeast"/>
              <w:jc w:val="right"/>
              <w:rPr>
                <w:rFonts w:ascii="宋体" w:eastAsia="宋体" w:hAnsi="宋体" w:cs="宋体"/>
                <w:sz w:val="18"/>
                <w:szCs w:val="18"/>
              </w:rPr>
            </w:pPr>
          </w:p>
        </w:tc>
      </w:tr>
      <w:tr w:rsidR="008820E4" w:rsidTr="00A64732">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合计</w:t>
            </w:r>
          </w:p>
        </w:tc>
        <w:tc>
          <w:tcPr>
            <w:tcW w:w="127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jc w:val="center"/>
              <w:rPr>
                <w:rFonts w:ascii="宋体" w:eastAsia="宋体" w:hAnsi="宋体" w:cs="宋体"/>
                <w:sz w:val="18"/>
                <w:szCs w:val="18"/>
              </w:rPr>
            </w:pPr>
            <w:r>
              <w:rPr>
                <w:rFonts w:ascii="宋体" w:eastAsia="宋体" w:hAnsi="宋体" w:cs="宋体"/>
                <w:sz w:val="18"/>
                <w:szCs w:val="18"/>
              </w:rPr>
              <w:t>--</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5,139.93</w:t>
            </w:r>
          </w:p>
        </w:tc>
        <w:tc>
          <w:tcPr>
            <w:tcW w:w="1134"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2,351.85</w:t>
            </w:r>
          </w:p>
        </w:tc>
        <w:tc>
          <w:tcPr>
            <w:tcW w:w="1418"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3,427.04</w:t>
            </w:r>
          </w:p>
        </w:tc>
        <w:tc>
          <w:tcPr>
            <w:tcW w:w="99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4,064.74</w:t>
            </w:r>
          </w:p>
        </w:tc>
        <w:tc>
          <w:tcPr>
            <w:tcW w:w="709"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42" w:type="dxa"/>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8820E4" w:rsidTr="00A64732">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相关的决策程序</w:t>
            </w:r>
          </w:p>
        </w:tc>
        <w:tc>
          <w:tcPr>
            <w:tcW w:w="7404"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公司关联交易按照《深圳证券交易所股票上市规则》及《公司章程》等规范性文件履行了必要的决策程序。</w:t>
            </w:r>
          </w:p>
        </w:tc>
      </w:tr>
      <w:tr w:rsidR="008820E4" w:rsidTr="00A64732">
        <w:trPr>
          <w:trHeight w:val="240"/>
        </w:trPr>
        <w:tc>
          <w:tcPr>
            <w:tcW w:w="2235" w:type="dxa"/>
            <w:tcBorders>
              <w:top w:val="single" w:sz="2" w:space="0" w:color="auto"/>
              <w:left w:val="single" w:sz="2" w:space="0" w:color="auto"/>
              <w:bottom w:val="single" w:sz="2" w:space="0" w:color="auto"/>
              <w:right w:val="single" w:sz="2" w:space="0" w:color="auto"/>
            </w:tcBorders>
            <w:shd w:val="clear" w:color="auto" w:fill="D3D3D3"/>
            <w:vAlign w:val="center"/>
          </w:tcPr>
          <w:p w:rsidR="008820E4" w:rsidRDefault="005C49A8">
            <w:pPr>
              <w:spacing w:before="40" w:after="40" w:line="0" w:lineRule="atLeast"/>
              <w:rPr>
                <w:rFonts w:ascii="宋体" w:eastAsia="宋体" w:hAnsi="宋体" w:cs="宋体"/>
                <w:sz w:val="18"/>
                <w:szCs w:val="18"/>
              </w:rPr>
            </w:pPr>
            <w:r>
              <w:rPr>
                <w:rFonts w:ascii="宋体" w:eastAsia="宋体" w:hAnsi="宋体" w:cs="宋体"/>
                <w:sz w:val="18"/>
                <w:szCs w:val="18"/>
              </w:rPr>
              <w:t>资金安全保障措施</w:t>
            </w:r>
          </w:p>
        </w:tc>
        <w:tc>
          <w:tcPr>
            <w:tcW w:w="7404" w:type="dxa"/>
            <w:gridSpan w:val="7"/>
            <w:tcBorders>
              <w:top w:val="single" w:sz="2" w:space="0" w:color="auto"/>
              <w:left w:val="single" w:sz="2" w:space="0" w:color="auto"/>
              <w:bottom w:val="single" w:sz="2" w:space="0" w:color="auto"/>
              <w:right w:val="single" w:sz="2" w:space="0" w:color="auto"/>
            </w:tcBorders>
            <w:vAlign w:val="center"/>
          </w:tcPr>
          <w:p w:rsidR="008820E4" w:rsidRDefault="005C49A8">
            <w:pPr>
              <w:spacing w:line="0" w:lineRule="atLeast"/>
              <w:rPr>
                <w:rFonts w:ascii="宋体" w:eastAsia="宋体" w:hAnsi="宋体" w:cs="宋体"/>
                <w:sz w:val="18"/>
                <w:szCs w:val="18"/>
              </w:rPr>
            </w:pPr>
            <w:r>
              <w:rPr>
                <w:rFonts w:ascii="宋体" w:eastAsia="宋体" w:hAnsi="宋体" w:cs="宋体"/>
                <w:sz w:val="18"/>
                <w:szCs w:val="18"/>
              </w:rPr>
              <w:t>公司严格按照中国证监会、深圳证券交易所相关规定及公司合</w:t>
            </w:r>
            <w:proofErr w:type="gramStart"/>
            <w:r>
              <w:rPr>
                <w:rFonts w:ascii="宋体" w:eastAsia="宋体" w:hAnsi="宋体" w:cs="宋体"/>
                <w:sz w:val="18"/>
                <w:szCs w:val="18"/>
              </w:rPr>
              <w:t>规</w:t>
            </w:r>
            <w:proofErr w:type="gramEnd"/>
            <w:r>
              <w:rPr>
                <w:rFonts w:ascii="宋体" w:eastAsia="宋体" w:hAnsi="宋体" w:cs="宋体"/>
                <w:sz w:val="18"/>
                <w:szCs w:val="18"/>
              </w:rPr>
              <w:t>内控要求管理与关联方的资金往来，资金安全风险可控。</w:t>
            </w:r>
          </w:p>
        </w:tc>
      </w:tr>
    </w:tbl>
    <w:p w:rsidR="005C49A8" w:rsidRPr="00A64732" w:rsidRDefault="00A64732" w:rsidP="00A64732">
      <w:pPr>
        <w:spacing w:before="40" w:after="40" w:line="240" w:lineRule="exact"/>
        <w:jc w:val="right"/>
        <w:rPr>
          <w:rFonts w:ascii="宋体" w:eastAsia="宋体" w:hAnsi="宋体" w:cs="宋体"/>
          <w:sz w:val="18"/>
          <w:szCs w:val="18"/>
        </w:rPr>
      </w:pPr>
      <w:r w:rsidRPr="00A64732">
        <w:rPr>
          <w:rFonts w:ascii="宋体" w:eastAsia="宋体" w:hAnsi="宋体" w:cs="宋体"/>
          <w:sz w:val="18"/>
          <w:szCs w:val="18"/>
        </w:rPr>
        <w:t>华孚时尚股份有限公司</w:t>
      </w:r>
    </w:p>
    <w:p w:rsidR="00A64732" w:rsidRPr="00A64732" w:rsidRDefault="00A64732" w:rsidP="00A64732">
      <w:pPr>
        <w:spacing w:before="40" w:after="40" w:line="240" w:lineRule="exact"/>
        <w:jc w:val="right"/>
        <w:rPr>
          <w:rFonts w:ascii="宋体" w:eastAsia="宋体" w:hAnsi="宋体" w:cs="宋体"/>
          <w:sz w:val="18"/>
          <w:szCs w:val="18"/>
        </w:rPr>
      </w:pPr>
      <w:r w:rsidRPr="00A64732">
        <w:rPr>
          <w:rFonts w:ascii="宋体" w:eastAsia="宋体" w:hAnsi="宋体" w:cs="宋体" w:hint="eastAsia"/>
          <w:sz w:val="18"/>
          <w:szCs w:val="18"/>
        </w:rPr>
        <w:t>二〇二五年八月三十日</w:t>
      </w:r>
    </w:p>
    <w:sectPr w:rsidR="00A64732" w:rsidRPr="00A64732" w:rsidSect="00096B74">
      <w:headerReference w:type="default" r:id="rId10"/>
      <w:footerReference w:type="default" r:id="rId11"/>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38" w:rsidRDefault="00352538">
      <w:r>
        <w:separator/>
      </w:r>
    </w:p>
  </w:endnote>
  <w:endnote w:type="continuationSeparator" w:id="0">
    <w:p w:rsidR="00352538" w:rsidRDefault="0035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6B" w:rsidRDefault="0017456B">
    <w:pPr>
      <w:pStyle w:val="fotter1"/>
    </w:pPr>
    <w:r>
      <w:fldChar w:fldCharType="begin"/>
    </w:r>
    <w:r>
      <w:instrText>PAGE   \* MERGEFORMAT</w:instrText>
    </w:r>
    <w:r>
      <w:fldChar w:fldCharType="separate"/>
    </w:r>
    <w:r w:rsidR="00F74291">
      <w:rPr>
        <w:noProof/>
      </w:rPr>
      <w:t>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38" w:rsidRDefault="00352538">
      <w:r>
        <w:separator/>
      </w:r>
    </w:p>
  </w:footnote>
  <w:footnote w:type="continuationSeparator" w:id="0">
    <w:p w:rsidR="00352538" w:rsidRDefault="0035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56B" w:rsidRDefault="0017456B">
    <w:pPr>
      <w:pStyle w:val="Header1"/>
      <w:pBdr>
        <w:bottom w:val="single" w:sz="6" w:space="1" w:color="auto"/>
      </w:pBdr>
    </w:pPr>
    <w:r>
      <w:t>华孚时尚股份有限公司2025年半年度报告全文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41"/>
    <w:multiLevelType w:val="multilevel"/>
    <w:tmpl w:val="13F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01809"/>
    <w:multiLevelType w:val="multilevel"/>
    <w:tmpl w:val="9DC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2771B"/>
    <w:multiLevelType w:val="multilevel"/>
    <w:tmpl w:val="326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44820"/>
    <w:multiLevelType w:val="multilevel"/>
    <w:tmpl w:val="9220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B331E2"/>
    <w:multiLevelType w:val="multilevel"/>
    <w:tmpl w:val="C51C3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D24789"/>
    <w:multiLevelType w:val="multilevel"/>
    <w:tmpl w:val="0EBE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ED46E0"/>
    <w:multiLevelType w:val="multilevel"/>
    <w:tmpl w:val="80A26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16247"/>
    <w:multiLevelType w:val="multilevel"/>
    <w:tmpl w:val="0ECAC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6342CF"/>
    <w:multiLevelType w:val="multilevel"/>
    <w:tmpl w:val="912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2B2725"/>
    <w:multiLevelType w:val="multilevel"/>
    <w:tmpl w:val="C15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4E6ABD"/>
    <w:multiLevelType w:val="multilevel"/>
    <w:tmpl w:val="4C828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6973D5"/>
    <w:multiLevelType w:val="multilevel"/>
    <w:tmpl w:val="2086F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943F26"/>
    <w:multiLevelType w:val="multilevel"/>
    <w:tmpl w:val="CAD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D96DB5"/>
    <w:multiLevelType w:val="multilevel"/>
    <w:tmpl w:val="F08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4A6111"/>
    <w:multiLevelType w:val="multilevel"/>
    <w:tmpl w:val="1DDC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9F19F6"/>
    <w:multiLevelType w:val="multilevel"/>
    <w:tmpl w:val="75D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8F1580"/>
    <w:multiLevelType w:val="multilevel"/>
    <w:tmpl w:val="F4E24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986077"/>
    <w:multiLevelType w:val="multilevel"/>
    <w:tmpl w:val="0A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0F1EA4"/>
    <w:multiLevelType w:val="multilevel"/>
    <w:tmpl w:val="85B03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7B321E"/>
    <w:multiLevelType w:val="multilevel"/>
    <w:tmpl w:val="EC9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2D11424"/>
    <w:multiLevelType w:val="multilevel"/>
    <w:tmpl w:val="C2A6D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CA6C99"/>
    <w:multiLevelType w:val="multilevel"/>
    <w:tmpl w:val="14CA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0F26E9"/>
    <w:multiLevelType w:val="multilevel"/>
    <w:tmpl w:val="F5DE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2E6FFD"/>
    <w:multiLevelType w:val="multilevel"/>
    <w:tmpl w:val="07EA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F13831"/>
    <w:multiLevelType w:val="multilevel"/>
    <w:tmpl w:val="C4184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90071B"/>
    <w:multiLevelType w:val="multilevel"/>
    <w:tmpl w:val="A9F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D5B5243"/>
    <w:multiLevelType w:val="multilevel"/>
    <w:tmpl w:val="2116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301B2F"/>
    <w:multiLevelType w:val="multilevel"/>
    <w:tmpl w:val="10F2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646507"/>
    <w:multiLevelType w:val="multilevel"/>
    <w:tmpl w:val="12C8E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124286F"/>
    <w:multiLevelType w:val="multilevel"/>
    <w:tmpl w:val="A870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2759F3"/>
    <w:multiLevelType w:val="multilevel"/>
    <w:tmpl w:val="F34E8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8E47AB"/>
    <w:multiLevelType w:val="multilevel"/>
    <w:tmpl w:val="575A7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3471684"/>
    <w:multiLevelType w:val="multilevel"/>
    <w:tmpl w:val="1BDC3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5209C9"/>
    <w:multiLevelType w:val="multilevel"/>
    <w:tmpl w:val="24A8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3A4E1D"/>
    <w:multiLevelType w:val="multilevel"/>
    <w:tmpl w:val="D89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6721A0E"/>
    <w:multiLevelType w:val="multilevel"/>
    <w:tmpl w:val="7CC8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8E5738"/>
    <w:multiLevelType w:val="multilevel"/>
    <w:tmpl w:val="9508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04112C"/>
    <w:multiLevelType w:val="multilevel"/>
    <w:tmpl w:val="DC067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8BD0517"/>
    <w:multiLevelType w:val="multilevel"/>
    <w:tmpl w:val="D200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9B5D59"/>
    <w:multiLevelType w:val="multilevel"/>
    <w:tmpl w:val="D2A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A705255"/>
    <w:multiLevelType w:val="multilevel"/>
    <w:tmpl w:val="A266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B102E6F"/>
    <w:multiLevelType w:val="multilevel"/>
    <w:tmpl w:val="067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393A1C"/>
    <w:multiLevelType w:val="multilevel"/>
    <w:tmpl w:val="FC14475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067BB8"/>
    <w:multiLevelType w:val="multilevel"/>
    <w:tmpl w:val="0A34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D72393E"/>
    <w:multiLevelType w:val="multilevel"/>
    <w:tmpl w:val="80E8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6339B6"/>
    <w:multiLevelType w:val="multilevel"/>
    <w:tmpl w:val="55F4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FC0F9D"/>
    <w:multiLevelType w:val="multilevel"/>
    <w:tmpl w:val="36BC2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0B43171"/>
    <w:multiLevelType w:val="multilevel"/>
    <w:tmpl w:val="170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0D6C75"/>
    <w:multiLevelType w:val="multilevel"/>
    <w:tmpl w:val="196CA7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59609F7"/>
    <w:multiLevelType w:val="multilevel"/>
    <w:tmpl w:val="DE9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89B40AB"/>
    <w:multiLevelType w:val="multilevel"/>
    <w:tmpl w:val="1D3251E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ED1437"/>
    <w:multiLevelType w:val="multilevel"/>
    <w:tmpl w:val="6F04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7B0DDA"/>
    <w:multiLevelType w:val="multilevel"/>
    <w:tmpl w:val="3CB8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666808"/>
    <w:multiLevelType w:val="multilevel"/>
    <w:tmpl w:val="A83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C7524F2"/>
    <w:multiLevelType w:val="multilevel"/>
    <w:tmpl w:val="195A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C931CAC"/>
    <w:multiLevelType w:val="multilevel"/>
    <w:tmpl w:val="4C4C7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944B7C"/>
    <w:multiLevelType w:val="multilevel"/>
    <w:tmpl w:val="1EC6F05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B65165"/>
    <w:multiLevelType w:val="multilevel"/>
    <w:tmpl w:val="C6AE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D2732AE"/>
    <w:multiLevelType w:val="multilevel"/>
    <w:tmpl w:val="EAB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D745B46"/>
    <w:multiLevelType w:val="multilevel"/>
    <w:tmpl w:val="910E5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E603A56"/>
    <w:multiLevelType w:val="multilevel"/>
    <w:tmpl w:val="5CD8266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E691516"/>
    <w:multiLevelType w:val="multilevel"/>
    <w:tmpl w:val="3E7A2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E712330"/>
    <w:multiLevelType w:val="multilevel"/>
    <w:tmpl w:val="39E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F766027"/>
    <w:multiLevelType w:val="multilevel"/>
    <w:tmpl w:val="EF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FD810BF"/>
    <w:multiLevelType w:val="multilevel"/>
    <w:tmpl w:val="35463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061782D"/>
    <w:multiLevelType w:val="multilevel"/>
    <w:tmpl w:val="68E82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0D61996"/>
    <w:multiLevelType w:val="multilevel"/>
    <w:tmpl w:val="AFF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1620894"/>
    <w:multiLevelType w:val="multilevel"/>
    <w:tmpl w:val="996A0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1EF3CB2"/>
    <w:multiLevelType w:val="multilevel"/>
    <w:tmpl w:val="8DA2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253EB4"/>
    <w:multiLevelType w:val="multilevel"/>
    <w:tmpl w:val="9A5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3316ADE"/>
    <w:multiLevelType w:val="multilevel"/>
    <w:tmpl w:val="463E0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8718E1"/>
    <w:multiLevelType w:val="multilevel"/>
    <w:tmpl w:val="2AC8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6CE0C7C"/>
    <w:multiLevelType w:val="multilevel"/>
    <w:tmpl w:val="6C161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E17166"/>
    <w:multiLevelType w:val="multilevel"/>
    <w:tmpl w:val="69EE6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74D1D3B"/>
    <w:multiLevelType w:val="multilevel"/>
    <w:tmpl w:val="4054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9A7A93"/>
    <w:multiLevelType w:val="multilevel"/>
    <w:tmpl w:val="78F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9840DD5"/>
    <w:multiLevelType w:val="multilevel"/>
    <w:tmpl w:val="89A0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A916459"/>
    <w:multiLevelType w:val="multilevel"/>
    <w:tmpl w:val="E524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B4D09E6"/>
    <w:multiLevelType w:val="multilevel"/>
    <w:tmpl w:val="DF40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B51344D"/>
    <w:multiLevelType w:val="multilevel"/>
    <w:tmpl w:val="441E9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D4F1107"/>
    <w:multiLevelType w:val="multilevel"/>
    <w:tmpl w:val="E0D2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E752C52"/>
    <w:multiLevelType w:val="multilevel"/>
    <w:tmpl w:val="ED125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0A51B23"/>
    <w:multiLevelType w:val="multilevel"/>
    <w:tmpl w:val="6DA6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15E3AF8"/>
    <w:multiLevelType w:val="multilevel"/>
    <w:tmpl w:val="0CCEC00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1920FB2"/>
    <w:multiLevelType w:val="multilevel"/>
    <w:tmpl w:val="9038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2C0588D"/>
    <w:multiLevelType w:val="multilevel"/>
    <w:tmpl w:val="D188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41F7FD2"/>
    <w:multiLevelType w:val="multilevel"/>
    <w:tmpl w:val="D1982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4BB6328"/>
    <w:multiLevelType w:val="multilevel"/>
    <w:tmpl w:val="7A0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4C41C86"/>
    <w:multiLevelType w:val="multilevel"/>
    <w:tmpl w:val="115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55D1C07"/>
    <w:multiLevelType w:val="multilevel"/>
    <w:tmpl w:val="EE9E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58D5524"/>
    <w:multiLevelType w:val="multilevel"/>
    <w:tmpl w:val="26167AD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66353F0"/>
    <w:multiLevelType w:val="multilevel"/>
    <w:tmpl w:val="ED0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71D2E1D"/>
    <w:multiLevelType w:val="multilevel"/>
    <w:tmpl w:val="A45A9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7603467"/>
    <w:multiLevelType w:val="multilevel"/>
    <w:tmpl w:val="43A0A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8283668"/>
    <w:multiLevelType w:val="multilevel"/>
    <w:tmpl w:val="C8329B6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8870E49"/>
    <w:multiLevelType w:val="multilevel"/>
    <w:tmpl w:val="6D28F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8C95321"/>
    <w:multiLevelType w:val="multilevel"/>
    <w:tmpl w:val="C1102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8CC4616"/>
    <w:multiLevelType w:val="multilevel"/>
    <w:tmpl w:val="FDB00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9346172"/>
    <w:multiLevelType w:val="multilevel"/>
    <w:tmpl w:val="1C183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A943B00"/>
    <w:multiLevelType w:val="multilevel"/>
    <w:tmpl w:val="798A2FA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C1F6C24"/>
    <w:multiLevelType w:val="multilevel"/>
    <w:tmpl w:val="D5B0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F057CA3"/>
    <w:multiLevelType w:val="multilevel"/>
    <w:tmpl w:val="B12A4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2C30BF7"/>
    <w:multiLevelType w:val="multilevel"/>
    <w:tmpl w:val="849E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2E8291A"/>
    <w:multiLevelType w:val="multilevel"/>
    <w:tmpl w:val="2CFE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32834A7"/>
    <w:multiLevelType w:val="multilevel"/>
    <w:tmpl w:val="7340D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40B39F9"/>
    <w:multiLevelType w:val="multilevel"/>
    <w:tmpl w:val="6BD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4F83A47"/>
    <w:multiLevelType w:val="multilevel"/>
    <w:tmpl w:val="ECFC3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8097B29"/>
    <w:multiLevelType w:val="multilevel"/>
    <w:tmpl w:val="2C6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8A851B9"/>
    <w:multiLevelType w:val="multilevel"/>
    <w:tmpl w:val="B8E2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8B52F2E"/>
    <w:multiLevelType w:val="multilevel"/>
    <w:tmpl w:val="7A602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93D18C7"/>
    <w:multiLevelType w:val="multilevel"/>
    <w:tmpl w:val="913C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5755DE"/>
    <w:multiLevelType w:val="multilevel"/>
    <w:tmpl w:val="CAA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A6F625B"/>
    <w:multiLevelType w:val="multilevel"/>
    <w:tmpl w:val="21DC5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D9E0E09"/>
    <w:multiLevelType w:val="multilevel"/>
    <w:tmpl w:val="27706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9E2631"/>
    <w:multiLevelType w:val="multilevel"/>
    <w:tmpl w:val="CF1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BA428D"/>
    <w:multiLevelType w:val="multilevel"/>
    <w:tmpl w:val="95A21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DED7864"/>
    <w:multiLevelType w:val="multilevel"/>
    <w:tmpl w:val="B61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EA21B3B"/>
    <w:multiLevelType w:val="multilevel"/>
    <w:tmpl w:val="DA1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F7655A7"/>
    <w:multiLevelType w:val="multilevel"/>
    <w:tmpl w:val="6BA8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004262B"/>
    <w:multiLevelType w:val="multilevel"/>
    <w:tmpl w:val="E7BE2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0444333"/>
    <w:multiLevelType w:val="multilevel"/>
    <w:tmpl w:val="565E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0570931"/>
    <w:multiLevelType w:val="multilevel"/>
    <w:tmpl w:val="97422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0DC6F65"/>
    <w:multiLevelType w:val="multilevel"/>
    <w:tmpl w:val="792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3F43277"/>
    <w:multiLevelType w:val="multilevel"/>
    <w:tmpl w:val="94A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48027B2"/>
    <w:multiLevelType w:val="multilevel"/>
    <w:tmpl w:val="2BEEA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6AE3258"/>
    <w:multiLevelType w:val="multilevel"/>
    <w:tmpl w:val="1F46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79D08BD"/>
    <w:multiLevelType w:val="multilevel"/>
    <w:tmpl w:val="DC4C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8CA287B"/>
    <w:multiLevelType w:val="multilevel"/>
    <w:tmpl w:val="4E18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94F245F"/>
    <w:multiLevelType w:val="multilevel"/>
    <w:tmpl w:val="0AEA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A013B1B"/>
    <w:multiLevelType w:val="multilevel"/>
    <w:tmpl w:val="92D21E6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A240EC2"/>
    <w:multiLevelType w:val="multilevel"/>
    <w:tmpl w:val="D13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A8C2DBD"/>
    <w:multiLevelType w:val="multilevel"/>
    <w:tmpl w:val="EF961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C175B22"/>
    <w:multiLevelType w:val="multilevel"/>
    <w:tmpl w:val="BF92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C883CC0"/>
    <w:multiLevelType w:val="multilevel"/>
    <w:tmpl w:val="C0389F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CA47C1A"/>
    <w:multiLevelType w:val="multilevel"/>
    <w:tmpl w:val="8A4A9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CAA4AC8"/>
    <w:multiLevelType w:val="multilevel"/>
    <w:tmpl w:val="5BB00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F9B3B34"/>
    <w:multiLevelType w:val="multilevel"/>
    <w:tmpl w:val="0B88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7FBD59DD"/>
    <w:multiLevelType w:val="multilevel"/>
    <w:tmpl w:val="5CC2EA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72"/>
  </w:num>
  <w:num w:numId="3">
    <w:abstractNumId w:val="65"/>
  </w:num>
  <w:num w:numId="4">
    <w:abstractNumId w:val="95"/>
  </w:num>
  <w:num w:numId="5">
    <w:abstractNumId w:val="67"/>
  </w:num>
  <w:num w:numId="6">
    <w:abstractNumId w:val="4"/>
  </w:num>
  <w:num w:numId="7">
    <w:abstractNumId w:val="121"/>
  </w:num>
  <w:num w:numId="8">
    <w:abstractNumId w:val="34"/>
  </w:num>
  <w:num w:numId="9">
    <w:abstractNumId w:val="130"/>
  </w:num>
  <w:num w:numId="10">
    <w:abstractNumId w:val="15"/>
  </w:num>
  <w:num w:numId="11">
    <w:abstractNumId w:val="40"/>
  </w:num>
  <w:num w:numId="12">
    <w:abstractNumId w:val="3"/>
  </w:num>
  <w:num w:numId="13">
    <w:abstractNumId w:val="115"/>
  </w:num>
  <w:num w:numId="14">
    <w:abstractNumId w:val="31"/>
  </w:num>
  <w:num w:numId="15">
    <w:abstractNumId w:val="61"/>
  </w:num>
  <w:num w:numId="16">
    <w:abstractNumId w:val="35"/>
  </w:num>
  <w:num w:numId="17">
    <w:abstractNumId w:val="112"/>
  </w:num>
  <w:num w:numId="18">
    <w:abstractNumId w:val="84"/>
  </w:num>
  <w:num w:numId="19">
    <w:abstractNumId w:val="63"/>
  </w:num>
  <w:num w:numId="20">
    <w:abstractNumId w:val="0"/>
  </w:num>
  <w:num w:numId="21">
    <w:abstractNumId w:val="57"/>
  </w:num>
  <w:num w:numId="22">
    <w:abstractNumId w:val="21"/>
  </w:num>
  <w:num w:numId="23">
    <w:abstractNumId w:val="87"/>
  </w:num>
  <w:num w:numId="24">
    <w:abstractNumId w:val="114"/>
  </w:num>
  <w:num w:numId="25">
    <w:abstractNumId w:val="118"/>
  </w:num>
  <w:num w:numId="26">
    <w:abstractNumId w:val="98"/>
  </w:num>
  <w:num w:numId="27">
    <w:abstractNumId w:val="54"/>
  </w:num>
  <w:num w:numId="28">
    <w:abstractNumId w:val="89"/>
  </w:num>
  <w:num w:numId="29">
    <w:abstractNumId w:val="49"/>
  </w:num>
  <w:num w:numId="30">
    <w:abstractNumId w:val="76"/>
  </w:num>
  <w:num w:numId="31">
    <w:abstractNumId w:val="6"/>
  </w:num>
  <w:num w:numId="32">
    <w:abstractNumId w:val="82"/>
  </w:num>
  <w:num w:numId="33">
    <w:abstractNumId w:val="135"/>
  </w:num>
  <w:num w:numId="34">
    <w:abstractNumId w:val="134"/>
  </w:num>
  <w:num w:numId="35">
    <w:abstractNumId w:val="23"/>
  </w:num>
  <w:num w:numId="36">
    <w:abstractNumId w:val="127"/>
  </w:num>
  <w:num w:numId="37">
    <w:abstractNumId w:val="71"/>
  </w:num>
  <w:num w:numId="38">
    <w:abstractNumId w:val="47"/>
  </w:num>
  <w:num w:numId="39">
    <w:abstractNumId w:val="68"/>
  </w:num>
  <w:num w:numId="40">
    <w:abstractNumId w:val="79"/>
  </w:num>
  <w:num w:numId="41">
    <w:abstractNumId w:val="96"/>
  </w:num>
  <w:num w:numId="42">
    <w:abstractNumId w:val="43"/>
  </w:num>
  <w:num w:numId="43">
    <w:abstractNumId w:val="110"/>
  </w:num>
  <w:num w:numId="44">
    <w:abstractNumId w:val="80"/>
  </w:num>
  <w:num w:numId="45">
    <w:abstractNumId w:val="123"/>
  </w:num>
  <w:num w:numId="46">
    <w:abstractNumId w:val="55"/>
  </w:num>
  <w:num w:numId="47">
    <w:abstractNumId w:val="2"/>
  </w:num>
  <w:num w:numId="48">
    <w:abstractNumId w:val="58"/>
  </w:num>
  <w:num w:numId="49">
    <w:abstractNumId w:val="93"/>
  </w:num>
  <w:num w:numId="50">
    <w:abstractNumId w:val="51"/>
  </w:num>
  <w:num w:numId="51">
    <w:abstractNumId w:val="101"/>
  </w:num>
  <w:num w:numId="52">
    <w:abstractNumId w:val="117"/>
  </w:num>
  <w:num w:numId="53">
    <w:abstractNumId w:val="12"/>
  </w:num>
  <w:num w:numId="54">
    <w:abstractNumId w:val="9"/>
  </w:num>
  <w:num w:numId="55">
    <w:abstractNumId w:val="126"/>
  </w:num>
  <w:num w:numId="56">
    <w:abstractNumId w:val="105"/>
  </w:num>
  <w:num w:numId="57">
    <w:abstractNumId w:val="5"/>
  </w:num>
  <w:num w:numId="58">
    <w:abstractNumId w:val="32"/>
  </w:num>
  <w:num w:numId="59">
    <w:abstractNumId w:val="8"/>
  </w:num>
  <w:num w:numId="60">
    <w:abstractNumId w:val="45"/>
  </w:num>
  <w:num w:numId="61">
    <w:abstractNumId w:val="77"/>
  </w:num>
  <w:num w:numId="62">
    <w:abstractNumId w:val="102"/>
  </w:num>
  <w:num w:numId="63">
    <w:abstractNumId w:val="131"/>
  </w:num>
  <w:num w:numId="64">
    <w:abstractNumId w:val="14"/>
  </w:num>
  <w:num w:numId="65">
    <w:abstractNumId w:val="16"/>
  </w:num>
  <w:num w:numId="66">
    <w:abstractNumId w:val="38"/>
  </w:num>
  <w:num w:numId="67">
    <w:abstractNumId w:val="125"/>
  </w:num>
  <w:num w:numId="68">
    <w:abstractNumId w:val="53"/>
  </w:num>
  <w:num w:numId="69">
    <w:abstractNumId w:val="120"/>
  </w:num>
  <w:num w:numId="70">
    <w:abstractNumId w:val="116"/>
  </w:num>
  <w:num w:numId="71">
    <w:abstractNumId w:val="27"/>
  </w:num>
  <w:num w:numId="72">
    <w:abstractNumId w:val="46"/>
  </w:num>
  <w:num w:numId="73">
    <w:abstractNumId w:val="137"/>
  </w:num>
  <w:num w:numId="74">
    <w:abstractNumId w:val="26"/>
  </w:num>
  <w:num w:numId="75">
    <w:abstractNumId w:val="1"/>
  </w:num>
  <w:num w:numId="76">
    <w:abstractNumId w:val="132"/>
  </w:num>
  <w:num w:numId="77">
    <w:abstractNumId w:val="128"/>
  </w:num>
  <w:num w:numId="78">
    <w:abstractNumId w:val="30"/>
  </w:num>
  <w:num w:numId="79">
    <w:abstractNumId w:val="41"/>
  </w:num>
  <w:num w:numId="80">
    <w:abstractNumId w:val="85"/>
  </w:num>
  <w:num w:numId="81">
    <w:abstractNumId w:val="48"/>
  </w:num>
  <w:num w:numId="82">
    <w:abstractNumId w:val="7"/>
  </w:num>
  <w:num w:numId="83">
    <w:abstractNumId w:val="83"/>
  </w:num>
  <w:num w:numId="84">
    <w:abstractNumId w:val="100"/>
  </w:num>
  <w:num w:numId="85">
    <w:abstractNumId w:val="111"/>
  </w:num>
  <w:num w:numId="86">
    <w:abstractNumId w:val="69"/>
  </w:num>
  <w:num w:numId="87">
    <w:abstractNumId w:val="39"/>
  </w:num>
  <w:num w:numId="88">
    <w:abstractNumId w:val="50"/>
  </w:num>
  <w:num w:numId="89">
    <w:abstractNumId w:val="97"/>
  </w:num>
  <w:num w:numId="90">
    <w:abstractNumId w:val="56"/>
  </w:num>
  <w:num w:numId="91">
    <w:abstractNumId w:val="88"/>
  </w:num>
  <w:num w:numId="92">
    <w:abstractNumId w:val="122"/>
  </w:num>
  <w:num w:numId="93">
    <w:abstractNumId w:val="91"/>
  </w:num>
  <w:num w:numId="94">
    <w:abstractNumId w:val="136"/>
  </w:num>
  <w:num w:numId="95">
    <w:abstractNumId w:val="129"/>
  </w:num>
  <w:num w:numId="96">
    <w:abstractNumId w:val="52"/>
  </w:num>
  <w:num w:numId="97">
    <w:abstractNumId w:val="92"/>
  </w:num>
  <w:num w:numId="98">
    <w:abstractNumId w:val="18"/>
  </w:num>
  <w:num w:numId="99">
    <w:abstractNumId w:val="66"/>
  </w:num>
  <w:num w:numId="100">
    <w:abstractNumId w:val="62"/>
  </w:num>
  <w:num w:numId="101">
    <w:abstractNumId w:val="13"/>
  </w:num>
  <w:num w:numId="102">
    <w:abstractNumId w:val="25"/>
  </w:num>
  <w:num w:numId="103">
    <w:abstractNumId w:val="75"/>
  </w:num>
  <w:num w:numId="104">
    <w:abstractNumId w:val="119"/>
  </w:num>
  <w:num w:numId="105">
    <w:abstractNumId w:val="107"/>
  </w:num>
  <w:num w:numId="106">
    <w:abstractNumId w:val="133"/>
  </w:num>
  <w:num w:numId="107">
    <w:abstractNumId w:val="22"/>
  </w:num>
  <w:num w:numId="108">
    <w:abstractNumId w:val="20"/>
  </w:num>
  <w:num w:numId="109">
    <w:abstractNumId w:val="11"/>
  </w:num>
  <w:num w:numId="110">
    <w:abstractNumId w:val="37"/>
  </w:num>
  <w:num w:numId="111">
    <w:abstractNumId w:val="106"/>
  </w:num>
  <w:num w:numId="112">
    <w:abstractNumId w:val="60"/>
  </w:num>
  <w:num w:numId="113">
    <w:abstractNumId w:val="103"/>
  </w:num>
  <w:num w:numId="114">
    <w:abstractNumId w:val="19"/>
  </w:num>
  <w:num w:numId="115">
    <w:abstractNumId w:val="17"/>
  </w:num>
  <w:num w:numId="116">
    <w:abstractNumId w:val="90"/>
  </w:num>
  <w:num w:numId="117">
    <w:abstractNumId w:val="36"/>
  </w:num>
  <w:num w:numId="118">
    <w:abstractNumId w:val="70"/>
  </w:num>
  <w:num w:numId="119">
    <w:abstractNumId w:val="78"/>
  </w:num>
  <w:num w:numId="120">
    <w:abstractNumId w:val="113"/>
  </w:num>
  <w:num w:numId="121">
    <w:abstractNumId w:val="29"/>
  </w:num>
  <w:num w:numId="122">
    <w:abstractNumId w:val="64"/>
  </w:num>
  <w:num w:numId="123">
    <w:abstractNumId w:val="10"/>
  </w:num>
  <w:num w:numId="124">
    <w:abstractNumId w:val="59"/>
  </w:num>
  <w:num w:numId="125">
    <w:abstractNumId w:val="108"/>
  </w:num>
  <w:num w:numId="126">
    <w:abstractNumId w:val="28"/>
  </w:num>
  <w:num w:numId="127">
    <w:abstractNumId w:val="104"/>
  </w:num>
  <w:num w:numId="128">
    <w:abstractNumId w:val="73"/>
  </w:num>
  <w:num w:numId="129">
    <w:abstractNumId w:val="81"/>
  </w:num>
  <w:num w:numId="130">
    <w:abstractNumId w:val="42"/>
  </w:num>
  <w:num w:numId="131">
    <w:abstractNumId w:val="99"/>
  </w:num>
  <w:num w:numId="132">
    <w:abstractNumId w:val="94"/>
  </w:num>
  <w:num w:numId="133">
    <w:abstractNumId w:val="33"/>
  </w:num>
  <w:num w:numId="134">
    <w:abstractNumId w:val="124"/>
  </w:num>
  <w:num w:numId="135">
    <w:abstractNumId w:val="86"/>
  </w:num>
  <w:num w:numId="136">
    <w:abstractNumId w:val="74"/>
  </w:num>
  <w:num w:numId="137">
    <w:abstractNumId w:val="24"/>
  </w:num>
  <w:num w:numId="138">
    <w:abstractNumId w:val="10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
  <w:rsids>
    <w:rsidRoot w:val="008820E4"/>
    <w:rsid w:val="000160E2"/>
    <w:rsid w:val="00045950"/>
    <w:rsid w:val="0007728F"/>
    <w:rsid w:val="00096B74"/>
    <w:rsid w:val="000F0523"/>
    <w:rsid w:val="00112D20"/>
    <w:rsid w:val="00132FE9"/>
    <w:rsid w:val="0017456B"/>
    <w:rsid w:val="00177DA4"/>
    <w:rsid w:val="001C1FDF"/>
    <w:rsid w:val="001F620C"/>
    <w:rsid w:val="002711C8"/>
    <w:rsid w:val="0029457D"/>
    <w:rsid w:val="00352538"/>
    <w:rsid w:val="00381B41"/>
    <w:rsid w:val="004742E9"/>
    <w:rsid w:val="004812B5"/>
    <w:rsid w:val="004B4382"/>
    <w:rsid w:val="004D7FC3"/>
    <w:rsid w:val="00577535"/>
    <w:rsid w:val="005C49A8"/>
    <w:rsid w:val="007031BE"/>
    <w:rsid w:val="008447BC"/>
    <w:rsid w:val="008604A3"/>
    <w:rsid w:val="008820E4"/>
    <w:rsid w:val="008E2575"/>
    <w:rsid w:val="009372E1"/>
    <w:rsid w:val="00A64732"/>
    <w:rsid w:val="00C03FB0"/>
    <w:rsid w:val="00C50357"/>
    <w:rsid w:val="00C55ED3"/>
    <w:rsid w:val="00CA5826"/>
    <w:rsid w:val="00CF103B"/>
    <w:rsid w:val="00DB2DD3"/>
    <w:rsid w:val="00DF1C5D"/>
    <w:rsid w:val="00E86E4B"/>
    <w:rsid w:val="00EA52D0"/>
    <w:rsid w:val="00F552EF"/>
    <w:rsid w:val="00F7271B"/>
    <w:rsid w:val="00F7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unhideWhenUsed/>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unhideWhenUsed/>
    <w:rPr>
      <w:color w:val="0000FF"/>
      <w:u w:val="single"/>
    </w:rPr>
  </w:style>
  <w:style w:type="paragraph" w:styleId="a7">
    <w:name w:val="Balloon Text"/>
    <w:basedOn w:val="a"/>
    <w:link w:val="Char"/>
    <w:uiPriority w:val="99"/>
    <w:semiHidden/>
    <w:unhideWhenUsed/>
    <w:rsid w:val="00DF1C5D"/>
    <w:rPr>
      <w:sz w:val="18"/>
      <w:szCs w:val="18"/>
    </w:rPr>
  </w:style>
  <w:style w:type="character" w:customStyle="1" w:styleId="Char">
    <w:name w:val="批注框文本 Char"/>
    <w:basedOn w:val="a0"/>
    <w:link w:val="a7"/>
    <w:uiPriority w:val="99"/>
    <w:semiHidden/>
    <w:rsid w:val="00DF1C5D"/>
    <w:rPr>
      <w:sz w:val="18"/>
      <w:szCs w:val="18"/>
    </w:rPr>
  </w:style>
  <w:style w:type="paragraph" w:styleId="a8">
    <w:name w:val="header"/>
    <w:basedOn w:val="a"/>
    <w:link w:val="Char0"/>
    <w:uiPriority w:val="99"/>
    <w:unhideWhenUsed/>
    <w:rsid w:val="00EA5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A52D0"/>
    <w:rPr>
      <w:sz w:val="18"/>
      <w:szCs w:val="18"/>
    </w:rPr>
  </w:style>
  <w:style w:type="paragraph" w:styleId="a9">
    <w:name w:val="footer"/>
    <w:basedOn w:val="a"/>
    <w:link w:val="Char1"/>
    <w:uiPriority w:val="99"/>
    <w:unhideWhenUsed/>
    <w:rsid w:val="00EA52D0"/>
    <w:pPr>
      <w:tabs>
        <w:tab w:val="center" w:pos="4153"/>
        <w:tab w:val="right" w:pos="8306"/>
      </w:tabs>
      <w:snapToGrid w:val="0"/>
    </w:pPr>
    <w:rPr>
      <w:sz w:val="18"/>
      <w:szCs w:val="18"/>
    </w:rPr>
  </w:style>
  <w:style w:type="character" w:customStyle="1" w:styleId="Char1">
    <w:name w:val="页脚 Char"/>
    <w:basedOn w:val="a0"/>
    <w:link w:val="a9"/>
    <w:uiPriority w:val="99"/>
    <w:rsid w:val="00EA52D0"/>
    <w:rPr>
      <w:sz w:val="18"/>
      <w:szCs w:val="18"/>
    </w:rPr>
  </w:style>
  <w:style w:type="character" w:styleId="aa">
    <w:name w:val="annotation reference"/>
    <w:basedOn w:val="a0"/>
    <w:uiPriority w:val="99"/>
    <w:semiHidden/>
    <w:unhideWhenUsed/>
    <w:rsid w:val="00EA52D0"/>
    <w:rPr>
      <w:sz w:val="21"/>
      <w:szCs w:val="21"/>
    </w:rPr>
  </w:style>
  <w:style w:type="paragraph" w:styleId="ab">
    <w:name w:val="annotation text"/>
    <w:basedOn w:val="a"/>
    <w:link w:val="Char2"/>
    <w:uiPriority w:val="99"/>
    <w:semiHidden/>
    <w:unhideWhenUsed/>
    <w:rsid w:val="00EA52D0"/>
  </w:style>
  <w:style w:type="character" w:customStyle="1" w:styleId="Char2">
    <w:name w:val="批注文字 Char"/>
    <w:basedOn w:val="a0"/>
    <w:link w:val="ab"/>
    <w:uiPriority w:val="99"/>
    <w:semiHidden/>
    <w:rsid w:val="00EA52D0"/>
  </w:style>
  <w:style w:type="paragraph" w:styleId="ac">
    <w:name w:val="annotation subject"/>
    <w:basedOn w:val="ab"/>
    <w:next w:val="ab"/>
    <w:link w:val="Char3"/>
    <w:uiPriority w:val="99"/>
    <w:semiHidden/>
    <w:unhideWhenUsed/>
    <w:rsid w:val="00EA52D0"/>
    <w:rPr>
      <w:b/>
      <w:bCs/>
    </w:rPr>
  </w:style>
  <w:style w:type="character" w:customStyle="1" w:styleId="Char3">
    <w:name w:val="批注主题 Char"/>
    <w:basedOn w:val="Char2"/>
    <w:link w:val="ac"/>
    <w:uiPriority w:val="99"/>
    <w:semiHidden/>
    <w:rsid w:val="00EA5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unhideWhenUsed/>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unhideWhenUsed/>
    <w:rPr>
      <w:color w:val="0000FF"/>
      <w:u w:val="single"/>
    </w:rPr>
  </w:style>
  <w:style w:type="paragraph" w:styleId="a7">
    <w:name w:val="Balloon Text"/>
    <w:basedOn w:val="a"/>
    <w:link w:val="Char"/>
    <w:uiPriority w:val="99"/>
    <w:semiHidden/>
    <w:unhideWhenUsed/>
    <w:rsid w:val="00DF1C5D"/>
    <w:rPr>
      <w:sz w:val="18"/>
      <w:szCs w:val="18"/>
    </w:rPr>
  </w:style>
  <w:style w:type="character" w:customStyle="1" w:styleId="Char">
    <w:name w:val="批注框文本 Char"/>
    <w:basedOn w:val="a0"/>
    <w:link w:val="a7"/>
    <w:uiPriority w:val="99"/>
    <w:semiHidden/>
    <w:rsid w:val="00DF1C5D"/>
    <w:rPr>
      <w:sz w:val="18"/>
      <w:szCs w:val="18"/>
    </w:rPr>
  </w:style>
  <w:style w:type="paragraph" w:styleId="a8">
    <w:name w:val="header"/>
    <w:basedOn w:val="a"/>
    <w:link w:val="Char0"/>
    <w:uiPriority w:val="99"/>
    <w:unhideWhenUsed/>
    <w:rsid w:val="00EA52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A52D0"/>
    <w:rPr>
      <w:sz w:val="18"/>
      <w:szCs w:val="18"/>
    </w:rPr>
  </w:style>
  <w:style w:type="paragraph" w:styleId="a9">
    <w:name w:val="footer"/>
    <w:basedOn w:val="a"/>
    <w:link w:val="Char1"/>
    <w:uiPriority w:val="99"/>
    <w:unhideWhenUsed/>
    <w:rsid w:val="00EA52D0"/>
    <w:pPr>
      <w:tabs>
        <w:tab w:val="center" w:pos="4153"/>
        <w:tab w:val="right" w:pos="8306"/>
      </w:tabs>
      <w:snapToGrid w:val="0"/>
    </w:pPr>
    <w:rPr>
      <w:sz w:val="18"/>
      <w:szCs w:val="18"/>
    </w:rPr>
  </w:style>
  <w:style w:type="character" w:customStyle="1" w:styleId="Char1">
    <w:name w:val="页脚 Char"/>
    <w:basedOn w:val="a0"/>
    <w:link w:val="a9"/>
    <w:uiPriority w:val="99"/>
    <w:rsid w:val="00EA52D0"/>
    <w:rPr>
      <w:sz w:val="18"/>
      <w:szCs w:val="18"/>
    </w:rPr>
  </w:style>
  <w:style w:type="character" w:styleId="aa">
    <w:name w:val="annotation reference"/>
    <w:basedOn w:val="a0"/>
    <w:uiPriority w:val="99"/>
    <w:semiHidden/>
    <w:unhideWhenUsed/>
    <w:rsid w:val="00EA52D0"/>
    <w:rPr>
      <w:sz w:val="21"/>
      <w:szCs w:val="21"/>
    </w:rPr>
  </w:style>
  <w:style w:type="paragraph" w:styleId="ab">
    <w:name w:val="annotation text"/>
    <w:basedOn w:val="a"/>
    <w:link w:val="Char2"/>
    <w:uiPriority w:val="99"/>
    <w:semiHidden/>
    <w:unhideWhenUsed/>
    <w:rsid w:val="00EA52D0"/>
  </w:style>
  <w:style w:type="character" w:customStyle="1" w:styleId="Char2">
    <w:name w:val="批注文字 Char"/>
    <w:basedOn w:val="a0"/>
    <w:link w:val="ab"/>
    <w:uiPriority w:val="99"/>
    <w:semiHidden/>
    <w:rsid w:val="00EA52D0"/>
  </w:style>
  <w:style w:type="paragraph" w:styleId="ac">
    <w:name w:val="annotation subject"/>
    <w:basedOn w:val="ab"/>
    <w:next w:val="ab"/>
    <w:link w:val="Char3"/>
    <w:uiPriority w:val="99"/>
    <w:semiHidden/>
    <w:unhideWhenUsed/>
    <w:rsid w:val="00EA52D0"/>
    <w:rPr>
      <w:b/>
      <w:bCs/>
    </w:rPr>
  </w:style>
  <w:style w:type="character" w:customStyle="1" w:styleId="Char3">
    <w:name w:val="批注主题 Char"/>
    <w:basedOn w:val="Char2"/>
    <w:link w:val="ac"/>
    <w:uiPriority w:val="99"/>
    <w:semiHidden/>
    <w:rsid w:val="00EA5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0">
      <w:bodyDiv w:val="1"/>
      <w:marLeft w:val="0"/>
      <w:marRight w:val="0"/>
      <w:marTop w:val="0"/>
      <w:marBottom w:val="0"/>
      <w:divBdr>
        <w:top w:val="none" w:sz="0" w:space="0" w:color="auto"/>
        <w:left w:val="none" w:sz="0" w:space="0" w:color="auto"/>
        <w:bottom w:val="none" w:sz="0" w:space="0" w:color="auto"/>
        <w:right w:val="none" w:sz="0" w:space="0" w:color="auto"/>
      </w:divBdr>
    </w:div>
    <w:div w:id="17782291">
      <w:bodyDiv w:val="1"/>
      <w:marLeft w:val="0"/>
      <w:marRight w:val="0"/>
      <w:marTop w:val="0"/>
      <w:marBottom w:val="0"/>
      <w:divBdr>
        <w:top w:val="none" w:sz="0" w:space="0" w:color="auto"/>
        <w:left w:val="none" w:sz="0" w:space="0" w:color="auto"/>
        <w:bottom w:val="none" w:sz="0" w:space="0" w:color="auto"/>
        <w:right w:val="none" w:sz="0" w:space="0" w:color="auto"/>
      </w:divBdr>
    </w:div>
    <w:div w:id="27918450">
      <w:bodyDiv w:val="1"/>
      <w:marLeft w:val="0"/>
      <w:marRight w:val="0"/>
      <w:marTop w:val="0"/>
      <w:marBottom w:val="0"/>
      <w:divBdr>
        <w:top w:val="none" w:sz="0" w:space="0" w:color="auto"/>
        <w:left w:val="none" w:sz="0" w:space="0" w:color="auto"/>
        <w:bottom w:val="none" w:sz="0" w:space="0" w:color="auto"/>
        <w:right w:val="none" w:sz="0" w:space="0" w:color="auto"/>
      </w:divBdr>
    </w:div>
    <w:div w:id="45878594">
      <w:bodyDiv w:val="1"/>
      <w:marLeft w:val="0"/>
      <w:marRight w:val="0"/>
      <w:marTop w:val="0"/>
      <w:marBottom w:val="0"/>
      <w:divBdr>
        <w:top w:val="none" w:sz="0" w:space="0" w:color="auto"/>
        <w:left w:val="none" w:sz="0" w:space="0" w:color="auto"/>
        <w:bottom w:val="none" w:sz="0" w:space="0" w:color="auto"/>
        <w:right w:val="none" w:sz="0" w:space="0" w:color="auto"/>
      </w:divBdr>
    </w:div>
    <w:div w:id="72820496">
      <w:bodyDiv w:val="1"/>
      <w:marLeft w:val="0"/>
      <w:marRight w:val="0"/>
      <w:marTop w:val="0"/>
      <w:marBottom w:val="0"/>
      <w:divBdr>
        <w:top w:val="none" w:sz="0" w:space="0" w:color="auto"/>
        <w:left w:val="none" w:sz="0" w:space="0" w:color="auto"/>
        <w:bottom w:val="none" w:sz="0" w:space="0" w:color="auto"/>
        <w:right w:val="none" w:sz="0" w:space="0" w:color="auto"/>
      </w:divBdr>
    </w:div>
    <w:div w:id="77945258">
      <w:bodyDiv w:val="1"/>
      <w:marLeft w:val="0"/>
      <w:marRight w:val="0"/>
      <w:marTop w:val="0"/>
      <w:marBottom w:val="0"/>
      <w:divBdr>
        <w:top w:val="none" w:sz="0" w:space="0" w:color="auto"/>
        <w:left w:val="none" w:sz="0" w:space="0" w:color="auto"/>
        <w:bottom w:val="none" w:sz="0" w:space="0" w:color="auto"/>
        <w:right w:val="none" w:sz="0" w:space="0" w:color="auto"/>
      </w:divBdr>
    </w:div>
    <w:div w:id="78135446">
      <w:bodyDiv w:val="1"/>
      <w:marLeft w:val="0"/>
      <w:marRight w:val="0"/>
      <w:marTop w:val="0"/>
      <w:marBottom w:val="0"/>
      <w:divBdr>
        <w:top w:val="none" w:sz="0" w:space="0" w:color="auto"/>
        <w:left w:val="none" w:sz="0" w:space="0" w:color="auto"/>
        <w:bottom w:val="none" w:sz="0" w:space="0" w:color="auto"/>
        <w:right w:val="none" w:sz="0" w:space="0" w:color="auto"/>
      </w:divBdr>
    </w:div>
    <w:div w:id="84959456">
      <w:bodyDiv w:val="1"/>
      <w:marLeft w:val="0"/>
      <w:marRight w:val="0"/>
      <w:marTop w:val="0"/>
      <w:marBottom w:val="0"/>
      <w:divBdr>
        <w:top w:val="none" w:sz="0" w:space="0" w:color="auto"/>
        <w:left w:val="none" w:sz="0" w:space="0" w:color="auto"/>
        <w:bottom w:val="none" w:sz="0" w:space="0" w:color="auto"/>
        <w:right w:val="none" w:sz="0" w:space="0" w:color="auto"/>
      </w:divBdr>
    </w:div>
    <w:div w:id="99422064">
      <w:bodyDiv w:val="1"/>
      <w:marLeft w:val="0"/>
      <w:marRight w:val="0"/>
      <w:marTop w:val="0"/>
      <w:marBottom w:val="0"/>
      <w:divBdr>
        <w:top w:val="none" w:sz="0" w:space="0" w:color="auto"/>
        <w:left w:val="none" w:sz="0" w:space="0" w:color="auto"/>
        <w:bottom w:val="none" w:sz="0" w:space="0" w:color="auto"/>
        <w:right w:val="none" w:sz="0" w:space="0" w:color="auto"/>
      </w:divBdr>
    </w:div>
    <w:div w:id="109445265">
      <w:bodyDiv w:val="1"/>
      <w:marLeft w:val="0"/>
      <w:marRight w:val="0"/>
      <w:marTop w:val="0"/>
      <w:marBottom w:val="0"/>
      <w:divBdr>
        <w:top w:val="none" w:sz="0" w:space="0" w:color="auto"/>
        <w:left w:val="none" w:sz="0" w:space="0" w:color="auto"/>
        <w:bottom w:val="none" w:sz="0" w:space="0" w:color="auto"/>
        <w:right w:val="none" w:sz="0" w:space="0" w:color="auto"/>
      </w:divBdr>
    </w:div>
    <w:div w:id="112286094">
      <w:bodyDiv w:val="1"/>
      <w:marLeft w:val="0"/>
      <w:marRight w:val="0"/>
      <w:marTop w:val="0"/>
      <w:marBottom w:val="0"/>
      <w:divBdr>
        <w:top w:val="none" w:sz="0" w:space="0" w:color="auto"/>
        <w:left w:val="none" w:sz="0" w:space="0" w:color="auto"/>
        <w:bottom w:val="none" w:sz="0" w:space="0" w:color="auto"/>
        <w:right w:val="none" w:sz="0" w:space="0" w:color="auto"/>
      </w:divBdr>
    </w:div>
    <w:div w:id="113721932">
      <w:bodyDiv w:val="1"/>
      <w:marLeft w:val="0"/>
      <w:marRight w:val="0"/>
      <w:marTop w:val="0"/>
      <w:marBottom w:val="0"/>
      <w:divBdr>
        <w:top w:val="none" w:sz="0" w:space="0" w:color="auto"/>
        <w:left w:val="none" w:sz="0" w:space="0" w:color="auto"/>
        <w:bottom w:val="none" w:sz="0" w:space="0" w:color="auto"/>
        <w:right w:val="none" w:sz="0" w:space="0" w:color="auto"/>
      </w:divBdr>
    </w:div>
    <w:div w:id="122355713">
      <w:bodyDiv w:val="1"/>
      <w:marLeft w:val="0"/>
      <w:marRight w:val="0"/>
      <w:marTop w:val="0"/>
      <w:marBottom w:val="0"/>
      <w:divBdr>
        <w:top w:val="none" w:sz="0" w:space="0" w:color="auto"/>
        <w:left w:val="none" w:sz="0" w:space="0" w:color="auto"/>
        <w:bottom w:val="none" w:sz="0" w:space="0" w:color="auto"/>
        <w:right w:val="none" w:sz="0" w:space="0" w:color="auto"/>
      </w:divBdr>
    </w:div>
    <w:div w:id="134445532">
      <w:bodyDiv w:val="1"/>
      <w:marLeft w:val="0"/>
      <w:marRight w:val="0"/>
      <w:marTop w:val="0"/>
      <w:marBottom w:val="0"/>
      <w:divBdr>
        <w:top w:val="none" w:sz="0" w:space="0" w:color="auto"/>
        <w:left w:val="none" w:sz="0" w:space="0" w:color="auto"/>
        <w:bottom w:val="none" w:sz="0" w:space="0" w:color="auto"/>
        <w:right w:val="none" w:sz="0" w:space="0" w:color="auto"/>
      </w:divBdr>
    </w:div>
    <w:div w:id="144249224">
      <w:bodyDiv w:val="1"/>
      <w:marLeft w:val="0"/>
      <w:marRight w:val="0"/>
      <w:marTop w:val="0"/>
      <w:marBottom w:val="0"/>
      <w:divBdr>
        <w:top w:val="none" w:sz="0" w:space="0" w:color="auto"/>
        <w:left w:val="none" w:sz="0" w:space="0" w:color="auto"/>
        <w:bottom w:val="none" w:sz="0" w:space="0" w:color="auto"/>
        <w:right w:val="none" w:sz="0" w:space="0" w:color="auto"/>
      </w:divBdr>
    </w:div>
    <w:div w:id="146286736">
      <w:bodyDiv w:val="1"/>
      <w:marLeft w:val="0"/>
      <w:marRight w:val="0"/>
      <w:marTop w:val="0"/>
      <w:marBottom w:val="0"/>
      <w:divBdr>
        <w:top w:val="none" w:sz="0" w:space="0" w:color="auto"/>
        <w:left w:val="none" w:sz="0" w:space="0" w:color="auto"/>
        <w:bottom w:val="none" w:sz="0" w:space="0" w:color="auto"/>
        <w:right w:val="none" w:sz="0" w:space="0" w:color="auto"/>
      </w:divBdr>
    </w:div>
    <w:div w:id="146937997">
      <w:bodyDiv w:val="1"/>
      <w:marLeft w:val="0"/>
      <w:marRight w:val="0"/>
      <w:marTop w:val="0"/>
      <w:marBottom w:val="0"/>
      <w:divBdr>
        <w:top w:val="none" w:sz="0" w:space="0" w:color="auto"/>
        <w:left w:val="none" w:sz="0" w:space="0" w:color="auto"/>
        <w:bottom w:val="none" w:sz="0" w:space="0" w:color="auto"/>
        <w:right w:val="none" w:sz="0" w:space="0" w:color="auto"/>
      </w:divBdr>
    </w:div>
    <w:div w:id="149565903">
      <w:bodyDiv w:val="1"/>
      <w:marLeft w:val="0"/>
      <w:marRight w:val="0"/>
      <w:marTop w:val="0"/>
      <w:marBottom w:val="0"/>
      <w:divBdr>
        <w:top w:val="none" w:sz="0" w:space="0" w:color="auto"/>
        <w:left w:val="none" w:sz="0" w:space="0" w:color="auto"/>
        <w:bottom w:val="none" w:sz="0" w:space="0" w:color="auto"/>
        <w:right w:val="none" w:sz="0" w:space="0" w:color="auto"/>
      </w:divBdr>
    </w:div>
    <w:div w:id="158427534">
      <w:bodyDiv w:val="1"/>
      <w:marLeft w:val="0"/>
      <w:marRight w:val="0"/>
      <w:marTop w:val="0"/>
      <w:marBottom w:val="0"/>
      <w:divBdr>
        <w:top w:val="none" w:sz="0" w:space="0" w:color="auto"/>
        <w:left w:val="none" w:sz="0" w:space="0" w:color="auto"/>
        <w:bottom w:val="none" w:sz="0" w:space="0" w:color="auto"/>
        <w:right w:val="none" w:sz="0" w:space="0" w:color="auto"/>
      </w:divBdr>
    </w:div>
    <w:div w:id="163593797">
      <w:bodyDiv w:val="1"/>
      <w:marLeft w:val="0"/>
      <w:marRight w:val="0"/>
      <w:marTop w:val="0"/>
      <w:marBottom w:val="0"/>
      <w:divBdr>
        <w:top w:val="none" w:sz="0" w:space="0" w:color="auto"/>
        <w:left w:val="none" w:sz="0" w:space="0" w:color="auto"/>
        <w:bottom w:val="none" w:sz="0" w:space="0" w:color="auto"/>
        <w:right w:val="none" w:sz="0" w:space="0" w:color="auto"/>
      </w:divBdr>
    </w:div>
    <w:div w:id="168643188">
      <w:bodyDiv w:val="1"/>
      <w:marLeft w:val="0"/>
      <w:marRight w:val="0"/>
      <w:marTop w:val="0"/>
      <w:marBottom w:val="0"/>
      <w:divBdr>
        <w:top w:val="none" w:sz="0" w:space="0" w:color="auto"/>
        <w:left w:val="none" w:sz="0" w:space="0" w:color="auto"/>
        <w:bottom w:val="none" w:sz="0" w:space="0" w:color="auto"/>
        <w:right w:val="none" w:sz="0" w:space="0" w:color="auto"/>
      </w:divBdr>
    </w:div>
    <w:div w:id="173571249">
      <w:bodyDiv w:val="1"/>
      <w:marLeft w:val="0"/>
      <w:marRight w:val="0"/>
      <w:marTop w:val="0"/>
      <w:marBottom w:val="0"/>
      <w:divBdr>
        <w:top w:val="none" w:sz="0" w:space="0" w:color="auto"/>
        <w:left w:val="none" w:sz="0" w:space="0" w:color="auto"/>
        <w:bottom w:val="none" w:sz="0" w:space="0" w:color="auto"/>
        <w:right w:val="none" w:sz="0" w:space="0" w:color="auto"/>
      </w:divBdr>
    </w:div>
    <w:div w:id="176315035">
      <w:bodyDiv w:val="1"/>
      <w:marLeft w:val="0"/>
      <w:marRight w:val="0"/>
      <w:marTop w:val="0"/>
      <w:marBottom w:val="0"/>
      <w:divBdr>
        <w:top w:val="none" w:sz="0" w:space="0" w:color="auto"/>
        <w:left w:val="none" w:sz="0" w:space="0" w:color="auto"/>
        <w:bottom w:val="none" w:sz="0" w:space="0" w:color="auto"/>
        <w:right w:val="none" w:sz="0" w:space="0" w:color="auto"/>
      </w:divBdr>
    </w:div>
    <w:div w:id="177736645">
      <w:bodyDiv w:val="1"/>
      <w:marLeft w:val="0"/>
      <w:marRight w:val="0"/>
      <w:marTop w:val="0"/>
      <w:marBottom w:val="0"/>
      <w:divBdr>
        <w:top w:val="none" w:sz="0" w:space="0" w:color="auto"/>
        <w:left w:val="none" w:sz="0" w:space="0" w:color="auto"/>
        <w:bottom w:val="none" w:sz="0" w:space="0" w:color="auto"/>
        <w:right w:val="none" w:sz="0" w:space="0" w:color="auto"/>
      </w:divBdr>
    </w:div>
    <w:div w:id="177818042">
      <w:bodyDiv w:val="1"/>
      <w:marLeft w:val="0"/>
      <w:marRight w:val="0"/>
      <w:marTop w:val="0"/>
      <w:marBottom w:val="0"/>
      <w:divBdr>
        <w:top w:val="none" w:sz="0" w:space="0" w:color="auto"/>
        <w:left w:val="none" w:sz="0" w:space="0" w:color="auto"/>
        <w:bottom w:val="none" w:sz="0" w:space="0" w:color="auto"/>
        <w:right w:val="none" w:sz="0" w:space="0" w:color="auto"/>
      </w:divBdr>
    </w:div>
    <w:div w:id="179051346">
      <w:bodyDiv w:val="1"/>
      <w:marLeft w:val="0"/>
      <w:marRight w:val="0"/>
      <w:marTop w:val="0"/>
      <w:marBottom w:val="0"/>
      <w:divBdr>
        <w:top w:val="none" w:sz="0" w:space="0" w:color="auto"/>
        <w:left w:val="none" w:sz="0" w:space="0" w:color="auto"/>
        <w:bottom w:val="none" w:sz="0" w:space="0" w:color="auto"/>
        <w:right w:val="none" w:sz="0" w:space="0" w:color="auto"/>
      </w:divBdr>
    </w:div>
    <w:div w:id="197741463">
      <w:bodyDiv w:val="1"/>
      <w:marLeft w:val="0"/>
      <w:marRight w:val="0"/>
      <w:marTop w:val="0"/>
      <w:marBottom w:val="0"/>
      <w:divBdr>
        <w:top w:val="none" w:sz="0" w:space="0" w:color="auto"/>
        <w:left w:val="none" w:sz="0" w:space="0" w:color="auto"/>
        <w:bottom w:val="none" w:sz="0" w:space="0" w:color="auto"/>
        <w:right w:val="none" w:sz="0" w:space="0" w:color="auto"/>
      </w:divBdr>
    </w:div>
    <w:div w:id="206843637">
      <w:bodyDiv w:val="1"/>
      <w:marLeft w:val="0"/>
      <w:marRight w:val="0"/>
      <w:marTop w:val="0"/>
      <w:marBottom w:val="0"/>
      <w:divBdr>
        <w:top w:val="none" w:sz="0" w:space="0" w:color="auto"/>
        <w:left w:val="none" w:sz="0" w:space="0" w:color="auto"/>
        <w:bottom w:val="none" w:sz="0" w:space="0" w:color="auto"/>
        <w:right w:val="none" w:sz="0" w:space="0" w:color="auto"/>
      </w:divBdr>
    </w:div>
    <w:div w:id="218253730">
      <w:bodyDiv w:val="1"/>
      <w:marLeft w:val="0"/>
      <w:marRight w:val="0"/>
      <w:marTop w:val="0"/>
      <w:marBottom w:val="0"/>
      <w:divBdr>
        <w:top w:val="none" w:sz="0" w:space="0" w:color="auto"/>
        <w:left w:val="none" w:sz="0" w:space="0" w:color="auto"/>
        <w:bottom w:val="none" w:sz="0" w:space="0" w:color="auto"/>
        <w:right w:val="none" w:sz="0" w:space="0" w:color="auto"/>
      </w:divBdr>
    </w:div>
    <w:div w:id="219050730">
      <w:bodyDiv w:val="1"/>
      <w:marLeft w:val="0"/>
      <w:marRight w:val="0"/>
      <w:marTop w:val="0"/>
      <w:marBottom w:val="0"/>
      <w:divBdr>
        <w:top w:val="none" w:sz="0" w:space="0" w:color="auto"/>
        <w:left w:val="none" w:sz="0" w:space="0" w:color="auto"/>
        <w:bottom w:val="none" w:sz="0" w:space="0" w:color="auto"/>
        <w:right w:val="none" w:sz="0" w:space="0" w:color="auto"/>
      </w:divBdr>
    </w:div>
    <w:div w:id="231357680">
      <w:bodyDiv w:val="1"/>
      <w:marLeft w:val="0"/>
      <w:marRight w:val="0"/>
      <w:marTop w:val="0"/>
      <w:marBottom w:val="0"/>
      <w:divBdr>
        <w:top w:val="none" w:sz="0" w:space="0" w:color="auto"/>
        <w:left w:val="none" w:sz="0" w:space="0" w:color="auto"/>
        <w:bottom w:val="none" w:sz="0" w:space="0" w:color="auto"/>
        <w:right w:val="none" w:sz="0" w:space="0" w:color="auto"/>
      </w:divBdr>
    </w:div>
    <w:div w:id="232588693">
      <w:bodyDiv w:val="1"/>
      <w:marLeft w:val="0"/>
      <w:marRight w:val="0"/>
      <w:marTop w:val="0"/>
      <w:marBottom w:val="0"/>
      <w:divBdr>
        <w:top w:val="none" w:sz="0" w:space="0" w:color="auto"/>
        <w:left w:val="none" w:sz="0" w:space="0" w:color="auto"/>
        <w:bottom w:val="none" w:sz="0" w:space="0" w:color="auto"/>
        <w:right w:val="none" w:sz="0" w:space="0" w:color="auto"/>
      </w:divBdr>
    </w:div>
    <w:div w:id="239097704">
      <w:bodyDiv w:val="1"/>
      <w:marLeft w:val="0"/>
      <w:marRight w:val="0"/>
      <w:marTop w:val="0"/>
      <w:marBottom w:val="0"/>
      <w:divBdr>
        <w:top w:val="none" w:sz="0" w:space="0" w:color="auto"/>
        <w:left w:val="none" w:sz="0" w:space="0" w:color="auto"/>
        <w:bottom w:val="none" w:sz="0" w:space="0" w:color="auto"/>
        <w:right w:val="none" w:sz="0" w:space="0" w:color="auto"/>
      </w:divBdr>
    </w:div>
    <w:div w:id="250042673">
      <w:bodyDiv w:val="1"/>
      <w:marLeft w:val="0"/>
      <w:marRight w:val="0"/>
      <w:marTop w:val="0"/>
      <w:marBottom w:val="0"/>
      <w:divBdr>
        <w:top w:val="none" w:sz="0" w:space="0" w:color="auto"/>
        <w:left w:val="none" w:sz="0" w:space="0" w:color="auto"/>
        <w:bottom w:val="none" w:sz="0" w:space="0" w:color="auto"/>
        <w:right w:val="none" w:sz="0" w:space="0" w:color="auto"/>
      </w:divBdr>
    </w:div>
    <w:div w:id="252785605">
      <w:bodyDiv w:val="1"/>
      <w:marLeft w:val="0"/>
      <w:marRight w:val="0"/>
      <w:marTop w:val="0"/>
      <w:marBottom w:val="0"/>
      <w:divBdr>
        <w:top w:val="none" w:sz="0" w:space="0" w:color="auto"/>
        <w:left w:val="none" w:sz="0" w:space="0" w:color="auto"/>
        <w:bottom w:val="none" w:sz="0" w:space="0" w:color="auto"/>
        <w:right w:val="none" w:sz="0" w:space="0" w:color="auto"/>
      </w:divBdr>
    </w:div>
    <w:div w:id="256796895">
      <w:bodyDiv w:val="1"/>
      <w:marLeft w:val="0"/>
      <w:marRight w:val="0"/>
      <w:marTop w:val="0"/>
      <w:marBottom w:val="0"/>
      <w:divBdr>
        <w:top w:val="none" w:sz="0" w:space="0" w:color="auto"/>
        <w:left w:val="none" w:sz="0" w:space="0" w:color="auto"/>
        <w:bottom w:val="none" w:sz="0" w:space="0" w:color="auto"/>
        <w:right w:val="none" w:sz="0" w:space="0" w:color="auto"/>
      </w:divBdr>
    </w:div>
    <w:div w:id="258415657">
      <w:bodyDiv w:val="1"/>
      <w:marLeft w:val="0"/>
      <w:marRight w:val="0"/>
      <w:marTop w:val="0"/>
      <w:marBottom w:val="0"/>
      <w:divBdr>
        <w:top w:val="none" w:sz="0" w:space="0" w:color="auto"/>
        <w:left w:val="none" w:sz="0" w:space="0" w:color="auto"/>
        <w:bottom w:val="none" w:sz="0" w:space="0" w:color="auto"/>
        <w:right w:val="none" w:sz="0" w:space="0" w:color="auto"/>
      </w:divBdr>
    </w:div>
    <w:div w:id="267809758">
      <w:bodyDiv w:val="1"/>
      <w:marLeft w:val="0"/>
      <w:marRight w:val="0"/>
      <w:marTop w:val="0"/>
      <w:marBottom w:val="0"/>
      <w:divBdr>
        <w:top w:val="none" w:sz="0" w:space="0" w:color="auto"/>
        <w:left w:val="none" w:sz="0" w:space="0" w:color="auto"/>
        <w:bottom w:val="none" w:sz="0" w:space="0" w:color="auto"/>
        <w:right w:val="none" w:sz="0" w:space="0" w:color="auto"/>
      </w:divBdr>
    </w:div>
    <w:div w:id="280305592">
      <w:bodyDiv w:val="1"/>
      <w:marLeft w:val="0"/>
      <w:marRight w:val="0"/>
      <w:marTop w:val="0"/>
      <w:marBottom w:val="0"/>
      <w:divBdr>
        <w:top w:val="none" w:sz="0" w:space="0" w:color="auto"/>
        <w:left w:val="none" w:sz="0" w:space="0" w:color="auto"/>
        <w:bottom w:val="none" w:sz="0" w:space="0" w:color="auto"/>
        <w:right w:val="none" w:sz="0" w:space="0" w:color="auto"/>
      </w:divBdr>
    </w:div>
    <w:div w:id="284894976">
      <w:bodyDiv w:val="1"/>
      <w:marLeft w:val="0"/>
      <w:marRight w:val="0"/>
      <w:marTop w:val="0"/>
      <w:marBottom w:val="0"/>
      <w:divBdr>
        <w:top w:val="none" w:sz="0" w:space="0" w:color="auto"/>
        <w:left w:val="none" w:sz="0" w:space="0" w:color="auto"/>
        <w:bottom w:val="none" w:sz="0" w:space="0" w:color="auto"/>
        <w:right w:val="none" w:sz="0" w:space="0" w:color="auto"/>
      </w:divBdr>
    </w:div>
    <w:div w:id="288629058">
      <w:bodyDiv w:val="1"/>
      <w:marLeft w:val="0"/>
      <w:marRight w:val="0"/>
      <w:marTop w:val="0"/>
      <w:marBottom w:val="0"/>
      <w:divBdr>
        <w:top w:val="none" w:sz="0" w:space="0" w:color="auto"/>
        <w:left w:val="none" w:sz="0" w:space="0" w:color="auto"/>
        <w:bottom w:val="none" w:sz="0" w:space="0" w:color="auto"/>
        <w:right w:val="none" w:sz="0" w:space="0" w:color="auto"/>
      </w:divBdr>
    </w:div>
    <w:div w:id="315306950">
      <w:bodyDiv w:val="1"/>
      <w:marLeft w:val="0"/>
      <w:marRight w:val="0"/>
      <w:marTop w:val="0"/>
      <w:marBottom w:val="0"/>
      <w:divBdr>
        <w:top w:val="none" w:sz="0" w:space="0" w:color="auto"/>
        <w:left w:val="none" w:sz="0" w:space="0" w:color="auto"/>
        <w:bottom w:val="none" w:sz="0" w:space="0" w:color="auto"/>
        <w:right w:val="none" w:sz="0" w:space="0" w:color="auto"/>
      </w:divBdr>
    </w:div>
    <w:div w:id="322203736">
      <w:bodyDiv w:val="1"/>
      <w:marLeft w:val="0"/>
      <w:marRight w:val="0"/>
      <w:marTop w:val="0"/>
      <w:marBottom w:val="0"/>
      <w:divBdr>
        <w:top w:val="none" w:sz="0" w:space="0" w:color="auto"/>
        <w:left w:val="none" w:sz="0" w:space="0" w:color="auto"/>
        <w:bottom w:val="none" w:sz="0" w:space="0" w:color="auto"/>
        <w:right w:val="none" w:sz="0" w:space="0" w:color="auto"/>
      </w:divBdr>
    </w:div>
    <w:div w:id="325482055">
      <w:bodyDiv w:val="1"/>
      <w:marLeft w:val="0"/>
      <w:marRight w:val="0"/>
      <w:marTop w:val="0"/>
      <w:marBottom w:val="0"/>
      <w:divBdr>
        <w:top w:val="none" w:sz="0" w:space="0" w:color="auto"/>
        <w:left w:val="none" w:sz="0" w:space="0" w:color="auto"/>
        <w:bottom w:val="none" w:sz="0" w:space="0" w:color="auto"/>
        <w:right w:val="none" w:sz="0" w:space="0" w:color="auto"/>
      </w:divBdr>
    </w:div>
    <w:div w:id="333454022">
      <w:bodyDiv w:val="1"/>
      <w:marLeft w:val="0"/>
      <w:marRight w:val="0"/>
      <w:marTop w:val="0"/>
      <w:marBottom w:val="0"/>
      <w:divBdr>
        <w:top w:val="none" w:sz="0" w:space="0" w:color="auto"/>
        <w:left w:val="none" w:sz="0" w:space="0" w:color="auto"/>
        <w:bottom w:val="none" w:sz="0" w:space="0" w:color="auto"/>
        <w:right w:val="none" w:sz="0" w:space="0" w:color="auto"/>
      </w:divBdr>
    </w:div>
    <w:div w:id="337778970">
      <w:bodyDiv w:val="1"/>
      <w:marLeft w:val="0"/>
      <w:marRight w:val="0"/>
      <w:marTop w:val="0"/>
      <w:marBottom w:val="0"/>
      <w:divBdr>
        <w:top w:val="none" w:sz="0" w:space="0" w:color="auto"/>
        <w:left w:val="none" w:sz="0" w:space="0" w:color="auto"/>
        <w:bottom w:val="none" w:sz="0" w:space="0" w:color="auto"/>
        <w:right w:val="none" w:sz="0" w:space="0" w:color="auto"/>
      </w:divBdr>
    </w:div>
    <w:div w:id="339889111">
      <w:bodyDiv w:val="1"/>
      <w:marLeft w:val="0"/>
      <w:marRight w:val="0"/>
      <w:marTop w:val="0"/>
      <w:marBottom w:val="0"/>
      <w:divBdr>
        <w:top w:val="none" w:sz="0" w:space="0" w:color="auto"/>
        <w:left w:val="none" w:sz="0" w:space="0" w:color="auto"/>
        <w:bottom w:val="none" w:sz="0" w:space="0" w:color="auto"/>
        <w:right w:val="none" w:sz="0" w:space="0" w:color="auto"/>
      </w:divBdr>
    </w:div>
    <w:div w:id="343628036">
      <w:bodyDiv w:val="1"/>
      <w:marLeft w:val="0"/>
      <w:marRight w:val="0"/>
      <w:marTop w:val="0"/>
      <w:marBottom w:val="0"/>
      <w:divBdr>
        <w:top w:val="none" w:sz="0" w:space="0" w:color="auto"/>
        <w:left w:val="none" w:sz="0" w:space="0" w:color="auto"/>
        <w:bottom w:val="none" w:sz="0" w:space="0" w:color="auto"/>
        <w:right w:val="none" w:sz="0" w:space="0" w:color="auto"/>
      </w:divBdr>
    </w:div>
    <w:div w:id="349533179">
      <w:bodyDiv w:val="1"/>
      <w:marLeft w:val="0"/>
      <w:marRight w:val="0"/>
      <w:marTop w:val="0"/>
      <w:marBottom w:val="0"/>
      <w:divBdr>
        <w:top w:val="none" w:sz="0" w:space="0" w:color="auto"/>
        <w:left w:val="none" w:sz="0" w:space="0" w:color="auto"/>
        <w:bottom w:val="none" w:sz="0" w:space="0" w:color="auto"/>
        <w:right w:val="none" w:sz="0" w:space="0" w:color="auto"/>
      </w:divBdr>
    </w:div>
    <w:div w:id="350035666">
      <w:bodyDiv w:val="1"/>
      <w:marLeft w:val="0"/>
      <w:marRight w:val="0"/>
      <w:marTop w:val="0"/>
      <w:marBottom w:val="0"/>
      <w:divBdr>
        <w:top w:val="none" w:sz="0" w:space="0" w:color="auto"/>
        <w:left w:val="none" w:sz="0" w:space="0" w:color="auto"/>
        <w:bottom w:val="none" w:sz="0" w:space="0" w:color="auto"/>
        <w:right w:val="none" w:sz="0" w:space="0" w:color="auto"/>
      </w:divBdr>
    </w:div>
    <w:div w:id="361051158">
      <w:bodyDiv w:val="1"/>
      <w:marLeft w:val="0"/>
      <w:marRight w:val="0"/>
      <w:marTop w:val="0"/>
      <w:marBottom w:val="0"/>
      <w:divBdr>
        <w:top w:val="none" w:sz="0" w:space="0" w:color="auto"/>
        <w:left w:val="none" w:sz="0" w:space="0" w:color="auto"/>
        <w:bottom w:val="none" w:sz="0" w:space="0" w:color="auto"/>
        <w:right w:val="none" w:sz="0" w:space="0" w:color="auto"/>
      </w:divBdr>
    </w:div>
    <w:div w:id="364982438">
      <w:bodyDiv w:val="1"/>
      <w:marLeft w:val="0"/>
      <w:marRight w:val="0"/>
      <w:marTop w:val="0"/>
      <w:marBottom w:val="0"/>
      <w:divBdr>
        <w:top w:val="none" w:sz="0" w:space="0" w:color="auto"/>
        <w:left w:val="none" w:sz="0" w:space="0" w:color="auto"/>
        <w:bottom w:val="none" w:sz="0" w:space="0" w:color="auto"/>
        <w:right w:val="none" w:sz="0" w:space="0" w:color="auto"/>
      </w:divBdr>
    </w:div>
    <w:div w:id="369573203">
      <w:bodyDiv w:val="1"/>
      <w:marLeft w:val="0"/>
      <w:marRight w:val="0"/>
      <w:marTop w:val="0"/>
      <w:marBottom w:val="0"/>
      <w:divBdr>
        <w:top w:val="none" w:sz="0" w:space="0" w:color="auto"/>
        <w:left w:val="none" w:sz="0" w:space="0" w:color="auto"/>
        <w:bottom w:val="none" w:sz="0" w:space="0" w:color="auto"/>
        <w:right w:val="none" w:sz="0" w:space="0" w:color="auto"/>
      </w:divBdr>
    </w:div>
    <w:div w:id="372967146">
      <w:bodyDiv w:val="1"/>
      <w:marLeft w:val="0"/>
      <w:marRight w:val="0"/>
      <w:marTop w:val="0"/>
      <w:marBottom w:val="0"/>
      <w:divBdr>
        <w:top w:val="none" w:sz="0" w:space="0" w:color="auto"/>
        <w:left w:val="none" w:sz="0" w:space="0" w:color="auto"/>
        <w:bottom w:val="none" w:sz="0" w:space="0" w:color="auto"/>
        <w:right w:val="none" w:sz="0" w:space="0" w:color="auto"/>
      </w:divBdr>
    </w:div>
    <w:div w:id="392704988">
      <w:bodyDiv w:val="1"/>
      <w:marLeft w:val="0"/>
      <w:marRight w:val="0"/>
      <w:marTop w:val="0"/>
      <w:marBottom w:val="0"/>
      <w:divBdr>
        <w:top w:val="none" w:sz="0" w:space="0" w:color="auto"/>
        <w:left w:val="none" w:sz="0" w:space="0" w:color="auto"/>
        <w:bottom w:val="none" w:sz="0" w:space="0" w:color="auto"/>
        <w:right w:val="none" w:sz="0" w:space="0" w:color="auto"/>
      </w:divBdr>
    </w:div>
    <w:div w:id="392823230">
      <w:bodyDiv w:val="1"/>
      <w:marLeft w:val="0"/>
      <w:marRight w:val="0"/>
      <w:marTop w:val="0"/>
      <w:marBottom w:val="0"/>
      <w:divBdr>
        <w:top w:val="none" w:sz="0" w:space="0" w:color="auto"/>
        <w:left w:val="none" w:sz="0" w:space="0" w:color="auto"/>
        <w:bottom w:val="none" w:sz="0" w:space="0" w:color="auto"/>
        <w:right w:val="none" w:sz="0" w:space="0" w:color="auto"/>
      </w:divBdr>
    </w:div>
    <w:div w:id="392890590">
      <w:bodyDiv w:val="1"/>
      <w:marLeft w:val="0"/>
      <w:marRight w:val="0"/>
      <w:marTop w:val="0"/>
      <w:marBottom w:val="0"/>
      <w:divBdr>
        <w:top w:val="none" w:sz="0" w:space="0" w:color="auto"/>
        <w:left w:val="none" w:sz="0" w:space="0" w:color="auto"/>
        <w:bottom w:val="none" w:sz="0" w:space="0" w:color="auto"/>
        <w:right w:val="none" w:sz="0" w:space="0" w:color="auto"/>
      </w:divBdr>
    </w:div>
    <w:div w:id="395713911">
      <w:bodyDiv w:val="1"/>
      <w:marLeft w:val="0"/>
      <w:marRight w:val="0"/>
      <w:marTop w:val="0"/>
      <w:marBottom w:val="0"/>
      <w:divBdr>
        <w:top w:val="none" w:sz="0" w:space="0" w:color="auto"/>
        <w:left w:val="none" w:sz="0" w:space="0" w:color="auto"/>
        <w:bottom w:val="none" w:sz="0" w:space="0" w:color="auto"/>
        <w:right w:val="none" w:sz="0" w:space="0" w:color="auto"/>
      </w:divBdr>
    </w:div>
    <w:div w:id="400176638">
      <w:bodyDiv w:val="1"/>
      <w:marLeft w:val="0"/>
      <w:marRight w:val="0"/>
      <w:marTop w:val="0"/>
      <w:marBottom w:val="0"/>
      <w:divBdr>
        <w:top w:val="none" w:sz="0" w:space="0" w:color="auto"/>
        <w:left w:val="none" w:sz="0" w:space="0" w:color="auto"/>
        <w:bottom w:val="none" w:sz="0" w:space="0" w:color="auto"/>
        <w:right w:val="none" w:sz="0" w:space="0" w:color="auto"/>
      </w:divBdr>
    </w:div>
    <w:div w:id="403992712">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17021622">
      <w:bodyDiv w:val="1"/>
      <w:marLeft w:val="0"/>
      <w:marRight w:val="0"/>
      <w:marTop w:val="0"/>
      <w:marBottom w:val="0"/>
      <w:divBdr>
        <w:top w:val="none" w:sz="0" w:space="0" w:color="auto"/>
        <w:left w:val="none" w:sz="0" w:space="0" w:color="auto"/>
        <w:bottom w:val="none" w:sz="0" w:space="0" w:color="auto"/>
        <w:right w:val="none" w:sz="0" w:space="0" w:color="auto"/>
      </w:divBdr>
    </w:div>
    <w:div w:id="422655400">
      <w:bodyDiv w:val="1"/>
      <w:marLeft w:val="0"/>
      <w:marRight w:val="0"/>
      <w:marTop w:val="0"/>
      <w:marBottom w:val="0"/>
      <w:divBdr>
        <w:top w:val="none" w:sz="0" w:space="0" w:color="auto"/>
        <w:left w:val="none" w:sz="0" w:space="0" w:color="auto"/>
        <w:bottom w:val="none" w:sz="0" w:space="0" w:color="auto"/>
        <w:right w:val="none" w:sz="0" w:space="0" w:color="auto"/>
      </w:divBdr>
    </w:div>
    <w:div w:id="436565966">
      <w:bodyDiv w:val="1"/>
      <w:marLeft w:val="0"/>
      <w:marRight w:val="0"/>
      <w:marTop w:val="0"/>
      <w:marBottom w:val="0"/>
      <w:divBdr>
        <w:top w:val="none" w:sz="0" w:space="0" w:color="auto"/>
        <w:left w:val="none" w:sz="0" w:space="0" w:color="auto"/>
        <w:bottom w:val="none" w:sz="0" w:space="0" w:color="auto"/>
        <w:right w:val="none" w:sz="0" w:space="0" w:color="auto"/>
      </w:divBdr>
    </w:div>
    <w:div w:id="439647500">
      <w:bodyDiv w:val="1"/>
      <w:marLeft w:val="0"/>
      <w:marRight w:val="0"/>
      <w:marTop w:val="0"/>
      <w:marBottom w:val="0"/>
      <w:divBdr>
        <w:top w:val="none" w:sz="0" w:space="0" w:color="auto"/>
        <w:left w:val="none" w:sz="0" w:space="0" w:color="auto"/>
        <w:bottom w:val="none" w:sz="0" w:space="0" w:color="auto"/>
        <w:right w:val="none" w:sz="0" w:space="0" w:color="auto"/>
      </w:divBdr>
    </w:div>
    <w:div w:id="440565063">
      <w:bodyDiv w:val="1"/>
      <w:marLeft w:val="0"/>
      <w:marRight w:val="0"/>
      <w:marTop w:val="0"/>
      <w:marBottom w:val="0"/>
      <w:divBdr>
        <w:top w:val="none" w:sz="0" w:space="0" w:color="auto"/>
        <w:left w:val="none" w:sz="0" w:space="0" w:color="auto"/>
        <w:bottom w:val="none" w:sz="0" w:space="0" w:color="auto"/>
        <w:right w:val="none" w:sz="0" w:space="0" w:color="auto"/>
      </w:divBdr>
    </w:div>
    <w:div w:id="443306635">
      <w:bodyDiv w:val="1"/>
      <w:marLeft w:val="0"/>
      <w:marRight w:val="0"/>
      <w:marTop w:val="0"/>
      <w:marBottom w:val="0"/>
      <w:divBdr>
        <w:top w:val="none" w:sz="0" w:space="0" w:color="auto"/>
        <w:left w:val="none" w:sz="0" w:space="0" w:color="auto"/>
        <w:bottom w:val="none" w:sz="0" w:space="0" w:color="auto"/>
        <w:right w:val="none" w:sz="0" w:space="0" w:color="auto"/>
      </w:divBdr>
    </w:div>
    <w:div w:id="448669581">
      <w:bodyDiv w:val="1"/>
      <w:marLeft w:val="0"/>
      <w:marRight w:val="0"/>
      <w:marTop w:val="0"/>
      <w:marBottom w:val="0"/>
      <w:divBdr>
        <w:top w:val="none" w:sz="0" w:space="0" w:color="auto"/>
        <w:left w:val="none" w:sz="0" w:space="0" w:color="auto"/>
        <w:bottom w:val="none" w:sz="0" w:space="0" w:color="auto"/>
        <w:right w:val="none" w:sz="0" w:space="0" w:color="auto"/>
      </w:divBdr>
    </w:div>
    <w:div w:id="451486674">
      <w:bodyDiv w:val="1"/>
      <w:marLeft w:val="0"/>
      <w:marRight w:val="0"/>
      <w:marTop w:val="0"/>
      <w:marBottom w:val="0"/>
      <w:divBdr>
        <w:top w:val="none" w:sz="0" w:space="0" w:color="auto"/>
        <w:left w:val="none" w:sz="0" w:space="0" w:color="auto"/>
        <w:bottom w:val="none" w:sz="0" w:space="0" w:color="auto"/>
        <w:right w:val="none" w:sz="0" w:space="0" w:color="auto"/>
      </w:divBdr>
    </w:div>
    <w:div w:id="475804717">
      <w:bodyDiv w:val="1"/>
      <w:marLeft w:val="0"/>
      <w:marRight w:val="0"/>
      <w:marTop w:val="0"/>
      <w:marBottom w:val="0"/>
      <w:divBdr>
        <w:top w:val="none" w:sz="0" w:space="0" w:color="auto"/>
        <w:left w:val="none" w:sz="0" w:space="0" w:color="auto"/>
        <w:bottom w:val="none" w:sz="0" w:space="0" w:color="auto"/>
        <w:right w:val="none" w:sz="0" w:space="0" w:color="auto"/>
      </w:divBdr>
    </w:div>
    <w:div w:id="479617925">
      <w:bodyDiv w:val="1"/>
      <w:marLeft w:val="0"/>
      <w:marRight w:val="0"/>
      <w:marTop w:val="0"/>
      <w:marBottom w:val="0"/>
      <w:divBdr>
        <w:top w:val="none" w:sz="0" w:space="0" w:color="auto"/>
        <w:left w:val="none" w:sz="0" w:space="0" w:color="auto"/>
        <w:bottom w:val="none" w:sz="0" w:space="0" w:color="auto"/>
        <w:right w:val="none" w:sz="0" w:space="0" w:color="auto"/>
      </w:divBdr>
    </w:div>
    <w:div w:id="481892824">
      <w:bodyDiv w:val="1"/>
      <w:marLeft w:val="0"/>
      <w:marRight w:val="0"/>
      <w:marTop w:val="0"/>
      <w:marBottom w:val="0"/>
      <w:divBdr>
        <w:top w:val="none" w:sz="0" w:space="0" w:color="auto"/>
        <w:left w:val="none" w:sz="0" w:space="0" w:color="auto"/>
        <w:bottom w:val="none" w:sz="0" w:space="0" w:color="auto"/>
        <w:right w:val="none" w:sz="0" w:space="0" w:color="auto"/>
      </w:divBdr>
    </w:div>
    <w:div w:id="492068329">
      <w:bodyDiv w:val="1"/>
      <w:marLeft w:val="0"/>
      <w:marRight w:val="0"/>
      <w:marTop w:val="0"/>
      <w:marBottom w:val="0"/>
      <w:divBdr>
        <w:top w:val="none" w:sz="0" w:space="0" w:color="auto"/>
        <w:left w:val="none" w:sz="0" w:space="0" w:color="auto"/>
        <w:bottom w:val="none" w:sz="0" w:space="0" w:color="auto"/>
        <w:right w:val="none" w:sz="0" w:space="0" w:color="auto"/>
      </w:divBdr>
    </w:div>
    <w:div w:id="492457220">
      <w:bodyDiv w:val="1"/>
      <w:marLeft w:val="0"/>
      <w:marRight w:val="0"/>
      <w:marTop w:val="0"/>
      <w:marBottom w:val="0"/>
      <w:divBdr>
        <w:top w:val="none" w:sz="0" w:space="0" w:color="auto"/>
        <w:left w:val="none" w:sz="0" w:space="0" w:color="auto"/>
        <w:bottom w:val="none" w:sz="0" w:space="0" w:color="auto"/>
        <w:right w:val="none" w:sz="0" w:space="0" w:color="auto"/>
      </w:divBdr>
    </w:div>
    <w:div w:id="495532557">
      <w:bodyDiv w:val="1"/>
      <w:marLeft w:val="0"/>
      <w:marRight w:val="0"/>
      <w:marTop w:val="0"/>
      <w:marBottom w:val="0"/>
      <w:divBdr>
        <w:top w:val="none" w:sz="0" w:space="0" w:color="auto"/>
        <w:left w:val="none" w:sz="0" w:space="0" w:color="auto"/>
        <w:bottom w:val="none" w:sz="0" w:space="0" w:color="auto"/>
        <w:right w:val="none" w:sz="0" w:space="0" w:color="auto"/>
      </w:divBdr>
    </w:div>
    <w:div w:id="501358271">
      <w:bodyDiv w:val="1"/>
      <w:marLeft w:val="0"/>
      <w:marRight w:val="0"/>
      <w:marTop w:val="0"/>
      <w:marBottom w:val="0"/>
      <w:divBdr>
        <w:top w:val="none" w:sz="0" w:space="0" w:color="auto"/>
        <w:left w:val="none" w:sz="0" w:space="0" w:color="auto"/>
        <w:bottom w:val="none" w:sz="0" w:space="0" w:color="auto"/>
        <w:right w:val="none" w:sz="0" w:space="0" w:color="auto"/>
      </w:divBdr>
    </w:div>
    <w:div w:id="508833381">
      <w:bodyDiv w:val="1"/>
      <w:marLeft w:val="0"/>
      <w:marRight w:val="0"/>
      <w:marTop w:val="0"/>
      <w:marBottom w:val="0"/>
      <w:divBdr>
        <w:top w:val="none" w:sz="0" w:space="0" w:color="auto"/>
        <w:left w:val="none" w:sz="0" w:space="0" w:color="auto"/>
        <w:bottom w:val="none" w:sz="0" w:space="0" w:color="auto"/>
        <w:right w:val="none" w:sz="0" w:space="0" w:color="auto"/>
      </w:divBdr>
    </w:div>
    <w:div w:id="519003818">
      <w:bodyDiv w:val="1"/>
      <w:marLeft w:val="0"/>
      <w:marRight w:val="0"/>
      <w:marTop w:val="0"/>
      <w:marBottom w:val="0"/>
      <w:divBdr>
        <w:top w:val="none" w:sz="0" w:space="0" w:color="auto"/>
        <w:left w:val="none" w:sz="0" w:space="0" w:color="auto"/>
        <w:bottom w:val="none" w:sz="0" w:space="0" w:color="auto"/>
        <w:right w:val="none" w:sz="0" w:space="0" w:color="auto"/>
      </w:divBdr>
    </w:div>
    <w:div w:id="519785784">
      <w:bodyDiv w:val="1"/>
      <w:marLeft w:val="0"/>
      <w:marRight w:val="0"/>
      <w:marTop w:val="0"/>
      <w:marBottom w:val="0"/>
      <w:divBdr>
        <w:top w:val="none" w:sz="0" w:space="0" w:color="auto"/>
        <w:left w:val="none" w:sz="0" w:space="0" w:color="auto"/>
        <w:bottom w:val="none" w:sz="0" w:space="0" w:color="auto"/>
        <w:right w:val="none" w:sz="0" w:space="0" w:color="auto"/>
      </w:divBdr>
    </w:div>
    <w:div w:id="526795570">
      <w:bodyDiv w:val="1"/>
      <w:marLeft w:val="0"/>
      <w:marRight w:val="0"/>
      <w:marTop w:val="0"/>
      <w:marBottom w:val="0"/>
      <w:divBdr>
        <w:top w:val="none" w:sz="0" w:space="0" w:color="auto"/>
        <w:left w:val="none" w:sz="0" w:space="0" w:color="auto"/>
        <w:bottom w:val="none" w:sz="0" w:space="0" w:color="auto"/>
        <w:right w:val="none" w:sz="0" w:space="0" w:color="auto"/>
      </w:divBdr>
    </w:div>
    <w:div w:id="526993575">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29417598">
      <w:bodyDiv w:val="1"/>
      <w:marLeft w:val="0"/>
      <w:marRight w:val="0"/>
      <w:marTop w:val="0"/>
      <w:marBottom w:val="0"/>
      <w:divBdr>
        <w:top w:val="none" w:sz="0" w:space="0" w:color="auto"/>
        <w:left w:val="none" w:sz="0" w:space="0" w:color="auto"/>
        <w:bottom w:val="none" w:sz="0" w:space="0" w:color="auto"/>
        <w:right w:val="none" w:sz="0" w:space="0" w:color="auto"/>
      </w:divBdr>
    </w:div>
    <w:div w:id="536087217">
      <w:bodyDiv w:val="1"/>
      <w:marLeft w:val="0"/>
      <w:marRight w:val="0"/>
      <w:marTop w:val="0"/>
      <w:marBottom w:val="0"/>
      <w:divBdr>
        <w:top w:val="none" w:sz="0" w:space="0" w:color="auto"/>
        <w:left w:val="none" w:sz="0" w:space="0" w:color="auto"/>
        <w:bottom w:val="none" w:sz="0" w:space="0" w:color="auto"/>
        <w:right w:val="none" w:sz="0" w:space="0" w:color="auto"/>
      </w:divBdr>
    </w:div>
    <w:div w:id="536159720">
      <w:bodyDiv w:val="1"/>
      <w:marLeft w:val="0"/>
      <w:marRight w:val="0"/>
      <w:marTop w:val="0"/>
      <w:marBottom w:val="0"/>
      <w:divBdr>
        <w:top w:val="none" w:sz="0" w:space="0" w:color="auto"/>
        <w:left w:val="none" w:sz="0" w:space="0" w:color="auto"/>
        <w:bottom w:val="none" w:sz="0" w:space="0" w:color="auto"/>
        <w:right w:val="none" w:sz="0" w:space="0" w:color="auto"/>
      </w:divBdr>
    </w:div>
    <w:div w:id="563301188">
      <w:bodyDiv w:val="1"/>
      <w:marLeft w:val="0"/>
      <w:marRight w:val="0"/>
      <w:marTop w:val="0"/>
      <w:marBottom w:val="0"/>
      <w:divBdr>
        <w:top w:val="none" w:sz="0" w:space="0" w:color="auto"/>
        <w:left w:val="none" w:sz="0" w:space="0" w:color="auto"/>
        <w:bottom w:val="none" w:sz="0" w:space="0" w:color="auto"/>
        <w:right w:val="none" w:sz="0" w:space="0" w:color="auto"/>
      </w:divBdr>
    </w:div>
    <w:div w:id="569119773">
      <w:bodyDiv w:val="1"/>
      <w:marLeft w:val="0"/>
      <w:marRight w:val="0"/>
      <w:marTop w:val="0"/>
      <w:marBottom w:val="0"/>
      <w:divBdr>
        <w:top w:val="none" w:sz="0" w:space="0" w:color="auto"/>
        <w:left w:val="none" w:sz="0" w:space="0" w:color="auto"/>
        <w:bottom w:val="none" w:sz="0" w:space="0" w:color="auto"/>
        <w:right w:val="none" w:sz="0" w:space="0" w:color="auto"/>
      </w:divBdr>
    </w:div>
    <w:div w:id="576355543">
      <w:bodyDiv w:val="1"/>
      <w:marLeft w:val="0"/>
      <w:marRight w:val="0"/>
      <w:marTop w:val="0"/>
      <w:marBottom w:val="0"/>
      <w:divBdr>
        <w:top w:val="none" w:sz="0" w:space="0" w:color="auto"/>
        <w:left w:val="none" w:sz="0" w:space="0" w:color="auto"/>
        <w:bottom w:val="none" w:sz="0" w:space="0" w:color="auto"/>
        <w:right w:val="none" w:sz="0" w:space="0" w:color="auto"/>
      </w:divBdr>
    </w:div>
    <w:div w:id="580062146">
      <w:bodyDiv w:val="1"/>
      <w:marLeft w:val="0"/>
      <w:marRight w:val="0"/>
      <w:marTop w:val="0"/>
      <w:marBottom w:val="0"/>
      <w:divBdr>
        <w:top w:val="none" w:sz="0" w:space="0" w:color="auto"/>
        <w:left w:val="none" w:sz="0" w:space="0" w:color="auto"/>
        <w:bottom w:val="none" w:sz="0" w:space="0" w:color="auto"/>
        <w:right w:val="none" w:sz="0" w:space="0" w:color="auto"/>
      </w:divBdr>
    </w:div>
    <w:div w:id="581140018">
      <w:bodyDiv w:val="1"/>
      <w:marLeft w:val="0"/>
      <w:marRight w:val="0"/>
      <w:marTop w:val="0"/>
      <w:marBottom w:val="0"/>
      <w:divBdr>
        <w:top w:val="none" w:sz="0" w:space="0" w:color="auto"/>
        <w:left w:val="none" w:sz="0" w:space="0" w:color="auto"/>
        <w:bottom w:val="none" w:sz="0" w:space="0" w:color="auto"/>
        <w:right w:val="none" w:sz="0" w:space="0" w:color="auto"/>
      </w:divBdr>
    </w:div>
    <w:div w:id="582375076">
      <w:bodyDiv w:val="1"/>
      <w:marLeft w:val="0"/>
      <w:marRight w:val="0"/>
      <w:marTop w:val="0"/>
      <w:marBottom w:val="0"/>
      <w:divBdr>
        <w:top w:val="none" w:sz="0" w:space="0" w:color="auto"/>
        <w:left w:val="none" w:sz="0" w:space="0" w:color="auto"/>
        <w:bottom w:val="none" w:sz="0" w:space="0" w:color="auto"/>
        <w:right w:val="none" w:sz="0" w:space="0" w:color="auto"/>
      </w:divBdr>
    </w:div>
    <w:div w:id="587690392">
      <w:bodyDiv w:val="1"/>
      <w:marLeft w:val="0"/>
      <w:marRight w:val="0"/>
      <w:marTop w:val="0"/>
      <w:marBottom w:val="0"/>
      <w:divBdr>
        <w:top w:val="none" w:sz="0" w:space="0" w:color="auto"/>
        <w:left w:val="none" w:sz="0" w:space="0" w:color="auto"/>
        <w:bottom w:val="none" w:sz="0" w:space="0" w:color="auto"/>
        <w:right w:val="none" w:sz="0" w:space="0" w:color="auto"/>
      </w:divBdr>
      <w:divsChild>
        <w:div w:id="2113236103">
          <w:marLeft w:val="0"/>
          <w:marRight w:val="0"/>
          <w:marTop w:val="0"/>
          <w:marBottom w:val="0"/>
          <w:divBdr>
            <w:top w:val="none" w:sz="0" w:space="0" w:color="auto"/>
            <w:left w:val="none" w:sz="0" w:space="0" w:color="auto"/>
            <w:bottom w:val="none" w:sz="0" w:space="0" w:color="auto"/>
            <w:right w:val="none" w:sz="0" w:space="0" w:color="auto"/>
          </w:divBdr>
        </w:div>
      </w:divsChild>
    </w:div>
    <w:div w:id="598299095">
      <w:bodyDiv w:val="1"/>
      <w:marLeft w:val="0"/>
      <w:marRight w:val="0"/>
      <w:marTop w:val="0"/>
      <w:marBottom w:val="0"/>
      <w:divBdr>
        <w:top w:val="none" w:sz="0" w:space="0" w:color="auto"/>
        <w:left w:val="none" w:sz="0" w:space="0" w:color="auto"/>
        <w:bottom w:val="none" w:sz="0" w:space="0" w:color="auto"/>
        <w:right w:val="none" w:sz="0" w:space="0" w:color="auto"/>
      </w:divBdr>
    </w:div>
    <w:div w:id="608320730">
      <w:bodyDiv w:val="1"/>
      <w:marLeft w:val="0"/>
      <w:marRight w:val="0"/>
      <w:marTop w:val="0"/>
      <w:marBottom w:val="0"/>
      <w:divBdr>
        <w:top w:val="none" w:sz="0" w:space="0" w:color="auto"/>
        <w:left w:val="none" w:sz="0" w:space="0" w:color="auto"/>
        <w:bottom w:val="none" w:sz="0" w:space="0" w:color="auto"/>
        <w:right w:val="none" w:sz="0" w:space="0" w:color="auto"/>
      </w:divBdr>
    </w:div>
    <w:div w:id="609699513">
      <w:bodyDiv w:val="1"/>
      <w:marLeft w:val="0"/>
      <w:marRight w:val="0"/>
      <w:marTop w:val="0"/>
      <w:marBottom w:val="0"/>
      <w:divBdr>
        <w:top w:val="none" w:sz="0" w:space="0" w:color="auto"/>
        <w:left w:val="none" w:sz="0" w:space="0" w:color="auto"/>
        <w:bottom w:val="none" w:sz="0" w:space="0" w:color="auto"/>
        <w:right w:val="none" w:sz="0" w:space="0" w:color="auto"/>
      </w:divBdr>
    </w:div>
    <w:div w:id="610741618">
      <w:bodyDiv w:val="1"/>
      <w:marLeft w:val="0"/>
      <w:marRight w:val="0"/>
      <w:marTop w:val="0"/>
      <w:marBottom w:val="0"/>
      <w:divBdr>
        <w:top w:val="none" w:sz="0" w:space="0" w:color="auto"/>
        <w:left w:val="none" w:sz="0" w:space="0" w:color="auto"/>
        <w:bottom w:val="none" w:sz="0" w:space="0" w:color="auto"/>
        <w:right w:val="none" w:sz="0" w:space="0" w:color="auto"/>
      </w:divBdr>
    </w:div>
    <w:div w:id="613250458">
      <w:bodyDiv w:val="1"/>
      <w:marLeft w:val="0"/>
      <w:marRight w:val="0"/>
      <w:marTop w:val="0"/>
      <w:marBottom w:val="0"/>
      <w:divBdr>
        <w:top w:val="none" w:sz="0" w:space="0" w:color="auto"/>
        <w:left w:val="none" w:sz="0" w:space="0" w:color="auto"/>
        <w:bottom w:val="none" w:sz="0" w:space="0" w:color="auto"/>
        <w:right w:val="none" w:sz="0" w:space="0" w:color="auto"/>
      </w:divBdr>
    </w:div>
    <w:div w:id="616523381">
      <w:bodyDiv w:val="1"/>
      <w:marLeft w:val="0"/>
      <w:marRight w:val="0"/>
      <w:marTop w:val="0"/>
      <w:marBottom w:val="0"/>
      <w:divBdr>
        <w:top w:val="none" w:sz="0" w:space="0" w:color="auto"/>
        <w:left w:val="none" w:sz="0" w:space="0" w:color="auto"/>
        <w:bottom w:val="none" w:sz="0" w:space="0" w:color="auto"/>
        <w:right w:val="none" w:sz="0" w:space="0" w:color="auto"/>
      </w:divBdr>
    </w:div>
    <w:div w:id="631447948">
      <w:bodyDiv w:val="1"/>
      <w:marLeft w:val="0"/>
      <w:marRight w:val="0"/>
      <w:marTop w:val="0"/>
      <w:marBottom w:val="0"/>
      <w:divBdr>
        <w:top w:val="none" w:sz="0" w:space="0" w:color="auto"/>
        <w:left w:val="none" w:sz="0" w:space="0" w:color="auto"/>
        <w:bottom w:val="none" w:sz="0" w:space="0" w:color="auto"/>
        <w:right w:val="none" w:sz="0" w:space="0" w:color="auto"/>
      </w:divBdr>
    </w:div>
    <w:div w:id="635986437">
      <w:bodyDiv w:val="1"/>
      <w:marLeft w:val="0"/>
      <w:marRight w:val="0"/>
      <w:marTop w:val="0"/>
      <w:marBottom w:val="0"/>
      <w:divBdr>
        <w:top w:val="none" w:sz="0" w:space="0" w:color="auto"/>
        <w:left w:val="none" w:sz="0" w:space="0" w:color="auto"/>
        <w:bottom w:val="none" w:sz="0" w:space="0" w:color="auto"/>
        <w:right w:val="none" w:sz="0" w:space="0" w:color="auto"/>
      </w:divBdr>
    </w:div>
    <w:div w:id="659843191">
      <w:bodyDiv w:val="1"/>
      <w:marLeft w:val="0"/>
      <w:marRight w:val="0"/>
      <w:marTop w:val="0"/>
      <w:marBottom w:val="0"/>
      <w:divBdr>
        <w:top w:val="none" w:sz="0" w:space="0" w:color="auto"/>
        <w:left w:val="none" w:sz="0" w:space="0" w:color="auto"/>
        <w:bottom w:val="none" w:sz="0" w:space="0" w:color="auto"/>
        <w:right w:val="none" w:sz="0" w:space="0" w:color="auto"/>
      </w:divBdr>
    </w:div>
    <w:div w:id="662972413">
      <w:bodyDiv w:val="1"/>
      <w:marLeft w:val="0"/>
      <w:marRight w:val="0"/>
      <w:marTop w:val="0"/>
      <w:marBottom w:val="0"/>
      <w:divBdr>
        <w:top w:val="none" w:sz="0" w:space="0" w:color="auto"/>
        <w:left w:val="none" w:sz="0" w:space="0" w:color="auto"/>
        <w:bottom w:val="none" w:sz="0" w:space="0" w:color="auto"/>
        <w:right w:val="none" w:sz="0" w:space="0" w:color="auto"/>
      </w:divBdr>
    </w:div>
    <w:div w:id="667515715">
      <w:bodyDiv w:val="1"/>
      <w:marLeft w:val="0"/>
      <w:marRight w:val="0"/>
      <w:marTop w:val="0"/>
      <w:marBottom w:val="0"/>
      <w:divBdr>
        <w:top w:val="none" w:sz="0" w:space="0" w:color="auto"/>
        <w:left w:val="none" w:sz="0" w:space="0" w:color="auto"/>
        <w:bottom w:val="none" w:sz="0" w:space="0" w:color="auto"/>
        <w:right w:val="none" w:sz="0" w:space="0" w:color="auto"/>
      </w:divBdr>
    </w:div>
    <w:div w:id="676805763">
      <w:bodyDiv w:val="1"/>
      <w:marLeft w:val="0"/>
      <w:marRight w:val="0"/>
      <w:marTop w:val="0"/>
      <w:marBottom w:val="0"/>
      <w:divBdr>
        <w:top w:val="none" w:sz="0" w:space="0" w:color="auto"/>
        <w:left w:val="none" w:sz="0" w:space="0" w:color="auto"/>
        <w:bottom w:val="none" w:sz="0" w:space="0" w:color="auto"/>
        <w:right w:val="none" w:sz="0" w:space="0" w:color="auto"/>
      </w:divBdr>
    </w:div>
    <w:div w:id="676925357">
      <w:bodyDiv w:val="1"/>
      <w:marLeft w:val="0"/>
      <w:marRight w:val="0"/>
      <w:marTop w:val="0"/>
      <w:marBottom w:val="0"/>
      <w:divBdr>
        <w:top w:val="none" w:sz="0" w:space="0" w:color="auto"/>
        <w:left w:val="none" w:sz="0" w:space="0" w:color="auto"/>
        <w:bottom w:val="none" w:sz="0" w:space="0" w:color="auto"/>
        <w:right w:val="none" w:sz="0" w:space="0" w:color="auto"/>
      </w:divBdr>
    </w:div>
    <w:div w:id="678239583">
      <w:bodyDiv w:val="1"/>
      <w:marLeft w:val="0"/>
      <w:marRight w:val="0"/>
      <w:marTop w:val="0"/>
      <w:marBottom w:val="0"/>
      <w:divBdr>
        <w:top w:val="none" w:sz="0" w:space="0" w:color="auto"/>
        <w:left w:val="none" w:sz="0" w:space="0" w:color="auto"/>
        <w:bottom w:val="none" w:sz="0" w:space="0" w:color="auto"/>
        <w:right w:val="none" w:sz="0" w:space="0" w:color="auto"/>
      </w:divBdr>
    </w:div>
    <w:div w:id="684289991">
      <w:bodyDiv w:val="1"/>
      <w:marLeft w:val="0"/>
      <w:marRight w:val="0"/>
      <w:marTop w:val="0"/>
      <w:marBottom w:val="0"/>
      <w:divBdr>
        <w:top w:val="none" w:sz="0" w:space="0" w:color="auto"/>
        <w:left w:val="none" w:sz="0" w:space="0" w:color="auto"/>
        <w:bottom w:val="none" w:sz="0" w:space="0" w:color="auto"/>
        <w:right w:val="none" w:sz="0" w:space="0" w:color="auto"/>
      </w:divBdr>
    </w:div>
    <w:div w:id="687608231">
      <w:bodyDiv w:val="1"/>
      <w:marLeft w:val="0"/>
      <w:marRight w:val="0"/>
      <w:marTop w:val="0"/>
      <w:marBottom w:val="0"/>
      <w:divBdr>
        <w:top w:val="none" w:sz="0" w:space="0" w:color="auto"/>
        <w:left w:val="none" w:sz="0" w:space="0" w:color="auto"/>
        <w:bottom w:val="none" w:sz="0" w:space="0" w:color="auto"/>
        <w:right w:val="none" w:sz="0" w:space="0" w:color="auto"/>
      </w:divBdr>
    </w:div>
    <w:div w:id="691608883">
      <w:bodyDiv w:val="1"/>
      <w:marLeft w:val="0"/>
      <w:marRight w:val="0"/>
      <w:marTop w:val="0"/>
      <w:marBottom w:val="0"/>
      <w:divBdr>
        <w:top w:val="none" w:sz="0" w:space="0" w:color="auto"/>
        <w:left w:val="none" w:sz="0" w:space="0" w:color="auto"/>
        <w:bottom w:val="none" w:sz="0" w:space="0" w:color="auto"/>
        <w:right w:val="none" w:sz="0" w:space="0" w:color="auto"/>
      </w:divBdr>
    </w:div>
    <w:div w:id="698776505">
      <w:bodyDiv w:val="1"/>
      <w:marLeft w:val="0"/>
      <w:marRight w:val="0"/>
      <w:marTop w:val="0"/>
      <w:marBottom w:val="0"/>
      <w:divBdr>
        <w:top w:val="none" w:sz="0" w:space="0" w:color="auto"/>
        <w:left w:val="none" w:sz="0" w:space="0" w:color="auto"/>
        <w:bottom w:val="none" w:sz="0" w:space="0" w:color="auto"/>
        <w:right w:val="none" w:sz="0" w:space="0" w:color="auto"/>
      </w:divBdr>
    </w:div>
    <w:div w:id="700056242">
      <w:bodyDiv w:val="1"/>
      <w:marLeft w:val="0"/>
      <w:marRight w:val="0"/>
      <w:marTop w:val="0"/>
      <w:marBottom w:val="0"/>
      <w:divBdr>
        <w:top w:val="none" w:sz="0" w:space="0" w:color="auto"/>
        <w:left w:val="none" w:sz="0" w:space="0" w:color="auto"/>
        <w:bottom w:val="none" w:sz="0" w:space="0" w:color="auto"/>
        <w:right w:val="none" w:sz="0" w:space="0" w:color="auto"/>
      </w:divBdr>
    </w:div>
    <w:div w:id="714699996">
      <w:bodyDiv w:val="1"/>
      <w:marLeft w:val="0"/>
      <w:marRight w:val="0"/>
      <w:marTop w:val="0"/>
      <w:marBottom w:val="0"/>
      <w:divBdr>
        <w:top w:val="none" w:sz="0" w:space="0" w:color="auto"/>
        <w:left w:val="none" w:sz="0" w:space="0" w:color="auto"/>
        <w:bottom w:val="none" w:sz="0" w:space="0" w:color="auto"/>
        <w:right w:val="none" w:sz="0" w:space="0" w:color="auto"/>
      </w:divBdr>
    </w:div>
    <w:div w:id="717437988">
      <w:bodyDiv w:val="1"/>
      <w:marLeft w:val="0"/>
      <w:marRight w:val="0"/>
      <w:marTop w:val="0"/>
      <w:marBottom w:val="0"/>
      <w:divBdr>
        <w:top w:val="none" w:sz="0" w:space="0" w:color="auto"/>
        <w:left w:val="none" w:sz="0" w:space="0" w:color="auto"/>
        <w:bottom w:val="none" w:sz="0" w:space="0" w:color="auto"/>
        <w:right w:val="none" w:sz="0" w:space="0" w:color="auto"/>
      </w:divBdr>
    </w:div>
    <w:div w:id="739213144">
      <w:bodyDiv w:val="1"/>
      <w:marLeft w:val="0"/>
      <w:marRight w:val="0"/>
      <w:marTop w:val="0"/>
      <w:marBottom w:val="0"/>
      <w:divBdr>
        <w:top w:val="none" w:sz="0" w:space="0" w:color="auto"/>
        <w:left w:val="none" w:sz="0" w:space="0" w:color="auto"/>
        <w:bottom w:val="none" w:sz="0" w:space="0" w:color="auto"/>
        <w:right w:val="none" w:sz="0" w:space="0" w:color="auto"/>
      </w:divBdr>
    </w:div>
    <w:div w:id="754669870">
      <w:bodyDiv w:val="1"/>
      <w:marLeft w:val="0"/>
      <w:marRight w:val="0"/>
      <w:marTop w:val="0"/>
      <w:marBottom w:val="0"/>
      <w:divBdr>
        <w:top w:val="none" w:sz="0" w:space="0" w:color="auto"/>
        <w:left w:val="none" w:sz="0" w:space="0" w:color="auto"/>
        <w:bottom w:val="none" w:sz="0" w:space="0" w:color="auto"/>
        <w:right w:val="none" w:sz="0" w:space="0" w:color="auto"/>
      </w:divBdr>
    </w:div>
    <w:div w:id="761682273">
      <w:bodyDiv w:val="1"/>
      <w:marLeft w:val="0"/>
      <w:marRight w:val="0"/>
      <w:marTop w:val="0"/>
      <w:marBottom w:val="0"/>
      <w:divBdr>
        <w:top w:val="none" w:sz="0" w:space="0" w:color="auto"/>
        <w:left w:val="none" w:sz="0" w:space="0" w:color="auto"/>
        <w:bottom w:val="none" w:sz="0" w:space="0" w:color="auto"/>
        <w:right w:val="none" w:sz="0" w:space="0" w:color="auto"/>
      </w:divBdr>
    </w:div>
    <w:div w:id="762796921">
      <w:bodyDiv w:val="1"/>
      <w:marLeft w:val="0"/>
      <w:marRight w:val="0"/>
      <w:marTop w:val="0"/>
      <w:marBottom w:val="0"/>
      <w:divBdr>
        <w:top w:val="none" w:sz="0" w:space="0" w:color="auto"/>
        <w:left w:val="none" w:sz="0" w:space="0" w:color="auto"/>
        <w:bottom w:val="none" w:sz="0" w:space="0" w:color="auto"/>
        <w:right w:val="none" w:sz="0" w:space="0" w:color="auto"/>
      </w:divBdr>
    </w:div>
    <w:div w:id="764114742">
      <w:bodyDiv w:val="1"/>
      <w:marLeft w:val="0"/>
      <w:marRight w:val="0"/>
      <w:marTop w:val="0"/>
      <w:marBottom w:val="0"/>
      <w:divBdr>
        <w:top w:val="none" w:sz="0" w:space="0" w:color="auto"/>
        <w:left w:val="none" w:sz="0" w:space="0" w:color="auto"/>
        <w:bottom w:val="none" w:sz="0" w:space="0" w:color="auto"/>
        <w:right w:val="none" w:sz="0" w:space="0" w:color="auto"/>
      </w:divBdr>
    </w:div>
    <w:div w:id="767315259">
      <w:bodyDiv w:val="1"/>
      <w:marLeft w:val="0"/>
      <w:marRight w:val="0"/>
      <w:marTop w:val="0"/>
      <w:marBottom w:val="0"/>
      <w:divBdr>
        <w:top w:val="none" w:sz="0" w:space="0" w:color="auto"/>
        <w:left w:val="none" w:sz="0" w:space="0" w:color="auto"/>
        <w:bottom w:val="none" w:sz="0" w:space="0" w:color="auto"/>
        <w:right w:val="none" w:sz="0" w:space="0" w:color="auto"/>
      </w:divBdr>
    </w:div>
    <w:div w:id="769549793">
      <w:bodyDiv w:val="1"/>
      <w:marLeft w:val="0"/>
      <w:marRight w:val="0"/>
      <w:marTop w:val="0"/>
      <w:marBottom w:val="0"/>
      <w:divBdr>
        <w:top w:val="none" w:sz="0" w:space="0" w:color="auto"/>
        <w:left w:val="none" w:sz="0" w:space="0" w:color="auto"/>
        <w:bottom w:val="none" w:sz="0" w:space="0" w:color="auto"/>
        <w:right w:val="none" w:sz="0" w:space="0" w:color="auto"/>
      </w:divBdr>
    </w:div>
    <w:div w:id="776682611">
      <w:bodyDiv w:val="1"/>
      <w:marLeft w:val="0"/>
      <w:marRight w:val="0"/>
      <w:marTop w:val="0"/>
      <w:marBottom w:val="0"/>
      <w:divBdr>
        <w:top w:val="none" w:sz="0" w:space="0" w:color="auto"/>
        <w:left w:val="none" w:sz="0" w:space="0" w:color="auto"/>
        <w:bottom w:val="none" w:sz="0" w:space="0" w:color="auto"/>
        <w:right w:val="none" w:sz="0" w:space="0" w:color="auto"/>
      </w:divBdr>
    </w:div>
    <w:div w:id="790636223">
      <w:bodyDiv w:val="1"/>
      <w:marLeft w:val="0"/>
      <w:marRight w:val="0"/>
      <w:marTop w:val="0"/>
      <w:marBottom w:val="0"/>
      <w:divBdr>
        <w:top w:val="none" w:sz="0" w:space="0" w:color="auto"/>
        <w:left w:val="none" w:sz="0" w:space="0" w:color="auto"/>
        <w:bottom w:val="none" w:sz="0" w:space="0" w:color="auto"/>
        <w:right w:val="none" w:sz="0" w:space="0" w:color="auto"/>
      </w:divBdr>
    </w:div>
    <w:div w:id="793333299">
      <w:bodyDiv w:val="1"/>
      <w:marLeft w:val="0"/>
      <w:marRight w:val="0"/>
      <w:marTop w:val="0"/>
      <w:marBottom w:val="0"/>
      <w:divBdr>
        <w:top w:val="none" w:sz="0" w:space="0" w:color="auto"/>
        <w:left w:val="none" w:sz="0" w:space="0" w:color="auto"/>
        <w:bottom w:val="none" w:sz="0" w:space="0" w:color="auto"/>
        <w:right w:val="none" w:sz="0" w:space="0" w:color="auto"/>
      </w:divBdr>
    </w:div>
    <w:div w:id="797574322">
      <w:bodyDiv w:val="1"/>
      <w:marLeft w:val="0"/>
      <w:marRight w:val="0"/>
      <w:marTop w:val="0"/>
      <w:marBottom w:val="0"/>
      <w:divBdr>
        <w:top w:val="none" w:sz="0" w:space="0" w:color="auto"/>
        <w:left w:val="none" w:sz="0" w:space="0" w:color="auto"/>
        <w:bottom w:val="none" w:sz="0" w:space="0" w:color="auto"/>
        <w:right w:val="none" w:sz="0" w:space="0" w:color="auto"/>
      </w:divBdr>
    </w:div>
    <w:div w:id="802118567">
      <w:bodyDiv w:val="1"/>
      <w:marLeft w:val="0"/>
      <w:marRight w:val="0"/>
      <w:marTop w:val="0"/>
      <w:marBottom w:val="0"/>
      <w:divBdr>
        <w:top w:val="none" w:sz="0" w:space="0" w:color="auto"/>
        <w:left w:val="none" w:sz="0" w:space="0" w:color="auto"/>
        <w:bottom w:val="none" w:sz="0" w:space="0" w:color="auto"/>
        <w:right w:val="none" w:sz="0" w:space="0" w:color="auto"/>
      </w:divBdr>
    </w:div>
    <w:div w:id="802692909">
      <w:bodyDiv w:val="1"/>
      <w:marLeft w:val="0"/>
      <w:marRight w:val="0"/>
      <w:marTop w:val="0"/>
      <w:marBottom w:val="0"/>
      <w:divBdr>
        <w:top w:val="none" w:sz="0" w:space="0" w:color="auto"/>
        <w:left w:val="none" w:sz="0" w:space="0" w:color="auto"/>
        <w:bottom w:val="none" w:sz="0" w:space="0" w:color="auto"/>
        <w:right w:val="none" w:sz="0" w:space="0" w:color="auto"/>
      </w:divBdr>
    </w:div>
    <w:div w:id="829980262">
      <w:bodyDiv w:val="1"/>
      <w:marLeft w:val="0"/>
      <w:marRight w:val="0"/>
      <w:marTop w:val="0"/>
      <w:marBottom w:val="0"/>
      <w:divBdr>
        <w:top w:val="none" w:sz="0" w:space="0" w:color="auto"/>
        <w:left w:val="none" w:sz="0" w:space="0" w:color="auto"/>
        <w:bottom w:val="none" w:sz="0" w:space="0" w:color="auto"/>
        <w:right w:val="none" w:sz="0" w:space="0" w:color="auto"/>
      </w:divBdr>
    </w:div>
    <w:div w:id="839587979">
      <w:bodyDiv w:val="1"/>
      <w:marLeft w:val="0"/>
      <w:marRight w:val="0"/>
      <w:marTop w:val="0"/>
      <w:marBottom w:val="0"/>
      <w:divBdr>
        <w:top w:val="none" w:sz="0" w:space="0" w:color="auto"/>
        <w:left w:val="none" w:sz="0" w:space="0" w:color="auto"/>
        <w:bottom w:val="none" w:sz="0" w:space="0" w:color="auto"/>
        <w:right w:val="none" w:sz="0" w:space="0" w:color="auto"/>
      </w:divBdr>
    </w:div>
    <w:div w:id="851839569">
      <w:bodyDiv w:val="1"/>
      <w:marLeft w:val="0"/>
      <w:marRight w:val="0"/>
      <w:marTop w:val="0"/>
      <w:marBottom w:val="0"/>
      <w:divBdr>
        <w:top w:val="none" w:sz="0" w:space="0" w:color="auto"/>
        <w:left w:val="none" w:sz="0" w:space="0" w:color="auto"/>
        <w:bottom w:val="none" w:sz="0" w:space="0" w:color="auto"/>
        <w:right w:val="none" w:sz="0" w:space="0" w:color="auto"/>
      </w:divBdr>
    </w:div>
    <w:div w:id="860632542">
      <w:bodyDiv w:val="1"/>
      <w:marLeft w:val="0"/>
      <w:marRight w:val="0"/>
      <w:marTop w:val="0"/>
      <w:marBottom w:val="0"/>
      <w:divBdr>
        <w:top w:val="none" w:sz="0" w:space="0" w:color="auto"/>
        <w:left w:val="none" w:sz="0" w:space="0" w:color="auto"/>
        <w:bottom w:val="none" w:sz="0" w:space="0" w:color="auto"/>
        <w:right w:val="none" w:sz="0" w:space="0" w:color="auto"/>
      </w:divBdr>
    </w:div>
    <w:div w:id="871578578">
      <w:bodyDiv w:val="1"/>
      <w:marLeft w:val="0"/>
      <w:marRight w:val="0"/>
      <w:marTop w:val="0"/>
      <w:marBottom w:val="0"/>
      <w:divBdr>
        <w:top w:val="none" w:sz="0" w:space="0" w:color="auto"/>
        <w:left w:val="none" w:sz="0" w:space="0" w:color="auto"/>
        <w:bottom w:val="none" w:sz="0" w:space="0" w:color="auto"/>
        <w:right w:val="none" w:sz="0" w:space="0" w:color="auto"/>
      </w:divBdr>
    </w:div>
    <w:div w:id="879824535">
      <w:bodyDiv w:val="1"/>
      <w:marLeft w:val="0"/>
      <w:marRight w:val="0"/>
      <w:marTop w:val="0"/>
      <w:marBottom w:val="0"/>
      <w:divBdr>
        <w:top w:val="none" w:sz="0" w:space="0" w:color="auto"/>
        <w:left w:val="none" w:sz="0" w:space="0" w:color="auto"/>
        <w:bottom w:val="none" w:sz="0" w:space="0" w:color="auto"/>
        <w:right w:val="none" w:sz="0" w:space="0" w:color="auto"/>
      </w:divBdr>
    </w:div>
    <w:div w:id="880871105">
      <w:bodyDiv w:val="1"/>
      <w:marLeft w:val="0"/>
      <w:marRight w:val="0"/>
      <w:marTop w:val="0"/>
      <w:marBottom w:val="0"/>
      <w:divBdr>
        <w:top w:val="none" w:sz="0" w:space="0" w:color="auto"/>
        <w:left w:val="none" w:sz="0" w:space="0" w:color="auto"/>
        <w:bottom w:val="none" w:sz="0" w:space="0" w:color="auto"/>
        <w:right w:val="none" w:sz="0" w:space="0" w:color="auto"/>
      </w:divBdr>
    </w:div>
    <w:div w:id="882408404">
      <w:bodyDiv w:val="1"/>
      <w:marLeft w:val="0"/>
      <w:marRight w:val="0"/>
      <w:marTop w:val="0"/>
      <w:marBottom w:val="0"/>
      <w:divBdr>
        <w:top w:val="none" w:sz="0" w:space="0" w:color="auto"/>
        <w:left w:val="none" w:sz="0" w:space="0" w:color="auto"/>
        <w:bottom w:val="none" w:sz="0" w:space="0" w:color="auto"/>
        <w:right w:val="none" w:sz="0" w:space="0" w:color="auto"/>
      </w:divBdr>
    </w:div>
    <w:div w:id="882526065">
      <w:bodyDiv w:val="1"/>
      <w:marLeft w:val="0"/>
      <w:marRight w:val="0"/>
      <w:marTop w:val="0"/>
      <w:marBottom w:val="0"/>
      <w:divBdr>
        <w:top w:val="none" w:sz="0" w:space="0" w:color="auto"/>
        <w:left w:val="none" w:sz="0" w:space="0" w:color="auto"/>
        <w:bottom w:val="none" w:sz="0" w:space="0" w:color="auto"/>
        <w:right w:val="none" w:sz="0" w:space="0" w:color="auto"/>
      </w:divBdr>
    </w:div>
    <w:div w:id="884174678">
      <w:bodyDiv w:val="1"/>
      <w:marLeft w:val="0"/>
      <w:marRight w:val="0"/>
      <w:marTop w:val="0"/>
      <w:marBottom w:val="0"/>
      <w:divBdr>
        <w:top w:val="none" w:sz="0" w:space="0" w:color="auto"/>
        <w:left w:val="none" w:sz="0" w:space="0" w:color="auto"/>
        <w:bottom w:val="none" w:sz="0" w:space="0" w:color="auto"/>
        <w:right w:val="none" w:sz="0" w:space="0" w:color="auto"/>
      </w:divBdr>
    </w:div>
    <w:div w:id="899555707">
      <w:bodyDiv w:val="1"/>
      <w:marLeft w:val="0"/>
      <w:marRight w:val="0"/>
      <w:marTop w:val="0"/>
      <w:marBottom w:val="0"/>
      <w:divBdr>
        <w:top w:val="none" w:sz="0" w:space="0" w:color="auto"/>
        <w:left w:val="none" w:sz="0" w:space="0" w:color="auto"/>
        <w:bottom w:val="none" w:sz="0" w:space="0" w:color="auto"/>
        <w:right w:val="none" w:sz="0" w:space="0" w:color="auto"/>
      </w:divBdr>
    </w:div>
    <w:div w:id="909735709">
      <w:bodyDiv w:val="1"/>
      <w:marLeft w:val="0"/>
      <w:marRight w:val="0"/>
      <w:marTop w:val="0"/>
      <w:marBottom w:val="0"/>
      <w:divBdr>
        <w:top w:val="none" w:sz="0" w:space="0" w:color="auto"/>
        <w:left w:val="none" w:sz="0" w:space="0" w:color="auto"/>
        <w:bottom w:val="none" w:sz="0" w:space="0" w:color="auto"/>
        <w:right w:val="none" w:sz="0" w:space="0" w:color="auto"/>
      </w:divBdr>
    </w:div>
    <w:div w:id="910309768">
      <w:bodyDiv w:val="1"/>
      <w:marLeft w:val="0"/>
      <w:marRight w:val="0"/>
      <w:marTop w:val="0"/>
      <w:marBottom w:val="0"/>
      <w:divBdr>
        <w:top w:val="none" w:sz="0" w:space="0" w:color="auto"/>
        <w:left w:val="none" w:sz="0" w:space="0" w:color="auto"/>
        <w:bottom w:val="none" w:sz="0" w:space="0" w:color="auto"/>
        <w:right w:val="none" w:sz="0" w:space="0" w:color="auto"/>
      </w:divBdr>
    </w:div>
    <w:div w:id="915477774">
      <w:bodyDiv w:val="1"/>
      <w:marLeft w:val="0"/>
      <w:marRight w:val="0"/>
      <w:marTop w:val="0"/>
      <w:marBottom w:val="0"/>
      <w:divBdr>
        <w:top w:val="none" w:sz="0" w:space="0" w:color="auto"/>
        <w:left w:val="none" w:sz="0" w:space="0" w:color="auto"/>
        <w:bottom w:val="none" w:sz="0" w:space="0" w:color="auto"/>
        <w:right w:val="none" w:sz="0" w:space="0" w:color="auto"/>
      </w:divBdr>
    </w:div>
    <w:div w:id="918320919">
      <w:bodyDiv w:val="1"/>
      <w:marLeft w:val="0"/>
      <w:marRight w:val="0"/>
      <w:marTop w:val="0"/>
      <w:marBottom w:val="0"/>
      <w:divBdr>
        <w:top w:val="none" w:sz="0" w:space="0" w:color="auto"/>
        <w:left w:val="none" w:sz="0" w:space="0" w:color="auto"/>
        <w:bottom w:val="none" w:sz="0" w:space="0" w:color="auto"/>
        <w:right w:val="none" w:sz="0" w:space="0" w:color="auto"/>
      </w:divBdr>
    </w:div>
    <w:div w:id="918636918">
      <w:bodyDiv w:val="1"/>
      <w:marLeft w:val="0"/>
      <w:marRight w:val="0"/>
      <w:marTop w:val="0"/>
      <w:marBottom w:val="0"/>
      <w:divBdr>
        <w:top w:val="none" w:sz="0" w:space="0" w:color="auto"/>
        <w:left w:val="none" w:sz="0" w:space="0" w:color="auto"/>
        <w:bottom w:val="none" w:sz="0" w:space="0" w:color="auto"/>
        <w:right w:val="none" w:sz="0" w:space="0" w:color="auto"/>
      </w:divBdr>
    </w:div>
    <w:div w:id="919800037">
      <w:bodyDiv w:val="1"/>
      <w:marLeft w:val="0"/>
      <w:marRight w:val="0"/>
      <w:marTop w:val="0"/>
      <w:marBottom w:val="0"/>
      <w:divBdr>
        <w:top w:val="none" w:sz="0" w:space="0" w:color="auto"/>
        <w:left w:val="none" w:sz="0" w:space="0" w:color="auto"/>
        <w:bottom w:val="none" w:sz="0" w:space="0" w:color="auto"/>
        <w:right w:val="none" w:sz="0" w:space="0" w:color="auto"/>
      </w:divBdr>
    </w:div>
    <w:div w:id="921833994">
      <w:bodyDiv w:val="1"/>
      <w:marLeft w:val="0"/>
      <w:marRight w:val="0"/>
      <w:marTop w:val="0"/>
      <w:marBottom w:val="0"/>
      <w:divBdr>
        <w:top w:val="none" w:sz="0" w:space="0" w:color="auto"/>
        <w:left w:val="none" w:sz="0" w:space="0" w:color="auto"/>
        <w:bottom w:val="none" w:sz="0" w:space="0" w:color="auto"/>
        <w:right w:val="none" w:sz="0" w:space="0" w:color="auto"/>
      </w:divBdr>
    </w:div>
    <w:div w:id="942803643">
      <w:bodyDiv w:val="1"/>
      <w:marLeft w:val="0"/>
      <w:marRight w:val="0"/>
      <w:marTop w:val="0"/>
      <w:marBottom w:val="0"/>
      <w:divBdr>
        <w:top w:val="none" w:sz="0" w:space="0" w:color="auto"/>
        <w:left w:val="none" w:sz="0" w:space="0" w:color="auto"/>
        <w:bottom w:val="none" w:sz="0" w:space="0" w:color="auto"/>
        <w:right w:val="none" w:sz="0" w:space="0" w:color="auto"/>
      </w:divBdr>
    </w:div>
    <w:div w:id="965545236">
      <w:bodyDiv w:val="1"/>
      <w:marLeft w:val="0"/>
      <w:marRight w:val="0"/>
      <w:marTop w:val="0"/>
      <w:marBottom w:val="0"/>
      <w:divBdr>
        <w:top w:val="none" w:sz="0" w:space="0" w:color="auto"/>
        <w:left w:val="none" w:sz="0" w:space="0" w:color="auto"/>
        <w:bottom w:val="none" w:sz="0" w:space="0" w:color="auto"/>
        <w:right w:val="none" w:sz="0" w:space="0" w:color="auto"/>
      </w:divBdr>
    </w:div>
    <w:div w:id="979919124">
      <w:bodyDiv w:val="1"/>
      <w:marLeft w:val="0"/>
      <w:marRight w:val="0"/>
      <w:marTop w:val="0"/>
      <w:marBottom w:val="0"/>
      <w:divBdr>
        <w:top w:val="none" w:sz="0" w:space="0" w:color="auto"/>
        <w:left w:val="none" w:sz="0" w:space="0" w:color="auto"/>
        <w:bottom w:val="none" w:sz="0" w:space="0" w:color="auto"/>
        <w:right w:val="none" w:sz="0" w:space="0" w:color="auto"/>
      </w:divBdr>
    </w:div>
    <w:div w:id="988482059">
      <w:bodyDiv w:val="1"/>
      <w:marLeft w:val="0"/>
      <w:marRight w:val="0"/>
      <w:marTop w:val="0"/>
      <w:marBottom w:val="0"/>
      <w:divBdr>
        <w:top w:val="none" w:sz="0" w:space="0" w:color="auto"/>
        <w:left w:val="none" w:sz="0" w:space="0" w:color="auto"/>
        <w:bottom w:val="none" w:sz="0" w:space="0" w:color="auto"/>
        <w:right w:val="none" w:sz="0" w:space="0" w:color="auto"/>
      </w:divBdr>
    </w:div>
    <w:div w:id="994528230">
      <w:bodyDiv w:val="1"/>
      <w:marLeft w:val="0"/>
      <w:marRight w:val="0"/>
      <w:marTop w:val="0"/>
      <w:marBottom w:val="0"/>
      <w:divBdr>
        <w:top w:val="none" w:sz="0" w:space="0" w:color="auto"/>
        <w:left w:val="none" w:sz="0" w:space="0" w:color="auto"/>
        <w:bottom w:val="none" w:sz="0" w:space="0" w:color="auto"/>
        <w:right w:val="none" w:sz="0" w:space="0" w:color="auto"/>
      </w:divBdr>
    </w:div>
    <w:div w:id="1011108222">
      <w:bodyDiv w:val="1"/>
      <w:marLeft w:val="0"/>
      <w:marRight w:val="0"/>
      <w:marTop w:val="0"/>
      <w:marBottom w:val="0"/>
      <w:divBdr>
        <w:top w:val="none" w:sz="0" w:space="0" w:color="auto"/>
        <w:left w:val="none" w:sz="0" w:space="0" w:color="auto"/>
        <w:bottom w:val="none" w:sz="0" w:space="0" w:color="auto"/>
        <w:right w:val="none" w:sz="0" w:space="0" w:color="auto"/>
      </w:divBdr>
    </w:div>
    <w:div w:id="1015110473">
      <w:bodyDiv w:val="1"/>
      <w:marLeft w:val="0"/>
      <w:marRight w:val="0"/>
      <w:marTop w:val="0"/>
      <w:marBottom w:val="0"/>
      <w:divBdr>
        <w:top w:val="none" w:sz="0" w:space="0" w:color="auto"/>
        <w:left w:val="none" w:sz="0" w:space="0" w:color="auto"/>
        <w:bottom w:val="none" w:sz="0" w:space="0" w:color="auto"/>
        <w:right w:val="none" w:sz="0" w:space="0" w:color="auto"/>
      </w:divBdr>
    </w:div>
    <w:div w:id="1032078108">
      <w:bodyDiv w:val="1"/>
      <w:marLeft w:val="0"/>
      <w:marRight w:val="0"/>
      <w:marTop w:val="0"/>
      <w:marBottom w:val="0"/>
      <w:divBdr>
        <w:top w:val="none" w:sz="0" w:space="0" w:color="auto"/>
        <w:left w:val="none" w:sz="0" w:space="0" w:color="auto"/>
        <w:bottom w:val="none" w:sz="0" w:space="0" w:color="auto"/>
        <w:right w:val="none" w:sz="0" w:space="0" w:color="auto"/>
      </w:divBdr>
    </w:div>
    <w:div w:id="1033579338">
      <w:bodyDiv w:val="1"/>
      <w:marLeft w:val="0"/>
      <w:marRight w:val="0"/>
      <w:marTop w:val="0"/>
      <w:marBottom w:val="0"/>
      <w:divBdr>
        <w:top w:val="none" w:sz="0" w:space="0" w:color="auto"/>
        <w:left w:val="none" w:sz="0" w:space="0" w:color="auto"/>
        <w:bottom w:val="none" w:sz="0" w:space="0" w:color="auto"/>
        <w:right w:val="none" w:sz="0" w:space="0" w:color="auto"/>
      </w:divBdr>
    </w:div>
    <w:div w:id="1041175587">
      <w:bodyDiv w:val="1"/>
      <w:marLeft w:val="0"/>
      <w:marRight w:val="0"/>
      <w:marTop w:val="0"/>
      <w:marBottom w:val="0"/>
      <w:divBdr>
        <w:top w:val="none" w:sz="0" w:space="0" w:color="auto"/>
        <w:left w:val="none" w:sz="0" w:space="0" w:color="auto"/>
        <w:bottom w:val="none" w:sz="0" w:space="0" w:color="auto"/>
        <w:right w:val="none" w:sz="0" w:space="0" w:color="auto"/>
      </w:divBdr>
    </w:div>
    <w:div w:id="1045108562">
      <w:bodyDiv w:val="1"/>
      <w:marLeft w:val="0"/>
      <w:marRight w:val="0"/>
      <w:marTop w:val="0"/>
      <w:marBottom w:val="0"/>
      <w:divBdr>
        <w:top w:val="none" w:sz="0" w:space="0" w:color="auto"/>
        <w:left w:val="none" w:sz="0" w:space="0" w:color="auto"/>
        <w:bottom w:val="none" w:sz="0" w:space="0" w:color="auto"/>
        <w:right w:val="none" w:sz="0" w:space="0" w:color="auto"/>
      </w:divBdr>
    </w:div>
    <w:div w:id="1045520370">
      <w:bodyDiv w:val="1"/>
      <w:marLeft w:val="0"/>
      <w:marRight w:val="0"/>
      <w:marTop w:val="0"/>
      <w:marBottom w:val="0"/>
      <w:divBdr>
        <w:top w:val="none" w:sz="0" w:space="0" w:color="auto"/>
        <w:left w:val="none" w:sz="0" w:space="0" w:color="auto"/>
        <w:bottom w:val="none" w:sz="0" w:space="0" w:color="auto"/>
        <w:right w:val="none" w:sz="0" w:space="0" w:color="auto"/>
      </w:divBdr>
    </w:div>
    <w:div w:id="1046681899">
      <w:bodyDiv w:val="1"/>
      <w:marLeft w:val="0"/>
      <w:marRight w:val="0"/>
      <w:marTop w:val="0"/>
      <w:marBottom w:val="0"/>
      <w:divBdr>
        <w:top w:val="none" w:sz="0" w:space="0" w:color="auto"/>
        <w:left w:val="none" w:sz="0" w:space="0" w:color="auto"/>
        <w:bottom w:val="none" w:sz="0" w:space="0" w:color="auto"/>
        <w:right w:val="none" w:sz="0" w:space="0" w:color="auto"/>
      </w:divBdr>
    </w:div>
    <w:div w:id="1059014022">
      <w:bodyDiv w:val="1"/>
      <w:marLeft w:val="0"/>
      <w:marRight w:val="0"/>
      <w:marTop w:val="0"/>
      <w:marBottom w:val="0"/>
      <w:divBdr>
        <w:top w:val="none" w:sz="0" w:space="0" w:color="auto"/>
        <w:left w:val="none" w:sz="0" w:space="0" w:color="auto"/>
        <w:bottom w:val="none" w:sz="0" w:space="0" w:color="auto"/>
        <w:right w:val="none" w:sz="0" w:space="0" w:color="auto"/>
      </w:divBdr>
    </w:div>
    <w:div w:id="1065297957">
      <w:bodyDiv w:val="1"/>
      <w:marLeft w:val="0"/>
      <w:marRight w:val="0"/>
      <w:marTop w:val="0"/>
      <w:marBottom w:val="0"/>
      <w:divBdr>
        <w:top w:val="none" w:sz="0" w:space="0" w:color="auto"/>
        <w:left w:val="none" w:sz="0" w:space="0" w:color="auto"/>
        <w:bottom w:val="none" w:sz="0" w:space="0" w:color="auto"/>
        <w:right w:val="none" w:sz="0" w:space="0" w:color="auto"/>
      </w:divBdr>
    </w:div>
    <w:div w:id="1068767171">
      <w:bodyDiv w:val="1"/>
      <w:marLeft w:val="0"/>
      <w:marRight w:val="0"/>
      <w:marTop w:val="0"/>
      <w:marBottom w:val="0"/>
      <w:divBdr>
        <w:top w:val="none" w:sz="0" w:space="0" w:color="auto"/>
        <w:left w:val="none" w:sz="0" w:space="0" w:color="auto"/>
        <w:bottom w:val="none" w:sz="0" w:space="0" w:color="auto"/>
        <w:right w:val="none" w:sz="0" w:space="0" w:color="auto"/>
      </w:divBdr>
    </w:div>
    <w:div w:id="1072772445">
      <w:bodyDiv w:val="1"/>
      <w:marLeft w:val="0"/>
      <w:marRight w:val="0"/>
      <w:marTop w:val="0"/>
      <w:marBottom w:val="0"/>
      <w:divBdr>
        <w:top w:val="none" w:sz="0" w:space="0" w:color="auto"/>
        <w:left w:val="none" w:sz="0" w:space="0" w:color="auto"/>
        <w:bottom w:val="none" w:sz="0" w:space="0" w:color="auto"/>
        <w:right w:val="none" w:sz="0" w:space="0" w:color="auto"/>
      </w:divBdr>
    </w:div>
    <w:div w:id="1074398170">
      <w:bodyDiv w:val="1"/>
      <w:marLeft w:val="0"/>
      <w:marRight w:val="0"/>
      <w:marTop w:val="0"/>
      <w:marBottom w:val="0"/>
      <w:divBdr>
        <w:top w:val="none" w:sz="0" w:space="0" w:color="auto"/>
        <w:left w:val="none" w:sz="0" w:space="0" w:color="auto"/>
        <w:bottom w:val="none" w:sz="0" w:space="0" w:color="auto"/>
        <w:right w:val="none" w:sz="0" w:space="0" w:color="auto"/>
      </w:divBdr>
    </w:div>
    <w:div w:id="1077898399">
      <w:bodyDiv w:val="1"/>
      <w:marLeft w:val="0"/>
      <w:marRight w:val="0"/>
      <w:marTop w:val="0"/>
      <w:marBottom w:val="0"/>
      <w:divBdr>
        <w:top w:val="none" w:sz="0" w:space="0" w:color="auto"/>
        <w:left w:val="none" w:sz="0" w:space="0" w:color="auto"/>
        <w:bottom w:val="none" w:sz="0" w:space="0" w:color="auto"/>
        <w:right w:val="none" w:sz="0" w:space="0" w:color="auto"/>
      </w:divBdr>
    </w:div>
    <w:div w:id="1086422487">
      <w:bodyDiv w:val="1"/>
      <w:marLeft w:val="0"/>
      <w:marRight w:val="0"/>
      <w:marTop w:val="0"/>
      <w:marBottom w:val="0"/>
      <w:divBdr>
        <w:top w:val="none" w:sz="0" w:space="0" w:color="auto"/>
        <w:left w:val="none" w:sz="0" w:space="0" w:color="auto"/>
        <w:bottom w:val="none" w:sz="0" w:space="0" w:color="auto"/>
        <w:right w:val="none" w:sz="0" w:space="0" w:color="auto"/>
      </w:divBdr>
    </w:div>
    <w:div w:id="1088818071">
      <w:bodyDiv w:val="1"/>
      <w:marLeft w:val="0"/>
      <w:marRight w:val="0"/>
      <w:marTop w:val="0"/>
      <w:marBottom w:val="0"/>
      <w:divBdr>
        <w:top w:val="none" w:sz="0" w:space="0" w:color="auto"/>
        <w:left w:val="none" w:sz="0" w:space="0" w:color="auto"/>
        <w:bottom w:val="none" w:sz="0" w:space="0" w:color="auto"/>
        <w:right w:val="none" w:sz="0" w:space="0" w:color="auto"/>
      </w:divBdr>
    </w:div>
    <w:div w:id="1097210971">
      <w:bodyDiv w:val="1"/>
      <w:marLeft w:val="0"/>
      <w:marRight w:val="0"/>
      <w:marTop w:val="0"/>
      <w:marBottom w:val="0"/>
      <w:divBdr>
        <w:top w:val="none" w:sz="0" w:space="0" w:color="auto"/>
        <w:left w:val="none" w:sz="0" w:space="0" w:color="auto"/>
        <w:bottom w:val="none" w:sz="0" w:space="0" w:color="auto"/>
        <w:right w:val="none" w:sz="0" w:space="0" w:color="auto"/>
      </w:divBdr>
    </w:div>
    <w:div w:id="1102184625">
      <w:bodyDiv w:val="1"/>
      <w:marLeft w:val="0"/>
      <w:marRight w:val="0"/>
      <w:marTop w:val="0"/>
      <w:marBottom w:val="0"/>
      <w:divBdr>
        <w:top w:val="none" w:sz="0" w:space="0" w:color="auto"/>
        <w:left w:val="none" w:sz="0" w:space="0" w:color="auto"/>
        <w:bottom w:val="none" w:sz="0" w:space="0" w:color="auto"/>
        <w:right w:val="none" w:sz="0" w:space="0" w:color="auto"/>
      </w:divBdr>
    </w:div>
    <w:div w:id="1107624293">
      <w:bodyDiv w:val="1"/>
      <w:marLeft w:val="0"/>
      <w:marRight w:val="0"/>
      <w:marTop w:val="0"/>
      <w:marBottom w:val="0"/>
      <w:divBdr>
        <w:top w:val="none" w:sz="0" w:space="0" w:color="auto"/>
        <w:left w:val="none" w:sz="0" w:space="0" w:color="auto"/>
        <w:bottom w:val="none" w:sz="0" w:space="0" w:color="auto"/>
        <w:right w:val="none" w:sz="0" w:space="0" w:color="auto"/>
      </w:divBdr>
    </w:div>
    <w:div w:id="1123959132">
      <w:bodyDiv w:val="1"/>
      <w:marLeft w:val="0"/>
      <w:marRight w:val="0"/>
      <w:marTop w:val="0"/>
      <w:marBottom w:val="0"/>
      <w:divBdr>
        <w:top w:val="none" w:sz="0" w:space="0" w:color="auto"/>
        <w:left w:val="none" w:sz="0" w:space="0" w:color="auto"/>
        <w:bottom w:val="none" w:sz="0" w:space="0" w:color="auto"/>
        <w:right w:val="none" w:sz="0" w:space="0" w:color="auto"/>
      </w:divBdr>
    </w:div>
    <w:div w:id="1129326855">
      <w:bodyDiv w:val="1"/>
      <w:marLeft w:val="0"/>
      <w:marRight w:val="0"/>
      <w:marTop w:val="0"/>
      <w:marBottom w:val="0"/>
      <w:divBdr>
        <w:top w:val="none" w:sz="0" w:space="0" w:color="auto"/>
        <w:left w:val="none" w:sz="0" w:space="0" w:color="auto"/>
        <w:bottom w:val="none" w:sz="0" w:space="0" w:color="auto"/>
        <w:right w:val="none" w:sz="0" w:space="0" w:color="auto"/>
      </w:divBdr>
      <w:divsChild>
        <w:div w:id="224225899">
          <w:marLeft w:val="0"/>
          <w:marRight w:val="0"/>
          <w:marTop w:val="0"/>
          <w:marBottom w:val="0"/>
          <w:divBdr>
            <w:top w:val="none" w:sz="0" w:space="0" w:color="auto"/>
            <w:left w:val="none" w:sz="0" w:space="0" w:color="auto"/>
            <w:bottom w:val="none" w:sz="0" w:space="0" w:color="auto"/>
            <w:right w:val="none" w:sz="0" w:space="0" w:color="auto"/>
          </w:divBdr>
        </w:div>
      </w:divsChild>
    </w:div>
    <w:div w:id="1133016224">
      <w:bodyDiv w:val="1"/>
      <w:marLeft w:val="0"/>
      <w:marRight w:val="0"/>
      <w:marTop w:val="0"/>
      <w:marBottom w:val="0"/>
      <w:divBdr>
        <w:top w:val="none" w:sz="0" w:space="0" w:color="auto"/>
        <w:left w:val="none" w:sz="0" w:space="0" w:color="auto"/>
        <w:bottom w:val="none" w:sz="0" w:space="0" w:color="auto"/>
        <w:right w:val="none" w:sz="0" w:space="0" w:color="auto"/>
      </w:divBdr>
    </w:div>
    <w:div w:id="1136407436">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51480710">
      <w:bodyDiv w:val="1"/>
      <w:marLeft w:val="0"/>
      <w:marRight w:val="0"/>
      <w:marTop w:val="0"/>
      <w:marBottom w:val="0"/>
      <w:divBdr>
        <w:top w:val="none" w:sz="0" w:space="0" w:color="auto"/>
        <w:left w:val="none" w:sz="0" w:space="0" w:color="auto"/>
        <w:bottom w:val="none" w:sz="0" w:space="0" w:color="auto"/>
        <w:right w:val="none" w:sz="0" w:space="0" w:color="auto"/>
      </w:divBdr>
    </w:div>
    <w:div w:id="1155411549">
      <w:bodyDiv w:val="1"/>
      <w:marLeft w:val="0"/>
      <w:marRight w:val="0"/>
      <w:marTop w:val="0"/>
      <w:marBottom w:val="0"/>
      <w:divBdr>
        <w:top w:val="none" w:sz="0" w:space="0" w:color="auto"/>
        <w:left w:val="none" w:sz="0" w:space="0" w:color="auto"/>
        <w:bottom w:val="none" w:sz="0" w:space="0" w:color="auto"/>
        <w:right w:val="none" w:sz="0" w:space="0" w:color="auto"/>
      </w:divBdr>
    </w:div>
    <w:div w:id="1174419743">
      <w:bodyDiv w:val="1"/>
      <w:marLeft w:val="0"/>
      <w:marRight w:val="0"/>
      <w:marTop w:val="0"/>
      <w:marBottom w:val="0"/>
      <w:divBdr>
        <w:top w:val="none" w:sz="0" w:space="0" w:color="auto"/>
        <w:left w:val="none" w:sz="0" w:space="0" w:color="auto"/>
        <w:bottom w:val="none" w:sz="0" w:space="0" w:color="auto"/>
        <w:right w:val="none" w:sz="0" w:space="0" w:color="auto"/>
      </w:divBdr>
    </w:div>
    <w:div w:id="1177160046">
      <w:bodyDiv w:val="1"/>
      <w:marLeft w:val="0"/>
      <w:marRight w:val="0"/>
      <w:marTop w:val="0"/>
      <w:marBottom w:val="0"/>
      <w:divBdr>
        <w:top w:val="none" w:sz="0" w:space="0" w:color="auto"/>
        <w:left w:val="none" w:sz="0" w:space="0" w:color="auto"/>
        <w:bottom w:val="none" w:sz="0" w:space="0" w:color="auto"/>
        <w:right w:val="none" w:sz="0" w:space="0" w:color="auto"/>
      </w:divBdr>
    </w:div>
    <w:div w:id="1185944731">
      <w:bodyDiv w:val="1"/>
      <w:marLeft w:val="0"/>
      <w:marRight w:val="0"/>
      <w:marTop w:val="0"/>
      <w:marBottom w:val="0"/>
      <w:divBdr>
        <w:top w:val="none" w:sz="0" w:space="0" w:color="auto"/>
        <w:left w:val="none" w:sz="0" w:space="0" w:color="auto"/>
        <w:bottom w:val="none" w:sz="0" w:space="0" w:color="auto"/>
        <w:right w:val="none" w:sz="0" w:space="0" w:color="auto"/>
      </w:divBdr>
    </w:div>
    <w:div w:id="1206140611">
      <w:bodyDiv w:val="1"/>
      <w:marLeft w:val="0"/>
      <w:marRight w:val="0"/>
      <w:marTop w:val="0"/>
      <w:marBottom w:val="0"/>
      <w:divBdr>
        <w:top w:val="none" w:sz="0" w:space="0" w:color="auto"/>
        <w:left w:val="none" w:sz="0" w:space="0" w:color="auto"/>
        <w:bottom w:val="none" w:sz="0" w:space="0" w:color="auto"/>
        <w:right w:val="none" w:sz="0" w:space="0" w:color="auto"/>
      </w:divBdr>
    </w:div>
    <w:div w:id="1216938711">
      <w:bodyDiv w:val="1"/>
      <w:marLeft w:val="0"/>
      <w:marRight w:val="0"/>
      <w:marTop w:val="0"/>
      <w:marBottom w:val="0"/>
      <w:divBdr>
        <w:top w:val="none" w:sz="0" w:space="0" w:color="auto"/>
        <w:left w:val="none" w:sz="0" w:space="0" w:color="auto"/>
        <w:bottom w:val="none" w:sz="0" w:space="0" w:color="auto"/>
        <w:right w:val="none" w:sz="0" w:space="0" w:color="auto"/>
      </w:divBdr>
    </w:div>
    <w:div w:id="1222255951">
      <w:bodyDiv w:val="1"/>
      <w:marLeft w:val="0"/>
      <w:marRight w:val="0"/>
      <w:marTop w:val="0"/>
      <w:marBottom w:val="0"/>
      <w:divBdr>
        <w:top w:val="none" w:sz="0" w:space="0" w:color="auto"/>
        <w:left w:val="none" w:sz="0" w:space="0" w:color="auto"/>
        <w:bottom w:val="none" w:sz="0" w:space="0" w:color="auto"/>
        <w:right w:val="none" w:sz="0" w:space="0" w:color="auto"/>
      </w:divBdr>
    </w:div>
    <w:div w:id="1223633881">
      <w:bodyDiv w:val="1"/>
      <w:marLeft w:val="0"/>
      <w:marRight w:val="0"/>
      <w:marTop w:val="0"/>
      <w:marBottom w:val="0"/>
      <w:divBdr>
        <w:top w:val="none" w:sz="0" w:space="0" w:color="auto"/>
        <w:left w:val="none" w:sz="0" w:space="0" w:color="auto"/>
        <w:bottom w:val="none" w:sz="0" w:space="0" w:color="auto"/>
        <w:right w:val="none" w:sz="0" w:space="0" w:color="auto"/>
      </w:divBdr>
    </w:div>
    <w:div w:id="1230075809">
      <w:bodyDiv w:val="1"/>
      <w:marLeft w:val="0"/>
      <w:marRight w:val="0"/>
      <w:marTop w:val="0"/>
      <w:marBottom w:val="0"/>
      <w:divBdr>
        <w:top w:val="none" w:sz="0" w:space="0" w:color="auto"/>
        <w:left w:val="none" w:sz="0" w:space="0" w:color="auto"/>
        <w:bottom w:val="none" w:sz="0" w:space="0" w:color="auto"/>
        <w:right w:val="none" w:sz="0" w:space="0" w:color="auto"/>
      </w:divBdr>
    </w:div>
    <w:div w:id="1255625827">
      <w:bodyDiv w:val="1"/>
      <w:marLeft w:val="0"/>
      <w:marRight w:val="0"/>
      <w:marTop w:val="0"/>
      <w:marBottom w:val="0"/>
      <w:divBdr>
        <w:top w:val="none" w:sz="0" w:space="0" w:color="auto"/>
        <w:left w:val="none" w:sz="0" w:space="0" w:color="auto"/>
        <w:bottom w:val="none" w:sz="0" w:space="0" w:color="auto"/>
        <w:right w:val="none" w:sz="0" w:space="0" w:color="auto"/>
      </w:divBdr>
    </w:div>
    <w:div w:id="1260866878">
      <w:bodyDiv w:val="1"/>
      <w:marLeft w:val="0"/>
      <w:marRight w:val="0"/>
      <w:marTop w:val="0"/>
      <w:marBottom w:val="0"/>
      <w:divBdr>
        <w:top w:val="none" w:sz="0" w:space="0" w:color="auto"/>
        <w:left w:val="none" w:sz="0" w:space="0" w:color="auto"/>
        <w:bottom w:val="none" w:sz="0" w:space="0" w:color="auto"/>
        <w:right w:val="none" w:sz="0" w:space="0" w:color="auto"/>
      </w:divBdr>
    </w:div>
    <w:div w:id="1268074423">
      <w:bodyDiv w:val="1"/>
      <w:marLeft w:val="0"/>
      <w:marRight w:val="0"/>
      <w:marTop w:val="0"/>
      <w:marBottom w:val="0"/>
      <w:divBdr>
        <w:top w:val="none" w:sz="0" w:space="0" w:color="auto"/>
        <w:left w:val="none" w:sz="0" w:space="0" w:color="auto"/>
        <w:bottom w:val="none" w:sz="0" w:space="0" w:color="auto"/>
        <w:right w:val="none" w:sz="0" w:space="0" w:color="auto"/>
      </w:divBdr>
    </w:div>
    <w:div w:id="1269000547">
      <w:bodyDiv w:val="1"/>
      <w:marLeft w:val="0"/>
      <w:marRight w:val="0"/>
      <w:marTop w:val="0"/>
      <w:marBottom w:val="0"/>
      <w:divBdr>
        <w:top w:val="none" w:sz="0" w:space="0" w:color="auto"/>
        <w:left w:val="none" w:sz="0" w:space="0" w:color="auto"/>
        <w:bottom w:val="none" w:sz="0" w:space="0" w:color="auto"/>
        <w:right w:val="none" w:sz="0" w:space="0" w:color="auto"/>
      </w:divBdr>
    </w:div>
    <w:div w:id="1271817926">
      <w:bodyDiv w:val="1"/>
      <w:marLeft w:val="0"/>
      <w:marRight w:val="0"/>
      <w:marTop w:val="0"/>
      <w:marBottom w:val="0"/>
      <w:divBdr>
        <w:top w:val="none" w:sz="0" w:space="0" w:color="auto"/>
        <w:left w:val="none" w:sz="0" w:space="0" w:color="auto"/>
        <w:bottom w:val="none" w:sz="0" w:space="0" w:color="auto"/>
        <w:right w:val="none" w:sz="0" w:space="0" w:color="auto"/>
      </w:divBdr>
    </w:div>
    <w:div w:id="1271933202">
      <w:bodyDiv w:val="1"/>
      <w:marLeft w:val="0"/>
      <w:marRight w:val="0"/>
      <w:marTop w:val="0"/>
      <w:marBottom w:val="0"/>
      <w:divBdr>
        <w:top w:val="none" w:sz="0" w:space="0" w:color="auto"/>
        <w:left w:val="none" w:sz="0" w:space="0" w:color="auto"/>
        <w:bottom w:val="none" w:sz="0" w:space="0" w:color="auto"/>
        <w:right w:val="none" w:sz="0" w:space="0" w:color="auto"/>
      </w:divBdr>
    </w:div>
    <w:div w:id="1275866639">
      <w:bodyDiv w:val="1"/>
      <w:marLeft w:val="0"/>
      <w:marRight w:val="0"/>
      <w:marTop w:val="0"/>
      <w:marBottom w:val="0"/>
      <w:divBdr>
        <w:top w:val="none" w:sz="0" w:space="0" w:color="auto"/>
        <w:left w:val="none" w:sz="0" w:space="0" w:color="auto"/>
        <w:bottom w:val="none" w:sz="0" w:space="0" w:color="auto"/>
        <w:right w:val="none" w:sz="0" w:space="0" w:color="auto"/>
      </w:divBdr>
    </w:div>
    <w:div w:id="1281646607">
      <w:bodyDiv w:val="1"/>
      <w:marLeft w:val="0"/>
      <w:marRight w:val="0"/>
      <w:marTop w:val="0"/>
      <w:marBottom w:val="0"/>
      <w:divBdr>
        <w:top w:val="none" w:sz="0" w:space="0" w:color="auto"/>
        <w:left w:val="none" w:sz="0" w:space="0" w:color="auto"/>
        <w:bottom w:val="none" w:sz="0" w:space="0" w:color="auto"/>
        <w:right w:val="none" w:sz="0" w:space="0" w:color="auto"/>
      </w:divBdr>
    </w:div>
    <w:div w:id="1283221823">
      <w:bodyDiv w:val="1"/>
      <w:marLeft w:val="0"/>
      <w:marRight w:val="0"/>
      <w:marTop w:val="0"/>
      <w:marBottom w:val="0"/>
      <w:divBdr>
        <w:top w:val="none" w:sz="0" w:space="0" w:color="auto"/>
        <w:left w:val="none" w:sz="0" w:space="0" w:color="auto"/>
        <w:bottom w:val="none" w:sz="0" w:space="0" w:color="auto"/>
        <w:right w:val="none" w:sz="0" w:space="0" w:color="auto"/>
      </w:divBdr>
    </w:div>
    <w:div w:id="1284729996">
      <w:bodyDiv w:val="1"/>
      <w:marLeft w:val="0"/>
      <w:marRight w:val="0"/>
      <w:marTop w:val="0"/>
      <w:marBottom w:val="0"/>
      <w:divBdr>
        <w:top w:val="none" w:sz="0" w:space="0" w:color="auto"/>
        <w:left w:val="none" w:sz="0" w:space="0" w:color="auto"/>
        <w:bottom w:val="none" w:sz="0" w:space="0" w:color="auto"/>
        <w:right w:val="none" w:sz="0" w:space="0" w:color="auto"/>
      </w:divBdr>
    </w:div>
    <w:div w:id="1286935238">
      <w:bodyDiv w:val="1"/>
      <w:marLeft w:val="0"/>
      <w:marRight w:val="0"/>
      <w:marTop w:val="0"/>
      <w:marBottom w:val="0"/>
      <w:divBdr>
        <w:top w:val="none" w:sz="0" w:space="0" w:color="auto"/>
        <w:left w:val="none" w:sz="0" w:space="0" w:color="auto"/>
        <w:bottom w:val="none" w:sz="0" w:space="0" w:color="auto"/>
        <w:right w:val="none" w:sz="0" w:space="0" w:color="auto"/>
      </w:divBdr>
    </w:div>
    <w:div w:id="1287391542">
      <w:bodyDiv w:val="1"/>
      <w:marLeft w:val="0"/>
      <w:marRight w:val="0"/>
      <w:marTop w:val="0"/>
      <w:marBottom w:val="0"/>
      <w:divBdr>
        <w:top w:val="none" w:sz="0" w:space="0" w:color="auto"/>
        <w:left w:val="none" w:sz="0" w:space="0" w:color="auto"/>
        <w:bottom w:val="none" w:sz="0" w:space="0" w:color="auto"/>
        <w:right w:val="none" w:sz="0" w:space="0" w:color="auto"/>
      </w:divBdr>
    </w:div>
    <w:div w:id="1289624742">
      <w:bodyDiv w:val="1"/>
      <w:marLeft w:val="0"/>
      <w:marRight w:val="0"/>
      <w:marTop w:val="0"/>
      <w:marBottom w:val="0"/>
      <w:divBdr>
        <w:top w:val="none" w:sz="0" w:space="0" w:color="auto"/>
        <w:left w:val="none" w:sz="0" w:space="0" w:color="auto"/>
        <w:bottom w:val="none" w:sz="0" w:space="0" w:color="auto"/>
        <w:right w:val="none" w:sz="0" w:space="0" w:color="auto"/>
      </w:divBdr>
    </w:div>
    <w:div w:id="1293365993">
      <w:bodyDiv w:val="1"/>
      <w:marLeft w:val="0"/>
      <w:marRight w:val="0"/>
      <w:marTop w:val="0"/>
      <w:marBottom w:val="0"/>
      <w:divBdr>
        <w:top w:val="none" w:sz="0" w:space="0" w:color="auto"/>
        <w:left w:val="none" w:sz="0" w:space="0" w:color="auto"/>
        <w:bottom w:val="none" w:sz="0" w:space="0" w:color="auto"/>
        <w:right w:val="none" w:sz="0" w:space="0" w:color="auto"/>
      </w:divBdr>
    </w:div>
    <w:div w:id="1299383738">
      <w:bodyDiv w:val="1"/>
      <w:marLeft w:val="0"/>
      <w:marRight w:val="0"/>
      <w:marTop w:val="0"/>
      <w:marBottom w:val="0"/>
      <w:divBdr>
        <w:top w:val="none" w:sz="0" w:space="0" w:color="auto"/>
        <w:left w:val="none" w:sz="0" w:space="0" w:color="auto"/>
        <w:bottom w:val="none" w:sz="0" w:space="0" w:color="auto"/>
        <w:right w:val="none" w:sz="0" w:space="0" w:color="auto"/>
      </w:divBdr>
    </w:div>
    <w:div w:id="1302537440">
      <w:bodyDiv w:val="1"/>
      <w:marLeft w:val="0"/>
      <w:marRight w:val="0"/>
      <w:marTop w:val="0"/>
      <w:marBottom w:val="0"/>
      <w:divBdr>
        <w:top w:val="none" w:sz="0" w:space="0" w:color="auto"/>
        <w:left w:val="none" w:sz="0" w:space="0" w:color="auto"/>
        <w:bottom w:val="none" w:sz="0" w:space="0" w:color="auto"/>
        <w:right w:val="none" w:sz="0" w:space="0" w:color="auto"/>
      </w:divBdr>
    </w:div>
    <w:div w:id="1306885993">
      <w:bodyDiv w:val="1"/>
      <w:marLeft w:val="0"/>
      <w:marRight w:val="0"/>
      <w:marTop w:val="0"/>
      <w:marBottom w:val="0"/>
      <w:divBdr>
        <w:top w:val="none" w:sz="0" w:space="0" w:color="auto"/>
        <w:left w:val="none" w:sz="0" w:space="0" w:color="auto"/>
        <w:bottom w:val="none" w:sz="0" w:space="0" w:color="auto"/>
        <w:right w:val="none" w:sz="0" w:space="0" w:color="auto"/>
      </w:divBdr>
    </w:div>
    <w:div w:id="1314797297">
      <w:bodyDiv w:val="1"/>
      <w:marLeft w:val="0"/>
      <w:marRight w:val="0"/>
      <w:marTop w:val="0"/>
      <w:marBottom w:val="0"/>
      <w:divBdr>
        <w:top w:val="none" w:sz="0" w:space="0" w:color="auto"/>
        <w:left w:val="none" w:sz="0" w:space="0" w:color="auto"/>
        <w:bottom w:val="none" w:sz="0" w:space="0" w:color="auto"/>
        <w:right w:val="none" w:sz="0" w:space="0" w:color="auto"/>
      </w:divBdr>
    </w:div>
    <w:div w:id="1317495088">
      <w:bodyDiv w:val="1"/>
      <w:marLeft w:val="0"/>
      <w:marRight w:val="0"/>
      <w:marTop w:val="0"/>
      <w:marBottom w:val="0"/>
      <w:divBdr>
        <w:top w:val="none" w:sz="0" w:space="0" w:color="auto"/>
        <w:left w:val="none" w:sz="0" w:space="0" w:color="auto"/>
        <w:bottom w:val="none" w:sz="0" w:space="0" w:color="auto"/>
        <w:right w:val="none" w:sz="0" w:space="0" w:color="auto"/>
      </w:divBdr>
    </w:div>
    <w:div w:id="1317687027">
      <w:bodyDiv w:val="1"/>
      <w:marLeft w:val="0"/>
      <w:marRight w:val="0"/>
      <w:marTop w:val="0"/>
      <w:marBottom w:val="0"/>
      <w:divBdr>
        <w:top w:val="none" w:sz="0" w:space="0" w:color="auto"/>
        <w:left w:val="none" w:sz="0" w:space="0" w:color="auto"/>
        <w:bottom w:val="none" w:sz="0" w:space="0" w:color="auto"/>
        <w:right w:val="none" w:sz="0" w:space="0" w:color="auto"/>
      </w:divBdr>
    </w:div>
    <w:div w:id="1318265499">
      <w:bodyDiv w:val="1"/>
      <w:marLeft w:val="0"/>
      <w:marRight w:val="0"/>
      <w:marTop w:val="0"/>
      <w:marBottom w:val="0"/>
      <w:divBdr>
        <w:top w:val="none" w:sz="0" w:space="0" w:color="auto"/>
        <w:left w:val="none" w:sz="0" w:space="0" w:color="auto"/>
        <w:bottom w:val="none" w:sz="0" w:space="0" w:color="auto"/>
        <w:right w:val="none" w:sz="0" w:space="0" w:color="auto"/>
      </w:divBdr>
    </w:div>
    <w:div w:id="1318997237">
      <w:bodyDiv w:val="1"/>
      <w:marLeft w:val="0"/>
      <w:marRight w:val="0"/>
      <w:marTop w:val="0"/>
      <w:marBottom w:val="0"/>
      <w:divBdr>
        <w:top w:val="none" w:sz="0" w:space="0" w:color="auto"/>
        <w:left w:val="none" w:sz="0" w:space="0" w:color="auto"/>
        <w:bottom w:val="none" w:sz="0" w:space="0" w:color="auto"/>
        <w:right w:val="none" w:sz="0" w:space="0" w:color="auto"/>
      </w:divBdr>
    </w:div>
    <w:div w:id="1330136268">
      <w:bodyDiv w:val="1"/>
      <w:marLeft w:val="0"/>
      <w:marRight w:val="0"/>
      <w:marTop w:val="0"/>
      <w:marBottom w:val="0"/>
      <w:divBdr>
        <w:top w:val="none" w:sz="0" w:space="0" w:color="auto"/>
        <w:left w:val="none" w:sz="0" w:space="0" w:color="auto"/>
        <w:bottom w:val="none" w:sz="0" w:space="0" w:color="auto"/>
        <w:right w:val="none" w:sz="0" w:space="0" w:color="auto"/>
      </w:divBdr>
    </w:div>
    <w:div w:id="1330476322">
      <w:bodyDiv w:val="1"/>
      <w:marLeft w:val="0"/>
      <w:marRight w:val="0"/>
      <w:marTop w:val="0"/>
      <w:marBottom w:val="0"/>
      <w:divBdr>
        <w:top w:val="none" w:sz="0" w:space="0" w:color="auto"/>
        <w:left w:val="none" w:sz="0" w:space="0" w:color="auto"/>
        <w:bottom w:val="none" w:sz="0" w:space="0" w:color="auto"/>
        <w:right w:val="none" w:sz="0" w:space="0" w:color="auto"/>
      </w:divBdr>
    </w:div>
    <w:div w:id="1332294687">
      <w:bodyDiv w:val="1"/>
      <w:marLeft w:val="0"/>
      <w:marRight w:val="0"/>
      <w:marTop w:val="0"/>
      <w:marBottom w:val="0"/>
      <w:divBdr>
        <w:top w:val="none" w:sz="0" w:space="0" w:color="auto"/>
        <w:left w:val="none" w:sz="0" w:space="0" w:color="auto"/>
        <w:bottom w:val="none" w:sz="0" w:space="0" w:color="auto"/>
        <w:right w:val="none" w:sz="0" w:space="0" w:color="auto"/>
      </w:divBdr>
    </w:div>
    <w:div w:id="1332636601">
      <w:bodyDiv w:val="1"/>
      <w:marLeft w:val="0"/>
      <w:marRight w:val="0"/>
      <w:marTop w:val="0"/>
      <w:marBottom w:val="0"/>
      <w:divBdr>
        <w:top w:val="none" w:sz="0" w:space="0" w:color="auto"/>
        <w:left w:val="none" w:sz="0" w:space="0" w:color="auto"/>
        <w:bottom w:val="none" w:sz="0" w:space="0" w:color="auto"/>
        <w:right w:val="none" w:sz="0" w:space="0" w:color="auto"/>
      </w:divBdr>
    </w:div>
    <w:div w:id="1337226240">
      <w:bodyDiv w:val="1"/>
      <w:marLeft w:val="0"/>
      <w:marRight w:val="0"/>
      <w:marTop w:val="0"/>
      <w:marBottom w:val="0"/>
      <w:divBdr>
        <w:top w:val="none" w:sz="0" w:space="0" w:color="auto"/>
        <w:left w:val="none" w:sz="0" w:space="0" w:color="auto"/>
        <w:bottom w:val="none" w:sz="0" w:space="0" w:color="auto"/>
        <w:right w:val="none" w:sz="0" w:space="0" w:color="auto"/>
      </w:divBdr>
    </w:div>
    <w:div w:id="1345202637">
      <w:bodyDiv w:val="1"/>
      <w:marLeft w:val="0"/>
      <w:marRight w:val="0"/>
      <w:marTop w:val="0"/>
      <w:marBottom w:val="0"/>
      <w:divBdr>
        <w:top w:val="none" w:sz="0" w:space="0" w:color="auto"/>
        <w:left w:val="none" w:sz="0" w:space="0" w:color="auto"/>
        <w:bottom w:val="none" w:sz="0" w:space="0" w:color="auto"/>
        <w:right w:val="none" w:sz="0" w:space="0" w:color="auto"/>
      </w:divBdr>
    </w:div>
    <w:div w:id="1349675885">
      <w:bodyDiv w:val="1"/>
      <w:marLeft w:val="0"/>
      <w:marRight w:val="0"/>
      <w:marTop w:val="0"/>
      <w:marBottom w:val="0"/>
      <w:divBdr>
        <w:top w:val="none" w:sz="0" w:space="0" w:color="auto"/>
        <w:left w:val="none" w:sz="0" w:space="0" w:color="auto"/>
        <w:bottom w:val="none" w:sz="0" w:space="0" w:color="auto"/>
        <w:right w:val="none" w:sz="0" w:space="0" w:color="auto"/>
      </w:divBdr>
    </w:div>
    <w:div w:id="1356610503">
      <w:bodyDiv w:val="1"/>
      <w:marLeft w:val="0"/>
      <w:marRight w:val="0"/>
      <w:marTop w:val="0"/>
      <w:marBottom w:val="0"/>
      <w:divBdr>
        <w:top w:val="none" w:sz="0" w:space="0" w:color="auto"/>
        <w:left w:val="none" w:sz="0" w:space="0" w:color="auto"/>
        <w:bottom w:val="none" w:sz="0" w:space="0" w:color="auto"/>
        <w:right w:val="none" w:sz="0" w:space="0" w:color="auto"/>
      </w:divBdr>
    </w:div>
    <w:div w:id="1362439832">
      <w:bodyDiv w:val="1"/>
      <w:marLeft w:val="0"/>
      <w:marRight w:val="0"/>
      <w:marTop w:val="0"/>
      <w:marBottom w:val="0"/>
      <w:divBdr>
        <w:top w:val="none" w:sz="0" w:space="0" w:color="auto"/>
        <w:left w:val="none" w:sz="0" w:space="0" w:color="auto"/>
        <w:bottom w:val="none" w:sz="0" w:space="0" w:color="auto"/>
        <w:right w:val="none" w:sz="0" w:space="0" w:color="auto"/>
      </w:divBdr>
    </w:div>
    <w:div w:id="1363705595">
      <w:bodyDiv w:val="1"/>
      <w:marLeft w:val="0"/>
      <w:marRight w:val="0"/>
      <w:marTop w:val="0"/>
      <w:marBottom w:val="0"/>
      <w:divBdr>
        <w:top w:val="none" w:sz="0" w:space="0" w:color="auto"/>
        <w:left w:val="none" w:sz="0" w:space="0" w:color="auto"/>
        <w:bottom w:val="none" w:sz="0" w:space="0" w:color="auto"/>
        <w:right w:val="none" w:sz="0" w:space="0" w:color="auto"/>
      </w:divBdr>
    </w:div>
    <w:div w:id="1367409517">
      <w:bodyDiv w:val="1"/>
      <w:marLeft w:val="0"/>
      <w:marRight w:val="0"/>
      <w:marTop w:val="0"/>
      <w:marBottom w:val="0"/>
      <w:divBdr>
        <w:top w:val="none" w:sz="0" w:space="0" w:color="auto"/>
        <w:left w:val="none" w:sz="0" w:space="0" w:color="auto"/>
        <w:bottom w:val="none" w:sz="0" w:space="0" w:color="auto"/>
        <w:right w:val="none" w:sz="0" w:space="0" w:color="auto"/>
      </w:divBdr>
    </w:div>
    <w:div w:id="1378161307">
      <w:bodyDiv w:val="1"/>
      <w:marLeft w:val="0"/>
      <w:marRight w:val="0"/>
      <w:marTop w:val="0"/>
      <w:marBottom w:val="0"/>
      <w:divBdr>
        <w:top w:val="none" w:sz="0" w:space="0" w:color="auto"/>
        <w:left w:val="none" w:sz="0" w:space="0" w:color="auto"/>
        <w:bottom w:val="none" w:sz="0" w:space="0" w:color="auto"/>
        <w:right w:val="none" w:sz="0" w:space="0" w:color="auto"/>
      </w:divBdr>
    </w:div>
    <w:div w:id="1381591969">
      <w:bodyDiv w:val="1"/>
      <w:marLeft w:val="0"/>
      <w:marRight w:val="0"/>
      <w:marTop w:val="0"/>
      <w:marBottom w:val="0"/>
      <w:divBdr>
        <w:top w:val="none" w:sz="0" w:space="0" w:color="auto"/>
        <w:left w:val="none" w:sz="0" w:space="0" w:color="auto"/>
        <w:bottom w:val="none" w:sz="0" w:space="0" w:color="auto"/>
        <w:right w:val="none" w:sz="0" w:space="0" w:color="auto"/>
      </w:divBdr>
    </w:div>
    <w:div w:id="1385300474">
      <w:bodyDiv w:val="1"/>
      <w:marLeft w:val="0"/>
      <w:marRight w:val="0"/>
      <w:marTop w:val="0"/>
      <w:marBottom w:val="0"/>
      <w:divBdr>
        <w:top w:val="none" w:sz="0" w:space="0" w:color="auto"/>
        <w:left w:val="none" w:sz="0" w:space="0" w:color="auto"/>
        <w:bottom w:val="none" w:sz="0" w:space="0" w:color="auto"/>
        <w:right w:val="none" w:sz="0" w:space="0" w:color="auto"/>
      </w:divBdr>
    </w:div>
    <w:div w:id="1389840456">
      <w:bodyDiv w:val="1"/>
      <w:marLeft w:val="0"/>
      <w:marRight w:val="0"/>
      <w:marTop w:val="0"/>
      <w:marBottom w:val="0"/>
      <w:divBdr>
        <w:top w:val="none" w:sz="0" w:space="0" w:color="auto"/>
        <w:left w:val="none" w:sz="0" w:space="0" w:color="auto"/>
        <w:bottom w:val="none" w:sz="0" w:space="0" w:color="auto"/>
        <w:right w:val="none" w:sz="0" w:space="0" w:color="auto"/>
      </w:divBdr>
    </w:div>
    <w:div w:id="1392925216">
      <w:bodyDiv w:val="1"/>
      <w:marLeft w:val="0"/>
      <w:marRight w:val="0"/>
      <w:marTop w:val="0"/>
      <w:marBottom w:val="0"/>
      <w:divBdr>
        <w:top w:val="none" w:sz="0" w:space="0" w:color="auto"/>
        <w:left w:val="none" w:sz="0" w:space="0" w:color="auto"/>
        <w:bottom w:val="none" w:sz="0" w:space="0" w:color="auto"/>
        <w:right w:val="none" w:sz="0" w:space="0" w:color="auto"/>
      </w:divBdr>
    </w:div>
    <w:div w:id="1397817748">
      <w:bodyDiv w:val="1"/>
      <w:marLeft w:val="0"/>
      <w:marRight w:val="0"/>
      <w:marTop w:val="0"/>
      <w:marBottom w:val="0"/>
      <w:divBdr>
        <w:top w:val="none" w:sz="0" w:space="0" w:color="auto"/>
        <w:left w:val="none" w:sz="0" w:space="0" w:color="auto"/>
        <w:bottom w:val="none" w:sz="0" w:space="0" w:color="auto"/>
        <w:right w:val="none" w:sz="0" w:space="0" w:color="auto"/>
      </w:divBdr>
    </w:div>
    <w:div w:id="1400133638">
      <w:bodyDiv w:val="1"/>
      <w:marLeft w:val="0"/>
      <w:marRight w:val="0"/>
      <w:marTop w:val="0"/>
      <w:marBottom w:val="0"/>
      <w:divBdr>
        <w:top w:val="none" w:sz="0" w:space="0" w:color="auto"/>
        <w:left w:val="none" w:sz="0" w:space="0" w:color="auto"/>
        <w:bottom w:val="none" w:sz="0" w:space="0" w:color="auto"/>
        <w:right w:val="none" w:sz="0" w:space="0" w:color="auto"/>
      </w:divBdr>
    </w:div>
    <w:div w:id="1400861923">
      <w:bodyDiv w:val="1"/>
      <w:marLeft w:val="0"/>
      <w:marRight w:val="0"/>
      <w:marTop w:val="0"/>
      <w:marBottom w:val="0"/>
      <w:divBdr>
        <w:top w:val="none" w:sz="0" w:space="0" w:color="auto"/>
        <w:left w:val="none" w:sz="0" w:space="0" w:color="auto"/>
        <w:bottom w:val="none" w:sz="0" w:space="0" w:color="auto"/>
        <w:right w:val="none" w:sz="0" w:space="0" w:color="auto"/>
      </w:divBdr>
    </w:div>
    <w:div w:id="1406686626">
      <w:bodyDiv w:val="1"/>
      <w:marLeft w:val="0"/>
      <w:marRight w:val="0"/>
      <w:marTop w:val="0"/>
      <w:marBottom w:val="0"/>
      <w:divBdr>
        <w:top w:val="none" w:sz="0" w:space="0" w:color="auto"/>
        <w:left w:val="none" w:sz="0" w:space="0" w:color="auto"/>
        <w:bottom w:val="none" w:sz="0" w:space="0" w:color="auto"/>
        <w:right w:val="none" w:sz="0" w:space="0" w:color="auto"/>
      </w:divBdr>
    </w:div>
    <w:div w:id="1408069791">
      <w:bodyDiv w:val="1"/>
      <w:marLeft w:val="0"/>
      <w:marRight w:val="0"/>
      <w:marTop w:val="0"/>
      <w:marBottom w:val="0"/>
      <w:divBdr>
        <w:top w:val="none" w:sz="0" w:space="0" w:color="auto"/>
        <w:left w:val="none" w:sz="0" w:space="0" w:color="auto"/>
        <w:bottom w:val="none" w:sz="0" w:space="0" w:color="auto"/>
        <w:right w:val="none" w:sz="0" w:space="0" w:color="auto"/>
      </w:divBdr>
    </w:div>
    <w:div w:id="1408648970">
      <w:bodyDiv w:val="1"/>
      <w:marLeft w:val="0"/>
      <w:marRight w:val="0"/>
      <w:marTop w:val="0"/>
      <w:marBottom w:val="0"/>
      <w:divBdr>
        <w:top w:val="none" w:sz="0" w:space="0" w:color="auto"/>
        <w:left w:val="none" w:sz="0" w:space="0" w:color="auto"/>
        <w:bottom w:val="none" w:sz="0" w:space="0" w:color="auto"/>
        <w:right w:val="none" w:sz="0" w:space="0" w:color="auto"/>
      </w:divBdr>
    </w:div>
    <w:div w:id="1421752434">
      <w:bodyDiv w:val="1"/>
      <w:marLeft w:val="0"/>
      <w:marRight w:val="0"/>
      <w:marTop w:val="0"/>
      <w:marBottom w:val="0"/>
      <w:divBdr>
        <w:top w:val="none" w:sz="0" w:space="0" w:color="auto"/>
        <w:left w:val="none" w:sz="0" w:space="0" w:color="auto"/>
        <w:bottom w:val="none" w:sz="0" w:space="0" w:color="auto"/>
        <w:right w:val="none" w:sz="0" w:space="0" w:color="auto"/>
      </w:divBdr>
    </w:div>
    <w:div w:id="1431580337">
      <w:bodyDiv w:val="1"/>
      <w:marLeft w:val="0"/>
      <w:marRight w:val="0"/>
      <w:marTop w:val="0"/>
      <w:marBottom w:val="0"/>
      <w:divBdr>
        <w:top w:val="none" w:sz="0" w:space="0" w:color="auto"/>
        <w:left w:val="none" w:sz="0" w:space="0" w:color="auto"/>
        <w:bottom w:val="none" w:sz="0" w:space="0" w:color="auto"/>
        <w:right w:val="none" w:sz="0" w:space="0" w:color="auto"/>
      </w:divBdr>
    </w:div>
    <w:div w:id="1438208389">
      <w:bodyDiv w:val="1"/>
      <w:marLeft w:val="0"/>
      <w:marRight w:val="0"/>
      <w:marTop w:val="0"/>
      <w:marBottom w:val="0"/>
      <w:divBdr>
        <w:top w:val="none" w:sz="0" w:space="0" w:color="auto"/>
        <w:left w:val="none" w:sz="0" w:space="0" w:color="auto"/>
        <w:bottom w:val="none" w:sz="0" w:space="0" w:color="auto"/>
        <w:right w:val="none" w:sz="0" w:space="0" w:color="auto"/>
      </w:divBdr>
    </w:div>
    <w:div w:id="1438476550">
      <w:bodyDiv w:val="1"/>
      <w:marLeft w:val="0"/>
      <w:marRight w:val="0"/>
      <w:marTop w:val="0"/>
      <w:marBottom w:val="0"/>
      <w:divBdr>
        <w:top w:val="none" w:sz="0" w:space="0" w:color="auto"/>
        <w:left w:val="none" w:sz="0" w:space="0" w:color="auto"/>
        <w:bottom w:val="none" w:sz="0" w:space="0" w:color="auto"/>
        <w:right w:val="none" w:sz="0" w:space="0" w:color="auto"/>
      </w:divBdr>
    </w:div>
    <w:div w:id="1440291658">
      <w:bodyDiv w:val="1"/>
      <w:marLeft w:val="0"/>
      <w:marRight w:val="0"/>
      <w:marTop w:val="0"/>
      <w:marBottom w:val="0"/>
      <w:divBdr>
        <w:top w:val="none" w:sz="0" w:space="0" w:color="auto"/>
        <w:left w:val="none" w:sz="0" w:space="0" w:color="auto"/>
        <w:bottom w:val="none" w:sz="0" w:space="0" w:color="auto"/>
        <w:right w:val="none" w:sz="0" w:space="0" w:color="auto"/>
      </w:divBdr>
    </w:div>
    <w:div w:id="1448428325">
      <w:bodyDiv w:val="1"/>
      <w:marLeft w:val="0"/>
      <w:marRight w:val="0"/>
      <w:marTop w:val="0"/>
      <w:marBottom w:val="0"/>
      <w:divBdr>
        <w:top w:val="none" w:sz="0" w:space="0" w:color="auto"/>
        <w:left w:val="none" w:sz="0" w:space="0" w:color="auto"/>
        <w:bottom w:val="none" w:sz="0" w:space="0" w:color="auto"/>
        <w:right w:val="none" w:sz="0" w:space="0" w:color="auto"/>
      </w:divBdr>
    </w:div>
    <w:div w:id="1450658915">
      <w:bodyDiv w:val="1"/>
      <w:marLeft w:val="0"/>
      <w:marRight w:val="0"/>
      <w:marTop w:val="0"/>
      <w:marBottom w:val="0"/>
      <w:divBdr>
        <w:top w:val="none" w:sz="0" w:space="0" w:color="auto"/>
        <w:left w:val="none" w:sz="0" w:space="0" w:color="auto"/>
        <w:bottom w:val="none" w:sz="0" w:space="0" w:color="auto"/>
        <w:right w:val="none" w:sz="0" w:space="0" w:color="auto"/>
      </w:divBdr>
    </w:div>
    <w:div w:id="1460681984">
      <w:bodyDiv w:val="1"/>
      <w:marLeft w:val="0"/>
      <w:marRight w:val="0"/>
      <w:marTop w:val="0"/>
      <w:marBottom w:val="0"/>
      <w:divBdr>
        <w:top w:val="none" w:sz="0" w:space="0" w:color="auto"/>
        <w:left w:val="none" w:sz="0" w:space="0" w:color="auto"/>
        <w:bottom w:val="none" w:sz="0" w:space="0" w:color="auto"/>
        <w:right w:val="none" w:sz="0" w:space="0" w:color="auto"/>
      </w:divBdr>
    </w:div>
    <w:div w:id="1471708197">
      <w:bodyDiv w:val="1"/>
      <w:marLeft w:val="0"/>
      <w:marRight w:val="0"/>
      <w:marTop w:val="0"/>
      <w:marBottom w:val="0"/>
      <w:divBdr>
        <w:top w:val="none" w:sz="0" w:space="0" w:color="auto"/>
        <w:left w:val="none" w:sz="0" w:space="0" w:color="auto"/>
        <w:bottom w:val="none" w:sz="0" w:space="0" w:color="auto"/>
        <w:right w:val="none" w:sz="0" w:space="0" w:color="auto"/>
      </w:divBdr>
    </w:div>
    <w:div w:id="1477187286">
      <w:bodyDiv w:val="1"/>
      <w:marLeft w:val="0"/>
      <w:marRight w:val="0"/>
      <w:marTop w:val="0"/>
      <w:marBottom w:val="0"/>
      <w:divBdr>
        <w:top w:val="none" w:sz="0" w:space="0" w:color="auto"/>
        <w:left w:val="none" w:sz="0" w:space="0" w:color="auto"/>
        <w:bottom w:val="none" w:sz="0" w:space="0" w:color="auto"/>
        <w:right w:val="none" w:sz="0" w:space="0" w:color="auto"/>
      </w:divBdr>
    </w:div>
    <w:div w:id="1492984786">
      <w:bodyDiv w:val="1"/>
      <w:marLeft w:val="0"/>
      <w:marRight w:val="0"/>
      <w:marTop w:val="0"/>
      <w:marBottom w:val="0"/>
      <w:divBdr>
        <w:top w:val="none" w:sz="0" w:space="0" w:color="auto"/>
        <w:left w:val="none" w:sz="0" w:space="0" w:color="auto"/>
        <w:bottom w:val="none" w:sz="0" w:space="0" w:color="auto"/>
        <w:right w:val="none" w:sz="0" w:space="0" w:color="auto"/>
      </w:divBdr>
    </w:div>
    <w:div w:id="1497190258">
      <w:bodyDiv w:val="1"/>
      <w:marLeft w:val="0"/>
      <w:marRight w:val="0"/>
      <w:marTop w:val="0"/>
      <w:marBottom w:val="0"/>
      <w:divBdr>
        <w:top w:val="none" w:sz="0" w:space="0" w:color="auto"/>
        <w:left w:val="none" w:sz="0" w:space="0" w:color="auto"/>
        <w:bottom w:val="none" w:sz="0" w:space="0" w:color="auto"/>
        <w:right w:val="none" w:sz="0" w:space="0" w:color="auto"/>
      </w:divBdr>
    </w:div>
    <w:div w:id="1503010975">
      <w:bodyDiv w:val="1"/>
      <w:marLeft w:val="0"/>
      <w:marRight w:val="0"/>
      <w:marTop w:val="0"/>
      <w:marBottom w:val="0"/>
      <w:divBdr>
        <w:top w:val="none" w:sz="0" w:space="0" w:color="auto"/>
        <w:left w:val="none" w:sz="0" w:space="0" w:color="auto"/>
        <w:bottom w:val="none" w:sz="0" w:space="0" w:color="auto"/>
        <w:right w:val="none" w:sz="0" w:space="0" w:color="auto"/>
      </w:divBdr>
    </w:div>
    <w:div w:id="1505243073">
      <w:bodyDiv w:val="1"/>
      <w:marLeft w:val="0"/>
      <w:marRight w:val="0"/>
      <w:marTop w:val="0"/>
      <w:marBottom w:val="0"/>
      <w:divBdr>
        <w:top w:val="none" w:sz="0" w:space="0" w:color="auto"/>
        <w:left w:val="none" w:sz="0" w:space="0" w:color="auto"/>
        <w:bottom w:val="none" w:sz="0" w:space="0" w:color="auto"/>
        <w:right w:val="none" w:sz="0" w:space="0" w:color="auto"/>
      </w:divBdr>
    </w:div>
    <w:div w:id="1505438607">
      <w:bodyDiv w:val="1"/>
      <w:marLeft w:val="0"/>
      <w:marRight w:val="0"/>
      <w:marTop w:val="0"/>
      <w:marBottom w:val="0"/>
      <w:divBdr>
        <w:top w:val="none" w:sz="0" w:space="0" w:color="auto"/>
        <w:left w:val="none" w:sz="0" w:space="0" w:color="auto"/>
        <w:bottom w:val="none" w:sz="0" w:space="0" w:color="auto"/>
        <w:right w:val="none" w:sz="0" w:space="0" w:color="auto"/>
      </w:divBdr>
    </w:div>
    <w:div w:id="1505778363">
      <w:bodyDiv w:val="1"/>
      <w:marLeft w:val="0"/>
      <w:marRight w:val="0"/>
      <w:marTop w:val="0"/>
      <w:marBottom w:val="0"/>
      <w:divBdr>
        <w:top w:val="none" w:sz="0" w:space="0" w:color="auto"/>
        <w:left w:val="none" w:sz="0" w:space="0" w:color="auto"/>
        <w:bottom w:val="none" w:sz="0" w:space="0" w:color="auto"/>
        <w:right w:val="none" w:sz="0" w:space="0" w:color="auto"/>
      </w:divBdr>
    </w:div>
    <w:div w:id="1508056226">
      <w:bodyDiv w:val="1"/>
      <w:marLeft w:val="0"/>
      <w:marRight w:val="0"/>
      <w:marTop w:val="0"/>
      <w:marBottom w:val="0"/>
      <w:divBdr>
        <w:top w:val="none" w:sz="0" w:space="0" w:color="auto"/>
        <w:left w:val="none" w:sz="0" w:space="0" w:color="auto"/>
        <w:bottom w:val="none" w:sz="0" w:space="0" w:color="auto"/>
        <w:right w:val="none" w:sz="0" w:space="0" w:color="auto"/>
      </w:divBdr>
    </w:div>
    <w:div w:id="1512253240">
      <w:bodyDiv w:val="1"/>
      <w:marLeft w:val="0"/>
      <w:marRight w:val="0"/>
      <w:marTop w:val="0"/>
      <w:marBottom w:val="0"/>
      <w:divBdr>
        <w:top w:val="none" w:sz="0" w:space="0" w:color="auto"/>
        <w:left w:val="none" w:sz="0" w:space="0" w:color="auto"/>
        <w:bottom w:val="none" w:sz="0" w:space="0" w:color="auto"/>
        <w:right w:val="none" w:sz="0" w:space="0" w:color="auto"/>
      </w:divBdr>
    </w:div>
    <w:div w:id="1513186274">
      <w:bodyDiv w:val="1"/>
      <w:marLeft w:val="0"/>
      <w:marRight w:val="0"/>
      <w:marTop w:val="0"/>
      <w:marBottom w:val="0"/>
      <w:divBdr>
        <w:top w:val="none" w:sz="0" w:space="0" w:color="auto"/>
        <w:left w:val="none" w:sz="0" w:space="0" w:color="auto"/>
        <w:bottom w:val="none" w:sz="0" w:space="0" w:color="auto"/>
        <w:right w:val="none" w:sz="0" w:space="0" w:color="auto"/>
      </w:divBdr>
    </w:div>
    <w:div w:id="1524399744">
      <w:bodyDiv w:val="1"/>
      <w:marLeft w:val="0"/>
      <w:marRight w:val="0"/>
      <w:marTop w:val="0"/>
      <w:marBottom w:val="0"/>
      <w:divBdr>
        <w:top w:val="none" w:sz="0" w:space="0" w:color="auto"/>
        <w:left w:val="none" w:sz="0" w:space="0" w:color="auto"/>
        <w:bottom w:val="none" w:sz="0" w:space="0" w:color="auto"/>
        <w:right w:val="none" w:sz="0" w:space="0" w:color="auto"/>
      </w:divBdr>
    </w:div>
    <w:div w:id="1533834892">
      <w:bodyDiv w:val="1"/>
      <w:marLeft w:val="0"/>
      <w:marRight w:val="0"/>
      <w:marTop w:val="0"/>
      <w:marBottom w:val="0"/>
      <w:divBdr>
        <w:top w:val="none" w:sz="0" w:space="0" w:color="auto"/>
        <w:left w:val="none" w:sz="0" w:space="0" w:color="auto"/>
        <w:bottom w:val="none" w:sz="0" w:space="0" w:color="auto"/>
        <w:right w:val="none" w:sz="0" w:space="0" w:color="auto"/>
      </w:divBdr>
    </w:div>
    <w:div w:id="1537082318">
      <w:bodyDiv w:val="1"/>
      <w:marLeft w:val="0"/>
      <w:marRight w:val="0"/>
      <w:marTop w:val="0"/>
      <w:marBottom w:val="0"/>
      <w:divBdr>
        <w:top w:val="none" w:sz="0" w:space="0" w:color="auto"/>
        <w:left w:val="none" w:sz="0" w:space="0" w:color="auto"/>
        <w:bottom w:val="none" w:sz="0" w:space="0" w:color="auto"/>
        <w:right w:val="none" w:sz="0" w:space="0" w:color="auto"/>
      </w:divBdr>
    </w:div>
    <w:div w:id="1545362146">
      <w:bodyDiv w:val="1"/>
      <w:marLeft w:val="0"/>
      <w:marRight w:val="0"/>
      <w:marTop w:val="0"/>
      <w:marBottom w:val="0"/>
      <w:divBdr>
        <w:top w:val="none" w:sz="0" w:space="0" w:color="auto"/>
        <w:left w:val="none" w:sz="0" w:space="0" w:color="auto"/>
        <w:bottom w:val="none" w:sz="0" w:space="0" w:color="auto"/>
        <w:right w:val="none" w:sz="0" w:space="0" w:color="auto"/>
      </w:divBdr>
    </w:div>
    <w:div w:id="1546210964">
      <w:bodyDiv w:val="1"/>
      <w:marLeft w:val="0"/>
      <w:marRight w:val="0"/>
      <w:marTop w:val="0"/>
      <w:marBottom w:val="0"/>
      <w:divBdr>
        <w:top w:val="none" w:sz="0" w:space="0" w:color="auto"/>
        <w:left w:val="none" w:sz="0" w:space="0" w:color="auto"/>
        <w:bottom w:val="none" w:sz="0" w:space="0" w:color="auto"/>
        <w:right w:val="none" w:sz="0" w:space="0" w:color="auto"/>
      </w:divBdr>
    </w:div>
    <w:div w:id="155912939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67521931">
      <w:bodyDiv w:val="1"/>
      <w:marLeft w:val="0"/>
      <w:marRight w:val="0"/>
      <w:marTop w:val="0"/>
      <w:marBottom w:val="0"/>
      <w:divBdr>
        <w:top w:val="none" w:sz="0" w:space="0" w:color="auto"/>
        <w:left w:val="none" w:sz="0" w:space="0" w:color="auto"/>
        <w:bottom w:val="none" w:sz="0" w:space="0" w:color="auto"/>
        <w:right w:val="none" w:sz="0" w:space="0" w:color="auto"/>
      </w:divBdr>
    </w:div>
    <w:div w:id="1575778152">
      <w:bodyDiv w:val="1"/>
      <w:marLeft w:val="0"/>
      <w:marRight w:val="0"/>
      <w:marTop w:val="0"/>
      <w:marBottom w:val="0"/>
      <w:divBdr>
        <w:top w:val="none" w:sz="0" w:space="0" w:color="auto"/>
        <w:left w:val="none" w:sz="0" w:space="0" w:color="auto"/>
        <w:bottom w:val="none" w:sz="0" w:space="0" w:color="auto"/>
        <w:right w:val="none" w:sz="0" w:space="0" w:color="auto"/>
      </w:divBdr>
    </w:div>
    <w:div w:id="1579096917">
      <w:bodyDiv w:val="1"/>
      <w:marLeft w:val="0"/>
      <w:marRight w:val="0"/>
      <w:marTop w:val="0"/>
      <w:marBottom w:val="0"/>
      <w:divBdr>
        <w:top w:val="none" w:sz="0" w:space="0" w:color="auto"/>
        <w:left w:val="none" w:sz="0" w:space="0" w:color="auto"/>
        <w:bottom w:val="none" w:sz="0" w:space="0" w:color="auto"/>
        <w:right w:val="none" w:sz="0" w:space="0" w:color="auto"/>
      </w:divBdr>
    </w:div>
    <w:div w:id="1592277067">
      <w:bodyDiv w:val="1"/>
      <w:marLeft w:val="0"/>
      <w:marRight w:val="0"/>
      <w:marTop w:val="0"/>
      <w:marBottom w:val="0"/>
      <w:divBdr>
        <w:top w:val="none" w:sz="0" w:space="0" w:color="auto"/>
        <w:left w:val="none" w:sz="0" w:space="0" w:color="auto"/>
        <w:bottom w:val="none" w:sz="0" w:space="0" w:color="auto"/>
        <w:right w:val="none" w:sz="0" w:space="0" w:color="auto"/>
      </w:divBdr>
    </w:div>
    <w:div w:id="1595625063">
      <w:bodyDiv w:val="1"/>
      <w:marLeft w:val="0"/>
      <w:marRight w:val="0"/>
      <w:marTop w:val="0"/>
      <w:marBottom w:val="0"/>
      <w:divBdr>
        <w:top w:val="none" w:sz="0" w:space="0" w:color="auto"/>
        <w:left w:val="none" w:sz="0" w:space="0" w:color="auto"/>
        <w:bottom w:val="none" w:sz="0" w:space="0" w:color="auto"/>
        <w:right w:val="none" w:sz="0" w:space="0" w:color="auto"/>
      </w:divBdr>
    </w:div>
    <w:div w:id="1597401565">
      <w:bodyDiv w:val="1"/>
      <w:marLeft w:val="0"/>
      <w:marRight w:val="0"/>
      <w:marTop w:val="0"/>
      <w:marBottom w:val="0"/>
      <w:divBdr>
        <w:top w:val="none" w:sz="0" w:space="0" w:color="auto"/>
        <w:left w:val="none" w:sz="0" w:space="0" w:color="auto"/>
        <w:bottom w:val="none" w:sz="0" w:space="0" w:color="auto"/>
        <w:right w:val="none" w:sz="0" w:space="0" w:color="auto"/>
      </w:divBdr>
    </w:div>
    <w:div w:id="1599023852">
      <w:bodyDiv w:val="1"/>
      <w:marLeft w:val="0"/>
      <w:marRight w:val="0"/>
      <w:marTop w:val="0"/>
      <w:marBottom w:val="0"/>
      <w:divBdr>
        <w:top w:val="none" w:sz="0" w:space="0" w:color="auto"/>
        <w:left w:val="none" w:sz="0" w:space="0" w:color="auto"/>
        <w:bottom w:val="none" w:sz="0" w:space="0" w:color="auto"/>
        <w:right w:val="none" w:sz="0" w:space="0" w:color="auto"/>
      </w:divBdr>
    </w:div>
    <w:div w:id="1611276219">
      <w:bodyDiv w:val="1"/>
      <w:marLeft w:val="0"/>
      <w:marRight w:val="0"/>
      <w:marTop w:val="0"/>
      <w:marBottom w:val="0"/>
      <w:divBdr>
        <w:top w:val="none" w:sz="0" w:space="0" w:color="auto"/>
        <w:left w:val="none" w:sz="0" w:space="0" w:color="auto"/>
        <w:bottom w:val="none" w:sz="0" w:space="0" w:color="auto"/>
        <w:right w:val="none" w:sz="0" w:space="0" w:color="auto"/>
      </w:divBdr>
    </w:div>
    <w:div w:id="1612198363">
      <w:bodyDiv w:val="1"/>
      <w:marLeft w:val="0"/>
      <w:marRight w:val="0"/>
      <w:marTop w:val="0"/>
      <w:marBottom w:val="0"/>
      <w:divBdr>
        <w:top w:val="none" w:sz="0" w:space="0" w:color="auto"/>
        <w:left w:val="none" w:sz="0" w:space="0" w:color="auto"/>
        <w:bottom w:val="none" w:sz="0" w:space="0" w:color="auto"/>
        <w:right w:val="none" w:sz="0" w:space="0" w:color="auto"/>
      </w:divBdr>
    </w:div>
    <w:div w:id="1616404848">
      <w:bodyDiv w:val="1"/>
      <w:marLeft w:val="0"/>
      <w:marRight w:val="0"/>
      <w:marTop w:val="0"/>
      <w:marBottom w:val="0"/>
      <w:divBdr>
        <w:top w:val="none" w:sz="0" w:space="0" w:color="auto"/>
        <w:left w:val="none" w:sz="0" w:space="0" w:color="auto"/>
        <w:bottom w:val="none" w:sz="0" w:space="0" w:color="auto"/>
        <w:right w:val="none" w:sz="0" w:space="0" w:color="auto"/>
      </w:divBdr>
    </w:div>
    <w:div w:id="1616718527">
      <w:bodyDiv w:val="1"/>
      <w:marLeft w:val="0"/>
      <w:marRight w:val="0"/>
      <w:marTop w:val="0"/>
      <w:marBottom w:val="0"/>
      <w:divBdr>
        <w:top w:val="none" w:sz="0" w:space="0" w:color="auto"/>
        <w:left w:val="none" w:sz="0" w:space="0" w:color="auto"/>
        <w:bottom w:val="none" w:sz="0" w:space="0" w:color="auto"/>
        <w:right w:val="none" w:sz="0" w:space="0" w:color="auto"/>
      </w:divBdr>
    </w:div>
    <w:div w:id="1632511806">
      <w:bodyDiv w:val="1"/>
      <w:marLeft w:val="0"/>
      <w:marRight w:val="0"/>
      <w:marTop w:val="0"/>
      <w:marBottom w:val="0"/>
      <w:divBdr>
        <w:top w:val="none" w:sz="0" w:space="0" w:color="auto"/>
        <w:left w:val="none" w:sz="0" w:space="0" w:color="auto"/>
        <w:bottom w:val="none" w:sz="0" w:space="0" w:color="auto"/>
        <w:right w:val="none" w:sz="0" w:space="0" w:color="auto"/>
      </w:divBdr>
    </w:div>
    <w:div w:id="1638295673">
      <w:bodyDiv w:val="1"/>
      <w:marLeft w:val="0"/>
      <w:marRight w:val="0"/>
      <w:marTop w:val="0"/>
      <w:marBottom w:val="0"/>
      <w:divBdr>
        <w:top w:val="none" w:sz="0" w:space="0" w:color="auto"/>
        <w:left w:val="none" w:sz="0" w:space="0" w:color="auto"/>
        <w:bottom w:val="none" w:sz="0" w:space="0" w:color="auto"/>
        <w:right w:val="none" w:sz="0" w:space="0" w:color="auto"/>
      </w:divBdr>
    </w:div>
    <w:div w:id="1638804738">
      <w:bodyDiv w:val="1"/>
      <w:marLeft w:val="0"/>
      <w:marRight w:val="0"/>
      <w:marTop w:val="0"/>
      <w:marBottom w:val="0"/>
      <w:divBdr>
        <w:top w:val="none" w:sz="0" w:space="0" w:color="auto"/>
        <w:left w:val="none" w:sz="0" w:space="0" w:color="auto"/>
        <w:bottom w:val="none" w:sz="0" w:space="0" w:color="auto"/>
        <w:right w:val="none" w:sz="0" w:space="0" w:color="auto"/>
      </w:divBdr>
    </w:div>
    <w:div w:id="1640068141">
      <w:bodyDiv w:val="1"/>
      <w:marLeft w:val="0"/>
      <w:marRight w:val="0"/>
      <w:marTop w:val="0"/>
      <w:marBottom w:val="0"/>
      <w:divBdr>
        <w:top w:val="none" w:sz="0" w:space="0" w:color="auto"/>
        <w:left w:val="none" w:sz="0" w:space="0" w:color="auto"/>
        <w:bottom w:val="none" w:sz="0" w:space="0" w:color="auto"/>
        <w:right w:val="none" w:sz="0" w:space="0" w:color="auto"/>
      </w:divBdr>
    </w:div>
    <w:div w:id="1651132089">
      <w:bodyDiv w:val="1"/>
      <w:marLeft w:val="0"/>
      <w:marRight w:val="0"/>
      <w:marTop w:val="0"/>
      <w:marBottom w:val="0"/>
      <w:divBdr>
        <w:top w:val="none" w:sz="0" w:space="0" w:color="auto"/>
        <w:left w:val="none" w:sz="0" w:space="0" w:color="auto"/>
        <w:bottom w:val="none" w:sz="0" w:space="0" w:color="auto"/>
        <w:right w:val="none" w:sz="0" w:space="0" w:color="auto"/>
      </w:divBdr>
    </w:div>
    <w:div w:id="1653022577">
      <w:bodyDiv w:val="1"/>
      <w:marLeft w:val="0"/>
      <w:marRight w:val="0"/>
      <w:marTop w:val="0"/>
      <w:marBottom w:val="0"/>
      <w:divBdr>
        <w:top w:val="none" w:sz="0" w:space="0" w:color="auto"/>
        <w:left w:val="none" w:sz="0" w:space="0" w:color="auto"/>
        <w:bottom w:val="none" w:sz="0" w:space="0" w:color="auto"/>
        <w:right w:val="none" w:sz="0" w:space="0" w:color="auto"/>
      </w:divBdr>
    </w:div>
    <w:div w:id="1653213449">
      <w:bodyDiv w:val="1"/>
      <w:marLeft w:val="0"/>
      <w:marRight w:val="0"/>
      <w:marTop w:val="0"/>
      <w:marBottom w:val="0"/>
      <w:divBdr>
        <w:top w:val="none" w:sz="0" w:space="0" w:color="auto"/>
        <w:left w:val="none" w:sz="0" w:space="0" w:color="auto"/>
        <w:bottom w:val="none" w:sz="0" w:space="0" w:color="auto"/>
        <w:right w:val="none" w:sz="0" w:space="0" w:color="auto"/>
      </w:divBdr>
    </w:div>
    <w:div w:id="1653755049">
      <w:bodyDiv w:val="1"/>
      <w:marLeft w:val="0"/>
      <w:marRight w:val="0"/>
      <w:marTop w:val="0"/>
      <w:marBottom w:val="0"/>
      <w:divBdr>
        <w:top w:val="none" w:sz="0" w:space="0" w:color="auto"/>
        <w:left w:val="none" w:sz="0" w:space="0" w:color="auto"/>
        <w:bottom w:val="none" w:sz="0" w:space="0" w:color="auto"/>
        <w:right w:val="none" w:sz="0" w:space="0" w:color="auto"/>
      </w:divBdr>
    </w:div>
    <w:div w:id="1654139841">
      <w:bodyDiv w:val="1"/>
      <w:marLeft w:val="0"/>
      <w:marRight w:val="0"/>
      <w:marTop w:val="0"/>
      <w:marBottom w:val="0"/>
      <w:divBdr>
        <w:top w:val="none" w:sz="0" w:space="0" w:color="auto"/>
        <w:left w:val="none" w:sz="0" w:space="0" w:color="auto"/>
        <w:bottom w:val="none" w:sz="0" w:space="0" w:color="auto"/>
        <w:right w:val="none" w:sz="0" w:space="0" w:color="auto"/>
      </w:divBdr>
    </w:div>
    <w:div w:id="1659262661">
      <w:bodyDiv w:val="1"/>
      <w:marLeft w:val="0"/>
      <w:marRight w:val="0"/>
      <w:marTop w:val="0"/>
      <w:marBottom w:val="0"/>
      <w:divBdr>
        <w:top w:val="none" w:sz="0" w:space="0" w:color="auto"/>
        <w:left w:val="none" w:sz="0" w:space="0" w:color="auto"/>
        <w:bottom w:val="none" w:sz="0" w:space="0" w:color="auto"/>
        <w:right w:val="none" w:sz="0" w:space="0" w:color="auto"/>
      </w:divBdr>
    </w:div>
    <w:div w:id="1659922638">
      <w:bodyDiv w:val="1"/>
      <w:marLeft w:val="0"/>
      <w:marRight w:val="0"/>
      <w:marTop w:val="0"/>
      <w:marBottom w:val="0"/>
      <w:divBdr>
        <w:top w:val="none" w:sz="0" w:space="0" w:color="auto"/>
        <w:left w:val="none" w:sz="0" w:space="0" w:color="auto"/>
        <w:bottom w:val="none" w:sz="0" w:space="0" w:color="auto"/>
        <w:right w:val="none" w:sz="0" w:space="0" w:color="auto"/>
      </w:divBdr>
    </w:div>
    <w:div w:id="1670525227">
      <w:bodyDiv w:val="1"/>
      <w:marLeft w:val="0"/>
      <w:marRight w:val="0"/>
      <w:marTop w:val="0"/>
      <w:marBottom w:val="0"/>
      <w:divBdr>
        <w:top w:val="none" w:sz="0" w:space="0" w:color="auto"/>
        <w:left w:val="none" w:sz="0" w:space="0" w:color="auto"/>
        <w:bottom w:val="none" w:sz="0" w:space="0" w:color="auto"/>
        <w:right w:val="none" w:sz="0" w:space="0" w:color="auto"/>
      </w:divBdr>
    </w:div>
    <w:div w:id="1673223038">
      <w:bodyDiv w:val="1"/>
      <w:marLeft w:val="0"/>
      <w:marRight w:val="0"/>
      <w:marTop w:val="0"/>
      <w:marBottom w:val="0"/>
      <w:divBdr>
        <w:top w:val="none" w:sz="0" w:space="0" w:color="auto"/>
        <w:left w:val="none" w:sz="0" w:space="0" w:color="auto"/>
        <w:bottom w:val="none" w:sz="0" w:space="0" w:color="auto"/>
        <w:right w:val="none" w:sz="0" w:space="0" w:color="auto"/>
      </w:divBdr>
    </w:div>
    <w:div w:id="1679699082">
      <w:bodyDiv w:val="1"/>
      <w:marLeft w:val="0"/>
      <w:marRight w:val="0"/>
      <w:marTop w:val="0"/>
      <w:marBottom w:val="0"/>
      <w:divBdr>
        <w:top w:val="none" w:sz="0" w:space="0" w:color="auto"/>
        <w:left w:val="none" w:sz="0" w:space="0" w:color="auto"/>
        <w:bottom w:val="none" w:sz="0" w:space="0" w:color="auto"/>
        <w:right w:val="none" w:sz="0" w:space="0" w:color="auto"/>
      </w:divBdr>
    </w:div>
    <w:div w:id="1683120527">
      <w:bodyDiv w:val="1"/>
      <w:marLeft w:val="0"/>
      <w:marRight w:val="0"/>
      <w:marTop w:val="0"/>
      <w:marBottom w:val="0"/>
      <w:divBdr>
        <w:top w:val="none" w:sz="0" w:space="0" w:color="auto"/>
        <w:left w:val="none" w:sz="0" w:space="0" w:color="auto"/>
        <w:bottom w:val="none" w:sz="0" w:space="0" w:color="auto"/>
        <w:right w:val="none" w:sz="0" w:space="0" w:color="auto"/>
      </w:divBdr>
    </w:div>
    <w:div w:id="1683243343">
      <w:bodyDiv w:val="1"/>
      <w:marLeft w:val="0"/>
      <w:marRight w:val="0"/>
      <w:marTop w:val="0"/>
      <w:marBottom w:val="0"/>
      <w:divBdr>
        <w:top w:val="none" w:sz="0" w:space="0" w:color="auto"/>
        <w:left w:val="none" w:sz="0" w:space="0" w:color="auto"/>
        <w:bottom w:val="none" w:sz="0" w:space="0" w:color="auto"/>
        <w:right w:val="none" w:sz="0" w:space="0" w:color="auto"/>
      </w:divBdr>
    </w:div>
    <w:div w:id="1684937353">
      <w:bodyDiv w:val="1"/>
      <w:marLeft w:val="0"/>
      <w:marRight w:val="0"/>
      <w:marTop w:val="0"/>
      <w:marBottom w:val="0"/>
      <w:divBdr>
        <w:top w:val="none" w:sz="0" w:space="0" w:color="auto"/>
        <w:left w:val="none" w:sz="0" w:space="0" w:color="auto"/>
        <w:bottom w:val="none" w:sz="0" w:space="0" w:color="auto"/>
        <w:right w:val="none" w:sz="0" w:space="0" w:color="auto"/>
      </w:divBdr>
    </w:div>
    <w:div w:id="1691183574">
      <w:bodyDiv w:val="1"/>
      <w:marLeft w:val="0"/>
      <w:marRight w:val="0"/>
      <w:marTop w:val="0"/>
      <w:marBottom w:val="0"/>
      <w:divBdr>
        <w:top w:val="none" w:sz="0" w:space="0" w:color="auto"/>
        <w:left w:val="none" w:sz="0" w:space="0" w:color="auto"/>
        <w:bottom w:val="none" w:sz="0" w:space="0" w:color="auto"/>
        <w:right w:val="none" w:sz="0" w:space="0" w:color="auto"/>
      </w:divBdr>
    </w:div>
    <w:div w:id="1704092392">
      <w:bodyDiv w:val="1"/>
      <w:marLeft w:val="0"/>
      <w:marRight w:val="0"/>
      <w:marTop w:val="0"/>
      <w:marBottom w:val="0"/>
      <w:divBdr>
        <w:top w:val="none" w:sz="0" w:space="0" w:color="auto"/>
        <w:left w:val="none" w:sz="0" w:space="0" w:color="auto"/>
        <w:bottom w:val="none" w:sz="0" w:space="0" w:color="auto"/>
        <w:right w:val="none" w:sz="0" w:space="0" w:color="auto"/>
      </w:divBdr>
    </w:div>
    <w:div w:id="1708600812">
      <w:bodyDiv w:val="1"/>
      <w:marLeft w:val="0"/>
      <w:marRight w:val="0"/>
      <w:marTop w:val="0"/>
      <w:marBottom w:val="0"/>
      <w:divBdr>
        <w:top w:val="none" w:sz="0" w:space="0" w:color="auto"/>
        <w:left w:val="none" w:sz="0" w:space="0" w:color="auto"/>
        <w:bottom w:val="none" w:sz="0" w:space="0" w:color="auto"/>
        <w:right w:val="none" w:sz="0" w:space="0" w:color="auto"/>
      </w:divBdr>
    </w:div>
    <w:div w:id="1736315104">
      <w:bodyDiv w:val="1"/>
      <w:marLeft w:val="0"/>
      <w:marRight w:val="0"/>
      <w:marTop w:val="0"/>
      <w:marBottom w:val="0"/>
      <w:divBdr>
        <w:top w:val="none" w:sz="0" w:space="0" w:color="auto"/>
        <w:left w:val="none" w:sz="0" w:space="0" w:color="auto"/>
        <w:bottom w:val="none" w:sz="0" w:space="0" w:color="auto"/>
        <w:right w:val="none" w:sz="0" w:space="0" w:color="auto"/>
      </w:divBdr>
    </w:div>
    <w:div w:id="1766145450">
      <w:bodyDiv w:val="1"/>
      <w:marLeft w:val="0"/>
      <w:marRight w:val="0"/>
      <w:marTop w:val="0"/>
      <w:marBottom w:val="0"/>
      <w:divBdr>
        <w:top w:val="none" w:sz="0" w:space="0" w:color="auto"/>
        <w:left w:val="none" w:sz="0" w:space="0" w:color="auto"/>
        <w:bottom w:val="none" w:sz="0" w:space="0" w:color="auto"/>
        <w:right w:val="none" w:sz="0" w:space="0" w:color="auto"/>
      </w:divBdr>
    </w:div>
    <w:div w:id="1769813005">
      <w:bodyDiv w:val="1"/>
      <w:marLeft w:val="0"/>
      <w:marRight w:val="0"/>
      <w:marTop w:val="0"/>
      <w:marBottom w:val="0"/>
      <w:divBdr>
        <w:top w:val="none" w:sz="0" w:space="0" w:color="auto"/>
        <w:left w:val="none" w:sz="0" w:space="0" w:color="auto"/>
        <w:bottom w:val="none" w:sz="0" w:space="0" w:color="auto"/>
        <w:right w:val="none" w:sz="0" w:space="0" w:color="auto"/>
      </w:divBdr>
    </w:div>
    <w:div w:id="1773671214">
      <w:bodyDiv w:val="1"/>
      <w:marLeft w:val="0"/>
      <w:marRight w:val="0"/>
      <w:marTop w:val="0"/>
      <w:marBottom w:val="0"/>
      <w:divBdr>
        <w:top w:val="none" w:sz="0" w:space="0" w:color="auto"/>
        <w:left w:val="none" w:sz="0" w:space="0" w:color="auto"/>
        <w:bottom w:val="none" w:sz="0" w:space="0" w:color="auto"/>
        <w:right w:val="none" w:sz="0" w:space="0" w:color="auto"/>
      </w:divBdr>
    </w:div>
    <w:div w:id="1775860290">
      <w:bodyDiv w:val="1"/>
      <w:marLeft w:val="0"/>
      <w:marRight w:val="0"/>
      <w:marTop w:val="0"/>
      <w:marBottom w:val="0"/>
      <w:divBdr>
        <w:top w:val="none" w:sz="0" w:space="0" w:color="auto"/>
        <w:left w:val="none" w:sz="0" w:space="0" w:color="auto"/>
        <w:bottom w:val="none" w:sz="0" w:space="0" w:color="auto"/>
        <w:right w:val="none" w:sz="0" w:space="0" w:color="auto"/>
      </w:divBdr>
    </w:div>
    <w:div w:id="1783720412">
      <w:bodyDiv w:val="1"/>
      <w:marLeft w:val="0"/>
      <w:marRight w:val="0"/>
      <w:marTop w:val="0"/>
      <w:marBottom w:val="0"/>
      <w:divBdr>
        <w:top w:val="none" w:sz="0" w:space="0" w:color="auto"/>
        <w:left w:val="none" w:sz="0" w:space="0" w:color="auto"/>
        <w:bottom w:val="none" w:sz="0" w:space="0" w:color="auto"/>
        <w:right w:val="none" w:sz="0" w:space="0" w:color="auto"/>
      </w:divBdr>
    </w:div>
    <w:div w:id="1786268140">
      <w:bodyDiv w:val="1"/>
      <w:marLeft w:val="0"/>
      <w:marRight w:val="0"/>
      <w:marTop w:val="0"/>
      <w:marBottom w:val="0"/>
      <w:divBdr>
        <w:top w:val="none" w:sz="0" w:space="0" w:color="auto"/>
        <w:left w:val="none" w:sz="0" w:space="0" w:color="auto"/>
        <w:bottom w:val="none" w:sz="0" w:space="0" w:color="auto"/>
        <w:right w:val="none" w:sz="0" w:space="0" w:color="auto"/>
      </w:divBdr>
    </w:div>
    <w:div w:id="1793555417">
      <w:bodyDiv w:val="1"/>
      <w:marLeft w:val="0"/>
      <w:marRight w:val="0"/>
      <w:marTop w:val="0"/>
      <w:marBottom w:val="0"/>
      <w:divBdr>
        <w:top w:val="none" w:sz="0" w:space="0" w:color="auto"/>
        <w:left w:val="none" w:sz="0" w:space="0" w:color="auto"/>
        <w:bottom w:val="none" w:sz="0" w:space="0" w:color="auto"/>
        <w:right w:val="none" w:sz="0" w:space="0" w:color="auto"/>
      </w:divBdr>
    </w:div>
    <w:div w:id="1813447145">
      <w:bodyDiv w:val="1"/>
      <w:marLeft w:val="0"/>
      <w:marRight w:val="0"/>
      <w:marTop w:val="0"/>
      <w:marBottom w:val="0"/>
      <w:divBdr>
        <w:top w:val="none" w:sz="0" w:space="0" w:color="auto"/>
        <w:left w:val="none" w:sz="0" w:space="0" w:color="auto"/>
        <w:bottom w:val="none" w:sz="0" w:space="0" w:color="auto"/>
        <w:right w:val="none" w:sz="0" w:space="0" w:color="auto"/>
      </w:divBdr>
    </w:div>
    <w:div w:id="1817919214">
      <w:bodyDiv w:val="1"/>
      <w:marLeft w:val="0"/>
      <w:marRight w:val="0"/>
      <w:marTop w:val="0"/>
      <w:marBottom w:val="0"/>
      <w:divBdr>
        <w:top w:val="none" w:sz="0" w:space="0" w:color="auto"/>
        <w:left w:val="none" w:sz="0" w:space="0" w:color="auto"/>
        <w:bottom w:val="none" w:sz="0" w:space="0" w:color="auto"/>
        <w:right w:val="none" w:sz="0" w:space="0" w:color="auto"/>
      </w:divBdr>
    </w:div>
    <w:div w:id="1825001478">
      <w:bodyDiv w:val="1"/>
      <w:marLeft w:val="0"/>
      <w:marRight w:val="0"/>
      <w:marTop w:val="0"/>
      <w:marBottom w:val="0"/>
      <w:divBdr>
        <w:top w:val="none" w:sz="0" w:space="0" w:color="auto"/>
        <w:left w:val="none" w:sz="0" w:space="0" w:color="auto"/>
        <w:bottom w:val="none" w:sz="0" w:space="0" w:color="auto"/>
        <w:right w:val="none" w:sz="0" w:space="0" w:color="auto"/>
      </w:divBdr>
    </w:div>
    <w:div w:id="1825702741">
      <w:bodyDiv w:val="1"/>
      <w:marLeft w:val="0"/>
      <w:marRight w:val="0"/>
      <w:marTop w:val="0"/>
      <w:marBottom w:val="0"/>
      <w:divBdr>
        <w:top w:val="none" w:sz="0" w:space="0" w:color="auto"/>
        <w:left w:val="none" w:sz="0" w:space="0" w:color="auto"/>
        <w:bottom w:val="none" w:sz="0" w:space="0" w:color="auto"/>
        <w:right w:val="none" w:sz="0" w:space="0" w:color="auto"/>
      </w:divBdr>
    </w:div>
    <w:div w:id="1832401948">
      <w:bodyDiv w:val="1"/>
      <w:marLeft w:val="0"/>
      <w:marRight w:val="0"/>
      <w:marTop w:val="0"/>
      <w:marBottom w:val="0"/>
      <w:divBdr>
        <w:top w:val="none" w:sz="0" w:space="0" w:color="auto"/>
        <w:left w:val="none" w:sz="0" w:space="0" w:color="auto"/>
        <w:bottom w:val="none" w:sz="0" w:space="0" w:color="auto"/>
        <w:right w:val="none" w:sz="0" w:space="0" w:color="auto"/>
      </w:divBdr>
    </w:div>
    <w:div w:id="1842349040">
      <w:bodyDiv w:val="1"/>
      <w:marLeft w:val="0"/>
      <w:marRight w:val="0"/>
      <w:marTop w:val="0"/>
      <w:marBottom w:val="0"/>
      <w:divBdr>
        <w:top w:val="none" w:sz="0" w:space="0" w:color="auto"/>
        <w:left w:val="none" w:sz="0" w:space="0" w:color="auto"/>
        <w:bottom w:val="none" w:sz="0" w:space="0" w:color="auto"/>
        <w:right w:val="none" w:sz="0" w:space="0" w:color="auto"/>
      </w:divBdr>
    </w:div>
    <w:div w:id="1852987675">
      <w:bodyDiv w:val="1"/>
      <w:marLeft w:val="0"/>
      <w:marRight w:val="0"/>
      <w:marTop w:val="0"/>
      <w:marBottom w:val="0"/>
      <w:divBdr>
        <w:top w:val="none" w:sz="0" w:space="0" w:color="auto"/>
        <w:left w:val="none" w:sz="0" w:space="0" w:color="auto"/>
        <w:bottom w:val="none" w:sz="0" w:space="0" w:color="auto"/>
        <w:right w:val="none" w:sz="0" w:space="0" w:color="auto"/>
      </w:divBdr>
    </w:div>
    <w:div w:id="1867675962">
      <w:bodyDiv w:val="1"/>
      <w:marLeft w:val="0"/>
      <w:marRight w:val="0"/>
      <w:marTop w:val="0"/>
      <w:marBottom w:val="0"/>
      <w:divBdr>
        <w:top w:val="none" w:sz="0" w:space="0" w:color="auto"/>
        <w:left w:val="none" w:sz="0" w:space="0" w:color="auto"/>
        <w:bottom w:val="none" w:sz="0" w:space="0" w:color="auto"/>
        <w:right w:val="none" w:sz="0" w:space="0" w:color="auto"/>
      </w:divBdr>
    </w:div>
    <w:div w:id="1874002043">
      <w:bodyDiv w:val="1"/>
      <w:marLeft w:val="0"/>
      <w:marRight w:val="0"/>
      <w:marTop w:val="0"/>
      <w:marBottom w:val="0"/>
      <w:divBdr>
        <w:top w:val="none" w:sz="0" w:space="0" w:color="auto"/>
        <w:left w:val="none" w:sz="0" w:space="0" w:color="auto"/>
        <w:bottom w:val="none" w:sz="0" w:space="0" w:color="auto"/>
        <w:right w:val="none" w:sz="0" w:space="0" w:color="auto"/>
      </w:divBdr>
    </w:div>
    <w:div w:id="1876573871">
      <w:bodyDiv w:val="1"/>
      <w:marLeft w:val="0"/>
      <w:marRight w:val="0"/>
      <w:marTop w:val="0"/>
      <w:marBottom w:val="0"/>
      <w:divBdr>
        <w:top w:val="none" w:sz="0" w:space="0" w:color="auto"/>
        <w:left w:val="none" w:sz="0" w:space="0" w:color="auto"/>
        <w:bottom w:val="none" w:sz="0" w:space="0" w:color="auto"/>
        <w:right w:val="none" w:sz="0" w:space="0" w:color="auto"/>
      </w:divBdr>
    </w:div>
    <w:div w:id="1900941727">
      <w:bodyDiv w:val="1"/>
      <w:marLeft w:val="0"/>
      <w:marRight w:val="0"/>
      <w:marTop w:val="0"/>
      <w:marBottom w:val="0"/>
      <w:divBdr>
        <w:top w:val="none" w:sz="0" w:space="0" w:color="auto"/>
        <w:left w:val="none" w:sz="0" w:space="0" w:color="auto"/>
        <w:bottom w:val="none" w:sz="0" w:space="0" w:color="auto"/>
        <w:right w:val="none" w:sz="0" w:space="0" w:color="auto"/>
      </w:divBdr>
    </w:div>
    <w:div w:id="1910919086">
      <w:bodyDiv w:val="1"/>
      <w:marLeft w:val="0"/>
      <w:marRight w:val="0"/>
      <w:marTop w:val="0"/>
      <w:marBottom w:val="0"/>
      <w:divBdr>
        <w:top w:val="none" w:sz="0" w:space="0" w:color="auto"/>
        <w:left w:val="none" w:sz="0" w:space="0" w:color="auto"/>
        <w:bottom w:val="none" w:sz="0" w:space="0" w:color="auto"/>
        <w:right w:val="none" w:sz="0" w:space="0" w:color="auto"/>
      </w:divBdr>
    </w:div>
    <w:div w:id="1924604976">
      <w:bodyDiv w:val="1"/>
      <w:marLeft w:val="0"/>
      <w:marRight w:val="0"/>
      <w:marTop w:val="0"/>
      <w:marBottom w:val="0"/>
      <w:divBdr>
        <w:top w:val="none" w:sz="0" w:space="0" w:color="auto"/>
        <w:left w:val="none" w:sz="0" w:space="0" w:color="auto"/>
        <w:bottom w:val="none" w:sz="0" w:space="0" w:color="auto"/>
        <w:right w:val="none" w:sz="0" w:space="0" w:color="auto"/>
      </w:divBdr>
    </w:div>
    <w:div w:id="1928539958">
      <w:bodyDiv w:val="1"/>
      <w:marLeft w:val="0"/>
      <w:marRight w:val="0"/>
      <w:marTop w:val="0"/>
      <w:marBottom w:val="0"/>
      <w:divBdr>
        <w:top w:val="none" w:sz="0" w:space="0" w:color="auto"/>
        <w:left w:val="none" w:sz="0" w:space="0" w:color="auto"/>
        <w:bottom w:val="none" w:sz="0" w:space="0" w:color="auto"/>
        <w:right w:val="none" w:sz="0" w:space="0" w:color="auto"/>
      </w:divBdr>
    </w:div>
    <w:div w:id="1929729795">
      <w:bodyDiv w:val="1"/>
      <w:marLeft w:val="0"/>
      <w:marRight w:val="0"/>
      <w:marTop w:val="0"/>
      <w:marBottom w:val="0"/>
      <w:divBdr>
        <w:top w:val="none" w:sz="0" w:space="0" w:color="auto"/>
        <w:left w:val="none" w:sz="0" w:space="0" w:color="auto"/>
        <w:bottom w:val="none" w:sz="0" w:space="0" w:color="auto"/>
        <w:right w:val="none" w:sz="0" w:space="0" w:color="auto"/>
      </w:divBdr>
    </w:div>
    <w:div w:id="1941063346">
      <w:bodyDiv w:val="1"/>
      <w:marLeft w:val="0"/>
      <w:marRight w:val="0"/>
      <w:marTop w:val="0"/>
      <w:marBottom w:val="0"/>
      <w:divBdr>
        <w:top w:val="none" w:sz="0" w:space="0" w:color="auto"/>
        <w:left w:val="none" w:sz="0" w:space="0" w:color="auto"/>
        <w:bottom w:val="none" w:sz="0" w:space="0" w:color="auto"/>
        <w:right w:val="none" w:sz="0" w:space="0" w:color="auto"/>
      </w:divBdr>
    </w:div>
    <w:div w:id="1948853600">
      <w:bodyDiv w:val="1"/>
      <w:marLeft w:val="0"/>
      <w:marRight w:val="0"/>
      <w:marTop w:val="0"/>
      <w:marBottom w:val="0"/>
      <w:divBdr>
        <w:top w:val="none" w:sz="0" w:space="0" w:color="auto"/>
        <w:left w:val="none" w:sz="0" w:space="0" w:color="auto"/>
        <w:bottom w:val="none" w:sz="0" w:space="0" w:color="auto"/>
        <w:right w:val="none" w:sz="0" w:space="0" w:color="auto"/>
      </w:divBdr>
    </w:div>
    <w:div w:id="1961644192">
      <w:bodyDiv w:val="1"/>
      <w:marLeft w:val="0"/>
      <w:marRight w:val="0"/>
      <w:marTop w:val="0"/>
      <w:marBottom w:val="0"/>
      <w:divBdr>
        <w:top w:val="none" w:sz="0" w:space="0" w:color="auto"/>
        <w:left w:val="none" w:sz="0" w:space="0" w:color="auto"/>
        <w:bottom w:val="none" w:sz="0" w:space="0" w:color="auto"/>
        <w:right w:val="none" w:sz="0" w:space="0" w:color="auto"/>
      </w:divBdr>
    </w:div>
    <w:div w:id="1963338360">
      <w:bodyDiv w:val="1"/>
      <w:marLeft w:val="0"/>
      <w:marRight w:val="0"/>
      <w:marTop w:val="0"/>
      <w:marBottom w:val="0"/>
      <w:divBdr>
        <w:top w:val="none" w:sz="0" w:space="0" w:color="auto"/>
        <w:left w:val="none" w:sz="0" w:space="0" w:color="auto"/>
        <w:bottom w:val="none" w:sz="0" w:space="0" w:color="auto"/>
        <w:right w:val="none" w:sz="0" w:space="0" w:color="auto"/>
      </w:divBdr>
    </w:div>
    <w:div w:id="1966811914">
      <w:bodyDiv w:val="1"/>
      <w:marLeft w:val="0"/>
      <w:marRight w:val="0"/>
      <w:marTop w:val="0"/>
      <w:marBottom w:val="0"/>
      <w:divBdr>
        <w:top w:val="none" w:sz="0" w:space="0" w:color="auto"/>
        <w:left w:val="none" w:sz="0" w:space="0" w:color="auto"/>
        <w:bottom w:val="none" w:sz="0" w:space="0" w:color="auto"/>
        <w:right w:val="none" w:sz="0" w:space="0" w:color="auto"/>
      </w:divBdr>
    </w:div>
    <w:div w:id="1968199549">
      <w:bodyDiv w:val="1"/>
      <w:marLeft w:val="0"/>
      <w:marRight w:val="0"/>
      <w:marTop w:val="0"/>
      <w:marBottom w:val="0"/>
      <w:divBdr>
        <w:top w:val="none" w:sz="0" w:space="0" w:color="auto"/>
        <w:left w:val="none" w:sz="0" w:space="0" w:color="auto"/>
        <w:bottom w:val="none" w:sz="0" w:space="0" w:color="auto"/>
        <w:right w:val="none" w:sz="0" w:space="0" w:color="auto"/>
      </w:divBdr>
    </w:div>
    <w:div w:id="1972203228">
      <w:bodyDiv w:val="1"/>
      <w:marLeft w:val="0"/>
      <w:marRight w:val="0"/>
      <w:marTop w:val="0"/>
      <w:marBottom w:val="0"/>
      <w:divBdr>
        <w:top w:val="none" w:sz="0" w:space="0" w:color="auto"/>
        <w:left w:val="none" w:sz="0" w:space="0" w:color="auto"/>
        <w:bottom w:val="none" w:sz="0" w:space="0" w:color="auto"/>
        <w:right w:val="none" w:sz="0" w:space="0" w:color="auto"/>
      </w:divBdr>
    </w:div>
    <w:div w:id="1974209588">
      <w:bodyDiv w:val="1"/>
      <w:marLeft w:val="0"/>
      <w:marRight w:val="0"/>
      <w:marTop w:val="0"/>
      <w:marBottom w:val="0"/>
      <w:divBdr>
        <w:top w:val="none" w:sz="0" w:space="0" w:color="auto"/>
        <w:left w:val="none" w:sz="0" w:space="0" w:color="auto"/>
        <w:bottom w:val="none" w:sz="0" w:space="0" w:color="auto"/>
        <w:right w:val="none" w:sz="0" w:space="0" w:color="auto"/>
      </w:divBdr>
    </w:div>
    <w:div w:id="1975793364">
      <w:bodyDiv w:val="1"/>
      <w:marLeft w:val="0"/>
      <w:marRight w:val="0"/>
      <w:marTop w:val="0"/>
      <w:marBottom w:val="0"/>
      <w:divBdr>
        <w:top w:val="none" w:sz="0" w:space="0" w:color="auto"/>
        <w:left w:val="none" w:sz="0" w:space="0" w:color="auto"/>
        <w:bottom w:val="none" w:sz="0" w:space="0" w:color="auto"/>
        <w:right w:val="none" w:sz="0" w:space="0" w:color="auto"/>
      </w:divBdr>
    </w:div>
    <w:div w:id="1982807916">
      <w:bodyDiv w:val="1"/>
      <w:marLeft w:val="0"/>
      <w:marRight w:val="0"/>
      <w:marTop w:val="0"/>
      <w:marBottom w:val="0"/>
      <w:divBdr>
        <w:top w:val="none" w:sz="0" w:space="0" w:color="auto"/>
        <w:left w:val="none" w:sz="0" w:space="0" w:color="auto"/>
        <w:bottom w:val="none" w:sz="0" w:space="0" w:color="auto"/>
        <w:right w:val="none" w:sz="0" w:space="0" w:color="auto"/>
      </w:divBdr>
    </w:div>
    <w:div w:id="1984503578">
      <w:bodyDiv w:val="1"/>
      <w:marLeft w:val="0"/>
      <w:marRight w:val="0"/>
      <w:marTop w:val="0"/>
      <w:marBottom w:val="0"/>
      <w:divBdr>
        <w:top w:val="none" w:sz="0" w:space="0" w:color="auto"/>
        <w:left w:val="none" w:sz="0" w:space="0" w:color="auto"/>
        <w:bottom w:val="none" w:sz="0" w:space="0" w:color="auto"/>
        <w:right w:val="none" w:sz="0" w:space="0" w:color="auto"/>
      </w:divBdr>
    </w:div>
    <w:div w:id="1991859420">
      <w:bodyDiv w:val="1"/>
      <w:marLeft w:val="0"/>
      <w:marRight w:val="0"/>
      <w:marTop w:val="0"/>
      <w:marBottom w:val="0"/>
      <w:divBdr>
        <w:top w:val="none" w:sz="0" w:space="0" w:color="auto"/>
        <w:left w:val="none" w:sz="0" w:space="0" w:color="auto"/>
        <w:bottom w:val="none" w:sz="0" w:space="0" w:color="auto"/>
        <w:right w:val="none" w:sz="0" w:space="0" w:color="auto"/>
      </w:divBdr>
    </w:div>
    <w:div w:id="2002193277">
      <w:bodyDiv w:val="1"/>
      <w:marLeft w:val="0"/>
      <w:marRight w:val="0"/>
      <w:marTop w:val="0"/>
      <w:marBottom w:val="0"/>
      <w:divBdr>
        <w:top w:val="none" w:sz="0" w:space="0" w:color="auto"/>
        <w:left w:val="none" w:sz="0" w:space="0" w:color="auto"/>
        <w:bottom w:val="none" w:sz="0" w:space="0" w:color="auto"/>
        <w:right w:val="none" w:sz="0" w:space="0" w:color="auto"/>
      </w:divBdr>
    </w:div>
    <w:div w:id="2007130611">
      <w:bodyDiv w:val="1"/>
      <w:marLeft w:val="0"/>
      <w:marRight w:val="0"/>
      <w:marTop w:val="0"/>
      <w:marBottom w:val="0"/>
      <w:divBdr>
        <w:top w:val="none" w:sz="0" w:space="0" w:color="auto"/>
        <w:left w:val="none" w:sz="0" w:space="0" w:color="auto"/>
        <w:bottom w:val="none" w:sz="0" w:space="0" w:color="auto"/>
        <w:right w:val="none" w:sz="0" w:space="0" w:color="auto"/>
      </w:divBdr>
    </w:div>
    <w:div w:id="2016181669">
      <w:bodyDiv w:val="1"/>
      <w:marLeft w:val="0"/>
      <w:marRight w:val="0"/>
      <w:marTop w:val="0"/>
      <w:marBottom w:val="0"/>
      <w:divBdr>
        <w:top w:val="none" w:sz="0" w:space="0" w:color="auto"/>
        <w:left w:val="none" w:sz="0" w:space="0" w:color="auto"/>
        <w:bottom w:val="none" w:sz="0" w:space="0" w:color="auto"/>
        <w:right w:val="none" w:sz="0" w:space="0" w:color="auto"/>
      </w:divBdr>
    </w:div>
    <w:div w:id="2017533495">
      <w:bodyDiv w:val="1"/>
      <w:marLeft w:val="0"/>
      <w:marRight w:val="0"/>
      <w:marTop w:val="0"/>
      <w:marBottom w:val="0"/>
      <w:divBdr>
        <w:top w:val="none" w:sz="0" w:space="0" w:color="auto"/>
        <w:left w:val="none" w:sz="0" w:space="0" w:color="auto"/>
        <w:bottom w:val="none" w:sz="0" w:space="0" w:color="auto"/>
        <w:right w:val="none" w:sz="0" w:space="0" w:color="auto"/>
      </w:divBdr>
    </w:div>
    <w:div w:id="2021618921">
      <w:bodyDiv w:val="1"/>
      <w:marLeft w:val="0"/>
      <w:marRight w:val="0"/>
      <w:marTop w:val="0"/>
      <w:marBottom w:val="0"/>
      <w:divBdr>
        <w:top w:val="none" w:sz="0" w:space="0" w:color="auto"/>
        <w:left w:val="none" w:sz="0" w:space="0" w:color="auto"/>
        <w:bottom w:val="none" w:sz="0" w:space="0" w:color="auto"/>
        <w:right w:val="none" w:sz="0" w:space="0" w:color="auto"/>
      </w:divBdr>
    </w:div>
    <w:div w:id="2032995798">
      <w:bodyDiv w:val="1"/>
      <w:marLeft w:val="0"/>
      <w:marRight w:val="0"/>
      <w:marTop w:val="0"/>
      <w:marBottom w:val="0"/>
      <w:divBdr>
        <w:top w:val="none" w:sz="0" w:space="0" w:color="auto"/>
        <w:left w:val="none" w:sz="0" w:space="0" w:color="auto"/>
        <w:bottom w:val="none" w:sz="0" w:space="0" w:color="auto"/>
        <w:right w:val="none" w:sz="0" w:space="0" w:color="auto"/>
      </w:divBdr>
    </w:div>
    <w:div w:id="2034261983">
      <w:bodyDiv w:val="1"/>
      <w:marLeft w:val="0"/>
      <w:marRight w:val="0"/>
      <w:marTop w:val="0"/>
      <w:marBottom w:val="0"/>
      <w:divBdr>
        <w:top w:val="none" w:sz="0" w:space="0" w:color="auto"/>
        <w:left w:val="none" w:sz="0" w:space="0" w:color="auto"/>
        <w:bottom w:val="none" w:sz="0" w:space="0" w:color="auto"/>
        <w:right w:val="none" w:sz="0" w:space="0" w:color="auto"/>
      </w:divBdr>
    </w:div>
    <w:div w:id="2054041528">
      <w:bodyDiv w:val="1"/>
      <w:marLeft w:val="0"/>
      <w:marRight w:val="0"/>
      <w:marTop w:val="0"/>
      <w:marBottom w:val="0"/>
      <w:divBdr>
        <w:top w:val="none" w:sz="0" w:space="0" w:color="auto"/>
        <w:left w:val="none" w:sz="0" w:space="0" w:color="auto"/>
        <w:bottom w:val="none" w:sz="0" w:space="0" w:color="auto"/>
        <w:right w:val="none" w:sz="0" w:space="0" w:color="auto"/>
      </w:divBdr>
    </w:div>
    <w:div w:id="2059743968">
      <w:bodyDiv w:val="1"/>
      <w:marLeft w:val="0"/>
      <w:marRight w:val="0"/>
      <w:marTop w:val="0"/>
      <w:marBottom w:val="0"/>
      <w:divBdr>
        <w:top w:val="none" w:sz="0" w:space="0" w:color="auto"/>
        <w:left w:val="none" w:sz="0" w:space="0" w:color="auto"/>
        <w:bottom w:val="none" w:sz="0" w:space="0" w:color="auto"/>
        <w:right w:val="none" w:sz="0" w:space="0" w:color="auto"/>
      </w:divBdr>
    </w:div>
    <w:div w:id="2062366586">
      <w:bodyDiv w:val="1"/>
      <w:marLeft w:val="0"/>
      <w:marRight w:val="0"/>
      <w:marTop w:val="0"/>
      <w:marBottom w:val="0"/>
      <w:divBdr>
        <w:top w:val="none" w:sz="0" w:space="0" w:color="auto"/>
        <w:left w:val="none" w:sz="0" w:space="0" w:color="auto"/>
        <w:bottom w:val="none" w:sz="0" w:space="0" w:color="auto"/>
        <w:right w:val="none" w:sz="0" w:space="0" w:color="auto"/>
      </w:divBdr>
    </w:div>
    <w:div w:id="2066022590">
      <w:bodyDiv w:val="1"/>
      <w:marLeft w:val="0"/>
      <w:marRight w:val="0"/>
      <w:marTop w:val="0"/>
      <w:marBottom w:val="0"/>
      <w:divBdr>
        <w:top w:val="none" w:sz="0" w:space="0" w:color="auto"/>
        <w:left w:val="none" w:sz="0" w:space="0" w:color="auto"/>
        <w:bottom w:val="none" w:sz="0" w:space="0" w:color="auto"/>
        <w:right w:val="none" w:sz="0" w:space="0" w:color="auto"/>
      </w:divBdr>
    </w:div>
    <w:div w:id="2076511018">
      <w:bodyDiv w:val="1"/>
      <w:marLeft w:val="0"/>
      <w:marRight w:val="0"/>
      <w:marTop w:val="0"/>
      <w:marBottom w:val="0"/>
      <w:divBdr>
        <w:top w:val="none" w:sz="0" w:space="0" w:color="auto"/>
        <w:left w:val="none" w:sz="0" w:space="0" w:color="auto"/>
        <w:bottom w:val="none" w:sz="0" w:space="0" w:color="auto"/>
        <w:right w:val="none" w:sz="0" w:space="0" w:color="auto"/>
      </w:divBdr>
    </w:div>
    <w:div w:id="2077361129">
      <w:bodyDiv w:val="1"/>
      <w:marLeft w:val="0"/>
      <w:marRight w:val="0"/>
      <w:marTop w:val="0"/>
      <w:marBottom w:val="0"/>
      <w:divBdr>
        <w:top w:val="none" w:sz="0" w:space="0" w:color="auto"/>
        <w:left w:val="none" w:sz="0" w:space="0" w:color="auto"/>
        <w:bottom w:val="none" w:sz="0" w:space="0" w:color="auto"/>
        <w:right w:val="none" w:sz="0" w:space="0" w:color="auto"/>
      </w:divBdr>
    </w:div>
    <w:div w:id="2084251836">
      <w:bodyDiv w:val="1"/>
      <w:marLeft w:val="0"/>
      <w:marRight w:val="0"/>
      <w:marTop w:val="0"/>
      <w:marBottom w:val="0"/>
      <w:divBdr>
        <w:top w:val="none" w:sz="0" w:space="0" w:color="auto"/>
        <w:left w:val="none" w:sz="0" w:space="0" w:color="auto"/>
        <w:bottom w:val="none" w:sz="0" w:space="0" w:color="auto"/>
        <w:right w:val="none" w:sz="0" w:space="0" w:color="auto"/>
      </w:divBdr>
    </w:div>
    <w:div w:id="2091348892">
      <w:bodyDiv w:val="1"/>
      <w:marLeft w:val="0"/>
      <w:marRight w:val="0"/>
      <w:marTop w:val="0"/>
      <w:marBottom w:val="0"/>
      <w:divBdr>
        <w:top w:val="none" w:sz="0" w:space="0" w:color="auto"/>
        <w:left w:val="none" w:sz="0" w:space="0" w:color="auto"/>
        <w:bottom w:val="none" w:sz="0" w:space="0" w:color="auto"/>
        <w:right w:val="none" w:sz="0" w:space="0" w:color="auto"/>
      </w:divBdr>
    </w:div>
    <w:div w:id="2105420371">
      <w:bodyDiv w:val="1"/>
      <w:marLeft w:val="0"/>
      <w:marRight w:val="0"/>
      <w:marTop w:val="0"/>
      <w:marBottom w:val="0"/>
      <w:divBdr>
        <w:top w:val="none" w:sz="0" w:space="0" w:color="auto"/>
        <w:left w:val="none" w:sz="0" w:space="0" w:color="auto"/>
        <w:bottom w:val="none" w:sz="0" w:space="0" w:color="auto"/>
        <w:right w:val="none" w:sz="0" w:space="0" w:color="auto"/>
      </w:divBdr>
    </w:div>
    <w:div w:id="2119988823">
      <w:bodyDiv w:val="1"/>
      <w:marLeft w:val="0"/>
      <w:marRight w:val="0"/>
      <w:marTop w:val="0"/>
      <w:marBottom w:val="0"/>
      <w:divBdr>
        <w:top w:val="none" w:sz="0" w:space="0" w:color="auto"/>
        <w:left w:val="none" w:sz="0" w:space="0" w:color="auto"/>
        <w:bottom w:val="none" w:sz="0" w:space="0" w:color="auto"/>
        <w:right w:val="none" w:sz="0" w:space="0" w:color="auto"/>
      </w:divBdr>
    </w:div>
    <w:div w:id="2122845844">
      <w:bodyDiv w:val="1"/>
      <w:marLeft w:val="0"/>
      <w:marRight w:val="0"/>
      <w:marTop w:val="0"/>
      <w:marBottom w:val="0"/>
      <w:divBdr>
        <w:top w:val="none" w:sz="0" w:space="0" w:color="auto"/>
        <w:left w:val="none" w:sz="0" w:space="0" w:color="auto"/>
        <w:bottom w:val="none" w:sz="0" w:space="0" w:color="auto"/>
        <w:right w:val="none" w:sz="0" w:space="0" w:color="auto"/>
      </w:divBdr>
    </w:div>
    <w:div w:id="2123568448">
      <w:bodyDiv w:val="1"/>
      <w:marLeft w:val="0"/>
      <w:marRight w:val="0"/>
      <w:marTop w:val="0"/>
      <w:marBottom w:val="0"/>
      <w:divBdr>
        <w:top w:val="none" w:sz="0" w:space="0" w:color="auto"/>
        <w:left w:val="none" w:sz="0" w:space="0" w:color="auto"/>
        <w:bottom w:val="none" w:sz="0" w:space="0" w:color="auto"/>
        <w:right w:val="none" w:sz="0" w:space="0" w:color="auto"/>
      </w:divBdr>
    </w:div>
    <w:div w:id="2127115905">
      <w:bodyDiv w:val="1"/>
      <w:marLeft w:val="0"/>
      <w:marRight w:val="0"/>
      <w:marTop w:val="0"/>
      <w:marBottom w:val="0"/>
      <w:divBdr>
        <w:top w:val="none" w:sz="0" w:space="0" w:color="auto"/>
        <w:left w:val="none" w:sz="0" w:space="0" w:color="auto"/>
        <w:bottom w:val="none" w:sz="0" w:space="0" w:color="auto"/>
        <w:right w:val="none" w:sz="0" w:space="0" w:color="auto"/>
      </w:divBdr>
    </w:div>
    <w:div w:id="2133747938">
      <w:bodyDiv w:val="1"/>
      <w:marLeft w:val="0"/>
      <w:marRight w:val="0"/>
      <w:marTop w:val="0"/>
      <w:marBottom w:val="0"/>
      <w:divBdr>
        <w:top w:val="none" w:sz="0" w:space="0" w:color="auto"/>
        <w:left w:val="none" w:sz="0" w:space="0" w:color="auto"/>
        <w:bottom w:val="none" w:sz="0" w:space="0" w:color="auto"/>
        <w:right w:val="none" w:sz="0" w:space="0" w:color="auto"/>
      </w:divBdr>
    </w:div>
    <w:div w:id="213609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8440-EFE3-41A3-9550-6F012FEE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183</Pages>
  <Words>25188</Words>
  <Characters>143577</Characters>
  <Application>Microsoft Office Word</Application>
  <DocSecurity>0</DocSecurity>
  <Lines>1196</Lines>
  <Paragraphs>336</Paragraphs>
  <ScaleCrop>false</ScaleCrop>
  <Company>MicroSoft</Company>
  <LinksUpToDate>false</LinksUpToDate>
  <CharactersWithSpaces>168429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孙献</dc:creator>
  <cp:lastModifiedBy>孙献</cp:lastModifiedBy>
  <cp:revision>18</cp:revision>
  <dcterms:created xsi:type="dcterms:W3CDTF">2025-08-29T01:04:00Z</dcterms:created>
  <dcterms:modified xsi:type="dcterms:W3CDTF">2025-08-29T08:23:00Z</dcterms:modified>
</cp:coreProperties>
</file>