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39EAA">
      <w:pPr>
        <w:autoSpaceDE w:val="0"/>
        <w:autoSpaceDN w:val="0"/>
        <w:adjustRightInd w:val="0"/>
        <w:spacing w:line="360" w:lineRule="auto"/>
        <w:jc w:val="center"/>
        <w:rPr>
          <w:rFonts w:ascii="宋体" w:hAnsi="宋体" w:cs="Arial"/>
          <w:b/>
          <w:bCs/>
          <w:kern w:val="0"/>
          <w:sz w:val="36"/>
          <w:szCs w:val="36"/>
        </w:rPr>
      </w:pPr>
      <w:bookmarkStart w:id="23" w:name="_GoBack"/>
      <w:bookmarkEnd w:id="23"/>
      <w:r>
        <w:rPr>
          <w:rFonts w:ascii="宋体" w:hAnsi="宋体" w:cs="Arial"/>
          <w:b/>
          <w:bCs/>
          <w:kern w:val="0"/>
          <w:sz w:val="36"/>
          <w:szCs w:val="36"/>
        </w:rPr>
        <w:t>华孚时尚股份有限公司</w:t>
      </w:r>
    </w:p>
    <w:p w14:paraId="100AFDD0">
      <w:pPr>
        <w:autoSpaceDE w:val="0"/>
        <w:autoSpaceDN w:val="0"/>
        <w:adjustRightInd w:val="0"/>
        <w:spacing w:line="360" w:lineRule="auto"/>
        <w:jc w:val="center"/>
        <w:rPr>
          <w:rFonts w:ascii="宋体" w:hAnsi="宋体" w:cs="Arial"/>
          <w:b/>
          <w:bCs/>
          <w:kern w:val="0"/>
          <w:sz w:val="36"/>
          <w:szCs w:val="36"/>
        </w:rPr>
      </w:pPr>
      <w:r>
        <w:rPr>
          <w:rFonts w:ascii="宋体" w:hAnsi="宋体" w:cs="Arial"/>
          <w:b/>
          <w:bCs/>
          <w:kern w:val="0"/>
          <w:sz w:val="36"/>
          <w:szCs w:val="36"/>
        </w:rPr>
        <w:t>投资者关系管理制度</w:t>
      </w:r>
    </w:p>
    <w:p w14:paraId="177B964E">
      <w:pPr>
        <w:autoSpaceDE w:val="0"/>
        <w:autoSpaceDN w:val="0"/>
        <w:adjustRightInd w:val="0"/>
        <w:spacing w:before="240" w:beforeLines="100" w:line="360" w:lineRule="auto"/>
        <w:jc w:val="center"/>
        <w:rPr>
          <w:rFonts w:ascii="宋体" w:hAnsi="宋体" w:cs="Arial"/>
          <w:b/>
          <w:kern w:val="0"/>
          <w:sz w:val="24"/>
        </w:rPr>
      </w:pPr>
      <w:r>
        <w:rPr>
          <w:rFonts w:ascii="宋体" w:hAnsi="宋体" w:cs="Arial"/>
          <w:b/>
          <w:kern w:val="0"/>
          <w:sz w:val="24"/>
        </w:rPr>
        <w:t>第一章 总则</w:t>
      </w:r>
    </w:p>
    <w:p w14:paraId="75F022CF">
      <w:pPr>
        <w:autoSpaceDE w:val="0"/>
        <w:autoSpaceDN w:val="0"/>
        <w:adjustRightInd w:val="0"/>
        <w:spacing w:line="360" w:lineRule="auto"/>
        <w:rPr>
          <w:rFonts w:ascii="宋体" w:hAnsi="宋体" w:cs="Arial"/>
          <w:b/>
          <w:kern w:val="0"/>
          <w:sz w:val="24"/>
        </w:rPr>
      </w:pPr>
    </w:p>
    <w:p w14:paraId="233F1593">
      <w:pPr>
        <w:numPr>
          <w:ilvl w:val="0"/>
          <w:numId w:val="2"/>
        </w:numPr>
        <w:tabs>
          <w:tab w:val="left" w:pos="1440"/>
        </w:tabs>
        <w:autoSpaceDE w:val="0"/>
        <w:autoSpaceDN w:val="0"/>
        <w:adjustRightInd w:val="0"/>
        <w:spacing w:line="360" w:lineRule="auto"/>
        <w:rPr>
          <w:rFonts w:ascii="宋体" w:hAnsi="宋体" w:cs="Arial"/>
          <w:kern w:val="0"/>
          <w:sz w:val="24"/>
        </w:rPr>
      </w:pPr>
      <w:r>
        <w:rPr>
          <w:rFonts w:ascii="宋体" w:hAnsi="宋体" w:cs="Arial"/>
          <w:kern w:val="0"/>
          <w:sz w:val="24"/>
        </w:rPr>
        <w:t>为进一步完善华孚时尚股份有限公司（以下简称“公司”）治理结构，规范公司投资者关系管理工作，加强公司与投资者和潜在投资者（以下统称“投资者”）之间的沟通，加深投资者对公司的了解和认同，促进公司和投资者之间长期、稳定的良好关系，根据《中华人民共和国公司法》《中华人民共和国证券法》《上市公司投资者关系</w:t>
      </w:r>
      <w:r>
        <w:rPr>
          <w:rFonts w:hint="eastAsia" w:ascii="宋体" w:hAnsi="宋体" w:cs="Arial"/>
          <w:kern w:val="0"/>
          <w:sz w:val="24"/>
        </w:rPr>
        <w:t>管理</w:t>
      </w:r>
      <w:r>
        <w:rPr>
          <w:rFonts w:ascii="宋体" w:hAnsi="宋体" w:cs="Arial"/>
          <w:kern w:val="0"/>
          <w:sz w:val="24"/>
        </w:rPr>
        <w:t>工作指引》《深圳证券交易所股票上市规则》</w:t>
      </w:r>
      <w:r>
        <w:rPr>
          <w:rFonts w:hint="eastAsia" w:ascii="宋体" w:hAnsi="宋体" w:cs="Arial"/>
          <w:kern w:val="0"/>
          <w:sz w:val="24"/>
        </w:rPr>
        <w:t>《深圳证券交易所上市公司自律监管指引第1号——主板上市公司规范运作》</w:t>
      </w:r>
      <w:r>
        <w:rPr>
          <w:rFonts w:ascii="宋体" w:hAnsi="宋体" w:cs="Arial"/>
          <w:kern w:val="0"/>
          <w:sz w:val="24"/>
        </w:rPr>
        <w:t>等法律、法规、规章、规范性文件及《华孚时尚股份有限公司章程》（以下简称“《公司章程》”）的有关规定，结合公司实际情况，制定本制度。</w:t>
      </w:r>
    </w:p>
    <w:p w14:paraId="11072959">
      <w:pPr>
        <w:numPr>
          <w:ilvl w:val="0"/>
          <w:numId w:val="2"/>
        </w:numPr>
        <w:tabs>
          <w:tab w:val="left" w:pos="1440"/>
        </w:tabs>
        <w:autoSpaceDE w:val="0"/>
        <w:autoSpaceDN w:val="0"/>
        <w:adjustRightInd w:val="0"/>
        <w:spacing w:line="360" w:lineRule="auto"/>
        <w:rPr>
          <w:rFonts w:ascii="宋体" w:hAnsi="宋体" w:cs="Arial"/>
          <w:kern w:val="0"/>
          <w:sz w:val="24"/>
        </w:rPr>
      </w:pPr>
      <w:r>
        <w:rPr>
          <w:rFonts w:ascii="宋体" w:hAnsi="宋体" w:cs="Arial"/>
          <w:kern w:val="0"/>
          <w:sz w:val="24"/>
        </w:rPr>
        <w:t>投资者关系是指</w:t>
      </w:r>
      <w:r>
        <w:rPr>
          <w:rFonts w:hint="eastAsia" w:ascii="宋体" w:hAnsi="宋体" w:cs="Arial"/>
          <w:kern w:val="0"/>
          <w:sz w:val="24"/>
        </w:rPr>
        <w:t>公司通过便利股东权利行使、信息披露、互动交流和诉求处理等工作，加强与投资者及潜在投资者之间的沟通，增进投资者对公司的了解和认同，以提升公司治理水平和企业整体价值，实现尊重投资者、回报投资者、保护投资者目的的相关活动。</w:t>
      </w:r>
    </w:p>
    <w:p w14:paraId="0CE60B49">
      <w:pPr>
        <w:numPr>
          <w:ilvl w:val="0"/>
          <w:numId w:val="2"/>
        </w:numPr>
        <w:tabs>
          <w:tab w:val="left" w:pos="1440"/>
          <w:tab w:val="left" w:pos="1620"/>
        </w:tabs>
        <w:autoSpaceDE w:val="0"/>
        <w:autoSpaceDN w:val="0"/>
        <w:adjustRightInd w:val="0"/>
        <w:spacing w:line="360" w:lineRule="auto"/>
        <w:rPr>
          <w:rFonts w:ascii="宋体" w:hAnsi="宋体" w:cs="Arial"/>
          <w:kern w:val="0"/>
          <w:sz w:val="24"/>
        </w:rPr>
      </w:pPr>
      <w:r>
        <w:rPr>
          <w:rFonts w:ascii="宋体" w:hAnsi="宋体" w:cs="Arial"/>
          <w:kern w:val="0"/>
          <w:sz w:val="24"/>
        </w:rPr>
        <w:t>投资者关系</w:t>
      </w:r>
      <w:r>
        <w:rPr>
          <w:rFonts w:hint="eastAsia" w:ascii="宋体" w:hAnsi="宋体" w:cs="Arial"/>
          <w:kern w:val="0"/>
          <w:sz w:val="24"/>
        </w:rPr>
        <w:t>管理</w:t>
      </w:r>
      <w:r>
        <w:rPr>
          <w:rFonts w:ascii="宋体" w:hAnsi="宋体" w:cs="Arial"/>
          <w:kern w:val="0"/>
          <w:sz w:val="24"/>
        </w:rPr>
        <w:t>的基本原则是：</w:t>
      </w:r>
    </w:p>
    <w:p w14:paraId="37489338">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（一）合规性原则。公司投资者关系管理应当在依法履行信息披露义务的基础上开展，符合法律、法规、规章及规范性文件、行业规范和自律规则、公司内部规章制度，以及行业普遍遵守的道德规范和行为准则。</w:t>
      </w:r>
    </w:p>
    <w:p w14:paraId="0B2EE150">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（二）平等性原则。公司开展投资者关系管理活动，应当平等对待所有投资者，尤其为中小投资者参与活动创造机会、提供便利。</w:t>
      </w:r>
    </w:p>
    <w:p w14:paraId="67221278">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（三）主动性原则。公司应当主动开展投资者关系管理活动，听取投资者意见建议，及时回应投资者诉求。</w:t>
      </w:r>
    </w:p>
    <w:p w14:paraId="7BC24237">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（四）诚实守信原则。公司在投资者关系管理活动中应当注重诚信、坚守底线、规范运作、担当责任，营造健康良好的市场生态。</w:t>
      </w:r>
    </w:p>
    <w:p w14:paraId="701170DC">
      <w:pPr>
        <w:numPr>
          <w:ilvl w:val="0"/>
          <w:numId w:val="2"/>
        </w:numPr>
        <w:tabs>
          <w:tab w:val="left" w:pos="1440"/>
        </w:tabs>
        <w:autoSpaceDE w:val="0"/>
        <w:autoSpaceDN w:val="0"/>
        <w:adjustRightInd w:val="0"/>
        <w:spacing w:line="360" w:lineRule="auto"/>
        <w:rPr>
          <w:rFonts w:ascii="宋体" w:hAnsi="宋体" w:cs="Arial"/>
          <w:kern w:val="0"/>
          <w:sz w:val="24"/>
        </w:rPr>
      </w:pPr>
      <w:bookmarkStart w:id="0" w:name="_DV_M3145"/>
      <w:bookmarkEnd w:id="0"/>
      <w:r>
        <w:rPr>
          <w:rFonts w:hint="eastAsia" w:ascii="宋体" w:hAnsi="宋体" w:cs="Arial"/>
          <w:kern w:val="0"/>
          <w:sz w:val="24"/>
        </w:rPr>
        <w:t>公司及其控股股东、实际控制人、董事、高级管理人员和工作人员开展投资者关系管理工作，应当遵守法律法规和深圳证券交易所相关规定，体现公平、公正、公开原则，客观、真实、准确、完整地介绍和反映公司的实际状况，不得出现以下情形：</w:t>
      </w:r>
    </w:p>
    <w:p w14:paraId="412D854F">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（一）透露或通过</w:t>
      </w:r>
      <w:r>
        <w:rPr>
          <w:rFonts w:ascii="宋体" w:hAnsi="宋体" w:cs="Arial"/>
          <w:kern w:val="0"/>
          <w:sz w:val="24"/>
        </w:rPr>
        <w:t>符合</w:t>
      </w:r>
      <w:r>
        <w:rPr>
          <w:rFonts w:hint="eastAsia" w:ascii="宋体" w:hAnsi="宋体" w:cs="Arial"/>
          <w:kern w:val="0"/>
          <w:sz w:val="24"/>
        </w:rPr>
        <w:t>中国证券监督管理委员会（以下简称“</w:t>
      </w:r>
      <w:r>
        <w:rPr>
          <w:rFonts w:ascii="宋体" w:hAnsi="宋体" w:cs="Arial"/>
          <w:kern w:val="0"/>
          <w:sz w:val="24"/>
        </w:rPr>
        <w:t>中国证监会</w:t>
      </w:r>
      <w:r>
        <w:rPr>
          <w:rFonts w:hint="eastAsia" w:ascii="宋体" w:hAnsi="宋体" w:cs="Arial"/>
          <w:kern w:val="0"/>
          <w:sz w:val="24"/>
        </w:rPr>
        <w:t>”）</w:t>
      </w:r>
      <w:r>
        <w:rPr>
          <w:rFonts w:ascii="宋体" w:hAnsi="宋体" w:cs="Arial"/>
          <w:kern w:val="0"/>
          <w:sz w:val="24"/>
        </w:rPr>
        <w:t>规定条件的媒体（以下统称“符合条件媒体”）</w:t>
      </w:r>
      <w:r>
        <w:rPr>
          <w:rFonts w:hint="eastAsia" w:ascii="宋体" w:hAnsi="宋体" w:cs="Arial"/>
          <w:kern w:val="0"/>
          <w:sz w:val="24"/>
        </w:rPr>
        <w:t>以外的方式发布尚未公开披露的重大信息，或者与依法披露的信息相冲突的信息；</w:t>
      </w:r>
    </w:p>
    <w:p w14:paraId="1A29204E">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（二）透露或发布含有虚假或者引人误解的内容，作出夸大性宣传、误导性提示；</w:t>
      </w:r>
    </w:p>
    <w:p w14:paraId="3A0F02A6">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（三）选择性透露或者发布信息，或者存在重大遗漏；</w:t>
      </w:r>
    </w:p>
    <w:p w14:paraId="0B630A97">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（四）对公司股票及其衍生品种价格作出预期或者承诺；</w:t>
      </w:r>
    </w:p>
    <w:p w14:paraId="5AEB3CCA">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（五）未得到明确授权的情况下代表公司发言；</w:t>
      </w:r>
    </w:p>
    <w:p w14:paraId="2C561D90">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（六）歧视、轻视等不公平对待中小股东或者造成不公平披露的行为；</w:t>
      </w:r>
    </w:p>
    <w:p w14:paraId="77689AE6">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（七）违反公序良俗，损害社会公共利益；</w:t>
      </w:r>
    </w:p>
    <w:p w14:paraId="451CBCC9">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（八）其他违反信息披露规则或者涉嫌操纵证券市场、内幕交易等影响公司股票及其衍生品种正常交易违法违规行为。</w:t>
      </w:r>
    </w:p>
    <w:p w14:paraId="11F89988">
      <w:pPr>
        <w:numPr>
          <w:ilvl w:val="0"/>
          <w:numId w:val="2"/>
        </w:numPr>
        <w:tabs>
          <w:tab w:val="left" w:pos="144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公司开展投资者关系管理活动，应当以已公开披露信息作为交流内容，不得以任何方式透露或者泄露未公开披露的重大信息。</w:t>
      </w:r>
    </w:p>
    <w:p w14:paraId="78DD3565">
      <w:pPr>
        <w:tabs>
          <w:tab w:val="left" w:pos="1620"/>
        </w:tabs>
        <w:autoSpaceDE w:val="0"/>
        <w:autoSpaceDN w:val="0"/>
        <w:adjustRightInd w:val="0"/>
        <w:spacing w:line="360" w:lineRule="auto"/>
        <w:ind w:left="-40" w:leftChars="-19" w:firstLine="480" w:firstLineChars="200"/>
        <w:rPr>
          <w:rFonts w:hint="eastAsia" w:ascii="宋体" w:hAnsi="宋体" w:cs="Arial"/>
          <w:kern w:val="0"/>
          <w:sz w:val="24"/>
        </w:rPr>
      </w:pPr>
      <w:r>
        <w:rPr>
          <w:rFonts w:hint="eastAsia" w:ascii="宋体" w:hAnsi="宋体" w:cs="Arial"/>
          <w:kern w:val="0"/>
          <w:sz w:val="24"/>
        </w:rPr>
        <w:t>投资者关系活动中涉及或者可能涉及股价敏感事项、未公开披露的重大信息或者可以推测出未公开披露的重大信息的提问的，公司应当告知投资者关注公司公告，并就信息披露规则进行必要的解释说明。</w:t>
      </w:r>
    </w:p>
    <w:p w14:paraId="457928EC">
      <w:pPr>
        <w:tabs>
          <w:tab w:val="left" w:pos="1620"/>
        </w:tabs>
        <w:autoSpaceDE w:val="0"/>
        <w:autoSpaceDN w:val="0"/>
        <w:adjustRightInd w:val="0"/>
        <w:spacing w:line="360" w:lineRule="auto"/>
        <w:ind w:left="-40" w:leftChars="-19" w:firstLine="480" w:firstLineChars="200"/>
        <w:rPr>
          <w:rFonts w:ascii="宋体" w:hAnsi="宋体" w:cs="Arial"/>
          <w:kern w:val="0"/>
          <w:sz w:val="24"/>
        </w:rPr>
      </w:pPr>
      <w:r>
        <w:rPr>
          <w:rFonts w:hint="eastAsia" w:ascii="宋体" w:hAnsi="宋体" w:cs="Arial"/>
          <w:kern w:val="0"/>
          <w:sz w:val="24"/>
        </w:rPr>
        <w:t>公司不得以投资者关系管理活动中的交流代替正式信息披露。公司在投资者关系管理活动中不慎泄露未公开披露的重大信息的，应当立即通过符合条件媒体发布公告，并采取其他必要措施。</w:t>
      </w:r>
    </w:p>
    <w:p w14:paraId="4B1C68E8">
      <w:pPr>
        <w:numPr>
          <w:ilvl w:val="0"/>
          <w:numId w:val="2"/>
        </w:numPr>
        <w:autoSpaceDE w:val="0"/>
        <w:autoSpaceDN w:val="0"/>
        <w:adjustRightInd w:val="0"/>
        <w:spacing w:line="360" w:lineRule="auto"/>
        <w:rPr>
          <w:rFonts w:ascii="宋体" w:hAnsi="宋体" w:cs="Arial"/>
          <w:kern w:val="0"/>
          <w:sz w:val="24"/>
        </w:rPr>
      </w:pPr>
      <w:r>
        <w:rPr>
          <w:rFonts w:ascii="宋体" w:hAnsi="宋体" w:cs="Arial"/>
          <w:kern w:val="0"/>
          <w:sz w:val="24"/>
        </w:rPr>
        <w:t>公司</w:t>
      </w:r>
      <w:r>
        <w:rPr>
          <w:rFonts w:hint="eastAsia" w:ascii="宋体" w:hAnsi="宋体" w:cs="Arial"/>
          <w:kern w:val="0"/>
          <w:sz w:val="24"/>
        </w:rPr>
        <w:t>进行</w:t>
      </w:r>
      <w:r>
        <w:rPr>
          <w:rFonts w:ascii="宋体" w:hAnsi="宋体" w:cs="Arial"/>
          <w:kern w:val="0"/>
          <w:sz w:val="24"/>
        </w:rPr>
        <w:t>投资者关系活动应建立完备的档案管理制度</w:t>
      </w:r>
      <w:r>
        <w:rPr>
          <w:rFonts w:hint="eastAsia" w:ascii="宋体" w:hAnsi="宋体" w:cs="Arial"/>
          <w:kern w:val="0"/>
          <w:sz w:val="24"/>
        </w:rPr>
        <w:t>，采用文字、图表、声像等方式记录活动情况和交流内容，记入投资者关系管理档案。</w:t>
      </w:r>
      <w:r>
        <w:rPr>
          <w:rFonts w:ascii="宋体" w:hAnsi="宋体" w:cs="Arial"/>
          <w:kern w:val="0"/>
          <w:sz w:val="24"/>
        </w:rPr>
        <w:t>投资者关系管理档案至少应包括以下内容：</w:t>
      </w:r>
    </w:p>
    <w:p w14:paraId="72250CC6">
      <w:pPr>
        <w:tabs>
          <w:tab w:val="left" w:pos="1800"/>
        </w:tabs>
        <w:autoSpaceDE w:val="0"/>
        <w:autoSpaceDN w:val="0"/>
        <w:adjustRightInd w:val="0"/>
        <w:spacing w:line="360" w:lineRule="auto"/>
        <w:ind w:firstLine="480"/>
        <w:rPr>
          <w:rFonts w:ascii="宋体" w:hAnsi="宋体" w:cs="Arial"/>
          <w:kern w:val="0"/>
          <w:sz w:val="24"/>
        </w:rPr>
      </w:pPr>
      <w:r>
        <w:rPr>
          <w:rFonts w:ascii="宋体" w:hAnsi="宋体" w:cs="Arial"/>
          <w:kern w:val="0"/>
          <w:sz w:val="24"/>
        </w:rPr>
        <w:t>（一）投资者关系活动参与人员、时间、地点；</w:t>
      </w:r>
    </w:p>
    <w:p w14:paraId="615F1B59">
      <w:pPr>
        <w:tabs>
          <w:tab w:val="left" w:pos="1800"/>
        </w:tabs>
        <w:autoSpaceDE w:val="0"/>
        <w:autoSpaceDN w:val="0"/>
        <w:adjustRightInd w:val="0"/>
        <w:spacing w:line="360" w:lineRule="auto"/>
        <w:ind w:firstLine="480"/>
        <w:rPr>
          <w:rFonts w:ascii="宋体" w:hAnsi="宋体" w:cs="Arial"/>
          <w:kern w:val="0"/>
          <w:sz w:val="24"/>
        </w:rPr>
      </w:pPr>
      <w:r>
        <w:rPr>
          <w:rFonts w:ascii="宋体" w:hAnsi="宋体" w:cs="Arial"/>
          <w:kern w:val="0"/>
          <w:sz w:val="24"/>
        </w:rPr>
        <w:t>（二）投资者关系活动的交流内容；</w:t>
      </w:r>
    </w:p>
    <w:p w14:paraId="2744532B">
      <w:pPr>
        <w:tabs>
          <w:tab w:val="left" w:pos="1800"/>
        </w:tabs>
        <w:autoSpaceDE w:val="0"/>
        <w:autoSpaceDN w:val="0"/>
        <w:adjustRightInd w:val="0"/>
        <w:spacing w:line="360" w:lineRule="auto"/>
        <w:ind w:firstLine="480"/>
        <w:rPr>
          <w:rFonts w:ascii="宋体" w:hAnsi="宋体" w:cs="Arial"/>
          <w:kern w:val="0"/>
          <w:sz w:val="24"/>
        </w:rPr>
      </w:pPr>
      <w:r>
        <w:rPr>
          <w:rFonts w:ascii="宋体" w:hAnsi="宋体" w:cs="Arial"/>
          <w:kern w:val="0"/>
          <w:sz w:val="24"/>
        </w:rPr>
        <w:t>（三）未公开重大信息泄密的处理过程及责任追究情况（如有）；</w:t>
      </w:r>
    </w:p>
    <w:p w14:paraId="523B2A8A">
      <w:pPr>
        <w:tabs>
          <w:tab w:val="left" w:pos="1800"/>
        </w:tabs>
        <w:autoSpaceDE w:val="0"/>
        <w:autoSpaceDN w:val="0"/>
        <w:adjustRightInd w:val="0"/>
        <w:spacing w:line="360" w:lineRule="auto"/>
        <w:ind w:firstLine="480"/>
        <w:rPr>
          <w:rFonts w:ascii="宋体" w:hAnsi="宋体" w:cs="Arial"/>
          <w:kern w:val="0"/>
          <w:sz w:val="24"/>
        </w:rPr>
      </w:pPr>
      <w:r>
        <w:rPr>
          <w:rFonts w:ascii="宋体" w:hAnsi="宋体" w:cs="Arial"/>
          <w:kern w:val="0"/>
          <w:sz w:val="24"/>
        </w:rPr>
        <w:t>（四）其他内容。</w:t>
      </w:r>
    </w:p>
    <w:p w14:paraId="372833F8">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投资者关系管理档案应当按照投资者关系管理的方式进行分类，将相关记录、现场录音、演示文稿、活动中提供的文档（如有）等文件资料存档并妥善保管，保存期限不得少于</w:t>
      </w:r>
      <w:r>
        <w:rPr>
          <w:rFonts w:ascii="宋体" w:hAnsi="宋体" w:cs="Arial"/>
          <w:kern w:val="0"/>
          <w:sz w:val="24"/>
        </w:rPr>
        <w:t>3</w:t>
      </w:r>
      <w:r>
        <w:rPr>
          <w:rFonts w:hint="eastAsia" w:ascii="宋体" w:hAnsi="宋体" w:cs="Arial"/>
          <w:kern w:val="0"/>
          <w:sz w:val="24"/>
        </w:rPr>
        <w:t>年。</w:t>
      </w:r>
    </w:p>
    <w:p w14:paraId="0EF59981">
      <w:pPr>
        <w:numPr>
          <w:ilvl w:val="0"/>
          <w:numId w:val="2"/>
        </w:numPr>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公司应当在定期报告中公布公司网址和咨询电话号码。当网址或者咨询电话号码发生变更后，公司应当及时进行公告。</w:t>
      </w:r>
    </w:p>
    <w:p w14:paraId="43F0B837">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公司应当保证咨询电话、传真和电子信箱等对外联系渠道畅通，确保咨询电话在工作时间有专人接听，并通过有效形式及时向投资者答复和反馈相关信息。</w:t>
      </w:r>
    </w:p>
    <w:p w14:paraId="2C833D64">
      <w:pPr>
        <w:numPr>
          <w:ilvl w:val="0"/>
          <w:numId w:val="2"/>
        </w:numPr>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公司应当对以非正式公告方式向外界传达的信息进行严格审查，设置审阅或者记录程序，防止泄露未公开重大信息。</w:t>
      </w:r>
    </w:p>
    <w:p w14:paraId="1EB1BDA7">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非正式公告的方式包括：股东会、新闻发布会、产品推介会；公司或者相关个人接受媒体采访；直接或者间接向媒体发布新闻稿；公司（含子公司）网站与内部刊物；董事、高级管理人员博客、微博、微信等社交媒体；以书面或者口头方式与特定投资者、证券分析师沟通；公司其他各种形式的对外宣传、报告等；深圳证券交易所认定的其他形式。</w:t>
      </w:r>
    </w:p>
    <w:p w14:paraId="2B7CE3C2">
      <w:pPr>
        <w:tabs>
          <w:tab w:val="left" w:pos="1440"/>
        </w:tabs>
        <w:autoSpaceDE w:val="0"/>
        <w:autoSpaceDN w:val="0"/>
        <w:adjustRightInd w:val="0"/>
        <w:spacing w:line="360" w:lineRule="auto"/>
        <w:rPr>
          <w:rFonts w:ascii="宋体" w:hAnsi="宋体" w:cs="Arial"/>
          <w:kern w:val="0"/>
          <w:sz w:val="24"/>
        </w:rPr>
      </w:pPr>
    </w:p>
    <w:p w14:paraId="47B82FA8">
      <w:pPr>
        <w:autoSpaceDE w:val="0"/>
        <w:autoSpaceDN w:val="0"/>
        <w:adjustRightInd w:val="0"/>
        <w:spacing w:line="360" w:lineRule="auto"/>
        <w:jc w:val="center"/>
        <w:rPr>
          <w:rFonts w:ascii="宋体" w:hAnsi="宋体" w:cs="Arial"/>
          <w:b/>
          <w:kern w:val="0"/>
          <w:sz w:val="24"/>
        </w:rPr>
      </w:pPr>
      <w:r>
        <w:rPr>
          <w:rFonts w:hint="eastAsia" w:ascii="宋体" w:hAnsi="宋体" w:cs="Arial"/>
          <w:b/>
          <w:kern w:val="0"/>
          <w:sz w:val="24"/>
        </w:rPr>
        <w:t>第二章 投资者关系管理的内容和方式</w:t>
      </w:r>
    </w:p>
    <w:p w14:paraId="1350797D">
      <w:pPr>
        <w:autoSpaceDE w:val="0"/>
        <w:autoSpaceDN w:val="0"/>
        <w:adjustRightInd w:val="0"/>
        <w:spacing w:line="360" w:lineRule="auto"/>
        <w:jc w:val="center"/>
        <w:rPr>
          <w:rFonts w:hint="eastAsia" w:ascii="宋体" w:hAnsi="宋体" w:cs="Arial"/>
          <w:b/>
          <w:kern w:val="0"/>
          <w:sz w:val="24"/>
        </w:rPr>
      </w:pPr>
    </w:p>
    <w:p w14:paraId="6D6DAC39">
      <w:pPr>
        <w:numPr>
          <w:ilvl w:val="0"/>
          <w:numId w:val="2"/>
        </w:numPr>
        <w:tabs>
          <w:tab w:val="left" w:pos="1440"/>
          <w:tab w:val="left" w:pos="1620"/>
        </w:tabs>
        <w:autoSpaceDE w:val="0"/>
        <w:autoSpaceDN w:val="0"/>
        <w:adjustRightInd w:val="0"/>
        <w:spacing w:line="360" w:lineRule="auto"/>
        <w:rPr>
          <w:rFonts w:ascii="宋体" w:hAnsi="宋体" w:cs="Arial"/>
          <w:kern w:val="0"/>
          <w:sz w:val="24"/>
        </w:rPr>
      </w:pPr>
      <w:r>
        <w:rPr>
          <w:rFonts w:hint="eastAsia" w:ascii="宋体" w:hAnsi="宋体" w:cs="Arial"/>
          <w:kern w:val="0"/>
          <w:sz w:val="24"/>
        </w:rPr>
        <w:t>投资者关系管理中</w:t>
      </w:r>
      <w:r>
        <w:rPr>
          <w:rFonts w:ascii="宋体" w:hAnsi="宋体" w:cs="Arial"/>
          <w:kern w:val="0"/>
          <w:sz w:val="24"/>
        </w:rPr>
        <w:t>公司与投资者沟通的内容主要包括：</w:t>
      </w:r>
    </w:p>
    <w:p w14:paraId="7F621489">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（一）公司的发展战略；</w:t>
      </w:r>
    </w:p>
    <w:p w14:paraId="2C8CB156">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（二）法定信息披露内容；</w:t>
      </w:r>
    </w:p>
    <w:p w14:paraId="54FF0200">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（三）公司的经营管理信息；</w:t>
      </w:r>
    </w:p>
    <w:p w14:paraId="55F10DFD">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（四）公司的环境、社会和治理信息；</w:t>
      </w:r>
    </w:p>
    <w:p w14:paraId="1B9A3D5C">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（五）公司的文化建设；</w:t>
      </w:r>
    </w:p>
    <w:p w14:paraId="5DC2B941">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（六）股东权利行使的方式、途径和程序等；</w:t>
      </w:r>
    </w:p>
    <w:p w14:paraId="4A68A879">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（七）投资者诉求处理信息；</w:t>
      </w:r>
    </w:p>
    <w:p w14:paraId="110C174A">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（八）公司正在或者可能面临的风险和挑战；</w:t>
      </w:r>
    </w:p>
    <w:p w14:paraId="483FCED7">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（九）公司的其他相关信息。</w:t>
      </w:r>
    </w:p>
    <w:p w14:paraId="17720BD1">
      <w:pPr>
        <w:numPr>
          <w:ilvl w:val="0"/>
          <w:numId w:val="2"/>
        </w:numPr>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可以通过公司官方网站、深圳证券交易所网站和深圳证券交易所投资者关系互动平台（以下简称“互动易平台”）、新媒体平台、电话、传真、邮箱、投资者教育基地等方式，采取股东会、投资者说明会、路演、投资者调研、证券分析师调研、接待来访、座谈交流等形式，与投资者进行沟通交流。</w:t>
      </w:r>
    </w:p>
    <w:p w14:paraId="52E9B56D">
      <w:pPr>
        <w:numPr>
          <w:ilvl w:val="0"/>
          <w:numId w:val="2"/>
        </w:numPr>
        <w:tabs>
          <w:tab w:val="left" w:pos="144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公司在官方网站设立投资者关系管理专栏，收集和答复投资者的咨询、投诉和建议等诉求，及时发布和更新投资者关系管理相关信息。</w:t>
      </w:r>
    </w:p>
    <w:p w14:paraId="32752757">
      <w:pPr>
        <w:numPr>
          <w:ilvl w:val="0"/>
          <w:numId w:val="2"/>
        </w:numPr>
        <w:tabs>
          <w:tab w:val="left" w:pos="144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公司应当充分考虑股东会召开的时间、地点和方式，为股东特别是中小股东参加股东会提供便利，为投资者发言、提问以及与公司董事、高级管理人员等交流提供必要的时间。股东会应当提供网络投票的方式。</w:t>
      </w:r>
    </w:p>
    <w:p w14:paraId="4A83D0EF">
      <w:pPr>
        <w:tabs>
          <w:tab w:val="left" w:pos="1800"/>
        </w:tabs>
        <w:autoSpaceDE w:val="0"/>
        <w:autoSpaceDN w:val="0"/>
        <w:adjustRightInd w:val="0"/>
        <w:spacing w:line="360" w:lineRule="auto"/>
        <w:ind w:firstLine="480"/>
        <w:rPr>
          <w:rFonts w:hint="eastAsia" w:ascii="宋体" w:hAnsi="宋体" w:cs="Arial"/>
          <w:kern w:val="0"/>
          <w:sz w:val="24"/>
        </w:rPr>
      </w:pPr>
      <w:r>
        <w:rPr>
          <w:rFonts w:ascii="宋体" w:hAnsi="宋体" w:cs="Arial"/>
          <w:kern w:val="0"/>
          <w:sz w:val="24"/>
        </w:rPr>
        <w:t>公司可以在按照信息披露规则作出公告后至股东会召开前，与投资者充分沟通，广泛征询意见</w:t>
      </w:r>
      <w:r>
        <w:rPr>
          <w:rFonts w:hint="eastAsia" w:ascii="宋体" w:hAnsi="宋体" w:cs="Arial"/>
          <w:kern w:val="0"/>
          <w:sz w:val="24"/>
        </w:rPr>
        <w:t>。</w:t>
      </w:r>
    </w:p>
    <w:p w14:paraId="46783FAF">
      <w:pPr>
        <w:numPr>
          <w:ilvl w:val="0"/>
          <w:numId w:val="2"/>
        </w:numPr>
        <w:tabs>
          <w:tab w:val="left" w:pos="144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公司应当为中小股东、机构投资者到公司现场参观、座谈沟通提供便利，合理、妥善地安排活动过程，做好信息隔离，不得使来访者接触到内幕信息和未公开披露的重大信息。</w:t>
      </w:r>
    </w:p>
    <w:p w14:paraId="27B3A8A8">
      <w:pPr>
        <w:numPr>
          <w:ilvl w:val="0"/>
          <w:numId w:val="2"/>
        </w:numPr>
        <w:tabs>
          <w:tab w:val="left" w:pos="1440"/>
        </w:tabs>
        <w:autoSpaceDE w:val="0"/>
        <w:autoSpaceDN w:val="0"/>
        <w:adjustRightInd w:val="0"/>
        <w:spacing w:line="360" w:lineRule="auto"/>
        <w:rPr>
          <w:rFonts w:ascii="宋体" w:hAnsi="宋体" w:cs="Arial"/>
          <w:kern w:val="0"/>
          <w:sz w:val="24"/>
        </w:rPr>
      </w:pPr>
      <w:r>
        <w:rPr>
          <w:rFonts w:hint="eastAsia" w:ascii="宋体" w:hAnsi="宋体" w:cs="Arial"/>
          <w:kern w:val="0"/>
          <w:sz w:val="24"/>
        </w:rPr>
        <w:t>投资者依法行使股东权利的行为，以及投资者保护机构持股行权、公开征集股东权利、纠纷调解、代表人诉讼等维护投资者合法权益的各项活动，公司应当积极支持配合。</w:t>
      </w:r>
    </w:p>
    <w:p w14:paraId="283A7EDC">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公司应当承担投资者投诉处理的首要责任，完善投诉处理机制，妥善处理投资者诉求。</w:t>
      </w:r>
    </w:p>
    <w:p w14:paraId="4929B926">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公司与投资者之间发生的纠纷，可以自行协商解决、向调解组织申请调解、向仲裁机构申请仲裁或者向人民法院提起诉讼。</w:t>
      </w:r>
    </w:p>
    <w:p w14:paraId="49809C4D">
      <w:pPr>
        <w:numPr>
          <w:ilvl w:val="0"/>
          <w:numId w:val="2"/>
        </w:numPr>
        <w:tabs>
          <w:tab w:val="left" w:pos="144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公司应当充分关注互动易平台信息以及各类媒体关于公司的报道，充分重视并依法履行有关信息和报道引发或者可能引发的信息披露义务。</w:t>
      </w:r>
    </w:p>
    <w:p w14:paraId="219D685E">
      <w:pPr>
        <w:numPr>
          <w:ilvl w:val="0"/>
          <w:numId w:val="2"/>
        </w:numPr>
        <w:tabs>
          <w:tab w:val="left" w:pos="144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公司在投资者说明会、业绩说明会、分析师会议、路演等投资者关系活动结束后应当及时编制投资者关系活动记录表，并于次一交易日开市前在互动易平台和公司网站刊载。活动记录表至少应当包括下列内容：</w:t>
      </w:r>
    </w:p>
    <w:p w14:paraId="3E938908">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（一）活动参与人员、时间、地点、形式；</w:t>
      </w:r>
    </w:p>
    <w:p w14:paraId="3B320C98">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（二）交流内容及具体问答记录；</w:t>
      </w:r>
    </w:p>
    <w:p w14:paraId="230286D1">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（三）关于本次活动是否涉及应披露重大信息的说明；</w:t>
      </w:r>
    </w:p>
    <w:p w14:paraId="78362BB9">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（四）活动过程中所使用的演示文稿、提供的文档等附件（如有）；</w:t>
      </w:r>
    </w:p>
    <w:p w14:paraId="5F5A7479">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（五）深圳证券交易所要求的其他内容。</w:t>
      </w:r>
    </w:p>
    <w:p w14:paraId="4E66EDBA">
      <w:pPr>
        <w:numPr>
          <w:ilvl w:val="0"/>
          <w:numId w:val="2"/>
        </w:numPr>
        <w:tabs>
          <w:tab w:val="left" w:pos="1440"/>
          <w:tab w:val="left" w:pos="180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召开投资者说明会的，应当采取便于投资者参与的方式进行。公司应当在投资者说明会召开前发布公告，说明投资者关系活动的时间、方式、地点、网址、公司出席人员名单和活动主题等。投资者说明会原则上应当安排在非交易时段召开。公司应在事后及时披露投资者说明会情况。</w:t>
      </w:r>
    </w:p>
    <w:p w14:paraId="00999A6D">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公司应当在投资者说明会召开前以及召开期间为投资者开通提问渠道，做好投资者提问征集工作，并在说明会上对投资者关注的问题予以答复。</w:t>
      </w:r>
    </w:p>
    <w:p w14:paraId="65BEA723">
      <w:pPr>
        <w:numPr>
          <w:ilvl w:val="0"/>
          <w:numId w:val="2"/>
        </w:numPr>
        <w:tabs>
          <w:tab w:val="left" w:pos="1440"/>
          <w:tab w:val="left" w:pos="180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参与投资者说明会的公司人员应当包括公司董事长（或者总经理）、财务负责人、独立董事和董事会秘书。</w:t>
      </w:r>
    </w:p>
    <w:p w14:paraId="4EF024D4">
      <w:pPr>
        <w:numPr>
          <w:ilvl w:val="0"/>
          <w:numId w:val="2"/>
        </w:numPr>
        <w:tabs>
          <w:tab w:val="left" w:pos="1440"/>
          <w:tab w:val="left" w:pos="180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除依法履行信息披露义务外，公司应当积极召开投资者说明会，向投资者介绍情况、回答问题、听取建议。存在下列情形的，公司应当及时召开投资者说明会：</w:t>
      </w:r>
    </w:p>
    <w:p w14:paraId="303A43A3">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（一）公司当年现金分红水平未达相关规定，需要说明原因的；</w:t>
      </w:r>
    </w:p>
    <w:p w14:paraId="000856EC">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（二）公司在披露重组预案或重组报告书后终止重组的；</w:t>
      </w:r>
    </w:p>
    <w:p w14:paraId="0DA0D96A">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（三）公司股票交易出现相关规则规定的异常波动,公司核查后发现存在未披露重大事件的；</w:t>
      </w:r>
    </w:p>
    <w:p w14:paraId="447706AD">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（四）公司相关重大事件受到市场高度关注或质疑的；</w:t>
      </w:r>
    </w:p>
    <w:p w14:paraId="6C06B5E7">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（五）公司在年度报告披露后，按照中国证监会和深圳证券交易所相关规定应当召开年度报告业绩说明会的；</w:t>
      </w:r>
    </w:p>
    <w:p w14:paraId="062ECD7E">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（六）其他按照中国证监会和深圳证券交易所规定应当召开投资者说明会的情形。</w:t>
      </w:r>
    </w:p>
    <w:p w14:paraId="0A8CF176">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公司可以在年度报告披露后十五个交易日内举行年度报告业绩说明会，对公司所处行业状况、发展战略、生产经营、财务状况、分红情况、风险因素等投资者关心的内容进行说明。</w:t>
      </w:r>
    </w:p>
    <w:p w14:paraId="2DA79186">
      <w:pPr>
        <w:numPr>
          <w:ilvl w:val="0"/>
          <w:numId w:val="2"/>
        </w:numPr>
        <w:tabs>
          <w:tab w:val="left" w:pos="1440"/>
          <w:tab w:val="left" w:pos="1800"/>
        </w:tabs>
        <w:autoSpaceDE w:val="0"/>
        <w:autoSpaceDN w:val="0"/>
        <w:adjustRightInd w:val="0"/>
        <w:spacing w:line="360" w:lineRule="auto"/>
        <w:ind w:firstLine="480"/>
        <w:rPr>
          <w:rFonts w:ascii="宋体" w:hAnsi="宋体" w:cs="Arial"/>
          <w:kern w:val="0"/>
          <w:sz w:val="24"/>
        </w:rPr>
      </w:pPr>
      <w:bookmarkStart w:id="1" w:name="_DV_M3164"/>
      <w:bookmarkEnd w:id="1"/>
      <w:r>
        <w:rPr>
          <w:rFonts w:hint="eastAsia" w:ascii="宋体" w:hAnsi="宋体" w:cs="Arial"/>
          <w:kern w:val="0"/>
          <w:sz w:val="24"/>
        </w:rPr>
        <w:t xml:space="preserve"> 股东会对现金分红具体方案进行审议前，公司应当通过多种渠道主动与股东特别是中小股东进行沟通和交流，充分听取中小股东的意见和诉求，及时答复中小股东关心的问题。</w:t>
      </w:r>
    </w:p>
    <w:p w14:paraId="4771EE71">
      <w:pPr>
        <w:numPr>
          <w:ilvl w:val="0"/>
          <w:numId w:val="2"/>
        </w:numPr>
        <w:tabs>
          <w:tab w:val="left" w:pos="1440"/>
          <w:tab w:val="left" w:pos="1800"/>
        </w:tabs>
        <w:autoSpaceDE w:val="0"/>
        <w:autoSpaceDN w:val="0"/>
        <w:adjustRightInd w:val="0"/>
        <w:spacing w:line="360" w:lineRule="auto"/>
        <w:ind w:firstLine="480"/>
        <w:rPr>
          <w:rFonts w:hint="eastAsia" w:ascii="宋体" w:hAnsi="宋体" w:cs="Arial"/>
          <w:kern w:val="0"/>
          <w:sz w:val="24"/>
        </w:rPr>
      </w:pPr>
      <w:bookmarkStart w:id="2" w:name="_DV_M3246"/>
      <w:bookmarkEnd w:id="2"/>
      <w:bookmarkStart w:id="3" w:name="_DV_M3247"/>
      <w:bookmarkEnd w:id="3"/>
      <w:bookmarkStart w:id="4" w:name="_DV_M3242"/>
      <w:bookmarkEnd w:id="4"/>
      <w:bookmarkStart w:id="5" w:name="_DV_M3245"/>
      <w:bookmarkEnd w:id="5"/>
      <w:bookmarkStart w:id="6" w:name="_DV_M3244"/>
      <w:bookmarkEnd w:id="6"/>
      <w:bookmarkStart w:id="7" w:name="_DV_M3243"/>
      <w:bookmarkEnd w:id="7"/>
      <w:bookmarkStart w:id="8" w:name="_DV_M3263"/>
      <w:bookmarkEnd w:id="8"/>
      <w:bookmarkStart w:id="9" w:name="_DV_M3264"/>
      <w:bookmarkEnd w:id="9"/>
      <w:bookmarkStart w:id="10" w:name="_DV_M3250"/>
      <w:bookmarkEnd w:id="10"/>
      <w:bookmarkStart w:id="11" w:name="_DV_M3248"/>
      <w:bookmarkEnd w:id="11"/>
      <w:bookmarkStart w:id="12" w:name="_DV_M3249"/>
      <w:bookmarkEnd w:id="12"/>
      <w:bookmarkStart w:id="13" w:name="_DV_M3261"/>
      <w:bookmarkEnd w:id="13"/>
      <w:bookmarkStart w:id="14" w:name="_DV_M3262"/>
      <w:bookmarkEnd w:id="14"/>
      <w:r>
        <w:rPr>
          <w:rFonts w:hint="eastAsia" w:ascii="宋体" w:hAnsi="宋体" w:cs="Arial"/>
          <w:kern w:val="0"/>
          <w:sz w:val="24"/>
        </w:rPr>
        <w:t>公司接受从事证券分析、咨询及其他证券服务的机构及个人、从事证券投资的机构及个人（以下简称“调研机构及个人”）的调研时，应当妥善开展相关接待工作，并按规定履行相应的信息披露义务。</w:t>
      </w:r>
    </w:p>
    <w:p w14:paraId="0D0C4276">
      <w:pPr>
        <w:numPr>
          <w:ilvl w:val="0"/>
          <w:numId w:val="2"/>
        </w:numPr>
        <w:tabs>
          <w:tab w:val="left" w:pos="1440"/>
          <w:tab w:val="left" w:pos="1800"/>
        </w:tabs>
        <w:autoSpaceDE w:val="0"/>
        <w:autoSpaceDN w:val="0"/>
        <w:adjustRightInd w:val="0"/>
        <w:spacing w:line="360" w:lineRule="auto"/>
        <w:ind w:firstLine="480"/>
        <w:rPr>
          <w:rFonts w:hint="eastAsia" w:ascii="宋体" w:hAnsi="宋体" w:cs="Arial"/>
          <w:kern w:val="0"/>
          <w:sz w:val="24"/>
        </w:rPr>
      </w:pPr>
      <w:r>
        <w:rPr>
          <w:rFonts w:ascii="宋体" w:hAnsi="宋体" w:cs="Arial"/>
          <w:kern w:val="0"/>
          <w:sz w:val="24"/>
        </w:rPr>
        <w:t xml:space="preserve"> </w:t>
      </w:r>
      <w:r>
        <w:rPr>
          <w:rFonts w:hint="eastAsia" w:ascii="宋体" w:hAnsi="宋体" w:cs="Arial"/>
          <w:kern w:val="0"/>
          <w:sz w:val="24"/>
        </w:rPr>
        <w:t>公司、调研机构及个人不得利用调研活动从事市场操纵、内幕交易或者其他违法违规行为。</w:t>
      </w:r>
    </w:p>
    <w:p w14:paraId="2AF3F057">
      <w:pPr>
        <w:numPr>
          <w:ilvl w:val="0"/>
          <w:numId w:val="2"/>
        </w:numPr>
        <w:tabs>
          <w:tab w:val="left" w:pos="1440"/>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公司控股股东、实际控制人、董事、高级管理人员及其他员工在接受调研前，应当告知董事会秘书，原则上董事会秘书应当全程参加。</w:t>
      </w:r>
    </w:p>
    <w:p w14:paraId="5FD24415">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公司与调研机构及个人进行直接沟通的，除应邀参加证券公司研究所等机构举办的投资策略分析会等情形外， 应当要求调研机构及个人出具单位证明和身份证等资料，并要求其签署承诺书</w:t>
      </w:r>
      <w:r>
        <w:rPr>
          <w:rFonts w:ascii="宋体" w:hAnsi="宋体" w:cs="Arial"/>
          <w:kern w:val="0"/>
          <w:sz w:val="24"/>
        </w:rPr>
        <w:t>：</w:t>
      </w:r>
    </w:p>
    <w:p w14:paraId="35A9339C">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承诺书至少应当包括下列内容：</w:t>
      </w:r>
    </w:p>
    <w:p w14:paraId="2CB9AE1D">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（一）不故意打探公司未公开重大信息，未经公司许可，不与公司指定人员以外的人员进行沟通或者问询；</w:t>
      </w:r>
    </w:p>
    <w:p w14:paraId="35555D33">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（二）不泄露无意中获取的未公开重大信息，不利用所获取的未公开重大信息买卖或者建议他人买卖公司股票及其衍生品种；</w:t>
      </w:r>
    </w:p>
    <w:p w14:paraId="0A28CC86">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（三）在投资价值分析报告等研究报告、新闻稿等文件中不使用未公开重大信息，除非公司同时披露该信息；</w:t>
      </w:r>
    </w:p>
    <w:p w14:paraId="421DDE60">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（四）在投资价值分析报告等研究报告中涉及盈利预测和股价预测的，注明资料来源，不使用主观臆断、缺乏事实根据的资料；</w:t>
      </w:r>
    </w:p>
    <w:p w14:paraId="17B4C640">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（五）在投资价值分析报告等研究报告、新闻稿等文件在对外发布或者使用前告知公司；</w:t>
      </w:r>
    </w:p>
    <w:p w14:paraId="3618876A">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（六）明确违反承诺的责任。</w:t>
      </w:r>
    </w:p>
    <w:p w14:paraId="50141D06">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公司应当就调研过程和交流内容形成书面调研记录，参加调研的人员和董事会秘书应当签字确认。具备条件的，可以对调研过程进行录音录像。</w:t>
      </w:r>
    </w:p>
    <w:p w14:paraId="074C837E">
      <w:pPr>
        <w:numPr>
          <w:ilvl w:val="0"/>
          <w:numId w:val="2"/>
        </w:numPr>
        <w:tabs>
          <w:tab w:val="left" w:pos="1800"/>
        </w:tabs>
        <w:autoSpaceDE w:val="0"/>
        <w:autoSpaceDN w:val="0"/>
        <w:adjustRightInd w:val="0"/>
        <w:spacing w:line="360" w:lineRule="auto"/>
        <w:rPr>
          <w:rFonts w:ascii="宋体" w:hAnsi="宋体" w:cs="Arial"/>
          <w:kern w:val="0"/>
          <w:sz w:val="24"/>
        </w:rPr>
      </w:pPr>
      <w:r>
        <w:rPr>
          <w:rFonts w:ascii="宋体" w:hAnsi="宋体" w:cs="Arial"/>
          <w:kern w:val="0"/>
          <w:sz w:val="24"/>
        </w:rPr>
        <w:t>公司</w:t>
      </w:r>
      <w:r>
        <w:rPr>
          <w:rFonts w:hint="eastAsia" w:ascii="宋体" w:hAnsi="宋体" w:cs="Arial"/>
          <w:kern w:val="0"/>
          <w:sz w:val="24"/>
        </w:rPr>
        <w:t>对接受或者邀请特定对象的调研、沟通、采访等活动予以详细记载，内容应当至少包括活动时间、地点、方式（书面或者口头）、双方当事人姓名、活动中谈论的有关公司的内容、提供的有关资料等，公司应当在定期报告中将信息披露备查登记情况予以披露</w:t>
      </w:r>
      <w:r>
        <w:rPr>
          <w:rFonts w:ascii="宋体" w:hAnsi="宋体" w:cs="Arial"/>
          <w:kern w:val="0"/>
          <w:sz w:val="24"/>
        </w:rPr>
        <w:t>。</w:t>
      </w:r>
    </w:p>
    <w:p w14:paraId="6D6585F0">
      <w:pPr>
        <w:numPr>
          <w:ilvl w:val="0"/>
          <w:numId w:val="2"/>
        </w:numPr>
        <w:tabs>
          <w:tab w:val="left" w:pos="180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公司接受新闻媒体及其他机构或者个人调研或采访，以及公司控股股东、实际控制人接受与公司相关的调研或采访，按照本制度规定执行。</w:t>
      </w:r>
    </w:p>
    <w:p w14:paraId="7AAF1D46">
      <w:pPr>
        <w:numPr>
          <w:ilvl w:val="0"/>
          <w:numId w:val="2"/>
        </w:numPr>
        <w:tabs>
          <w:tab w:val="left" w:pos="180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应当通过互动易平台等多种渠道与投资者交流，指派或者授权专人及时查看并处理互动易平台的相关信息。公司应当就投资者对已披露信息的提问进行充分、深入、详细地分析、说明和答复。公司在互动易平台发布信息及回复投资者提问，应当注重诚信，尊重并平等对待所有投资者，主动加强与投资者的沟通，增进投资者对公司的了解和认同，营造健康良好的市场生态。</w:t>
      </w:r>
    </w:p>
    <w:p w14:paraId="31A23053">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公司在互动易平台发布信息或者答复投资者提问等行为不能替代应尽的信息披露义务，公司不得在互动易平台就涉及或者可能涉及未公开重大信息的投资者提问进行回答。</w:t>
      </w:r>
    </w:p>
    <w:p w14:paraId="61F03F3C">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公司在互动易平台发布信息或者回复投资者提问时，应当保证发布信息及回复投资者提问的公平性，对所有依法合规提出的问题认真、及时予以回复，不得选择性发布信息或者回复投资者提问。</w:t>
      </w:r>
    </w:p>
    <w:p w14:paraId="21DA4A47">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对于重要或者具有普遍性的问题及答复，公司应当加以整理并在互动易平台以显著方式刊载。</w:t>
      </w:r>
    </w:p>
    <w:p w14:paraId="45BC4A97">
      <w:pPr>
        <w:numPr>
          <w:ilvl w:val="0"/>
          <w:numId w:val="2"/>
        </w:numPr>
        <w:tabs>
          <w:tab w:val="left" w:pos="180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在互动易平台发布信息或者回复投资者提问的，应当谨慎、理性、客观，以事实为依据，保证所发布信息的真实、准确、完整和公平，不得使用夸大性、宣传性、误导性语言，应当注重与投资者交流互动的效果，不得误导投资者。如涉及事项存在不确定性，公司应当充分提示相关事项可能存在的不确定性和风险。</w:t>
      </w:r>
    </w:p>
    <w:p w14:paraId="3CD2E2EB">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公司信息披露以其通过符合条件媒体披露的内容为准，在互动易平台发布的信息不得与依法披露的信息相冲突。</w:t>
      </w:r>
    </w:p>
    <w:p w14:paraId="7A5EAA61">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在互动易平台发布信息及对涉及市场热点概念、敏感事项问题进行答复，应当谨慎、客观、具有事实依据，不得利用互动易平台迎合市场热点或者与市场热点不当关联，不得故意夸大相关事项对公司生产经营、研发创新、采购销售、重大合同、战略合作、发展规划以及行业竞争等方面的影响，不当影响公司股票及其衍生品种价格。</w:t>
      </w:r>
    </w:p>
    <w:p w14:paraId="3D5DE4CB">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在互动易平台发布信息或者回复投资者提问时，不得发布涉及违反公序良俗、损害社会公共利益的信息，不得发布涉及国家秘密、商业秘密等不宜公开的信息。公司对供应商、客户等负有保密义务的，应当谨慎判断拟发布的信息或者回复的内容是否违反保密义务。</w:t>
      </w:r>
    </w:p>
    <w:p w14:paraId="2D2E5F12">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在互动易平台发布信息或者回复投资者提问时，不得对公司股票及其衍生品种价格作出预测或者承诺，也不得利用发布信息或者回复投资者提问从事市场操纵、内幕交易或者其他影响公司股票及其衍生品种正常交易的违法违规行为。</w:t>
      </w:r>
    </w:p>
    <w:p w14:paraId="2164F920">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公司在互动易平台发布的信息或者回复的内容受到市场广泛质疑，被公共传媒广泛报道且涉及公司股票及其衍生品种交易异常波动的，公司应当关注并及时履行相应信息披露义务。</w:t>
      </w:r>
    </w:p>
    <w:p w14:paraId="438F6E85">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公司董事会秘书应当对在互动易平台发布或者回复投资者提问涉及的信息进行审核。未经审核，公司不得对外发布信息或者回复投资者提问。</w:t>
      </w:r>
    </w:p>
    <w:p w14:paraId="189D23FF">
      <w:pPr>
        <w:numPr>
          <w:ilvl w:val="0"/>
          <w:numId w:val="2"/>
        </w:numPr>
        <w:tabs>
          <w:tab w:val="left" w:pos="180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公司应明确区分宣传广告与媒体的报道，不应以宣传广告材料以及有偿手段影响媒体的客观独立报道。</w:t>
      </w:r>
    </w:p>
    <w:p w14:paraId="3E036DEB">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公司应及时关注媒体的宣传报道，必要时予以适当回应。</w:t>
      </w:r>
    </w:p>
    <w:p w14:paraId="300DDFA7">
      <w:pPr>
        <w:tabs>
          <w:tab w:val="left" w:pos="1800"/>
        </w:tabs>
        <w:autoSpaceDE w:val="0"/>
        <w:autoSpaceDN w:val="0"/>
        <w:adjustRightInd w:val="0"/>
        <w:spacing w:line="360" w:lineRule="auto"/>
        <w:rPr>
          <w:rFonts w:hint="eastAsia" w:ascii="宋体" w:hAnsi="宋体" w:cs="Arial"/>
          <w:kern w:val="0"/>
          <w:sz w:val="24"/>
        </w:rPr>
      </w:pPr>
      <w:bookmarkStart w:id="15" w:name="_DV_M2032"/>
      <w:bookmarkEnd w:id="15"/>
      <w:bookmarkStart w:id="16" w:name="_DV_M2028"/>
      <w:bookmarkEnd w:id="16"/>
      <w:bookmarkStart w:id="17" w:name="_DV_M2035"/>
      <w:bookmarkEnd w:id="17"/>
      <w:bookmarkStart w:id="18" w:name="_DV_M2038"/>
      <w:bookmarkEnd w:id="18"/>
      <w:bookmarkStart w:id="19" w:name="_DV_M2042"/>
      <w:bookmarkEnd w:id="19"/>
      <w:bookmarkStart w:id="20" w:name="_DV_M3286"/>
      <w:bookmarkEnd w:id="20"/>
      <w:bookmarkStart w:id="21" w:name="_DV_M3288"/>
      <w:bookmarkEnd w:id="21"/>
    </w:p>
    <w:p w14:paraId="699FFF6A">
      <w:pPr>
        <w:tabs>
          <w:tab w:val="left" w:pos="1800"/>
        </w:tabs>
        <w:autoSpaceDE w:val="0"/>
        <w:autoSpaceDN w:val="0"/>
        <w:adjustRightInd w:val="0"/>
        <w:spacing w:line="360" w:lineRule="auto"/>
        <w:jc w:val="center"/>
        <w:rPr>
          <w:rFonts w:ascii="宋体" w:hAnsi="宋体" w:cs="Arial"/>
          <w:b/>
          <w:kern w:val="0"/>
          <w:sz w:val="24"/>
        </w:rPr>
      </w:pPr>
      <w:r>
        <w:rPr>
          <w:rFonts w:ascii="宋体" w:hAnsi="宋体" w:cs="Arial"/>
          <w:b/>
          <w:kern w:val="0"/>
          <w:sz w:val="24"/>
        </w:rPr>
        <w:t>第</w:t>
      </w:r>
      <w:r>
        <w:rPr>
          <w:rFonts w:hint="eastAsia" w:ascii="宋体" w:hAnsi="宋体" w:cs="Arial"/>
          <w:b/>
          <w:kern w:val="0"/>
          <w:sz w:val="24"/>
        </w:rPr>
        <w:t>三</w:t>
      </w:r>
      <w:r>
        <w:rPr>
          <w:rFonts w:ascii="宋体" w:hAnsi="宋体" w:cs="Arial"/>
          <w:b/>
          <w:kern w:val="0"/>
          <w:sz w:val="24"/>
        </w:rPr>
        <w:t>章 投资者关系工作的组织和实施</w:t>
      </w:r>
    </w:p>
    <w:p w14:paraId="1F9BAF02">
      <w:pPr>
        <w:tabs>
          <w:tab w:val="left" w:pos="1800"/>
        </w:tabs>
        <w:autoSpaceDE w:val="0"/>
        <w:autoSpaceDN w:val="0"/>
        <w:adjustRightInd w:val="0"/>
        <w:spacing w:line="360" w:lineRule="auto"/>
        <w:ind w:firstLine="482" w:firstLineChars="200"/>
        <w:rPr>
          <w:rFonts w:ascii="宋体" w:hAnsi="宋体" w:cs="Arial"/>
          <w:b/>
          <w:kern w:val="0"/>
          <w:sz w:val="24"/>
        </w:rPr>
      </w:pPr>
    </w:p>
    <w:p w14:paraId="22A84689">
      <w:pPr>
        <w:numPr>
          <w:ilvl w:val="0"/>
          <w:numId w:val="2"/>
        </w:numPr>
        <w:tabs>
          <w:tab w:val="left" w:pos="180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董事会秘书负责组织和协调投资者关系管理工作，公司控股股东、实际控制人以及董事和高级管理人员应当为董事会秘书履行投资者关系管理工作职责提供便利条件。</w:t>
      </w:r>
    </w:p>
    <w:p w14:paraId="78030AAC">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公司证券部配备专门工作人员，负责开展投资者关系管理工作。</w:t>
      </w:r>
      <w:r>
        <w:rPr>
          <w:rFonts w:ascii="宋体" w:hAnsi="宋体" w:cs="Arial"/>
          <w:kern w:val="0"/>
          <w:sz w:val="24"/>
        </w:rPr>
        <w:t>董事会秘书在全面深入地了解公司运作和管理、经营状况、发展战略等情况下，具体负责策划、安排和组织各类投资者关系管理活动。在具体进行投资者关系活动之前，董事会秘书应对活动相关人员进行有针对性的培训和指导。</w:t>
      </w:r>
    </w:p>
    <w:p w14:paraId="76DCE09E">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w:t>
      </w:r>
      <w:r>
        <w:rPr>
          <w:rFonts w:ascii="宋体" w:hAnsi="宋体" w:cs="Arial"/>
          <w:kern w:val="0"/>
          <w:sz w:val="24"/>
        </w:rPr>
        <w:t>投资者关系</w:t>
      </w:r>
      <w:r>
        <w:rPr>
          <w:rFonts w:hint="eastAsia" w:ascii="宋体" w:hAnsi="宋体" w:cs="Arial"/>
          <w:kern w:val="0"/>
          <w:sz w:val="24"/>
        </w:rPr>
        <w:t>管理</w:t>
      </w:r>
      <w:r>
        <w:rPr>
          <w:rFonts w:ascii="宋体" w:hAnsi="宋体" w:cs="Arial"/>
          <w:kern w:val="0"/>
          <w:sz w:val="24"/>
        </w:rPr>
        <w:t>工作的主要职责</w:t>
      </w:r>
      <w:r>
        <w:rPr>
          <w:rFonts w:hint="eastAsia" w:ascii="宋体" w:hAnsi="宋体" w:cs="Arial"/>
          <w:kern w:val="0"/>
          <w:sz w:val="24"/>
        </w:rPr>
        <w:t>包括</w:t>
      </w:r>
      <w:r>
        <w:rPr>
          <w:rFonts w:ascii="宋体" w:hAnsi="宋体" w:cs="Arial"/>
          <w:kern w:val="0"/>
          <w:sz w:val="24"/>
        </w:rPr>
        <w:t>：</w:t>
      </w:r>
    </w:p>
    <w:p w14:paraId="3C099E74">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（一）拟定投资者关系管理制度，建立工作机制；</w:t>
      </w:r>
    </w:p>
    <w:p w14:paraId="4E89AE7F">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（二）组织与投资者沟通联络的投资者关系管理活动；</w:t>
      </w:r>
    </w:p>
    <w:p w14:paraId="5446AE1A">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（三）组织及时妥善处理投资者咨询、投诉和建议等诉求，定期反馈给公司董事会以及管理层；</w:t>
      </w:r>
    </w:p>
    <w:p w14:paraId="33B244DD">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（四）管理、运行和维护投资者关系管理的相关渠道和平台；</w:t>
      </w:r>
    </w:p>
    <w:p w14:paraId="54046943">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（五）保障投资者依法行使股东权利；</w:t>
      </w:r>
    </w:p>
    <w:p w14:paraId="4C823489">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（六）配合支持投资者保护机构开展维护投资者合法权益的相关工作；</w:t>
      </w:r>
    </w:p>
    <w:p w14:paraId="40F27631">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（七）统计分析公司投资者的数量、构成以及变动等情况；</w:t>
      </w:r>
    </w:p>
    <w:p w14:paraId="245E9BF3">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（八）开展有利于改善投资者关系的其他活动。</w:t>
      </w:r>
    </w:p>
    <w:p w14:paraId="34A33643">
      <w:pPr>
        <w:numPr>
          <w:ilvl w:val="0"/>
          <w:numId w:val="2"/>
        </w:numPr>
        <w:tabs>
          <w:tab w:val="left" w:pos="1800"/>
        </w:tabs>
        <w:autoSpaceDE w:val="0"/>
        <w:autoSpaceDN w:val="0"/>
        <w:adjustRightInd w:val="0"/>
        <w:spacing w:line="360" w:lineRule="auto"/>
        <w:rPr>
          <w:rFonts w:ascii="宋体" w:hAnsi="宋体" w:cs="Arial"/>
          <w:kern w:val="0"/>
          <w:sz w:val="24"/>
        </w:rPr>
      </w:pPr>
      <w:r>
        <w:rPr>
          <w:rFonts w:hint="eastAsia" w:ascii="宋体" w:hAnsi="宋体" w:cs="Arial"/>
          <w:kern w:val="0"/>
          <w:sz w:val="24"/>
        </w:rPr>
        <w:t>公司从事投资者关系管理工作的人员需要具备以下素质和技能：</w:t>
      </w:r>
    </w:p>
    <w:p w14:paraId="44824928">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（一）良好的品行和职业素养，诚实守信；</w:t>
      </w:r>
    </w:p>
    <w:p w14:paraId="33321872">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（二）良好的专业知识结构，熟悉公司治理、财务会计等相关法律、法规和证券市场的运作机制；</w:t>
      </w:r>
    </w:p>
    <w:p w14:paraId="2D53A012">
      <w:pPr>
        <w:tabs>
          <w:tab w:val="left" w:pos="1800"/>
        </w:tabs>
        <w:autoSpaceDE w:val="0"/>
        <w:autoSpaceDN w:val="0"/>
        <w:adjustRightInd w:val="0"/>
        <w:spacing w:line="360" w:lineRule="auto"/>
        <w:ind w:firstLine="480"/>
        <w:rPr>
          <w:rFonts w:hint="eastAsia" w:ascii="宋体" w:hAnsi="宋体" w:cs="Arial"/>
          <w:kern w:val="0"/>
          <w:sz w:val="24"/>
        </w:rPr>
      </w:pPr>
      <w:r>
        <w:rPr>
          <w:rFonts w:hint="eastAsia" w:ascii="宋体" w:hAnsi="宋体" w:cs="Arial"/>
          <w:kern w:val="0"/>
          <w:sz w:val="24"/>
        </w:rPr>
        <w:t>（三）良好的沟通和协调能力；</w:t>
      </w:r>
    </w:p>
    <w:p w14:paraId="0816FE95">
      <w:pPr>
        <w:tabs>
          <w:tab w:val="left" w:pos="1800"/>
        </w:tabs>
        <w:autoSpaceDE w:val="0"/>
        <w:autoSpaceDN w:val="0"/>
        <w:adjustRightInd w:val="0"/>
        <w:spacing w:line="360" w:lineRule="auto"/>
        <w:ind w:firstLine="480"/>
        <w:rPr>
          <w:rFonts w:ascii="宋体" w:hAnsi="宋体" w:cs="Arial"/>
          <w:kern w:val="0"/>
          <w:sz w:val="24"/>
        </w:rPr>
      </w:pPr>
      <w:r>
        <w:rPr>
          <w:rFonts w:hint="eastAsia" w:ascii="宋体" w:hAnsi="宋体" w:cs="Arial"/>
          <w:kern w:val="0"/>
          <w:sz w:val="24"/>
        </w:rPr>
        <w:t>（四）全面了解公司以及公司所处行业的情况。</w:t>
      </w:r>
    </w:p>
    <w:p w14:paraId="7DB162D2">
      <w:pPr>
        <w:numPr>
          <w:ilvl w:val="0"/>
          <w:numId w:val="2"/>
        </w:numPr>
        <w:tabs>
          <w:tab w:val="left" w:pos="1800"/>
        </w:tabs>
        <w:autoSpaceDE w:val="0"/>
        <w:autoSpaceDN w:val="0"/>
        <w:adjustRightInd w:val="0"/>
        <w:spacing w:line="360" w:lineRule="auto"/>
        <w:rPr>
          <w:rFonts w:hint="eastAsia" w:ascii="宋体" w:hAnsi="宋体" w:cs="Arial"/>
          <w:kern w:val="0"/>
          <w:sz w:val="24"/>
        </w:rPr>
      </w:pPr>
      <w:r>
        <w:rPr>
          <w:rFonts w:hint="eastAsia" w:ascii="宋体" w:hAnsi="宋体" w:cs="Arial"/>
          <w:kern w:val="0"/>
          <w:sz w:val="24"/>
        </w:rPr>
        <w:t>公司应当定期对控股股东、实际控制人、董事、高级管理人员及相关人员进行投资者关系管理的系统培训，增强其对相关法律法规、深圳证券交易所相关规则和公司规章制度的理解。</w:t>
      </w:r>
    </w:p>
    <w:p w14:paraId="6C99F365">
      <w:pPr>
        <w:tabs>
          <w:tab w:val="left" w:pos="1800"/>
        </w:tabs>
        <w:autoSpaceDE w:val="0"/>
        <w:autoSpaceDN w:val="0"/>
        <w:adjustRightInd w:val="0"/>
        <w:spacing w:line="360" w:lineRule="auto"/>
        <w:ind w:firstLine="480"/>
        <w:rPr>
          <w:rFonts w:hint="eastAsia" w:ascii="宋体" w:hAnsi="宋体" w:cs="Arial"/>
          <w:kern w:val="0"/>
          <w:sz w:val="24"/>
        </w:rPr>
      </w:pPr>
    </w:p>
    <w:p w14:paraId="0C3D0C24">
      <w:pPr>
        <w:tabs>
          <w:tab w:val="left" w:pos="1800"/>
        </w:tabs>
        <w:autoSpaceDE w:val="0"/>
        <w:autoSpaceDN w:val="0"/>
        <w:adjustRightInd w:val="0"/>
        <w:spacing w:line="360" w:lineRule="auto"/>
        <w:jc w:val="center"/>
        <w:rPr>
          <w:rFonts w:ascii="宋体" w:hAnsi="宋体" w:cs="Arial"/>
          <w:b/>
          <w:kern w:val="0"/>
          <w:sz w:val="24"/>
        </w:rPr>
      </w:pPr>
      <w:r>
        <w:rPr>
          <w:rFonts w:ascii="宋体" w:hAnsi="宋体" w:cs="Arial"/>
          <w:b/>
          <w:kern w:val="0"/>
          <w:sz w:val="24"/>
        </w:rPr>
        <w:t>第</w:t>
      </w:r>
      <w:r>
        <w:rPr>
          <w:rFonts w:hint="eastAsia" w:ascii="宋体" w:hAnsi="宋体" w:cs="Arial"/>
          <w:b/>
          <w:kern w:val="0"/>
          <w:sz w:val="24"/>
        </w:rPr>
        <w:t>四</w:t>
      </w:r>
      <w:r>
        <w:rPr>
          <w:rFonts w:ascii="宋体" w:hAnsi="宋体" w:cs="Arial"/>
          <w:b/>
          <w:kern w:val="0"/>
          <w:sz w:val="24"/>
        </w:rPr>
        <w:t>章 附则</w:t>
      </w:r>
    </w:p>
    <w:p w14:paraId="6EB00B9E">
      <w:pPr>
        <w:tabs>
          <w:tab w:val="left" w:pos="1800"/>
        </w:tabs>
        <w:autoSpaceDE w:val="0"/>
        <w:autoSpaceDN w:val="0"/>
        <w:adjustRightInd w:val="0"/>
        <w:spacing w:line="360" w:lineRule="auto"/>
        <w:ind w:firstLine="482" w:firstLineChars="200"/>
        <w:rPr>
          <w:rFonts w:ascii="宋体" w:hAnsi="宋体" w:cs="Arial"/>
          <w:b/>
          <w:kern w:val="0"/>
          <w:sz w:val="24"/>
        </w:rPr>
      </w:pPr>
    </w:p>
    <w:p w14:paraId="4D5A4D8F">
      <w:pPr>
        <w:numPr>
          <w:ilvl w:val="0"/>
          <w:numId w:val="2"/>
        </w:numPr>
        <w:tabs>
          <w:tab w:val="left" w:pos="1800"/>
        </w:tabs>
        <w:autoSpaceDE w:val="0"/>
        <w:autoSpaceDN w:val="0"/>
        <w:adjustRightInd w:val="0"/>
        <w:spacing w:line="360" w:lineRule="auto"/>
        <w:rPr>
          <w:rFonts w:ascii="宋体" w:hAnsi="宋体" w:cs="Arial"/>
          <w:kern w:val="0"/>
          <w:sz w:val="24"/>
        </w:rPr>
      </w:pPr>
      <w:r>
        <w:rPr>
          <w:rFonts w:ascii="宋体" w:hAnsi="宋体" w:cs="Arial"/>
          <w:kern w:val="0"/>
          <w:sz w:val="24"/>
        </w:rPr>
        <w:t>本制度未尽事宜，依照国家有关法律、行政法规、部门规章、其他规范性文件及《公司章程》的有关规定执行。</w:t>
      </w:r>
    </w:p>
    <w:p w14:paraId="3CBB1332">
      <w:pPr>
        <w:numPr>
          <w:ilvl w:val="0"/>
          <w:numId w:val="2"/>
        </w:numPr>
        <w:tabs>
          <w:tab w:val="left" w:pos="1800"/>
        </w:tabs>
        <w:autoSpaceDE w:val="0"/>
        <w:autoSpaceDN w:val="0"/>
        <w:adjustRightInd w:val="0"/>
        <w:spacing w:line="360" w:lineRule="auto"/>
        <w:rPr>
          <w:rFonts w:ascii="宋体" w:hAnsi="宋体" w:cs="Arial"/>
          <w:kern w:val="0"/>
          <w:sz w:val="24"/>
        </w:rPr>
      </w:pPr>
      <w:r>
        <w:rPr>
          <w:rFonts w:ascii="宋体" w:hAnsi="宋体" w:cs="Arial"/>
          <w:kern w:val="0"/>
          <w:sz w:val="24"/>
        </w:rPr>
        <w:t>本制度由董事会负责解释和修订。</w:t>
      </w:r>
    </w:p>
    <w:p w14:paraId="3A5479CB">
      <w:pPr>
        <w:numPr>
          <w:ilvl w:val="0"/>
          <w:numId w:val="2"/>
        </w:numPr>
        <w:tabs>
          <w:tab w:val="left" w:pos="1800"/>
        </w:tabs>
        <w:autoSpaceDE w:val="0"/>
        <w:autoSpaceDN w:val="0"/>
        <w:adjustRightInd w:val="0"/>
        <w:spacing w:line="360" w:lineRule="auto"/>
        <w:rPr>
          <w:rFonts w:ascii="宋体" w:hAnsi="宋体" w:cs="Arial"/>
          <w:kern w:val="0"/>
          <w:sz w:val="24"/>
        </w:rPr>
      </w:pPr>
      <w:r>
        <w:rPr>
          <w:rFonts w:ascii="宋体" w:hAnsi="宋体" w:cs="Arial"/>
          <w:kern w:val="0"/>
          <w:sz w:val="24"/>
        </w:rPr>
        <w:t>本制度经</w:t>
      </w:r>
      <w:r>
        <w:rPr>
          <w:rFonts w:ascii="宋体" w:hAnsi="宋体" w:cs="Arial"/>
          <w:sz w:val="24"/>
        </w:rPr>
        <w:t>董</w:t>
      </w:r>
      <w:r>
        <w:rPr>
          <w:rFonts w:ascii="宋体" w:hAnsi="宋体" w:cs="Arial"/>
          <w:kern w:val="0"/>
          <w:sz w:val="24"/>
        </w:rPr>
        <w:t>事会审议通过</w:t>
      </w:r>
      <w:bookmarkStart w:id="22" w:name="_DV_C917"/>
      <w:r>
        <w:rPr>
          <w:rFonts w:ascii="宋体" w:hAnsi="宋体" w:cs="Arial"/>
          <w:kern w:val="0"/>
          <w:sz w:val="24"/>
        </w:rPr>
        <w:t>之日起生效</w:t>
      </w:r>
      <w:bookmarkEnd w:id="22"/>
      <w:r>
        <w:rPr>
          <w:rFonts w:ascii="宋体" w:hAnsi="宋体" w:cs="Arial"/>
          <w:kern w:val="0"/>
          <w:sz w:val="24"/>
        </w:rPr>
        <w:t>实施。</w:t>
      </w:r>
    </w:p>
    <w:p w14:paraId="492AA9DA">
      <w:pPr>
        <w:spacing w:line="360" w:lineRule="auto"/>
        <w:rPr>
          <w:rFonts w:ascii="宋体" w:hAnsi="宋体" w:cs="Arial"/>
          <w:sz w:val="24"/>
        </w:rPr>
      </w:pPr>
    </w:p>
    <w:p w14:paraId="54995403">
      <w:pPr>
        <w:pStyle w:val="19"/>
        <w:ind w:right="960" w:firstLine="0" w:firstLineChars="0"/>
        <w:rPr>
          <w:rFonts w:ascii="宋体" w:hAnsi="宋体" w:eastAsia="宋体" w:cs="Arial"/>
          <w:lang w:eastAsia="zh-CN"/>
        </w:rPr>
      </w:pPr>
    </w:p>
    <w:sectPr>
      <w:footerReference r:id="rId3" w:type="default"/>
      <w:footerReference r:id="rId4"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挀甀洀攀渀">
    <w:altName w:val="宋体"/>
    <w:panose1 w:val="00000000000000000000"/>
    <w:charset w:val="86"/>
    <w:family w:val="auto"/>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ADF1">
    <w:pPr>
      <w:pStyle w:val="6"/>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lang/>
      </w:rPr>
      <w:t>5</w:t>
    </w:r>
    <w:r>
      <w:rPr>
        <w:rStyle w:val="14"/>
      </w:rPr>
      <w:fldChar w:fldCharType="end"/>
    </w:r>
  </w:p>
  <w:p w14:paraId="02AB064F">
    <w:pPr>
      <w:pStyle w:val="6"/>
      <w:ind w:right="360"/>
    </w:pPr>
  </w:p>
  <w:p w14:paraId="62CE1AF2"/>
  <w:p w14:paraId="49EE58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A3BC0">
    <w:pPr>
      <w:pStyle w:val="6"/>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14:paraId="5CC9B85E">
    <w:pPr>
      <w:pStyle w:val="6"/>
      <w:ind w:right="360"/>
    </w:pPr>
  </w:p>
  <w:p w14:paraId="4A5D84D2"/>
  <w:p w14:paraId="41DA078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4"/>
      <w:lvlText w:val=""/>
      <w:lvlJc w:val="left"/>
      <w:pPr>
        <w:tabs>
          <w:tab w:val="left" w:pos="567"/>
        </w:tabs>
        <w:ind w:left="851" w:hanging="284"/>
      </w:pPr>
      <w:rPr>
        <w:rFonts w:hint="default" w:ascii="Symbol" w:hAnsi="Symbol"/>
      </w:rPr>
    </w:lvl>
  </w:abstractNum>
  <w:abstractNum w:abstractNumId="1">
    <w:nsid w:val="3B4D399C"/>
    <w:multiLevelType w:val="multilevel"/>
    <w:tmpl w:val="3B4D399C"/>
    <w:lvl w:ilvl="0" w:tentative="0">
      <w:start w:val="1"/>
      <w:numFmt w:val="chineseCountingThousand"/>
      <w:lvlText w:val="第%1条"/>
      <w:lvlJc w:val="left"/>
      <w:pPr>
        <w:tabs>
          <w:tab w:val="left" w:pos="-40"/>
        </w:tabs>
        <w:ind w:left="-40" w:firstLine="400"/>
      </w:pPr>
      <w:rPr>
        <w:rFonts w:hint="eastAsia" w:ascii="宋体" w:hAnsi="宋体" w:eastAsia="宋体"/>
        <w:b/>
        <w:i w:val="0"/>
      </w:rPr>
    </w:lvl>
    <w:lvl w:ilvl="1" w:tentative="0">
      <w:start w:val="1"/>
      <w:numFmt w:val="japaneseCounting"/>
      <w:lvlText w:val="（%2）"/>
      <w:lvlJc w:val="left"/>
      <w:pPr>
        <w:tabs>
          <w:tab w:val="left" w:pos="0"/>
        </w:tabs>
        <w:ind w:left="0" w:firstLine="420"/>
      </w:pPr>
      <w:rPr>
        <w:rFonts w:hint="default"/>
        <w:lang w:val="en-US"/>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92"/>
    <w:rsid w:val="00002243"/>
    <w:rsid w:val="000032B5"/>
    <w:rsid w:val="00006C7D"/>
    <w:rsid w:val="000109F5"/>
    <w:rsid w:val="000121DA"/>
    <w:rsid w:val="000154EB"/>
    <w:rsid w:val="00020CD6"/>
    <w:rsid w:val="0002719A"/>
    <w:rsid w:val="000339CB"/>
    <w:rsid w:val="00035A64"/>
    <w:rsid w:val="00037637"/>
    <w:rsid w:val="00051E45"/>
    <w:rsid w:val="0005403A"/>
    <w:rsid w:val="000551C4"/>
    <w:rsid w:val="00055FE9"/>
    <w:rsid w:val="00056483"/>
    <w:rsid w:val="00057252"/>
    <w:rsid w:val="00057A8A"/>
    <w:rsid w:val="00063AA1"/>
    <w:rsid w:val="00071E9A"/>
    <w:rsid w:val="0007529D"/>
    <w:rsid w:val="00075B49"/>
    <w:rsid w:val="000808C9"/>
    <w:rsid w:val="000851C8"/>
    <w:rsid w:val="00086FB8"/>
    <w:rsid w:val="00087685"/>
    <w:rsid w:val="00090F7D"/>
    <w:rsid w:val="0009295B"/>
    <w:rsid w:val="0009357B"/>
    <w:rsid w:val="00093E05"/>
    <w:rsid w:val="000977F0"/>
    <w:rsid w:val="00097C72"/>
    <w:rsid w:val="000A1592"/>
    <w:rsid w:val="000A1FE1"/>
    <w:rsid w:val="000A6EDB"/>
    <w:rsid w:val="000A7034"/>
    <w:rsid w:val="000B1515"/>
    <w:rsid w:val="000B685C"/>
    <w:rsid w:val="000B6A24"/>
    <w:rsid w:val="000C19CC"/>
    <w:rsid w:val="000C65D7"/>
    <w:rsid w:val="000D0C79"/>
    <w:rsid w:val="000D4928"/>
    <w:rsid w:val="000D4A3F"/>
    <w:rsid w:val="000D6931"/>
    <w:rsid w:val="000E5C8B"/>
    <w:rsid w:val="000E67D9"/>
    <w:rsid w:val="000F44CA"/>
    <w:rsid w:val="000F4631"/>
    <w:rsid w:val="000F59DB"/>
    <w:rsid w:val="0012171C"/>
    <w:rsid w:val="00132EDA"/>
    <w:rsid w:val="00140564"/>
    <w:rsid w:val="001414D7"/>
    <w:rsid w:val="001429AB"/>
    <w:rsid w:val="0015327C"/>
    <w:rsid w:val="00167985"/>
    <w:rsid w:val="00174887"/>
    <w:rsid w:val="00176754"/>
    <w:rsid w:val="0018064B"/>
    <w:rsid w:val="00186324"/>
    <w:rsid w:val="00186F2F"/>
    <w:rsid w:val="001871FD"/>
    <w:rsid w:val="00192463"/>
    <w:rsid w:val="00196616"/>
    <w:rsid w:val="00197055"/>
    <w:rsid w:val="001A1E63"/>
    <w:rsid w:val="001A3B55"/>
    <w:rsid w:val="001A5CC5"/>
    <w:rsid w:val="001A6562"/>
    <w:rsid w:val="001B33E4"/>
    <w:rsid w:val="001C09B1"/>
    <w:rsid w:val="001C4790"/>
    <w:rsid w:val="001C5093"/>
    <w:rsid w:val="001D4544"/>
    <w:rsid w:val="001D61FF"/>
    <w:rsid w:val="001D7BE4"/>
    <w:rsid w:val="001D7F0C"/>
    <w:rsid w:val="001E0D9B"/>
    <w:rsid w:val="001E1434"/>
    <w:rsid w:val="001E40CA"/>
    <w:rsid w:val="001E4BA3"/>
    <w:rsid w:val="001E71CD"/>
    <w:rsid w:val="001E7650"/>
    <w:rsid w:val="001F2B43"/>
    <w:rsid w:val="001F4547"/>
    <w:rsid w:val="00205084"/>
    <w:rsid w:val="0021082A"/>
    <w:rsid w:val="00211B12"/>
    <w:rsid w:val="00214CB7"/>
    <w:rsid w:val="002171E6"/>
    <w:rsid w:val="00223F1D"/>
    <w:rsid w:val="00227571"/>
    <w:rsid w:val="00227A3E"/>
    <w:rsid w:val="00227BD1"/>
    <w:rsid w:val="00237559"/>
    <w:rsid w:val="00244346"/>
    <w:rsid w:val="00246946"/>
    <w:rsid w:val="00250632"/>
    <w:rsid w:val="00250E83"/>
    <w:rsid w:val="00253EEE"/>
    <w:rsid w:val="0025413A"/>
    <w:rsid w:val="00257D28"/>
    <w:rsid w:val="00261183"/>
    <w:rsid w:val="002632F6"/>
    <w:rsid w:val="00267436"/>
    <w:rsid w:val="00281C3A"/>
    <w:rsid w:val="002846DB"/>
    <w:rsid w:val="0028605E"/>
    <w:rsid w:val="00286097"/>
    <w:rsid w:val="002864F8"/>
    <w:rsid w:val="00290D14"/>
    <w:rsid w:val="00291808"/>
    <w:rsid w:val="002A5EED"/>
    <w:rsid w:val="002C235A"/>
    <w:rsid w:val="002C715A"/>
    <w:rsid w:val="002D1EE8"/>
    <w:rsid w:val="002D29A7"/>
    <w:rsid w:val="002D7DE0"/>
    <w:rsid w:val="002E2707"/>
    <w:rsid w:val="002E2CC2"/>
    <w:rsid w:val="002E63F9"/>
    <w:rsid w:val="002F0321"/>
    <w:rsid w:val="002F6F02"/>
    <w:rsid w:val="00303FA6"/>
    <w:rsid w:val="003162EC"/>
    <w:rsid w:val="00316375"/>
    <w:rsid w:val="00321368"/>
    <w:rsid w:val="00327138"/>
    <w:rsid w:val="0034126C"/>
    <w:rsid w:val="00341F2B"/>
    <w:rsid w:val="00344FF6"/>
    <w:rsid w:val="00345ACC"/>
    <w:rsid w:val="00364255"/>
    <w:rsid w:val="00371521"/>
    <w:rsid w:val="00371E87"/>
    <w:rsid w:val="00380398"/>
    <w:rsid w:val="0038151E"/>
    <w:rsid w:val="00387303"/>
    <w:rsid w:val="00392B0E"/>
    <w:rsid w:val="003A7F46"/>
    <w:rsid w:val="003B25F9"/>
    <w:rsid w:val="003C0CD7"/>
    <w:rsid w:val="003C7E75"/>
    <w:rsid w:val="003D07CE"/>
    <w:rsid w:val="003D547A"/>
    <w:rsid w:val="003D702E"/>
    <w:rsid w:val="003E358C"/>
    <w:rsid w:val="00400BD8"/>
    <w:rsid w:val="0040143E"/>
    <w:rsid w:val="0042069D"/>
    <w:rsid w:val="004220B0"/>
    <w:rsid w:val="004228BC"/>
    <w:rsid w:val="00437803"/>
    <w:rsid w:val="00437B5B"/>
    <w:rsid w:val="0044528F"/>
    <w:rsid w:val="00445EEA"/>
    <w:rsid w:val="00454750"/>
    <w:rsid w:val="004547A4"/>
    <w:rsid w:val="00456CC3"/>
    <w:rsid w:val="0046172B"/>
    <w:rsid w:val="0046317C"/>
    <w:rsid w:val="00465033"/>
    <w:rsid w:val="004675B6"/>
    <w:rsid w:val="004711FE"/>
    <w:rsid w:val="00474CC0"/>
    <w:rsid w:val="004751C3"/>
    <w:rsid w:val="0049042D"/>
    <w:rsid w:val="004928F6"/>
    <w:rsid w:val="00493B88"/>
    <w:rsid w:val="004940CF"/>
    <w:rsid w:val="004A6032"/>
    <w:rsid w:val="004A6B79"/>
    <w:rsid w:val="004C0FC4"/>
    <w:rsid w:val="004C4740"/>
    <w:rsid w:val="004C5202"/>
    <w:rsid w:val="004D0D05"/>
    <w:rsid w:val="004E1ED0"/>
    <w:rsid w:val="004F10B8"/>
    <w:rsid w:val="004F3FA3"/>
    <w:rsid w:val="004F46C2"/>
    <w:rsid w:val="005021A6"/>
    <w:rsid w:val="0050267B"/>
    <w:rsid w:val="00505CB8"/>
    <w:rsid w:val="005072DA"/>
    <w:rsid w:val="00511659"/>
    <w:rsid w:val="00512878"/>
    <w:rsid w:val="00512FDF"/>
    <w:rsid w:val="00514868"/>
    <w:rsid w:val="00525366"/>
    <w:rsid w:val="005347F3"/>
    <w:rsid w:val="00541591"/>
    <w:rsid w:val="0055221A"/>
    <w:rsid w:val="00553CC9"/>
    <w:rsid w:val="0055422E"/>
    <w:rsid w:val="005548AB"/>
    <w:rsid w:val="00556B8A"/>
    <w:rsid w:val="005633EB"/>
    <w:rsid w:val="00572A6F"/>
    <w:rsid w:val="00581B52"/>
    <w:rsid w:val="00584079"/>
    <w:rsid w:val="00585C0C"/>
    <w:rsid w:val="00596E30"/>
    <w:rsid w:val="005A33E3"/>
    <w:rsid w:val="005A6DBE"/>
    <w:rsid w:val="005B2E78"/>
    <w:rsid w:val="005C0307"/>
    <w:rsid w:val="005C1ACB"/>
    <w:rsid w:val="005C1E50"/>
    <w:rsid w:val="005C2338"/>
    <w:rsid w:val="005C33A1"/>
    <w:rsid w:val="005D0578"/>
    <w:rsid w:val="005D210B"/>
    <w:rsid w:val="005D4FB1"/>
    <w:rsid w:val="005D6A59"/>
    <w:rsid w:val="005E283F"/>
    <w:rsid w:val="005E5D53"/>
    <w:rsid w:val="005E6D0C"/>
    <w:rsid w:val="005F2970"/>
    <w:rsid w:val="00612306"/>
    <w:rsid w:val="00616EFC"/>
    <w:rsid w:val="00625CA7"/>
    <w:rsid w:val="00631D45"/>
    <w:rsid w:val="00641BC5"/>
    <w:rsid w:val="00647A78"/>
    <w:rsid w:val="00650FC5"/>
    <w:rsid w:val="006510BB"/>
    <w:rsid w:val="006568A8"/>
    <w:rsid w:val="00661F7F"/>
    <w:rsid w:val="00672802"/>
    <w:rsid w:val="00677CAA"/>
    <w:rsid w:val="00680FB9"/>
    <w:rsid w:val="00682492"/>
    <w:rsid w:val="00682909"/>
    <w:rsid w:val="00684E18"/>
    <w:rsid w:val="00690570"/>
    <w:rsid w:val="0069138B"/>
    <w:rsid w:val="006931BC"/>
    <w:rsid w:val="006A027A"/>
    <w:rsid w:val="006A3A52"/>
    <w:rsid w:val="006A3F66"/>
    <w:rsid w:val="006B16D2"/>
    <w:rsid w:val="006B310C"/>
    <w:rsid w:val="006B4B61"/>
    <w:rsid w:val="006B54F0"/>
    <w:rsid w:val="006C2F11"/>
    <w:rsid w:val="006C4A58"/>
    <w:rsid w:val="006C6C1B"/>
    <w:rsid w:val="006D5406"/>
    <w:rsid w:val="006D6027"/>
    <w:rsid w:val="006D60C8"/>
    <w:rsid w:val="006D6209"/>
    <w:rsid w:val="006D750B"/>
    <w:rsid w:val="006E334B"/>
    <w:rsid w:val="006E71C0"/>
    <w:rsid w:val="006E73EF"/>
    <w:rsid w:val="006F72BA"/>
    <w:rsid w:val="00702801"/>
    <w:rsid w:val="00706CA2"/>
    <w:rsid w:val="007105B4"/>
    <w:rsid w:val="00711C5E"/>
    <w:rsid w:val="00711FC2"/>
    <w:rsid w:val="00713FA5"/>
    <w:rsid w:val="00723938"/>
    <w:rsid w:val="00730600"/>
    <w:rsid w:val="00744A8C"/>
    <w:rsid w:val="00744F9A"/>
    <w:rsid w:val="00753400"/>
    <w:rsid w:val="00754953"/>
    <w:rsid w:val="0076168F"/>
    <w:rsid w:val="00772508"/>
    <w:rsid w:val="007823A0"/>
    <w:rsid w:val="00782A78"/>
    <w:rsid w:val="00782B5A"/>
    <w:rsid w:val="00790FEF"/>
    <w:rsid w:val="00791F0E"/>
    <w:rsid w:val="0079663C"/>
    <w:rsid w:val="007A0ACF"/>
    <w:rsid w:val="007A7D77"/>
    <w:rsid w:val="007B330B"/>
    <w:rsid w:val="007C7348"/>
    <w:rsid w:val="007D5786"/>
    <w:rsid w:val="007E735C"/>
    <w:rsid w:val="007F4B5B"/>
    <w:rsid w:val="007F5B12"/>
    <w:rsid w:val="00800C4D"/>
    <w:rsid w:val="00806FF1"/>
    <w:rsid w:val="0080713A"/>
    <w:rsid w:val="00807743"/>
    <w:rsid w:val="00815CCF"/>
    <w:rsid w:val="0082439C"/>
    <w:rsid w:val="00825155"/>
    <w:rsid w:val="0082596E"/>
    <w:rsid w:val="0084017B"/>
    <w:rsid w:val="00844A64"/>
    <w:rsid w:val="008467B8"/>
    <w:rsid w:val="00855D6E"/>
    <w:rsid w:val="00856ADB"/>
    <w:rsid w:val="0086311F"/>
    <w:rsid w:val="00867FE3"/>
    <w:rsid w:val="0087028A"/>
    <w:rsid w:val="00874EB3"/>
    <w:rsid w:val="00874F59"/>
    <w:rsid w:val="00877A4A"/>
    <w:rsid w:val="0088120A"/>
    <w:rsid w:val="00881D29"/>
    <w:rsid w:val="00882802"/>
    <w:rsid w:val="0088641C"/>
    <w:rsid w:val="00887C14"/>
    <w:rsid w:val="00893350"/>
    <w:rsid w:val="00896680"/>
    <w:rsid w:val="008A2945"/>
    <w:rsid w:val="008A5B14"/>
    <w:rsid w:val="008B2198"/>
    <w:rsid w:val="008B4351"/>
    <w:rsid w:val="008C05AB"/>
    <w:rsid w:val="008C0B66"/>
    <w:rsid w:val="008C27A1"/>
    <w:rsid w:val="008C409D"/>
    <w:rsid w:val="008D3BB9"/>
    <w:rsid w:val="008D4D95"/>
    <w:rsid w:val="008D63BB"/>
    <w:rsid w:val="008E36AD"/>
    <w:rsid w:val="008E3D52"/>
    <w:rsid w:val="008E3D77"/>
    <w:rsid w:val="008E445F"/>
    <w:rsid w:val="008E5121"/>
    <w:rsid w:val="008F1B4C"/>
    <w:rsid w:val="008F43B6"/>
    <w:rsid w:val="008F456B"/>
    <w:rsid w:val="008F49F3"/>
    <w:rsid w:val="00901E35"/>
    <w:rsid w:val="00903E80"/>
    <w:rsid w:val="00910585"/>
    <w:rsid w:val="0091188C"/>
    <w:rsid w:val="009149DE"/>
    <w:rsid w:val="009213CC"/>
    <w:rsid w:val="00923A6A"/>
    <w:rsid w:val="0094451C"/>
    <w:rsid w:val="00955428"/>
    <w:rsid w:val="00963FEC"/>
    <w:rsid w:val="00964611"/>
    <w:rsid w:val="00966477"/>
    <w:rsid w:val="00971C9A"/>
    <w:rsid w:val="00981009"/>
    <w:rsid w:val="009815ED"/>
    <w:rsid w:val="0098320D"/>
    <w:rsid w:val="00983C00"/>
    <w:rsid w:val="00990544"/>
    <w:rsid w:val="00990A29"/>
    <w:rsid w:val="0099113F"/>
    <w:rsid w:val="0099512B"/>
    <w:rsid w:val="009A1E05"/>
    <w:rsid w:val="009A298C"/>
    <w:rsid w:val="009A32AB"/>
    <w:rsid w:val="009B0292"/>
    <w:rsid w:val="009B099A"/>
    <w:rsid w:val="009B2BFF"/>
    <w:rsid w:val="009C18E8"/>
    <w:rsid w:val="009C447F"/>
    <w:rsid w:val="009D002B"/>
    <w:rsid w:val="009D04D7"/>
    <w:rsid w:val="009D0F50"/>
    <w:rsid w:val="009D2E99"/>
    <w:rsid w:val="009D50FB"/>
    <w:rsid w:val="009E041B"/>
    <w:rsid w:val="009F25FD"/>
    <w:rsid w:val="009F2B68"/>
    <w:rsid w:val="009F2FBD"/>
    <w:rsid w:val="009F5D33"/>
    <w:rsid w:val="009F6618"/>
    <w:rsid w:val="00A03A39"/>
    <w:rsid w:val="00A06B87"/>
    <w:rsid w:val="00A12E7D"/>
    <w:rsid w:val="00A13D5E"/>
    <w:rsid w:val="00A17D74"/>
    <w:rsid w:val="00A20382"/>
    <w:rsid w:val="00A241A0"/>
    <w:rsid w:val="00A317A3"/>
    <w:rsid w:val="00A63AE9"/>
    <w:rsid w:val="00A661AE"/>
    <w:rsid w:val="00A7546B"/>
    <w:rsid w:val="00A76365"/>
    <w:rsid w:val="00A817E3"/>
    <w:rsid w:val="00A8265C"/>
    <w:rsid w:val="00A8559C"/>
    <w:rsid w:val="00A95035"/>
    <w:rsid w:val="00A95562"/>
    <w:rsid w:val="00A95793"/>
    <w:rsid w:val="00A964F8"/>
    <w:rsid w:val="00AA03E4"/>
    <w:rsid w:val="00AA16B2"/>
    <w:rsid w:val="00AA2A61"/>
    <w:rsid w:val="00AA39BD"/>
    <w:rsid w:val="00AA6C5E"/>
    <w:rsid w:val="00AA792C"/>
    <w:rsid w:val="00AB6087"/>
    <w:rsid w:val="00AB63E9"/>
    <w:rsid w:val="00AB6867"/>
    <w:rsid w:val="00AC129A"/>
    <w:rsid w:val="00AC21CC"/>
    <w:rsid w:val="00AC5958"/>
    <w:rsid w:val="00AE038C"/>
    <w:rsid w:val="00AE44AF"/>
    <w:rsid w:val="00AE6592"/>
    <w:rsid w:val="00AE78CA"/>
    <w:rsid w:val="00AF2859"/>
    <w:rsid w:val="00AF5732"/>
    <w:rsid w:val="00AF5F50"/>
    <w:rsid w:val="00B00106"/>
    <w:rsid w:val="00B021BE"/>
    <w:rsid w:val="00B03F88"/>
    <w:rsid w:val="00B20DD3"/>
    <w:rsid w:val="00B228D4"/>
    <w:rsid w:val="00B26413"/>
    <w:rsid w:val="00B2747C"/>
    <w:rsid w:val="00B30809"/>
    <w:rsid w:val="00B3091C"/>
    <w:rsid w:val="00B324CA"/>
    <w:rsid w:val="00B32A38"/>
    <w:rsid w:val="00B42502"/>
    <w:rsid w:val="00B44E68"/>
    <w:rsid w:val="00B465CF"/>
    <w:rsid w:val="00B54456"/>
    <w:rsid w:val="00B61A5A"/>
    <w:rsid w:val="00B82681"/>
    <w:rsid w:val="00B85024"/>
    <w:rsid w:val="00B93BBB"/>
    <w:rsid w:val="00B9421C"/>
    <w:rsid w:val="00B9791E"/>
    <w:rsid w:val="00BA0805"/>
    <w:rsid w:val="00BA5F97"/>
    <w:rsid w:val="00BA67E9"/>
    <w:rsid w:val="00BA799A"/>
    <w:rsid w:val="00BB3603"/>
    <w:rsid w:val="00BC0F27"/>
    <w:rsid w:val="00BC1A93"/>
    <w:rsid w:val="00BC1D72"/>
    <w:rsid w:val="00BC4F46"/>
    <w:rsid w:val="00BE23FF"/>
    <w:rsid w:val="00BE3A3C"/>
    <w:rsid w:val="00BF176A"/>
    <w:rsid w:val="00BF2681"/>
    <w:rsid w:val="00BF4088"/>
    <w:rsid w:val="00BF460C"/>
    <w:rsid w:val="00BF624E"/>
    <w:rsid w:val="00BF71BE"/>
    <w:rsid w:val="00C017A0"/>
    <w:rsid w:val="00C02B62"/>
    <w:rsid w:val="00C07D7E"/>
    <w:rsid w:val="00C12DFB"/>
    <w:rsid w:val="00C14E54"/>
    <w:rsid w:val="00C25D66"/>
    <w:rsid w:val="00C316D0"/>
    <w:rsid w:val="00C3282B"/>
    <w:rsid w:val="00C32B05"/>
    <w:rsid w:val="00C340F2"/>
    <w:rsid w:val="00C3534A"/>
    <w:rsid w:val="00C4229A"/>
    <w:rsid w:val="00C43F05"/>
    <w:rsid w:val="00C4602C"/>
    <w:rsid w:val="00C47941"/>
    <w:rsid w:val="00C55077"/>
    <w:rsid w:val="00C5620E"/>
    <w:rsid w:val="00C61EA3"/>
    <w:rsid w:val="00C65EB7"/>
    <w:rsid w:val="00C72321"/>
    <w:rsid w:val="00C75949"/>
    <w:rsid w:val="00C75B49"/>
    <w:rsid w:val="00C86ECE"/>
    <w:rsid w:val="00C90F06"/>
    <w:rsid w:val="00C93F87"/>
    <w:rsid w:val="00C94C72"/>
    <w:rsid w:val="00C95E51"/>
    <w:rsid w:val="00C968A1"/>
    <w:rsid w:val="00CA19E5"/>
    <w:rsid w:val="00CC23FF"/>
    <w:rsid w:val="00CC3B44"/>
    <w:rsid w:val="00CC685B"/>
    <w:rsid w:val="00CD007A"/>
    <w:rsid w:val="00CD019B"/>
    <w:rsid w:val="00CE08E4"/>
    <w:rsid w:val="00CE0FFA"/>
    <w:rsid w:val="00CE3E03"/>
    <w:rsid w:val="00CF23F1"/>
    <w:rsid w:val="00CF27F1"/>
    <w:rsid w:val="00CF5559"/>
    <w:rsid w:val="00D013A6"/>
    <w:rsid w:val="00D02652"/>
    <w:rsid w:val="00D02E57"/>
    <w:rsid w:val="00D03461"/>
    <w:rsid w:val="00D05BD2"/>
    <w:rsid w:val="00D07BE2"/>
    <w:rsid w:val="00D10C12"/>
    <w:rsid w:val="00D11070"/>
    <w:rsid w:val="00D13046"/>
    <w:rsid w:val="00D31ADF"/>
    <w:rsid w:val="00D334E8"/>
    <w:rsid w:val="00D4664E"/>
    <w:rsid w:val="00D61B7A"/>
    <w:rsid w:val="00D61F4F"/>
    <w:rsid w:val="00D62B82"/>
    <w:rsid w:val="00D71AF0"/>
    <w:rsid w:val="00D75D89"/>
    <w:rsid w:val="00D7701A"/>
    <w:rsid w:val="00D85060"/>
    <w:rsid w:val="00D931A6"/>
    <w:rsid w:val="00D951B0"/>
    <w:rsid w:val="00D96A19"/>
    <w:rsid w:val="00DA0D5E"/>
    <w:rsid w:val="00DA2B4A"/>
    <w:rsid w:val="00DA47DF"/>
    <w:rsid w:val="00DB3182"/>
    <w:rsid w:val="00DB4BC2"/>
    <w:rsid w:val="00DB55F4"/>
    <w:rsid w:val="00DC223A"/>
    <w:rsid w:val="00DC229D"/>
    <w:rsid w:val="00DC3041"/>
    <w:rsid w:val="00DD6DCC"/>
    <w:rsid w:val="00DE0DA3"/>
    <w:rsid w:val="00DE1C0F"/>
    <w:rsid w:val="00DE1E5B"/>
    <w:rsid w:val="00DE7C04"/>
    <w:rsid w:val="00DF0580"/>
    <w:rsid w:val="00E00790"/>
    <w:rsid w:val="00E03EDA"/>
    <w:rsid w:val="00E059D8"/>
    <w:rsid w:val="00E10225"/>
    <w:rsid w:val="00E11C64"/>
    <w:rsid w:val="00E200E8"/>
    <w:rsid w:val="00E21603"/>
    <w:rsid w:val="00E21BC1"/>
    <w:rsid w:val="00E22A19"/>
    <w:rsid w:val="00E255EC"/>
    <w:rsid w:val="00E3104F"/>
    <w:rsid w:val="00E3298C"/>
    <w:rsid w:val="00E43AAB"/>
    <w:rsid w:val="00E51D06"/>
    <w:rsid w:val="00E5247A"/>
    <w:rsid w:val="00E552DD"/>
    <w:rsid w:val="00E5706C"/>
    <w:rsid w:val="00E62449"/>
    <w:rsid w:val="00E62964"/>
    <w:rsid w:val="00E744FA"/>
    <w:rsid w:val="00E755D5"/>
    <w:rsid w:val="00E81DF5"/>
    <w:rsid w:val="00E834C4"/>
    <w:rsid w:val="00E836D2"/>
    <w:rsid w:val="00E8542E"/>
    <w:rsid w:val="00E86683"/>
    <w:rsid w:val="00E87937"/>
    <w:rsid w:val="00E90C04"/>
    <w:rsid w:val="00E95058"/>
    <w:rsid w:val="00EA617D"/>
    <w:rsid w:val="00EB1198"/>
    <w:rsid w:val="00EB426B"/>
    <w:rsid w:val="00EC0984"/>
    <w:rsid w:val="00EC1BCF"/>
    <w:rsid w:val="00EC1D1E"/>
    <w:rsid w:val="00EC24B4"/>
    <w:rsid w:val="00EC3EA0"/>
    <w:rsid w:val="00ED2FD2"/>
    <w:rsid w:val="00ED666F"/>
    <w:rsid w:val="00ED7A3D"/>
    <w:rsid w:val="00EE0CE8"/>
    <w:rsid w:val="00EE3425"/>
    <w:rsid w:val="00EE6591"/>
    <w:rsid w:val="00EE6995"/>
    <w:rsid w:val="00EF0E94"/>
    <w:rsid w:val="00F0613B"/>
    <w:rsid w:val="00F10725"/>
    <w:rsid w:val="00F137BD"/>
    <w:rsid w:val="00F2077F"/>
    <w:rsid w:val="00F217F9"/>
    <w:rsid w:val="00F21F82"/>
    <w:rsid w:val="00F27931"/>
    <w:rsid w:val="00F34E47"/>
    <w:rsid w:val="00F355AB"/>
    <w:rsid w:val="00F3737C"/>
    <w:rsid w:val="00F3740A"/>
    <w:rsid w:val="00F41EAE"/>
    <w:rsid w:val="00F45187"/>
    <w:rsid w:val="00F4598D"/>
    <w:rsid w:val="00F5361F"/>
    <w:rsid w:val="00F6495D"/>
    <w:rsid w:val="00F6742B"/>
    <w:rsid w:val="00F67D37"/>
    <w:rsid w:val="00F77534"/>
    <w:rsid w:val="00F7758D"/>
    <w:rsid w:val="00F80DA7"/>
    <w:rsid w:val="00F81ABA"/>
    <w:rsid w:val="00F869C1"/>
    <w:rsid w:val="00F95B56"/>
    <w:rsid w:val="00FA00CF"/>
    <w:rsid w:val="00FA2593"/>
    <w:rsid w:val="00FA50F7"/>
    <w:rsid w:val="00FA6213"/>
    <w:rsid w:val="00FB7FB8"/>
    <w:rsid w:val="00FC10BA"/>
    <w:rsid w:val="00FC4BD1"/>
    <w:rsid w:val="00FD6B79"/>
    <w:rsid w:val="00FE01B7"/>
    <w:rsid w:val="00FF13F9"/>
    <w:rsid w:val="00FF76F0"/>
    <w:rsid w:val="7F874E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2">
    <w:name w:val="Default Paragraph Font"/>
    <w:link w:val="13"/>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2">
    <w:name w:val="annotation text"/>
    <w:basedOn w:val="1"/>
    <w:semiHidden/>
    <w:uiPriority w:val="0"/>
    <w:pPr>
      <w:jc w:val="left"/>
    </w:pPr>
  </w:style>
  <w:style w:type="paragraph" w:styleId="3">
    <w:name w:val="Body Text"/>
    <w:basedOn w:val="1"/>
    <w:uiPriority w:val="0"/>
    <w:pPr>
      <w:spacing w:after="120"/>
    </w:pPr>
  </w:style>
  <w:style w:type="paragraph" w:styleId="4">
    <w:name w:val="List Bullet 2"/>
    <w:basedOn w:val="3"/>
    <w:semiHidden/>
    <w:uiPriority w:val="0"/>
    <w:pPr>
      <w:numPr>
        <w:ilvl w:val="0"/>
        <w:numId w:val="1"/>
      </w:numPr>
      <w:tabs>
        <w:tab w:val="left" w:pos="1134"/>
        <w:tab w:val="clear" w:pos="567"/>
      </w:tabs>
      <w:spacing w:after="240"/>
      <w:ind w:left="1134" w:hanging="567"/>
    </w:pPr>
    <w:rPr>
      <w:kern w:val="24"/>
      <w:sz w:val="24"/>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color w:val="000000"/>
      <w:kern w:val="0"/>
      <w:sz w:val="24"/>
    </w:rPr>
  </w:style>
  <w:style w:type="paragraph" w:styleId="9">
    <w:name w:val="annotation subject"/>
    <w:basedOn w:val="2"/>
    <w:next w:val="2"/>
    <w:semiHidden/>
    <w:uiPriority w:val="0"/>
    <w:rPr>
      <w:b/>
      <w:bCs/>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2 Char Char Char"/>
    <w:basedOn w:val="1"/>
    <w:link w:val="12"/>
    <w:uiPriority w:val="0"/>
    <w:pPr>
      <w:widowControl/>
      <w:spacing w:after="160" w:line="240" w:lineRule="exact"/>
    </w:pPr>
    <w:rPr>
      <w:rFonts w:ascii="Verdana" w:hAnsi="Verdana" w:eastAsia="Times New Roman" w:cs="Arial"/>
      <w:kern w:val="0"/>
      <w:sz w:val="22"/>
      <w:szCs w:val="20"/>
      <w:lang w:eastAsia="en-US"/>
    </w:rPr>
  </w:style>
  <w:style w:type="character" w:styleId="14">
    <w:name w:val="page number"/>
    <w:basedOn w:val="12"/>
    <w:uiPriority w:val="0"/>
  </w:style>
  <w:style w:type="character" w:styleId="15">
    <w:name w:val="annotation reference"/>
    <w:semiHidden/>
    <w:uiPriority w:val="0"/>
    <w:rPr>
      <w:sz w:val="21"/>
      <w:szCs w:val="21"/>
    </w:rPr>
  </w:style>
  <w:style w:type="paragraph" w:customStyle="1" w:styleId="16">
    <w:name w:val="Default"/>
    <w:uiPriority w:val="0"/>
    <w:pPr>
      <w:widowControl w:val="0"/>
      <w:autoSpaceDE w:val="0"/>
      <w:autoSpaceDN w:val="0"/>
      <w:adjustRightInd w:val="0"/>
    </w:pPr>
    <w:rPr>
      <w:rFonts w:ascii="Arial" w:hAnsi="Arial" w:cs="Arial"/>
      <w:color w:val="000000"/>
      <w:sz w:val="24"/>
      <w:szCs w:val="24"/>
      <w:lang w:val="en-US" w:eastAsia="zh-CN" w:bidi="ar-SA"/>
    </w:rPr>
  </w:style>
  <w:style w:type="paragraph" w:customStyle="1" w:styleId="17">
    <w:name w:val="header"/>
    <w:basedOn w:val="1"/>
    <w:uiPriority w:val="0"/>
    <w:pPr>
      <w:widowControl/>
      <w:spacing w:before="100" w:beforeAutospacing="1" w:after="100" w:afterAutospacing="1"/>
      <w:jc w:val="left"/>
    </w:pPr>
    <w:rPr>
      <w:rFonts w:ascii="Arial" w:hAnsi="Arial" w:cs="Arial"/>
      <w:b/>
      <w:bCs/>
      <w:color w:val="3D007E"/>
      <w:kern w:val="0"/>
      <w:sz w:val="24"/>
    </w:rPr>
  </w:style>
  <w:style w:type="paragraph" w:customStyle="1" w:styleId="18">
    <w:name w:val="默认段落字体 Para Char Char Char Char Char Char Char"/>
    <w:basedOn w:val="1"/>
    <w:uiPriority w:val="0"/>
    <w:rPr>
      <w:rFonts w:ascii="挀甀洀攀渀" w:hAnsi="挀甀洀攀渀"/>
      <w:sz w:val="24"/>
      <w:szCs w:val="20"/>
    </w:rPr>
  </w:style>
  <w:style w:type="paragraph" w:customStyle="1" w:styleId="19">
    <w:name w:val="K&amp;W Body text"/>
    <w:basedOn w:val="1"/>
    <w:uiPriority w:val="0"/>
    <w:pPr>
      <w:widowControl/>
      <w:spacing w:after="360" w:line="320" w:lineRule="atLeast"/>
      <w:ind w:firstLine="200" w:firstLineChars="200"/>
    </w:pPr>
    <w:rPr>
      <w:rFonts w:ascii="Arial" w:hAnsi="Arial" w:eastAsia="楷体_GB2312"/>
      <w:kern w:val="0"/>
      <w:sz w:val="24"/>
      <w:szCs w:val="20"/>
      <w:lang w:eastAsia="en-US"/>
    </w:rPr>
  </w:style>
  <w:style w:type="character" w:customStyle="1" w:styleId="20">
    <w:name w:val="页眉 Char"/>
    <w:link w:val="7"/>
    <w:uiPriority w:val="0"/>
    <w:rPr>
      <w:kern w:val="2"/>
      <w:sz w:val="18"/>
      <w:szCs w:val="18"/>
    </w:rPr>
  </w:style>
  <w:style w:type="character" w:customStyle="1" w:styleId="21">
    <w:name w:val="DeltaView Insertion"/>
    <w:uiPriority w:val="99"/>
    <w:rPr>
      <w:color w:val="0000FF"/>
      <w:u w:val="double"/>
    </w:rPr>
  </w:style>
  <w:style w:type="character" w:customStyle="1" w:styleId="22">
    <w:name w:val="DeltaView Deletion"/>
    <w:uiPriority w:val="99"/>
    <w:rPr>
      <w:strike/>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kingandwood</Company>
  <Pages>9</Pages>
  <Words>6190</Words>
  <Characters>6190</Characters>
  <Lines>44</Lines>
  <Paragraphs>12</Paragraphs>
  <TotalTime>0</TotalTime>
  <ScaleCrop>false</ScaleCrop>
  <LinksUpToDate>false</LinksUpToDate>
  <CharactersWithSpaces>6197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2022-07-25T05:38:00Z</dcterms:created>
  <dc:creator>panli</dc:creator>
  <cp:lastModifiedBy>WSY</cp:lastModifiedBy>
  <cp:lastPrinted>2010-01-15T03:07:00Z</cp:lastPrinted>
  <dcterms:modified xsi:type="dcterms:W3CDTF">2025-07-23T07:36:49Z</dcterms:modified>
  <dc:title>香港上市规则</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0A06DE31D7FE480BB272B443A8472475_13</vt:lpwstr>
  </property>
</Properties>
</file>