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F57342">
      <w:pPr>
        <w:spacing w:line="360" w:lineRule="auto"/>
        <w:jc w:val="center"/>
        <w:rPr>
          <w:rFonts w:hint="eastAsia" w:ascii="宋体" w:hAnsi="宋体"/>
          <w:b/>
          <w:sz w:val="36"/>
          <w:szCs w:val="36"/>
        </w:rPr>
      </w:pPr>
      <w:bookmarkStart w:id="1" w:name="_GoBack"/>
      <w:bookmarkEnd w:id="1"/>
      <w:r>
        <w:rPr>
          <w:rFonts w:hint="eastAsia" w:ascii="宋体" w:hAnsi="宋体"/>
          <w:b/>
          <w:sz w:val="36"/>
          <w:szCs w:val="36"/>
        </w:rPr>
        <w:t>华孚时尚股份有限公司</w:t>
      </w:r>
    </w:p>
    <w:p w14:paraId="0F621B80">
      <w:pPr>
        <w:spacing w:line="360" w:lineRule="auto"/>
        <w:jc w:val="center"/>
        <w:rPr>
          <w:rFonts w:hint="eastAsia" w:ascii="宋体" w:hAnsi="宋体"/>
          <w:b/>
          <w:sz w:val="36"/>
          <w:szCs w:val="36"/>
        </w:rPr>
      </w:pPr>
      <w:r>
        <w:rPr>
          <w:rFonts w:hint="eastAsia" w:ascii="宋体" w:hAnsi="宋体"/>
          <w:b/>
          <w:sz w:val="36"/>
          <w:szCs w:val="36"/>
        </w:rPr>
        <w:t>内部审计制度</w:t>
      </w:r>
    </w:p>
    <w:p w14:paraId="6E63CD5E">
      <w:pPr>
        <w:spacing w:line="360" w:lineRule="auto"/>
        <w:ind w:firstLine="480" w:firstLineChars="200"/>
        <w:rPr>
          <w:rFonts w:hint="eastAsia" w:ascii="宋体" w:hAnsi="宋体"/>
          <w:sz w:val="24"/>
          <w:szCs w:val="24"/>
        </w:rPr>
      </w:pPr>
    </w:p>
    <w:p w14:paraId="486F8054">
      <w:pPr>
        <w:pStyle w:val="13"/>
        <w:numPr>
          <w:ilvl w:val="0"/>
          <w:numId w:val="1"/>
        </w:numPr>
        <w:spacing w:line="360" w:lineRule="auto"/>
        <w:jc w:val="center"/>
        <w:outlineLvl w:val="1"/>
        <w:rPr>
          <w:rFonts w:ascii="宋体" w:hAnsi="宋体" w:eastAsia="宋体" w:cs="Arial"/>
          <w:b/>
          <w:bCs/>
          <w:sz w:val="28"/>
          <w:szCs w:val="28"/>
        </w:rPr>
      </w:pPr>
      <w:r>
        <w:rPr>
          <w:rFonts w:ascii="宋体" w:hAnsi="宋体" w:eastAsia="宋体" w:cs="Arial"/>
          <w:b/>
          <w:bCs/>
          <w:sz w:val="28"/>
          <w:szCs w:val="28"/>
        </w:rPr>
        <w:t xml:space="preserve">总 则 </w:t>
      </w:r>
    </w:p>
    <w:p w14:paraId="51B9FF8C">
      <w:pPr>
        <w:pStyle w:val="13"/>
        <w:spacing w:line="360" w:lineRule="auto"/>
        <w:jc w:val="both"/>
        <w:outlineLvl w:val="1"/>
        <w:rPr>
          <w:rFonts w:ascii="宋体" w:hAnsi="宋体" w:eastAsia="宋体" w:cs="Arial"/>
          <w:b/>
          <w:bCs/>
        </w:rPr>
      </w:pPr>
    </w:p>
    <w:p w14:paraId="740EB037">
      <w:pPr>
        <w:pStyle w:val="14"/>
        <w:numPr>
          <w:ilvl w:val="0"/>
          <w:numId w:val="2"/>
        </w:numPr>
        <w:spacing w:line="360" w:lineRule="auto"/>
        <w:ind w:left="0" w:firstLine="480" w:firstLineChars="200"/>
        <w:rPr>
          <w:rFonts w:ascii="宋体" w:hAnsi="宋体" w:eastAsia="宋体" w:cs="Arial"/>
        </w:rPr>
      </w:pPr>
      <w:r>
        <w:rPr>
          <w:rFonts w:hint="eastAsia" w:ascii="宋体" w:hAnsi="宋体" w:eastAsia="宋体" w:cs="Arial"/>
        </w:rPr>
        <w:t xml:space="preserve"> </w:t>
      </w:r>
      <w:r>
        <w:rPr>
          <w:rFonts w:ascii="宋体" w:hAnsi="宋体" w:eastAsia="宋体" w:cs="Arial"/>
        </w:rPr>
        <w:t>为进一步规范</w:t>
      </w:r>
      <w:r>
        <w:rPr>
          <w:rFonts w:hint="eastAsia" w:ascii="宋体" w:hAnsi="宋体" w:eastAsia="宋体" w:cs="Arial"/>
        </w:rPr>
        <w:t>华孚时尚</w:t>
      </w:r>
      <w:r>
        <w:rPr>
          <w:rFonts w:ascii="宋体" w:hAnsi="宋体" w:eastAsia="宋体" w:cs="Arial"/>
        </w:rPr>
        <w:t>股份有限公司（以下简称“公司”）内部审计工作，提高内部审计工作质量，保护投资者合法权益，根据</w:t>
      </w:r>
      <w:r>
        <w:rPr>
          <w:rFonts w:hint="eastAsia" w:ascii="宋体" w:hAnsi="宋体" w:eastAsia="宋体" w:cs="Arial"/>
        </w:rPr>
        <w:t>《中华人民共和国公司法》《中华人民共和国证券法》《上市公司治理准则》</w:t>
      </w:r>
      <w:r>
        <w:rPr>
          <w:rFonts w:ascii="宋体" w:hAnsi="宋体" w:eastAsia="宋体" w:cs="Arial"/>
        </w:rPr>
        <w:t>《深圳证券交易所股票上市规则》《</w:t>
      </w:r>
      <w:r>
        <w:rPr>
          <w:rFonts w:hint="eastAsia" w:ascii="宋体" w:hAnsi="宋体" w:eastAsia="宋体" w:cs="Arial"/>
        </w:rPr>
        <w:t>深圳证券交易所上市公司自律监管指引第</w:t>
      </w:r>
      <w:r>
        <w:rPr>
          <w:rFonts w:ascii="宋体" w:hAnsi="宋体" w:eastAsia="宋体" w:cs="Arial"/>
        </w:rPr>
        <w:t>1</w:t>
      </w:r>
      <w:r>
        <w:rPr>
          <w:rFonts w:hint="eastAsia" w:ascii="宋体" w:hAnsi="宋体" w:eastAsia="宋体" w:cs="Arial"/>
        </w:rPr>
        <w:t>号——主板上市公司规范运作</w:t>
      </w:r>
      <w:r>
        <w:rPr>
          <w:rFonts w:ascii="宋体" w:hAnsi="宋体" w:eastAsia="宋体" w:cs="Arial"/>
        </w:rPr>
        <w:t>》等法律、法规、规章、规范性文件及《</w:t>
      </w:r>
      <w:r>
        <w:rPr>
          <w:rFonts w:hint="eastAsia" w:ascii="宋体" w:hAnsi="宋体" w:eastAsia="宋体" w:cs="Arial"/>
        </w:rPr>
        <w:t>华孚时尚</w:t>
      </w:r>
      <w:r>
        <w:rPr>
          <w:rFonts w:ascii="宋体" w:hAnsi="宋体" w:eastAsia="宋体" w:cs="Arial"/>
        </w:rPr>
        <w:t>股份有限公司章程》的规定，制定本制度。</w:t>
      </w:r>
    </w:p>
    <w:p w14:paraId="69B4BD1F">
      <w:pPr>
        <w:pStyle w:val="14"/>
        <w:numPr>
          <w:ilvl w:val="0"/>
          <w:numId w:val="2"/>
        </w:numPr>
        <w:spacing w:line="360" w:lineRule="auto"/>
        <w:ind w:left="0" w:firstLine="480" w:firstLineChars="200"/>
        <w:jc w:val="both"/>
        <w:rPr>
          <w:rFonts w:ascii="宋体" w:hAnsi="宋体" w:eastAsia="宋体" w:cs="Arial"/>
        </w:rPr>
      </w:pPr>
      <w:r>
        <w:rPr>
          <w:rFonts w:hint="eastAsia" w:ascii="宋体" w:hAnsi="宋体" w:eastAsia="宋体" w:cs="Arial"/>
        </w:rPr>
        <w:t xml:space="preserve"> </w:t>
      </w:r>
      <w:r>
        <w:rPr>
          <w:rFonts w:ascii="宋体" w:hAnsi="宋体" w:eastAsia="宋体" w:cs="Arial"/>
        </w:rPr>
        <w:t>公司设立内部审计</w:t>
      </w:r>
      <w:r>
        <w:rPr>
          <w:rFonts w:hint="eastAsia" w:ascii="宋体" w:hAnsi="宋体" w:eastAsia="宋体" w:cs="Arial"/>
        </w:rPr>
        <w:t>机构</w:t>
      </w:r>
      <w:r>
        <w:rPr>
          <w:rFonts w:ascii="宋体" w:hAnsi="宋体" w:eastAsia="宋体" w:cs="Arial"/>
        </w:rPr>
        <w:t>，对公司</w:t>
      </w:r>
      <w:r>
        <w:rPr>
          <w:rFonts w:hint="eastAsia" w:ascii="宋体" w:hAnsi="宋体" w:eastAsia="宋体" w:cs="Arial"/>
        </w:rPr>
        <w:t>业务活动、风险管理、</w:t>
      </w:r>
      <w:r>
        <w:rPr>
          <w:rFonts w:ascii="宋体" w:hAnsi="宋体" w:eastAsia="宋体" w:cs="Arial"/>
        </w:rPr>
        <w:t>内部控制</w:t>
      </w:r>
      <w:r>
        <w:rPr>
          <w:rFonts w:hint="eastAsia" w:ascii="宋体" w:hAnsi="宋体" w:eastAsia="宋体" w:cs="Arial"/>
        </w:rPr>
        <w:t>、</w:t>
      </w:r>
      <w:r>
        <w:rPr>
          <w:rFonts w:ascii="宋体" w:hAnsi="宋体" w:eastAsia="宋体" w:cs="Arial"/>
        </w:rPr>
        <w:t>财务信息等</w:t>
      </w:r>
      <w:r>
        <w:rPr>
          <w:rFonts w:hint="eastAsia" w:ascii="宋体" w:hAnsi="宋体" w:eastAsia="宋体" w:cs="Arial"/>
        </w:rPr>
        <w:t>事项</w:t>
      </w:r>
      <w:r>
        <w:rPr>
          <w:rFonts w:ascii="宋体" w:hAnsi="宋体" w:eastAsia="宋体" w:cs="Arial"/>
        </w:rPr>
        <w:t>进行</w:t>
      </w:r>
      <w:r>
        <w:rPr>
          <w:rFonts w:hint="eastAsia" w:ascii="宋体" w:hAnsi="宋体" w:eastAsia="宋体" w:cs="Arial"/>
        </w:rPr>
        <w:t>监督</w:t>
      </w:r>
      <w:r>
        <w:rPr>
          <w:rFonts w:ascii="宋体" w:hAnsi="宋体" w:eastAsia="宋体" w:cs="Arial"/>
        </w:rPr>
        <w:t>检查。</w:t>
      </w:r>
    </w:p>
    <w:p w14:paraId="188FB570">
      <w:pPr>
        <w:pStyle w:val="14"/>
        <w:numPr>
          <w:ilvl w:val="0"/>
          <w:numId w:val="2"/>
        </w:numPr>
        <w:spacing w:line="360" w:lineRule="auto"/>
        <w:ind w:left="0" w:firstLine="480" w:firstLineChars="200"/>
        <w:jc w:val="both"/>
        <w:rPr>
          <w:rFonts w:hint="eastAsia" w:ascii="宋体" w:hAnsi="宋体" w:eastAsia="宋体" w:cs="Arial"/>
        </w:rPr>
      </w:pPr>
      <w:r>
        <w:rPr>
          <w:rFonts w:hint="eastAsia" w:ascii="宋体" w:hAnsi="宋体" w:eastAsia="宋体" w:cs="Arial"/>
        </w:rPr>
        <w:t xml:space="preserve"> 内部审计机构应当保持独立性，配备专职审计人员，不得置于财经管理部门的领导之下，或者与财经管理部门合署办公。</w:t>
      </w:r>
    </w:p>
    <w:p w14:paraId="0A27F51B">
      <w:pPr>
        <w:pStyle w:val="14"/>
        <w:numPr>
          <w:ilvl w:val="0"/>
          <w:numId w:val="2"/>
        </w:numPr>
        <w:spacing w:line="360" w:lineRule="auto"/>
        <w:ind w:left="0" w:firstLine="480" w:firstLineChars="200"/>
        <w:jc w:val="both"/>
        <w:rPr>
          <w:rFonts w:hint="eastAsia" w:ascii="宋体" w:hAnsi="宋体" w:eastAsia="宋体" w:cs="Arial"/>
        </w:rPr>
      </w:pPr>
      <w:r>
        <w:rPr>
          <w:rFonts w:hint="eastAsia" w:ascii="宋体" w:hAnsi="宋体" w:eastAsia="宋体" w:cs="Arial"/>
        </w:rPr>
        <w:t xml:space="preserve"> 内部审计机构对董事会负责，向审计委员会报告工作。内部审计机构在对公司业务活动、风险管理、内部控制、财务信息等情况进行检查监督过程中，应当接受审计委员会的监督指导。</w:t>
      </w:r>
    </w:p>
    <w:p w14:paraId="47AA0D24">
      <w:pPr>
        <w:pStyle w:val="14"/>
        <w:numPr>
          <w:ilvl w:val="0"/>
          <w:numId w:val="2"/>
        </w:numPr>
        <w:spacing w:line="360" w:lineRule="auto"/>
        <w:ind w:left="0" w:firstLine="480" w:firstLineChars="200"/>
        <w:jc w:val="both"/>
        <w:rPr>
          <w:rFonts w:hint="eastAsia" w:ascii="宋体" w:hAnsi="宋体" w:eastAsia="宋体" w:cs="Arial"/>
        </w:rPr>
      </w:pPr>
      <w:r>
        <w:rPr>
          <w:rFonts w:hint="eastAsia" w:ascii="宋体" w:hAnsi="宋体" w:eastAsia="宋体" w:cs="Arial"/>
        </w:rPr>
        <w:t xml:space="preserve"> 公司各内部机构或者职能部门、控股子公司以及对公司具有重大影响的参股公司应当配合内部审计机构依法履行职责，不得妨碍内部审计机构的工作。</w:t>
      </w:r>
    </w:p>
    <w:p w14:paraId="6E505D23">
      <w:pPr>
        <w:pStyle w:val="12"/>
        <w:rPr>
          <w:rFonts w:hint="eastAsia"/>
          <w:color w:val="auto"/>
        </w:rPr>
      </w:pPr>
    </w:p>
    <w:p w14:paraId="0F7DC61E">
      <w:pPr>
        <w:pStyle w:val="13"/>
        <w:numPr>
          <w:ilvl w:val="0"/>
          <w:numId w:val="1"/>
        </w:numPr>
        <w:spacing w:line="360" w:lineRule="auto"/>
        <w:jc w:val="center"/>
        <w:outlineLvl w:val="1"/>
        <w:rPr>
          <w:rFonts w:ascii="宋体" w:hAnsi="宋体" w:eastAsia="宋体" w:cs="Arial"/>
          <w:b/>
          <w:bCs/>
          <w:sz w:val="28"/>
          <w:szCs w:val="28"/>
        </w:rPr>
      </w:pPr>
      <w:r>
        <w:rPr>
          <w:rFonts w:ascii="宋体" w:hAnsi="宋体" w:eastAsia="宋体" w:cs="Arial"/>
          <w:b/>
          <w:bCs/>
          <w:sz w:val="28"/>
          <w:szCs w:val="28"/>
        </w:rPr>
        <w:t xml:space="preserve">审计职责 </w:t>
      </w:r>
    </w:p>
    <w:p w14:paraId="5D893740">
      <w:pPr>
        <w:pStyle w:val="12"/>
        <w:ind w:left="420" w:leftChars="200"/>
        <w:rPr>
          <w:color w:val="auto"/>
        </w:rPr>
      </w:pPr>
    </w:p>
    <w:p w14:paraId="0985E4CB">
      <w:pPr>
        <w:pStyle w:val="14"/>
        <w:numPr>
          <w:ilvl w:val="0"/>
          <w:numId w:val="2"/>
        </w:numPr>
        <w:spacing w:line="360" w:lineRule="auto"/>
        <w:ind w:left="0" w:firstLine="480" w:firstLineChars="200"/>
        <w:jc w:val="both"/>
        <w:rPr>
          <w:rFonts w:ascii="宋体" w:hAnsi="宋体" w:eastAsia="宋体" w:cs="Arial"/>
        </w:rPr>
      </w:pPr>
      <w:r>
        <w:rPr>
          <w:rFonts w:hint="eastAsia" w:ascii="宋体" w:hAnsi="宋体" w:eastAsia="宋体" w:cs="Arial"/>
        </w:rPr>
        <w:t xml:space="preserve"> 审计委员会在监督及评估内部审计机构工作时，应当履行下列主要职责：</w:t>
      </w:r>
    </w:p>
    <w:p w14:paraId="3CE6C44A">
      <w:pPr>
        <w:pStyle w:val="14"/>
        <w:spacing w:line="360" w:lineRule="auto"/>
        <w:ind w:firstLine="480" w:firstLineChars="200"/>
        <w:rPr>
          <w:rFonts w:hint="eastAsia" w:ascii="宋体" w:hAnsi="宋体" w:eastAsia="宋体" w:cs="Arial"/>
        </w:rPr>
      </w:pPr>
      <w:r>
        <w:rPr>
          <w:rFonts w:hint="eastAsia" w:ascii="宋体" w:hAnsi="宋体" w:eastAsia="宋体" w:cs="Arial"/>
        </w:rPr>
        <w:t>（一）指导和监督内部审计制度的建立和实施；</w:t>
      </w:r>
    </w:p>
    <w:p w14:paraId="4531D811">
      <w:pPr>
        <w:pStyle w:val="14"/>
        <w:spacing w:line="360" w:lineRule="auto"/>
        <w:ind w:firstLine="480" w:firstLineChars="200"/>
        <w:rPr>
          <w:rFonts w:hint="eastAsia" w:ascii="宋体" w:hAnsi="宋体" w:eastAsia="宋体" w:cs="Arial"/>
        </w:rPr>
      </w:pPr>
      <w:r>
        <w:rPr>
          <w:rFonts w:hint="eastAsia" w:ascii="宋体" w:hAnsi="宋体" w:eastAsia="宋体" w:cs="Arial"/>
        </w:rPr>
        <w:t>（二）</w:t>
      </w:r>
      <w:r>
        <w:rPr>
          <w:rFonts w:ascii="宋体" w:hAnsi="宋体" w:eastAsia="宋体" w:cs="Arial"/>
        </w:rPr>
        <w:t>审阅公司年度</w:t>
      </w:r>
      <w:r>
        <w:rPr>
          <w:rFonts w:hint="eastAsia" w:ascii="宋体" w:hAnsi="宋体" w:eastAsia="宋体" w:cs="Arial"/>
        </w:rPr>
        <w:t>内部审计工作计划；</w:t>
      </w:r>
    </w:p>
    <w:p w14:paraId="12046791">
      <w:pPr>
        <w:pStyle w:val="14"/>
        <w:spacing w:line="360" w:lineRule="auto"/>
        <w:ind w:firstLine="480" w:firstLineChars="200"/>
        <w:rPr>
          <w:rFonts w:hint="eastAsia" w:ascii="宋体" w:hAnsi="宋体" w:eastAsia="宋体" w:cs="Arial"/>
        </w:rPr>
      </w:pPr>
      <w:r>
        <w:rPr>
          <w:rFonts w:hint="eastAsia" w:ascii="宋体" w:hAnsi="宋体" w:eastAsia="宋体" w:cs="Arial"/>
        </w:rPr>
        <w:t>（三）督促公司内部审计计划的实施；</w:t>
      </w:r>
    </w:p>
    <w:p w14:paraId="4A5AC7A4">
      <w:pPr>
        <w:pStyle w:val="14"/>
        <w:spacing w:line="360" w:lineRule="auto"/>
        <w:ind w:firstLine="480" w:firstLineChars="200"/>
        <w:rPr>
          <w:rFonts w:ascii="宋体" w:hAnsi="宋体" w:eastAsia="宋体" w:cs="Arial"/>
        </w:rPr>
      </w:pPr>
      <w:r>
        <w:rPr>
          <w:rFonts w:hint="eastAsia" w:ascii="宋体" w:hAnsi="宋体" w:eastAsia="宋体" w:cs="Arial"/>
        </w:rPr>
        <w:t>（四）指导内部审计机构的有效运作。</w:t>
      </w:r>
      <w:r>
        <w:rPr>
          <w:rFonts w:ascii="宋体" w:hAnsi="宋体" w:eastAsia="宋体" w:cs="Arial"/>
        </w:rPr>
        <w:t>公司内部审计</w:t>
      </w:r>
      <w:r>
        <w:rPr>
          <w:rFonts w:hint="eastAsia" w:ascii="宋体" w:hAnsi="宋体" w:eastAsia="宋体" w:cs="Arial"/>
        </w:rPr>
        <w:t>机构须</w:t>
      </w:r>
      <w:r>
        <w:rPr>
          <w:rFonts w:ascii="宋体" w:hAnsi="宋体" w:eastAsia="宋体" w:cs="Arial"/>
        </w:rPr>
        <w:t>向审计委员会报告工作，内部审计</w:t>
      </w:r>
      <w:r>
        <w:rPr>
          <w:rFonts w:hint="eastAsia" w:ascii="宋体" w:hAnsi="宋体" w:eastAsia="宋体" w:cs="Arial"/>
        </w:rPr>
        <w:t>机构</w:t>
      </w:r>
      <w:r>
        <w:rPr>
          <w:rFonts w:ascii="宋体" w:hAnsi="宋体" w:eastAsia="宋体" w:cs="Arial"/>
        </w:rPr>
        <w:t>提交给管理层的各类审计报告、审计问题的整改计划和整改情况</w:t>
      </w:r>
      <w:r>
        <w:rPr>
          <w:rFonts w:hint="eastAsia" w:ascii="宋体" w:hAnsi="宋体" w:eastAsia="宋体" w:cs="Arial"/>
        </w:rPr>
        <w:t>须</w:t>
      </w:r>
      <w:r>
        <w:rPr>
          <w:rFonts w:ascii="宋体" w:hAnsi="宋体" w:eastAsia="宋体" w:cs="Arial"/>
        </w:rPr>
        <w:t>同时报送审计委员会；</w:t>
      </w:r>
    </w:p>
    <w:p w14:paraId="5B5EC2D6">
      <w:pPr>
        <w:pStyle w:val="14"/>
        <w:spacing w:line="360" w:lineRule="auto"/>
        <w:ind w:firstLine="480" w:firstLineChars="200"/>
        <w:rPr>
          <w:rFonts w:ascii="宋体" w:hAnsi="宋体" w:eastAsia="宋体" w:cs="Arial"/>
        </w:rPr>
      </w:pPr>
      <w:r>
        <w:rPr>
          <w:rFonts w:hint="eastAsia" w:ascii="宋体" w:hAnsi="宋体" w:eastAsia="宋体" w:cs="Arial"/>
        </w:rPr>
        <w:t>（五）</w:t>
      </w:r>
      <w:r>
        <w:rPr>
          <w:rFonts w:ascii="宋体" w:hAnsi="宋体" w:eastAsia="宋体" w:cs="Arial"/>
        </w:rPr>
        <w:t>向董事会报告内部审计工作进度、质量以及发现的重大问题等</w:t>
      </w:r>
      <w:r>
        <w:rPr>
          <w:rFonts w:hint="eastAsia" w:ascii="宋体" w:hAnsi="宋体" w:eastAsia="宋体" w:cs="Arial"/>
        </w:rPr>
        <w:t>；</w:t>
      </w:r>
    </w:p>
    <w:p w14:paraId="3C54B769">
      <w:pPr>
        <w:pStyle w:val="14"/>
        <w:spacing w:line="360" w:lineRule="auto"/>
        <w:ind w:firstLine="480" w:firstLineChars="200"/>
        <w:rPr>
          <w:rFonts w:ascii="宋体" w:hAnsi="宋体" w:eastAsia="宋体" w:cs="Arial"/>
        </w:rPr>
      </w:pPr>
      <w:r>
        <w:rPr>
          <w:rFonts w:hint="eastAsia" w:ascii="宋体" w:hAnsi="宋体" w:eastAsia="宋体" w:cs="Arial"/>
        </w:rPr>
        <w:t>（六）</w:t>
      </w:r>
      <w:r>
        <w:rPr>
          <w:rFonts w:ascii="宋体" w:hAnsi="宋体" w:eastAsia="宋体" w:cs="Arial"/>
        </w:rPr>
        <w:t>协调内部审计</w:t>
      </w:r>
      <w:r>
        <w:rPr>
          <w:rFonts w:hint="eastAsia" w:ascii="宋体" w:hAnsi="宋体" w:eastAsia="宋体" w:cs="Arial"/>
        </w:rPr>
        <w:t>机构</w:t>
      </w:r>
      <w:r>
        <w:rPr>
          <w:rFonts w:ascii="宋体" w:hAnsi="宋体" w:eastAsia="宋体" w:cs="Arial"/>
        </w:rPr>
        <w:t>与会计师事务所、国家审计机构等外部审计单位之间的关系</w:t>
      </w:r>
      <w:r>
        <w:rPr>
          <w:rFonts w:hint="eastAsia" w:ascii="宋体" w:hAnsi="宋体" w:eastAsia="宋体" w:cs="Arial"/>
        </w:rPr>
        <w:t>；</w:t>
      </w:r>
    </w:p>
    <w:p w14:paraId="1FDB360D">
      <w:pPr>
        <w:pStyle w:val="14"/>
        <w:spacing w:line="360" w:lineRule="auto"/>
        <w:ind w:firstLine="480" w:firstLineChars="200"/>
        <w:rPr>
          <w:rFonts w:hint="eastAsia" w:ascii="宋体" w:hAnsi="宋体" w:eastAsia="宋体" w:cs="Arial"/>
        </w:rPr>
      </w:pPr>
      <w:r>
        <w:rPr>
          <w:rFonts w:hint="eastAsia" w:ascii="宋体" w:hAnsi="宋体" w:eastAsia="宋体" w:cs="Arial"/>
        </w:rPr>
        <w:t>（七）参与对内部审计负责人的考核。</w:t>
      </w:r>
    </w:p>
    <w:p w14:paraId="31D44837">
      <w:pPr>
        <w:pStyle w:val="14"/>
        <w:numPr>
          <w:ilvl w:val="0"/>
          <w:numId w:val="2"/>
        </w:numPr>
        <w:spacing w:line="360" w:lineRule="auto"/>
        <w:ind w:left="0" w:firstLine="480" w:firstLineChars="200"/>
        <w:jc w:val="both"/>
        <w:rPr>
          <w:rFonts w:hint="eastAsia" w:ascii="宋体" w:hAnsi="宋体" w:eastAsia="宋体" w:cs="Arial"/>
        </w:rPr>
      </w:pPr>
      <w:r>
        <w:rPr>
          <w:rFonts w:hint="eastAsia" w:ascii="宋体" w:hAnsi="宋体" w:eastAsia="宋体" w:cs="Arial"/>
        </w:rPr>
        <w:t xml:space="preserve"> 内部审计机构应当履行下列主要职责：</w:t>
      </w:r>
    </w:p>
    <w:p w14:paraId="3EADFD79">
      <w:pPr>
        <w:pStyle w:val="14"/>
        <w:spacing w:line="360" w:lineRule="auto"/>
        <w:ind w:firstLine="480" w:firstLineChars="200"/>
        <w:rPr>
          <w:rFonts w:hint="eastAsia" w:ascii="宋体" w:hAnsi="宋体" w:eastAsia="宋体" w:cs="Arial"/>
        </w:rPr>
      </w:pPr>
      <w:r>
        <w:rPr>
          <w:rFonts w:hint="eastAsia" w:ascii="宋体" w:hAnsi="宋体" w:eastAsia="宋体" w:cs="Arial"/>
        </w:rPr>
        <w:t>（一）对公司各内部机构、控股子公司以及对公司具有重大影响的参股公司的内部控制制度的完整性、合理性及其实施的有效性进行检查和评估；</w:t>
      </w:r>
    </w:p>
    <w:p w14:paraId="2D9F4F2A">
      <w:pPr>
        <w:pStyle w:val="14"/>
        <w:spacing w:line="360" w:lineRule="auto"/>
        <w:ind w:firstLine="480" w:firstLineChars="200"/>
        <w:rPr>
          <w:rFonts w:hint="eastAsia" w:ascii="宋体" w:hAnsi="宋体" w:eastAsia="宋体" w:cs="Arial"/>
        </w:rPr>
      </w:pPr>
      <w:r>
        <w:rPr>
          <w:rFonts w:hint="eastAsia" w:ascii="宋体" w:hAnsi="宋体" w:eastAsia="宋体" w:cs="Arial"/>
        </w:rPr>
        <w:t>（二）对公司各内部机构、控股子公司以及对公司具有重大影响的参股公司的会计资料及其他有关经济资料，以及所反映的财务收支及有关的经济活动的合法性、合规性、真实性和完整性进行审计，包括但不限于财务报告、业绩预告、业绩快报、自愿披露的预测性财务信息等；</w:t>
      </w:r>
    </w:p>
    <w:p w14:paraId="1AE0CC34">
      <w:pPr>
        <w:pStyle w:val="14"/>
        <w:spacing w:line="360" w:lineRule="auto"/>
        <w:ind w:firstLine="480" w:firstLineChars="200"/>
        <w:rPr>
          <w:rFonts w:ascii="宋体" w:hAnsi="宋体" w:eastAsia="宋体" w:cs="Arial"/>
        </w:rPr>
      </w:pPr>
      <w:r>
        <w:rPr>
          <w:rFonts w:hint="eastAsia" w:ascii="宋体" w:hAnsi="宋体" w:eastAsia="宋体" w:cs="Arial"/>
        </w:rPr>
        <w:t>（三）协助建立健全反舞弊机制，确定反舞弊的重点领域、关键环节和主要内容，并在内部审计过程中合理关注和检查可能存在的舞弊行为，发现公司相关重大问题或线索的，应当立即向审计委员会直接报告；</w:t>
      </w:r>
    </w:p>
    <w:p w14:paraId="6E3456A5">
      <w:pPr>
        <w:pStyle w:val="14"/>
        <w:spacing w:line="360" w:lineRule="auto"/>
        <w:ind w:firstLine="480" w:firstLineChars="200"/>
        <w:rPr>
          <w:rFonts w:hint="eastAsia" w:ascii="宋体" w:hAnsi="宋体" w:eastAsia="宋体" w:cs="Arial"/>
        </w:rPr>
      </w:pPr>
      <w:r>
        <w:rPr>
          <w:rFonts w:hint="eastAsia" w:ascii="宋体" w:hAnsi="宋体" w:eastAsia="宋体" w:cs="Arial"/>
        </w:rPr>
        <w:t>（四）积极配合审计委员会与会计师事务所、国家审计机构等外部审计单位进行沟通，并提供必要的支持和协作；</w:t>
      </w:r>
    </w:p>
    <w:p w14:paraId="6887B818">
      <w:pPr>
        <w:pStyle w:val="14"/>
        <w:spacing w:line="360" w:lineRule="auto"/>
        <w:ind w:firstLine="480" w:firstLineChars="200"/>
        <w:rPr>
          <w:rFonts w:ascii="宋体" w:hAnsi="宋体" w:eastAsia="宋体" w:cs="Arial"/>
        </w:rPr>
      </w:pPr>
      <w:r>
        <w:rPr>
          <w:rFonts w:hint="eastAsia" w:ascii="宋体" w:hAnsi="宋体" w:eastAsia="宋体" w:cs="Arial"/>
        </w:rPr>
        <w:t>（五）至少每季度向董事会或者审计委员会报告一次，内容包括但不限于内部审计计划的执行情况以及内部审计工作中发现的问题。</w:t>
      </w:r>
    </w:p>
    <w:p w14:paraId="1F9733DE">
      <w:pPr>
        <w:pStyle w:val="12"/>
        <w:rPr>
          <w:color w:val="auto"/>
        </w:rPr>
      </w:pPr>
    </w:p>
    <w:p w14:paraId="0856849D">
      <w:pPr>
        <w:pStyle w:val="13"/>
        <w:numPr>
          <w:ilvl w:val="0"/>
          <w:numId w:val="1"/>
        </w:numPr>
        <w:spacing w:line="360" w:lineRule="auto"/>
        <w:jc w:val="center"/>
        <w:outlineLvl w:val="1"/>
        <w:rPr>
          <w:rFonts w:hint="eastAsia" w:ascii="宋体" w:hAnsi="宋体" w:eastAsia="宋体" w:cs="Arial"/>
          <w:b/>
          <w:bCs/>
          <w:sz w:val="28"/>
          <w:szCs w:val="28"/>
        </w:rPr>
      </w:pPr>
      <w:r>
        <w:rPr>
          <w:rFonts w:hint="eastAsia" w:ascii="宋体" w:hAnsi="宋体" w:eastAsia="宋体" w:cs="Arial"/>
          <w:b/>
          <w:bCs/>
          <w:sz w:val="28"/>
          <w:szCs w:val="28"/>
        </w:rPr>
        <w:t>具体实施</w:t>
      </w:r>
    </w:p>
    <w:p w14:paraId="4566D651">
      <w:pPr>
        <w:pStyle w:val="12"/>
        <w:ind w:left="420" w:leftChars="200"/>
        <w:rPr>
          <w:color w:val="auto"/>
        </w:rPr>
      </w:pPr>
    </w:p>
    <w:p w14:paraId="5BD6E915">
      <w:pPr>
        <w:pStyle w:val="14"/>
        <w:numPr>
          <w:ilvl w:val="0"/>
          <w:numId w:val="2"/>
        </w:numPr>
        <w:spacing w:line="360" w:lineRule="auto"/>
        <w:ind w:left="0" w:firstLine="480" w:firstLineChars="200"/>
        <w:jc w:val="both"/>
        <w:rPr>
          <w:rFonts w:hint="eastAsia" w:ascii="宋体" w:hAnsi="宋体" w:eastAsia="宋体" w:cs="Arial"/>
        </w:rPr>
      </w:pPr>
      <w:r>
        <w:rPr>
          <w:rFonts w:hint="eastAsia" w:ascii="宋体" w:hAnsi="宋体" w:eastAsia="宋体" w:cs="Arial"/>
        </w:rPr>
        <w:t xml:space="preserve"> 公司应当根据自身经营特点和实际状况，制定公司内部控制自查制度和年度内部控制自查计划。</w:t>
      </w:r>
    </w:p>
    <w:p w14:paraId="18D94D62">
      <w:pPr>
        <w:pStyle w:val="14"/>
        <w:spacing w:line="360" w:lineRule="auto"/>
        <w:ind w:firstLine="480" w:firstLineChars="200"/>
        <w:rPr>
          <w:rFonts w:hint="eastAsia" w:ascii="宋体" w:hAnsi="宋体" w:eastAsia="宋体" w:cs="Arial"/>
        </w:rPr>
      </w:pPr>
      <w:r>
        <w:rPr>
          <w:rFonts w:hint="eastAsia" w:ascii="宋体" w:hAnsi="宋体" w:eastAsia="宋体" w:cs="Arial"/>
        </w:rPr>
        <w:t>公司应当要求各内部机构（含分支机构）、控股子公司积极配合内部审计部门的检查监督，必要时可以要求其定期进行自查。</w:t>
      </w:r>
    </w:p>
    <w:p w14:paraId="101445D7">
      <w:pPr>
        <w:pStyle w:val="14"/>
        <w:numPr>
          <w:ilvl w:val="0"/>
          <w:numId w:val="2"/>
        </w:numPr>
        <w:spacing w:line="360" w:lineRule="auto"/>
        <w:ind w:left="0" w:firstLine="480" w:firstLineChars="200"/>
        <w:jc w:val="both"/>
        <w:rPr>
          <w:rFonts w:ascii="宋体" w:hAnsi="宋体" w:eastAsia="宋体" w:cs="Arial"/>
        </w:rPr>
      </w:pPr>
      <w:r>
        <w:rPr>
          <w:rFonts w:hint="eastAsia" w:ascii="宋体" w:hAnsi="宋体" w:eastAsia="宋体" w:cs="Arial"/>
        </w:rPr>
        <w:t xml:space="preserve"> 内部审计人员获取的审计证据应当具备充分性、相关性和可靠性。内部审计人员应当将获取审计证据的名称、来源、内容、时间等信息清晰、完整地记录在工作底稿中。</w:t>
      </w:r>
    </w:p>
    <w:p w14:paraId="6961370B">
      <w:pPr>
        <w:pStyle w:val="14"/>
        <w:numPr>
          <w:ilvl w:val="0"/>
          <w:numId w:val="2"/>
        </w:numPr>
        <w:spacing w:line="360" w:lineRule="auto"/>
        <w:ind w:left="0" w:firstLine="480" w:firstLineChars="200"/>
        <w:jc w:val="both"/>
        <w:rPr>
          <w:rFonts w:hint="eastAsia" w:ascii="宋体" w:hAnsi="宋体" w:eastAsia="宋体" w:cs="Arial"/>
        </w:rPr>
      </w:pPr>
      <w:r>
        <w:rPr>
          <w:rFonts w:hint="eastAsia" w:ascii="宋体" w:hAnsi="宋体" w:eastAsia="宋体" w:cs="Arial"/>
        </w:rPr>
        <w:t xml:space="preserve"> 内部审计人员在审计工作中应当按照有关规定编制与复核审计工作底稿，并在审计项目完成后，及时对审计工作底稿进行分类整理并归档。内部审计工作</w:t>
      </w:r>
      <w:r>
        <w:rPr>
          <w:rFonts w:ascii="宋体" w:hAnsi="宋体" w:eastAsia="宋体" w:cs="Arial"/>
        </w:rPr>
        <w:t>报告、工作底稿及相关资料的保存时间不少于10年</w:t>
      </w:r>
      <w:r>
        <w:rPr>
          <w:rFonts w:hint="eastAsia" w:ascii="宋体" w:hAnsi="宋体" w:eastAsia="宋体" w:cs="Arial"/>
        </w:rPr>
        <w:t>。</w:t>
      </w:r>
    </w:p>
    <w:p w14:paraId="2E687D0D">
      <w:pPr>
        <w:pStyle w:val="14"/>
        <w:numPr>
          <w:ilvl w:val="0"/>
          <w:numId w:val="2"/>
        </w:numPr>
        <w:spacing w:line="360" w:lineRule="auto"/>
        <w:ind w:left="0" w:firstLine="480" w:firstLineChars="200"/>
        <w:jc w:val="both"/>
        <w:rPr>
          <w:rFonts w:ascii="宋体" w:hAnsi="宋体" w:eastAsia="宋体" w:cs="Arial"/>
        </w:rPr>
      </w:pPr>
      <w:r>
        <w:rPr>
          <w:rFonts w:hint="eastAsia" w:ascii="宋体" w:hAnsi="宋体" w:eastAsia="宋体" w:cs="Arial"/>
        </w:rPr>
        <w:t>内部审计机构每季度应当向董事会或者审计委员会至少报告一次内部审计工作情况和发现的问题，并至少每年向其提交一次内部审计报告。</w:t>
      </w:r>
    </w:p>
    <w:p w14:paraId="0AC872DF">
      <w:pPr>
        <w:pStyle w:val="14"/>
        <w:spacing w:line="360" w:lineRule="auto"/>
        <w:ind w:firstLine="480" w:firstLineChars="200"/>
        <w:rPr>
          <w:rFonts w:ascii="宋体" w:hAnsi="宋体" w:eastAsia="宋体" w:cs="Arial"/>
        </w:rPr>
      </w:pPr>
      <w:r>
        <w:rPr>
          <w:rFonts w:hint="eastAsia" w:ascii="宋体" w:hAnsi="宋体" w:eastAsia="宋体" w:cs="Arial"/>
        </w:rPr>
        <w:t>内部审计机构对审查过程中发现的内部控制缺陷，应当督促相关责任部门制定整改措施和整改时间，并进行内部控制的后续审查，监督整改措施的落实情况。</w:t>
      </w:r>
    </w:p>
    <w:p w14:paraId="4E4F55B3">
      <w:pPr>
        <w:pStyle w:val="14"/>
        <w:spacing w:line="360" w:lineRule="auto"/>
        <w:ind w:firstLine="480" w:firstLineChars="200"/>
        <w:rPr>
          <w:rFonts w:ascii="宋体" w:hAnsi="宋体" w:eastAsia="宋体" w:cs="Arial"/>
        </w:rPr>
      </w:pPr>
      <w:r>
        <w:rPr>
          <w:rFonts w:hint="eastAsia" w:ascii="宋体" w:hAnsi="宋体" w:eastAsia="宋体" w:cs="Arial"/>
        </w:rPr>
        <w:t>内部审计机构在审查过程中如发现内部控制存在重大缺陷或者重大风险，应当及时向董事会或者审计委员会报告。</w:t>
      </w:r>
    </w:p>
    <w:p w14:paraId="4FC80EAF">
      <w:pPr>
        <w:pStyle w:val="14"/>
        <w:numPr>
          <w:ilvl w:val="0"/>
          <w:numId w:val="2"/>
        </w:numPr>
        <w:spacing w:line="360" w:lineRule="auto"/>
        <w:ind w:left="0" w:firstLine="480" w:firstLineChars="200"/>
        <w:jc w:val="both"/>
        <w:rPr>
          <w:rFonts w:ascii="宋体" w:hAnsi="宋体" w:eastAsia="宋体" w:cs="Arial"/>
        </w:rPr>
      </w:pPr>
      <w:r>
        <w:rPr>
          <w:rFonts w:hint="eastAsia" w:ascii="宋体" w:hAnsi="宋体" w:eastAsia="宋体" w:cs="Arial"/>
        </w:rPr>
        <w:t>审计委员会应当督导内部审计机构至少每半年对下列事项进行一次检查，出具检查报告并提交审计委员会：</w:t>
      </w:r>
    </w:p>
    <w:p w14:paraId="115824E2">
      <w:pPr>
        <w:pStyle w:val="14"/>
        <w:spacing w:line="360" w:lineRule="auto"/>
        <w:ind w:firstLine="480" w:firstLineChars="200"/>
        <w:rPr>
          <w:rFonts w:ascii="宋体" w:hAnsi="宋体" w:eastAsia="宋体" w:cs="Arial"/>
        </w:rPr>
      </w:pPr>
      <w:r>
        <w:rPr>
          <w:rFonts w:hint="eastAsia" w:ascii="宋体" w:hAnsi="宋体" w:eastAsia="宋体" w:cs="Arial"/>
        </w:rPr>
        <w:t>（一）公司募集资金使用、提供担保、关联交易、证券投资与衍生品交易、提供财务资助、购买或者出售资产、对外投资等重大事件的实施情况；</w:t>
      </w:r>
    </w:p>
    <w:p w14:paraId="288BEBBD">
      <w:pPr>
        <w:pStyle w:val="14"/>
        <w:spacing w:line="360" w:lineRule="auto"/>
        <w:ind w:firstLine="480" w:firstLineChars="200"/>
        <w:rPr>
          <w:rFonts w:ascii="宋体" w:hAnsi="宋体" w:eastAsia="宋体" w:cs="Arial"/>
        </w:rPr>
      </w:pPr>
      <w:r>
        <w:rPr>
          <w:rFonts w:hint="eastAsia" w:ascii="宋体" w:hAnsi="宋体" w:eastAsia="宋体" w:cs="Arial"/>
        </w:rPr>
        <w:t>（二）公司大额资金往来以及与董事、高级管理人员、控股股东、实际控制人及其关联人资金往来情况。</w:t>
      </w:r>
    </w:p>
    <w:p w14:paraId="0A305153">
      <w:pPr>
        <w:pStyle w:val="14"/>
        <w:spacing w:line="360" w:lineRule="auto"/>
        <w:ind w:firstLine="480" w:firstLineChars="200"/>
        <w:rPr>
          <w:rFonts w:ascii="宋体" w:hAnsi="宋体" w:eastAsia="宋体" w:cs="Arial"/>
        </w:rPr>
      </w:pPr>
      <w:r>
        <w:rPr>
          <w:rFonts w:hint="eastAsia" w:ascii="宋体" w:hAnsi="宋体" w:eastAsia="宋体" w:cs="Arial"/>
        </w:rPr>
        <w:t>前款规定的检查中发现公司存在违法违规、运作不规范等情形的，审计委员会应当及时向深圳证券交易所报告。</w:t>
      </w:r>
    </w:p>
    <w:p w14:paraId="203B37BA">
      <w:pPr>
        <w:pStyle w:val="14"/>
        <w:spacing w:line="360" w:lineRule="auto"/>
        <w:ind w:firstLine="480" w:firstLineChars="200"/>
        <w:rPr>
          <w:rFonts w:ascii="宋体" w:hAnsi="宋体" w:eastAsia="宋体" w:cs="Arial"/>
        </w:rPr>
      </w:pPr>
      <w:r>
        <w:rPr>
          <w:rFonts w:hint="eastAsia" w:ascii="宋体" w:hAnsi="宋体" w:eastAsia="宋体" w:cs="Arial"/>
        </w:rPr>
        <w:t>审计委员会应当根据内部审计机构提交的内部审计报告及相关资料，对公司内部控制有效性出具书面的评估意见，并向董事会报告。</w:t>
      </w:r>
    </w:p>
    <w:p w14:paraId="258B53DB">
      <w:pPr>
        <w:pStyle w:val="14"/>
        <w:spacing w:line="360" w:lineRule="auto"/>
        <w:ind w:firstLine="480" w:firstLineChars="200"/>
        <w:rPr>
          <w:rFonts w:ascii="宋体" w:hAnsi="宋体" w:eastAsia="宋体" w:cs="Arial"/>
        </w:rPr>
      </w:pPr>
      <w:r>
        <w:rPr>
          <w:rFonts w:hint="eastAsia" w:ascii="宋体" w:hAnsi="宋体" w:eastAsia="宋体" w:cs="Arial"/>
        </w:rPr>
        <w:t>董事会或者审计委员会认为公司内部控制存在重大缺陷或者重大风险的，或者保荐人、独立财务顾问、会计师事务所指出公司内部控制有效性存在重大缺陷的，董事会应当及时向深圳证券交易所报告并予以披露。公司应当在公告中披露内部控制存在的重大缺陷或者重大风险、已经或者可能导致的后果，以及已采取或者拟采取的措施。</w:t>
      </w:r>
    </w:p>
    <w:p w14:paraId="75BE7717">
      <w:pPr>
        <w:pStyle w:val="14"/>
        <w:numPr>
          <w:ilvl w:val="0"/>
          <w:numId w:val="2"/>
        </w:numPr>
        <w:spacing w:line="360" w:lineRule="auto"/>
        <w:ind w:left="0" w:firstLine="480" w:firstLineChars="200"/>
        <w:jc w:val="both"/>
        <w:rPr>
          <w:rFonts w:ascii="宋体" w:hAnsi="宋体" w:eastAsia="宋体" w:cs="Arial"/>
        </w:rPr>
      </w:pPr>
      <w:r>
        <w:rPr>
          <w:rFonts w:hint="eastAsia" w:ascii="宋体" w:hAnsi="宋体" w:eastAsia="宋体" w:cs="Arial"/>
        </w:rPr>
        <w:t>公司内部控制评价的具体组织实施工作由内部审计机构负责。公司根据内部审计机构出具、审计委员会审议后的评价报告及相关资料，出具年度内部控制评价报告。内部控制评价报告至少应当包括下列内容：</w:t>
      </w:r>
    </w:p>
    <w:p w14:paraId="7BF602B2">
      <w:pPr>
        <w:pStyle w:val="14"/>
        <w:spacing w:line="360" w:lineRule="auto"/>
        <w:ind w:firstLine="480" w:firstLineChars="200"/>
        <w:rPr>
          <w:rFonts w:ascii="宋体" w:hAnsi="宋体" w:eastAsia="宋体" w:cs="Arial"/>
        </w:rPr>
      </w:pPr>
      <w:r>
        <w:rPr>
          <w:rFonts w:hint="eastAsia" w:ascii="宋体" w:hAnsi="宋体" w:eastAsia="宋体" w:cs="Arial"/>
        </w:rPr>
        <w:t>（一）董事会对内部控制报告真实性的声明；</w:t>
      </w:r>
    </w:p>
    <w:p w14:paraId="2D8B4E5F">
      <w:pPr>
        <w:pStyle w:val="14"/>
        <w:spacing w:line="360" w:lineRule="auto"/>
        <w:ind w:firstLine="480" w:firstLineChars="200"/>
        <w:rPr>
          <w:rFonts w:ascii="宋体" w:hAnsi="宋体" w:eastAsia="宋体" w:cs="Arial"/>
        </w:rPr>
      </w:pPr>
      <w:r>
        <w:rPr>
          <w:rFonts w:hint="eastAsia" w:ascii="宋体" w:hAnsi="宋体" w:eastAsia="宋体" w:cs="Arial"/>
        </w:rPr>
        <w:t>（二）内部控制评价工作的总体情况；</w:t>
      </w:r>
    </w:p>
    <w:p w14:paraId="77645A81">
      <w:pPr>
        <w:pStyle w:val="14"/>
        <w:spacing w:line="360" w:lineRule="auto"/>
        <w:ind w:firstLine="480" w:firstLineChars="200"/>
        <w:rPr>
          <w:rFonts w:ascii="宋体" w:hAnsi="宋体" w:eastAsia="宋体" w:cs="Arial"/>
        </w:rPr>
      </w:pPr>
      <w:r>
        <w:rPr>
          <w:rFonts w:hint="eastAsia" w:ascii="宋体" w:hAnsi="宋体" w:eastAsia="宋体" w:cs="Arial"/>
        </w:rPr>
        <w:t>（三）内部控制评价的依据、范围、程序和方法；</w:t>
      </w:r>
    </w:p>
    <w:p w14:paraId="3DF9447D">
      <w:pPr>
        <w:pStyle w:val="14"/>
        <w:spacing w:line="360" w:lineRule="auto"/>
        <w:ind w:firstLine="480" w:firstLineChars="200"/>
        <w:rPr>
          <w:rFonts w:ascii="宋体" w:hAnsi="宋体" w:eastAsia="宋体" w:cs="Arial"/>
        </w:rPr>
      </w:pPr>
      <w:r>
        <w:rPr>
          <w:rFonts w:hint="eastAsia" w:ascii="宋体" w:hAnsi="宋体" w:eastAsia="宋体" w:cs="Arial"/>
        </w:rPr>
        <w:t>（四）内部控制缺陷及其认定情况；</w:t>
      </w:r>
    </w:p>
    <w:p w14:paraId="20235350">
      <w:pPr>
        <w:pStyle w:val="14"/>
        <w:spacing w:line="360" w:lineRule="auto"/>
        <w:ind w:firstLine="480" w:firstLineChars="200"/>
        <w:rPr>
          <w:rFonts w:ascii="宋体" w:hAnsi="宋体" w:eastAsia="宋体" w:cs="Arial"/>
        </w:rPr>
      </w:pPr>
      <w:r>
        <w:rPr>
          <w:rFonts w:hint="eastAsia" w:ascii="宋体" w:hAnsi="宋体" w:eastAsia="宋体" w:cs="Arial"/>
        </w:rPr>
        <w:t>（五）对上一年度内部控制缺陷的整改情况；</w:t>
      </w:r>
    </w:p>
    <w:p w14:paraId="27EC57A6">
      <w:pPr>
        <w:pStyle w:val="14"/>
        <w:spacing w:line="360" w:lineRule="auto"/>
        <w:ind w:firstLine="480" w:firstLineChars="200"/>
        <w:rPr>
          <w:rFonts w:ascii="宋体" w:hAnsi="宋体" w:eastAsia="宋体" w:cs="Arial"/>
        </w:rPr>
      </w:pPr>
      <w:r>
        <w:rPr>
          <w:rFonts w:hint="eastAsia" w:ascii="宋体" w:hAnsi="宋体" w:eastAsia="宋体" w:cs="Arial"/>
        </w:rPr>
        <w:t>（六）对本年度内部控制缺陷拟采取的整改措施；</w:t>
      </w:r>
    </w:p>
    <w:p w14:paraId="4C4DD208">
      <w:pPr>
        <w:pStyle w:val="14"/>
        <w:spacing w:line="360" w:lineRule="auto"/>
        <w:ind w:firstLine="480" w:firstLineChars="200"/>
        <w:rPr>
          <w:rFonts w:ascii="宋体" w:hAnsi="宋体" w:eastAsia="宋体" w:cs="Arial"/>
        </w:rPr>
      </w:pPr>
      <w:r>
        <w:rPr>
          <w:rFonts w:hint="eastAsia" w:ascii="宋体" w:hAnsi="宋体" w:eastAsia="宋体" w:cs="Arial"/>
        </w:rPr>
        <w:t>（七）内部控制有效性的结论。</w:t>
      </w:r>
    </w:p>
    <w:p w14:paraId="4B4C2EC3">
      <w:pPr>
        <w:pStyle w:val="14"/>
        <w:numPr>
          <w:ilvl w:val="0"/>
          <w:numId w:val="2"/>
        </w:numPr>
        <w:spacing w:line="360" w:lineRule="auto"/>
        <w:ind w:left="0" w:firstLine="480" w:firstLineChars="200"/>
        <w:jc w:val="both"/>
        <w:rPr>
          <w:rFonts w:ascii="宋体" w:hAnsi="宋体" w:eastAsia="宋体" w:cs="Arial"/>
        </w:rPr>
      </w:pPr>
      <w:r>
        <w:rPr>
          <w:rFonts w:hint="eastAsia" w:ascii="宋体" w:hAnsi="宋体" w:eastAsia="宋体" w:cs="Arial"/>
        </w:rPr>
        <w:t>公司董事会应当在审议年度报告的同时，对内部控制评价报告形成决议。内部控制评价报告应当经审计委员会全体成员过半数同意后提交董事会审议。保荐人或者独立财务顾问（如有）应当对内部控制评价报告进行核查，并出具核查意见。</w:t>
      </w:r>
    </w:p>
    <w:p w14:paraId="3423E12A">
      <w:pPr>
        <w:pStyle w:val="14"/>
        <w:numPr>
          <w:ilvl w:val="0"/>
          <w:numId w:val="2"/>
        </w:numPr>
        <w:spacing w:line="360" w:lineRule="auto"/>
        <w:ind w:left="0" w:firstLine="480" w:firstLineChars="200"/>
        <w:jc w:val="both"/>
        <w:rPr>
          <w:rFonts w:ascii="宋体" w:hAnsi="宋体" w:eastAsia="宋体" w:cs="Arial"/>
        </w:rPr>
      </w:pPr>
      <w:r>
        <w:rPr>
          <w:rFonts w:hint="eastAsia" w:ascii="宋体" w:hAnsi="宋体" w:eastAsia="宋体" w:cs="Arial"/>
        </w:rPr>
        <w:t>公司应当在年度报告披露的同时，在符合条件媒体上披露内部控制评价报告和内部控制审计报告，法律法规另有规定的除外。</w:t>
      </w:r>
    </w:p>
    <w:p w14:paraId="52ACE7A0">
      <w:pPr>
        <w:pStyle w:val="14"/>
        <w:numPr>
          <w:ilvl w:val="0"/>
          <w:numId w:val="2"/>
        </w:numPr>
        <w:spacing w:line="360" w:lineRule="auto"/>
        <w:ind w:left="0" w:firstLine="480" w:firstLineChars="200"/>
        <w:jc w:val="both"/>
        <w:rPr>
          <w:rFonts w:ascii="宋体" w:hAnsi="宋体" w:eastAsia="宋体" w:cs="Arial"/>
        </w:rPr>
      </w:pPr>
      <w:r>
        <w:rPr>
          <w:rFonts w:hint="eastAsia" w:ascii="宋体" w:hAnsi="宋体" w:eastAsia="宋体" w:cs="Arial"/>
        </w:rPr>
        <w:t>会计师事务所对公司内部控制有效性出具非标准审计报告、保留结论或者否定结论的鉴证报告（如有），或者指出公司非财务报告内部控制存在重大缺陷的，公司董事会应当针对所涉及事项作出专项说明，专项说明至少应当包括下列内容：</w:t>
      </w:r>
    </w:p>
    <w:p w14:paraId="7171D1E9">
      <w:pPr>
        <w:pStyle w:val="14"/>
        <w:spacing w:line="360" w:lineRule="auto"/>
        <w:ind w:firstLine="480" w:firstLineChars="200"/>
        <w:rPr>
          <w:rFonts w:ascii="宋体" w:hAnsi="宋体" w:eastAsia="宋体" w:cs="Arial"/>
        </w:rPr>
      </w:pPr>
      <w:r>
        <w:rPr>
          <w:rFonts w:hint="eastAsia" w:ascii="宋体" w:hAnsi="宋体" w:eastAsia="宋体" w:cs="Arial"/>
        </w:rPr>
        <w:t>（一）所涉及事项的基本情况；</w:t>
      </w:r>
    </w:p>
    <w:p w14:paraId="5288A9D2">
      <w:pPr>
        <w:pStyle w:val="14"/>
        <w:spacing w:line="360" w:lineRule="auto"/>
        <w:ind w:firstLine="480" w:firstLineChars="200"/>
        <w:rPr>
          <w:rFonts w:ascii="宋体" w:hAnsi="宋体" w:eastAsia="宋体" w:cs="Arial"/>
        </w:rPr>
      </w:pPr>
      <w:r>
        <w:rPr>
          <w:rFonts w:hint="eastAsia" w:ascii="宋体" w:hAnsi="宋体" w:eastAsia="宋体" w:cs="Arial"/>
        </w:rPr>
        <w:t>（二）该事项对公司内部控制有效性的影响程度；</w:t>
      </w:r>
    </w:p>
    <w:p w14:paraId="0B6428EC">
      <w:pPr>
        <w:pStyle w:val="14"/>
        <w:spacing w:line="360" w:lineRule="auto"/>
        <w:ind w:firstLine="480" w:firstLineChars="200"/>
        <w:rPr>
          <w:rFonts w:ascii="宋体" w:hAnsi="宋体" w:eastAsia="宋体" w:cs="Arial"/>
        </w:rPr>
      </w:pPr>
      <w:r>
        <w:rPr>
          <w:rFonts w:hint="eastAsia" w:ascii="宋体" w:hAnsi="宋体" w:eastAsia="宋体" w:cs="Arial"/>
        </w:rPr>
        <w:t>（三）公司董事会、审计委员会对该事项的意见以及所依据的材料；</w:t>
      </w:r>
    </w:p>
    <w:p w14:paraId="4D8EF6AB">
      <w:pPr>
        <w:pStyle w:val="14"/>
        <w:spacing w:line="360" w:lineRule="auto"/>
        <w:ind w:firstLine="480" w:firstLineChars="200"/>
        <w:rPr>
          <w:rFonts w:ascii="宋体" w:hAnsi="宋体" w:eastAsia="宋体" w:cs="Arial"/>
        </w:rPr>
      </w:pPr>
      <w:r>
        <w:rPr>
          <w:rFonts w:hint="eastAsia" w:ascii="宋体" w:hAnsi="宋体" w:eastAsia="宋体" w:cs="Arial"/>
        </w:rPr>
        <w:t>（四）消除该事项及其影响的具体措施。</w:t>
      </w:r>
    </w:p>
    <w:p w14:paraId="531D7985">
      <w:pPr>
        <w:pStyle w:val="12"/>
        <w:rPr>
          <w:color w:val="auto"/>
        </w:rPr>
      </w:pPr>
    </w:p>
    <w:p w14:paraId="0528202A">
      <w:pPr>
        <w:pStyle w:val="13"/>
        <w:numPr>
          <w:ilvl w:val="0"/>
          <w:numId w:val="1"/>
        </w:numPr>
        <w:spacing w:line="360" w:lineRule="auto"/>
        <w:jc w:val="center"/>
        <w:outlineLvl w:val="1"/>
        <w:rPr>
          <w:rFonts w:ascii="宋体" w:hAnsi="宋体" w:eastAsia="宋体" w:cs="Arial"/>
          <w:b/>
          <w:bCs/>
          <w:sz w:val="28"/>
          <w:szCs w:val="28"/>
        </w:rPr>
      </w:pPr>
      <w:r>
        <w:rPr>
          <w:rFonts w:ascii="宋体" w:hAnsi="宋体" w:eastAsia="宋体" w:cs="Arial"/>
          <w:b/>
          <w:bCs/>
          <w:sz w:val="28"/>
          <w:szCs w:val="28"/>
        </w:rPr>
        <w:t xml:space="preserve">附 则 </w:t>
      </w:r>
    </w:p>
    <w:p w14:paraId="7698D151">
      <w:pPr>
        <w:pStyle w:val="12"/>
        <w:ind w:left="420" w:leftChars="200"/>
        <w:rPr>
          <w:color w:val="auto"/>
        </w:rPr>
      </w:pPr>
    </w:p>
    <w:p w14:paraId="7458992C">
      <w:pPr>
        <w:pStyle w:val="14"/>
        <w:numPr>
          <w:ilvl w:val="0"/>
          <w:numId w:val="2"/>
        </w:numPr>
        <w:spacing w:line="360" w:lineRule="auto"/>
        <w:ind w:left="0" w:firstLine="480" w:firstLineChars="200"/>
        <w:jc w:val="both"/>
        <w:rPr>
          <w:rFonts w:ascii="宋体" w:hAnsi="宋体" w:eastAsia="宋体" w:cs="Arial"/>
        </w:rPr>
      </w:pPr>
      <w:r>
        <w:rPr>
          <w:rFonts w:ascii="宋体" w:hAnsi="宋体" w:eastAsia="宋体" w:cs="Arial"/>
        </w:rPr>
        <w:t>本制度适用于公司及其控股子公司。</w:t>
      </w:r>
    </w:p>
    <w:p w14:paraId="54F0BD55">
      <w:pPr>
        <w:pStyle w:val="14"/>
        <w:numPr>
          <w:ilvl w:val="0"/>
          <w:numId w:val="2"/>
        </w:numPr>
        <w:spacing w:line="360" w:lineRule="auto"/>
        <w:ind w:left="0" w:firstLine="480" w:firstLineChars="200"/>
        <w:jc w:val="both"/>
        <w:rPr>
          <w:rFonts w:ascii="宋体" w:hAnsi="宋体" w:eastAsia="宋体" w:cs="Arial"/>
        </w:rPr>
      </w:pPr>
      <w:r>
        <w:rPr>
          <w:rFonts w:ascii="宋体" w:hAnsi="宋体" w:eastAsia="宋体" w:cs="Arial"/>
        </w:rPr>
        <w:t>本制度未尽事宜，依照本制度第一条所述的国家有关法律、法规、规范性文件和《公司章程》的有关规定执行；本制度如与国家日后颁布的法律、法规或经合法程序修改后的《公司章程》相抵触时，按国家有关法律、法规和《公司章程》的规定执行。</w:t>
      </w:r>
    </w:p>
    <w:p w14:paraId="34D7E999">
      <w:pPr>
        <w:pStyle w:val="14"/>
        <w:numPr>
          <w:ilvl w:val="0"/>
          <w:numId w:val="2"/>
        </w:numPr>
        <w:spacing w:line="360" w:lineRule="auto"/>
        <w:ind w:left="0" w:firstLine="480" w:firstLineChars="200"/>
        <w:jc w:val="both"/>
        <w:rPr>
          <w:rFonts w:ascii="宋体" w:hAnsi="宋体" w:eastAsia="宋体" w:cs="Arial"/>
        </w:rPr>
      </w:pPr>
      <w:r>
        <w:rPr>
          <w:rFonts w:ascii="宋体" w:hAnsi="宋体" w:eastAsia="宋体" w:cs="Arial"/>
        </w:rPr>
        <w:t>本制度经</w:t>
      </w:r>
      <w:r>
        <w:rPr>
          <w:rFonts w:hint="eastAsia" w:ascii="宋体" w:hAnsi="宋体" w:eastAsia="宋体" w:cs="Arial"/>
        </w:rPr>
        <w:t>董事会审议</w:t>
      </w:r>
      <w:r>
        <w:rPr>
          <w:rFonts w:ascii="宋体" w:hAnsi="宋体" w:eastAsia="宋体" w:cs="Arial"/>
        </w:rPr>
        <w:t>通过</w:t>
      </w:r>
      <w:bookmarkStart w:id="0" w:name="_DV_C917"/>
      <w:r>
        <w:rPr>
          <w:rFonts w:hint="eastAsia" w:ascii="宋体" w:hAnsi="宋体" w:eastAsia="宋体" w:cs="Arial"/>
        </w:rPr>
        <w:t>之日起生效</w:t>
      </w:r>
      <w:bookmarkEnd w:id="0"/>
      <w:r>
        <w:rPr>
          <w:rFonts w:hint="eastAsia" w:ascii="宋体" w:hAnsi="宋体" w:eastAsia="宋体" w:cs="Arial"/>
        </w:rPr>
        <w:t>实施</w:t>
      </w:r>
      <w:r>
        <w:rPr>
          <w:rFonts w:ascii="宋体" w:hAnsi="宋体" w:eastAsia="宋体" w:cs="Arial"/>
        </w:rPr>
        <w:t>。</w:t>
      </w:r>
    </w:p>
    <w:p w14:paraId="55928C91">
      <w:pPr>
        <w:spacing w:line="360" w:lineRule="auto"/>
        <w:rPr>
          <w:rFonts w:hint="eastAsia" w:ascii="宋体" w:hAnsi="宋体"/>
        </w:rPr>
      </w:pPr>
    </w:p>
    <w:sectPr>
      <w:footerReference r:id="rId3" w:type="default"/>
      <w:footerReference r:id="rId4" w:type="even"/>
      <w:pgSz w:w="11907" w:h="16840"/>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25DC2">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lang/>
      </w:rPr>
      <w:t>4</w:t>
    </w:r>
    <w:r>
      <w:rPr>
        <w:rStyle w:val="9"/>
      </w:rPr>
      <w:fldChar w:fldCharType="end"/>
    </w:r>
  </w:p>
  <w:p w14:paraId="454DE2EE">
    <w:pPr>
      <w:pStyle w:val="4"/>
    </w:pPr>
  </w:p>
  <w:p w14:paraId="22CD00A7"/>
  <w:p w14:paraId="666984D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067A6">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14:paraId="36EFBF8B">
    <w:pPr>
      <w:pStyle w:val="4"/>
    </w:pPr>
  </w:p>
  <w:p w14:paraId="58F2F6DF"/>
  <w:p w14:paraId="2DC1EC73"/>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4D5AD"/>
    <w:multiLevelType w:val="singleLevel"/>
    <w:tmpl w:val="BB64D5AD"/>
    <w:lvl w:ilvl="0" w:tentative="0">
      <w:start w:val="1"/>
      <w:numFmt w:val="chineseCounting"/>
      <w:suff w:val="space"/>
      <w:lvlText w:val="第%1章"/>
      <w:lvlJc w:val="left"/>
      <w:rPr>
        <w:rFonts w:hint="eastAsia"/>
      </w:rPr>
    </w:lvl>
  </w:abstractNum>
  <w:abstractNum w:abstractNumId="1">
    <w:nsid w:val="5F306C58"/>
    <w:multiLevelType w:val="multilevel"/>
    <w:tmpl w:val="5F306C58"/>
    <w:lvl w:ilvl="0" w:tentative="0">
      <w:start w:val="1"/>
      <w:numFmt w:val="japaneseCounting"/>
      <w:lvlText w:val="第%1条"/>
      <w:lvlJc w:val="left"/>
      <w:pPr>
        <w:ind w:left="1755" w:hanging="1275"/>
      </w:pPr>
      <w:rPr>
        <w:rFonts w:hint="eastAsia" w:ascii="宋体" w:hAnsi="宋体" w:eastAsia="宋体"/>
        <w:b/>
      </w:rPr>
    </w:lvl>
    <w:lvl w:ilvl="1" w:tentative="0">
      <w:start w:val="1"/>
      <w:numFmt w:val="chineseCountingThousand"/>
      <w:lvlText w:val="(%2)"/>
      <w:lvlJc w:val="center"/>
      <w:pPr>
        <w:ind w:left="1320" w:hanging="420"/>
      </w:pPr>
      <w:rPr>
        <w:rFonts w:hint="eastAsia"/>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lZjQ5Zjg5MmI1NWNmOGU5NGI1YTc3YTBmZDY0YTkifQ=="/>
  </w:docVars>
  <w:rsids>
    <w:rsidRoot w:val="00D27310"/>
    <w:rsid w:val="0000799E"/>
    <w:rsid w:val="00011637"/>
    <w:rsid w:val="00016052"/>
    <w:rsid w:val="00021781"/>
    <w:rsid w:val="0002392A"/>
    <w:rsid w:val="00031939"/>
    <w:rsid w:val="000329B5"/>
    <w:rsid w:val="00041C84"/>
    <w:rsid w:val="00055CDF"/>
    <w:rsid w:val="00064F45"/>
    <w:rsid w:val="00071776"/>
    <w:rsid w:val="00075B15"/>
    <w:rsid w:val="00081C69"/>
    <w:rsid w:val="000830EE"/>
    <w:rsid w:val="00083F6E"/>
    <w:rsid w:val="00086606"/>
    <w:rsid w:val="00090C61"/>
    <w:rsid w:val="000A075C"/>
    <w:rsid w:val="000A138A"/>
    <w:rsid w:val="000B4FC4"/>
    <w:rsid w:val="000C1CB1"/>
    <w:rsid w:val="000D4D56"/>
    <w:rsid w:val="000E73B8"/>
    <w:rsid w:val="001034BD"/>
    <w:rsid w:val="0011490C"/>
    <w:rsid w:val="00131DCE"/>
    <w:rsid w:val="001320CA"/>
    <w:rsid w:val="00133B6C"/>
    <w:rsid w:val="00180AE6"/>
    <w:rsid w:val="00186A63"/>
    <w:rsid w:val="001A3DA0"/>
    <w:rsid w:val="001B2D69"/>
    <w:rsid w:val="001C2409"/>
    <w:rsid w:val="001C4C29"/>
    <w:rsid w:val="001C5D62"/>
    <w:rsid w:val="001F2FEB"/>
    <w:rsid w:val="00204759"/>
    <w:rsid w:val="002076EC"/>
    <w:rsid w:val="00220BB8"/>
    <w:rsid w:val="002245D5"/>
    <w:rsid w:val="0023171A"/>
    <w:rsid w:val="00237414"/>
    <w:rsid w:val="002564CC"/>
    <w:rsid w:val="00257373"/>
    <w:rsid w:val="00287EDE"/>
    <w:rsid w:val="00294A65"/>
    <w:rsid w:val="002A0C77"/>
    <w:rsid w:val="002A1F91"/>
    <w:rsid w:val="002B0A83"/>
    <w:rsid w:val="002B52D0"/>
    <w:rsid w:val="002B7BB4"/>
    <w:rsid w:val="002C45D7"/>
    <w:rsid w:val="002E1823"/>
    <w:rsid w:val="002F002A"/>
    <w:rsid w:val="0030039A"/>
    <w:rsid w:val="00300478"/>
    <w:rsid w:val="003017A3"/>
    <w:rsid w:val="00307239"/>
    <w:rsid w:val="00314635"/>
    <w:rsid w:val="00333ED7"/>
    <w:rsid w:val="003473D4"/>
    <w:rsid w:val="00350F4C"/>
    <w:rsid w:val="00357952"/>
    <w:rsid w:val="00380E30"/>
    <w:rsid w:val="003841C2"/>
    <w:rsid w:val="00390C8F"/>
    <w:rsid w:val="003935A3"/>
    <w:rsid w:val="00396ABA"/>
    <w:rsid w:val="003C5341"/>
    <w:rsid w:val="003E145F"/>
    <w:rsid w:val="003E7121"/>
    <w:rsid w:val="003F5324"/>
    <w:rsid w:val="004244EF"/>
    <w:rsid w:val="00431173"/>
    <w:rsid w:val="00450B6F"/>
    <w:rsid w:val="00457A09"/>
    <w:rsid w:val="00467B58"/>
    <w:rsid w:val="00470D1F"/>
    <w:rsid w:val="00473835"/>
    <w:rsid w:val="00474231"/>
    <w:rsid w:val="004902A3"/>
    <w:rsid w:val="00494731"/>
    <w:rsid w:val="004A60F5"/>
    <w:rsid w:val="004C1705"/>
    <w:rsid w:val="004D2FC8"/>
    <w:rsid w:val="004D71C2"/>
    <w:rsid w:val="004F32DE"/>
    <w:rsid w:val="005010BF"/>
    <w:rsid w:val="00502561"/>
    <w:rsid w:val="00504F10"/>
    <w:rsid w:val="005270C0"/>
    <w:rsid w:val="00544A51"/>
    <w:rsid w:val="00544D0D"/>
    <w:rsid w:val="00547A84"/>
    <w:rsid w:val="00581045"/>
    <w:rsid w:val="00584A23"/>
    <w:rsid w:val="00586F16"/>
    <w:rsid w:val="005A2CAC"/>
    <w:rsid w:val="005B104F"/>
    <w:rsid w:val="005C6CFB"/>
    <w:rsid w:val="005C6E3C"/>
    <w:rsid w:val="005C7417"/>
    <w:rsid w:val="005E1595"/>
    <w:rsid w:val="005E4F73"/>
    <w:rsid w:val="005E690E"/>
    <w:rsid w:val="005F516F"/>
    <w:rsid w:val="00611D3D"/>
    <w:rsid w:val="00626879"/>
    <w:rsid w:val="006276C8"/>
    <w:rsid w:val="00636454"/>
    <w:rsid w:val="006364A9"/>
    <w:rsid w:val="006376A7"/>
    <w:rsid w:val="006449AB"/>
    <w:rsid w:val="00646C0F"/>
    <w:rsid w:val="00650AE3"/>
    <w:rsid w:val="00651508"/>
    <w:rsid w:val="006627C7"/>
    <w:rsid w:val="006643AA"/>
    <w:rsid w:val="00665146"/>
    <w:rsid w:val="00685F3B"/>
    <w:rsid w:val="00691898"/>
    <w:rsid w:val="006A30F8"/>
    <w:rsid w:val="006B1E9F"/>
    <w:rsid w:val="006C5E86"/>
    <w:rsid w:val="006C73F4"/>
    <w:rsid w:val="006E2F43"/>
    <w:rsid w:val="006E690D"/>
    <w:rsid w:val="006F7B18"/>
    <w:rsid w:val="00710A37"/>
    <w:rsid w:val="00725A9E"/>
    <w:rsid w:val="00726EFA"/>
    <w:rsid w:val="00732CD4"/>
    <w:rsid w:val="00732D55"/>
    <w:rsid w:val="00743E63"/>
    <w:rsid w:val="00744BDD"/>
    <w:rsid w:val="00746FFD"/>
    <w:rsid w:val="00762E77"/>
    <w:rsid w:val="00773743"/>
    <w:rsid w:val="007826F7"/>
    <w:rsid w:val="00795A56"/>
    <w:rsid w:val="00795AC1"/>
    <w:rsid w:val="007B507A"/>
    <w:rsid w:val="007C3949"/>
    <w:rsid w:val="007D4D57"/>
    <w:rsid w:val="007E43EE"/>
    <w:rsid w:val="0080149C"/>
    <w:rsid w:val="0080310E"/>
    <w:rsid w:val="008218FE"/>
    <w:rsid w:val="00824A7E"/>
    <w:rsid w:val="0083210A"/>
    <w:rsid w:val="00837E89"/>
    <w:rsid w:val="008404DF"/>
    <w:rsid w:val="00845A76"/>
    <w:rsid w:val="00877559"/>
    <w:rsid w:val="00883CB7"/>
    <w:rsid w:val="0088561E"/>
    <w:rsid w:val="00885D0B"/>
    <w:rsid w:val="0089604D"/>
    <w:rsid w:val="008962F9"/>
    <w:rsid w:val="008A0413"/>
    <w:rsid w:val="008A2CC6"/>
    <w:rsid w:val="008C1238"/>
    <w:rsid w:val="008E239D"/>
    <w:rsid w:val="008F1F37"/>
    <w:rsid w:val="008F25AD"/>
    <w:rsid w:val="008F5649"/>
    <w:rsid w:val="00901BCA"/>
    <w:rsid w:val="0090252D"/>
    <w:rsid w:val="00912289"/>
    <w:rsid w:val="0091653D"/>
    <w:rsid w:val="00920372"/>
    <w:rsid w:val="00921B70"/>
    <w:rsid w:val="00932C8E"/>
    <w:rsid w:val="009552B7"/>
    <w:rsid w:val="00962F67"/>
    <w:rsid w:val="00965FDC"/>
    <w:rsid w:val="00970B40"/>
    <w:rsid w:val="00973372"/>
    <w:rsid w:val="0097383E"/>
    <w:rsid w:val="0097575A"/>
    <w:rsid w:val="00980C04"/>
    <w:rsid w:val="0099357D"/>
    <w:rsid w:val="009949F0"/>
    <w:rsid w:val="009A095E"/>
    <w:rsid w:val="009B2C22"/>
    <w:rsid w:val="009B71BD"/>
    <w:rsid w:val="009D12E6"/>
    <w:rsid w:val="009D5B57"/>
    <w:rsid w:val="009E4BF9"/>
    <w:rsid w:val="009F2F1C"/>
    <w:rsid w:val="00A0461A"/>
    <w:rsid w:val="00A11E72"/>
    <w:rsid w:val="00A15247"/>
    <w:rsid w:val="00A20438"/>
    <w:rsid w:val="00A302BA"/>
    <w:rsid w:val="00A3098A"/>
    <w:rsid w:val="00A36B05"/>
    <w:rsid w:val="00A457DB"/>
    <w:rsid w:val="00A50C27"/>
    <w:rsid w:val="00A51662"/>
    <w:rsid w:val="00A67331"/>
    <w:rsid w:val="00A7367C"/>
    <w:rsid w:val="00A8123D"/>
    <w:rsid w:val="00A85EAE"/>
    <w:rsid w:val="00A92500"/>
    <w:rsid w:val="00A9646E"/>
    <w:rsid w:val="00AA0A57"/>
    <w:rsid w:val="00AB2292"/>
    <w:rsid w:val="00AB50A9"/>
    <w:rsid w:val="00AB73C9"/>
    <w:rsid w:val="00AD2735"/>
    <w:rsid w:val="00AD4B0C"/>
    <w:rsid w:val="00AD5FBE"/>
    <w:rsid w:val="00AF2F8E"/>
    <w:rsid w:val="00AF2F9D"/>
    <w:rsid w:val="00AF7FE7"/>
    <w:rsid w:val="00B00CDF"/>
    <w:rsid w:val="00B110FE"/>
    <w:rsid w:val="00B143B3"/>
    <w:rsid w:val="00B256B7"/>
    <w:rsid w:val="00B25F92"/>
    <w:rsid w:val="00B31B87"/>
    <w:rsid w:val="00B32A62"/>
    <w:rsid w:val="00B3379D"/>
    <w:rsid w:val="00B51A1A"/>
    <w:rsid w:val="00B52F27"/>
    <w:rsid w:val="00B64873"/>
    <w:rsid w:val="00B64E5A"/>
    <w:rsid w:val="00B67859"/>
    <w:rsid w:val="00B76D5A"/>
    <w:rsid w:val="00B87737"/>
    <w:rsid w:val="00B90898"/>
    <w:rsid w:val="00B96C33"/>
    <w:rsid w:val="00B97490"/>
    <w:rsid w:val="00BA17E2"/>
    <w:rsid w:val="00BB66A6"/>
    <w:rsid w:val="00BB6B65"/>
    <w:rsid w:val="00BC6C7D"/>
    <w:rsid w:val="00BE2839"/>
    <w:rsid w:val="00BF022E"/>
    <w:rsid w:val="00C22737"/>
    <w:rsid w:val="00C44274"/>
    <w:rsid w:val="00C5072A"/>
    <w:rsid w:val="00C85588"/>
    <w:rsid w:val="00CB14D9"/>
    <w:rsid w:val="00CC5627"/>
    <w:rsid w:val="00CD15E7"/>
    <w:rsid w:val="00CE0EA7"/>
    <w:rsid w:val="00CE3F5F"/>
    <w:rsid w:val="00CE799E"/>
    <w:rsid w:val="00CF1878"/>
    <w:rsid w:val="00CF4DAF"/>
    <w:rsid w:val="00CF5E7A"/>
    <w:rsid w:val="00CF7671"/>
    <w:rsid w:val="00D04645"/>
    <w:rsid w:val="00D069C1"/>
    <w:rsid w:val="00D1472C"/>
    <w:rsid w:val="00D259A6"/>
    <w:rsid w:val="00D27310"/>
    <w:rsid w:val="00D60C9C"/>
    <w:rsid w:val="00D66B69"/>
    <w:rsid w:val="00D70AA0"/>
    <w:rsid w:val="00D945FD"/>
    <w:rsid w:val="00DB4E34"/>
    <w:rsid w:val="00DB725C"/>
    <w:rsid w:val="00DC58B5"/>
    <w:rsid w:val="00DD56FE"/>
    <w:rsid w:val="00DD7533"/>
    <w:rsid w:val="00E31147"/>
    <w:rsid w:val="00E54449"/>
    <w:rsid w:val="00E80CBB"/>
    <w:rsid w:val="00E95221"/>
    <w:rsid w:val="00E9629A"/>
    <w:rsid w:val="00EA1757"/>
    <w:rsid w:val="00EA65A2"/>
    <w:rsid w:val="00EC1F1B"/>
    <w:rsid w:val="00EC51B6"/>
    <w:rsid w:val="00EC58B7"/>
    <w:rsid w:val="00EC6524"/>
    <w:rsid w:val="00EC7D87"/>
    <w:rsid w:val="00ED035C"/>
    <w:rsid w:val="00ED5F61"/>
    <w:rsid w:val="00EF3E9D"/>
    <w:rsid w:val="00EF4BEF"/>
    <w:rsid w:val="00F00858"/>
    <w:rsid w:val="00F13678"/>
    <w:rsid w:val="00F2250E"/>
    <w:rsid w:val="00F25186"/>
    <w:rsid w:val="00F2688C"/>
    <w:rsid w:val="00F409F8"/>
    <w:rsid w:val="00F660F6"/>
    <w:rsid w:val="00F8312F"/>
    <w:rsid w:val="00F9066F"/>
    <w:rsid w:val="00F93696"/>
    <w:rsid w:val="00F947BF"/>
    <w:rsid w:val="00FA34D2"/>
    <w:rsid w:val="00FC4882"/>
    <w:rsid w:val="00FC5B8A"/>
    <w:rsid w:val="00FF5FEE"/>
    <w:rsid w:val="1851351E"/>
    <w:rsid w:val="22EE5C3A"/>
    <w:rsid w:val="274A4865"/>
    <w:rsid w:val="2FBC5B88"/>
    <w:rsid w:val="773928F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annotation text"/>
    <w:basedOn w:val="1"/>
    <w:semiHidden/>
    <w:uiPriority w:val="0"/>
    <w:pPr>
      <w:jc w:val="left"/>
    </w:pPr>
  </w:style>
  <w:style w:type="paragraph" w:styleId="3">
    <w:name w:val="Balloon Text"/>
    <w:basedOn w:val="1"/>
    <w:semiHidden/>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semiHidden/>
    <w:uiPriority w:val="0"/>
    <w:rPr>
      <w:b/>
      <w:bCs/>
    </w:rPr>
  </w:style>
  <w:style w:type="character" w:styleId="9">
    <w:name w:val="page number"/>
    <w:uiPriority w:val="0"/>
  </w:style>
  <w:style w:type="character" w:styleId="10">
    <w:name w:val="annotation reference"/>
    <w:semiHidden/>
    <w:uiPriority w:val="0"/>
    <w:rPr>
      <w:sz w:val="21"/>
      <w:szCs w:val="21"/>
    </w:rPr>
  </w:style>
  <w:style w:type="character" w:customStyle="1" w:styleId="11">
    <w:name w:val="页眉 字符"/>
    <w:link w:val="5"/>
    <w:uiPriority w:val="0"/>
    <w:rPr>
      <w:kern w:val="2"/>
      <w:sz w:val="18"/>
      <w:szCs w:val="18"/>
    </w:rPr>
  </w:style>
  <w:style w:type="paragraph" w:customStyle="1" w:styleId="12">
    <w:name w:val="Defaul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13">
    <w:name w:val="CM13"/>
    <w:basedOn w:val="12"/>
    <w:next w:val="12"/>
    <w:uiPriority w:val="0"/>
    <w:rPr>
      <w:color w:val="auto"/>
    </w:rPr>
  </w:style>
  <w:style w:type="paragraph" w:customStyle="1" w:styleId="14">
    <w:name w:val="CM3"/>
    <w:basedOn w:val="12"/>
    <w:next w:val="12"/>
    <w:uiPriority w:val="0"/>
    <w:pPr>
      <w:spacing w:line="468" w:lineRule="atLeast"/>
    </w:pPr>
    <w:rPr>
      <w:color w:val="auto"/>
    </w:rPr>
  </w:style>
  <w:style w:type="character" w:customStyle="1" w:styleId="15">
    <w:name w:val="apple-style-span"/>
    <w:uiPriority w:val="0"/>
  </w:style>
  <w:style w:type="character" w:customStyle="1" w:styleId="16">
    <w:name w:val="DeltaView Insertion"/>
    <w:uiPriority w:val="99"/>
    <w:rPr>
      <w:color w:val="0000FF"/>
      <w:u w:val="doub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Guangda Law Firm</Company>
  <Pages>4</Pages>
  <Words>2677</Words>
  <Characters>2678</Characters>
  <Lines>19</Lines>
  <Paragraphs>5</Paragraphs>
  <TotalTime>0</TotalTime>
  <ScaleCrop>false</ScaleCrop>
  <LinksUpToDate>false</LinksUpToDate>
  <CharactersWithSpaces>2693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2015-02-03T02:21:00Z</dcterms:created>
  <dc:creator>Joe</dc:creator>
  <cp:lastModifiedBy>WSY</cp:lastModifiedBy>
  <dcterms:modified xsi:type="dcterms:W3CDTF">2025-07-23T07:36:13Z</dcterms:modified>
  <dc:title>关于审议《广东燕塘乳业股份有限公司内部审计工作制度（草案）》的议案</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D4CFABE8D0C5483FA8198E52892CF552_13</vt:lpwstr>
  </property>
</Properties>
</file>