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3FB30">
      <w:pPr>
        <w:pStyle w:val="2"/>
        <w:spacing w:before="0" w:after="0" w:line="360" w:lineRule="auto"/>
        <w:jc w:val="center"/>
        <w:rPr>
          <w:rFonts w:ascii="宋体" w:hAnsi="宋体" w:eastAsia="宋体" w:cs="Arial"/>
          <w:sz w:val="36"/>
          <w:szCs w:val="36"/>
        </w:rPr>
      </w:pPr>
      <w:bookmarkStart w:id="4" w:name="_GoBack"/>
      <w:bookmarkEnd w:id="4"/>
      <w:bookmarkStart w:id="0" w:name="_Toc192586573"/>
      <w:bookmarkStart w:id="1" w:name="_Toc185679019"/>
      <w:r>
        <w:rPr>
          <w:rFonts w:ascii="宋体" w:hAnsi="宋体" w:eastAsia="宋体" w:cs="Arial"/>
          <w:sz w:val="36"/>
          <w:szCs w:val="36"/>
        </w:rPr>
        <w:t>华孚时尚股份有限公司</w:t>
      </w:r>
    </w:p>
    <w:p w14:paraId="60B767B3">
      <w:pPr>
        <w:pStyle w:val="2"/>
        <w:spacing w:before="0" w:after="0" w:line="360" w:lineRule="auto"/>
        <w:jc w:val="center"/>
        <w:rPr>
          <w:rFonts w:ascii="宋体" w:hAnsi="宋体" w:eastAsia="宋体" w:cs="Arial"/>
          <w:sz w:val="36"/>
          <w:szCs w:val="36"/>
        </w:rPr>
      </w:pPr>
      <w:r>
        <w:rPr>
          <w:rFonts w:ascii="宋体" w:hAnsi="宋体" w:eastAsia="宋体" w:cs="Arial"/>
          <w:sz w:val="36"/>
          <w:szCs w:val="36"/>
        </w:rPr>
        <w:t>关联交易</w:t>
      </w:r>
      <w:bookmarkEnd w:id="0"/>
      <w:bookmarkEnd w:id="1"/>
      <w:r>
        <w:rPr>
          <w:rFonts w:ascii="宋体" w:hAnsi="宋体" w:eastAsia="宋体" w:cs="Arial"/>
          <w:sz w:val="36"/>
          <w:szCs w:val="36"/>
        </w:rPr>
        <w:t>管理制度</w:t>
      </w:r>
    </w:p>
    <w:p w14:paraId="249F95BB">
      <w:pPr>
        <w:tabs>
          <w:tab w:val="left" w:pos="1620"/>
        </w:tabs>
        <w:spacing w:line="360" w:lineRule="auto"/>
        <w:rPr>
          <w:rFonts w:ascii="宋体" w:hAnsi="宋体" w:cs="Arial"/>
          <w:b/>
          <w:sz w:val="24"/>
        </w:rPr>
      </w:pPr>
    </w:p>
    <w:p w14:paraId="000343A9">
      <w:pPr>
        <w:widowControl/>
        <w:tabs>
          <w:tab w:val="left" w:pos="4320"/>
        </w:tabs>
        <w:spacing w:line="360" w:lineRule="auto"/>
        <w:jc w:val="center"/>
        <w:rPr>
          <w:rFonts w:ascii="宋体" w:hAnsi="宋体" w:cs="Arial"/>
          <w:b/>
          <w:kern w:val="0"/>
          <w:sz w:val="24"/>
        </w:rPr>
      </w:pPr>
      <w:r>
        <w:rPr>
          <w:rFonts w:ascii="宋体" w:hAnsi="宋体" w:cs="Arial"/>
          <w:b/>
          <w:kern w:val="0"/>
          <w:sz w:val="24"/>
        </w:rPr>
        <w:t>第一章 总则</w:t>
      </w:r>
    </w:p>
    <w:p w14:paraId="53CD2299">
      <w:pPr>
        <w:widowControl/>
        <w:tabs>
          <w:tab w:val="left" w:pos="4320"/>
        </w:tabs>
        <w:spacing w:line="360" w:lineRule="auto"/>
        <w:jc w:val="center"/>
        <w:rPr>
          <w:rFonts w:ascii="宋体" w:hAnsi="宋体" w:cs="Arial"/>
          <w:b/>
          <w:kern w:val="0"/>
          <w:sz w:val="24"/>
        </w:rPr>
      </w:pPr>
    </w:p>
    <w:p w14:paraId="2EAB061E">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为了规范华孚时尚股份有限公司（以下简称“公司”）的关联交易行为，保证公司与关联方所发生关联交易的合法性、公允性、合理性，充分保障股东、特别是中小股东和公司的合法权益，依据《中华人民共和国公司法》</w:t>
      </w:r>
      <w:r>
        <w:rPr>
          <w:rFonts w:hint="eastAsia" w:ascii="宋体" w:hAnsi="宋体" w:cs="Arial"/>
          <w:sz w:val="24"/>
        </w:rPr>
        <w:t>、《中华人民共和国证券法》《上市公司治理准则》《深圳证券交易所股票上市规则》</w:t>
      </w:r>
      <w:r>
        <w:rPr>
          <w:rFonts w:ascii="宋体" w:hAnsi="宋体" w:cs="Arial"/>
          <w:kern w:val="0"/>
          <w:sz w:val="24"/>
        </w:rPr>
        <w:t>（以下简称“《</w:t>
      </w:r>
      <w:r>
        <w:rPr>
          <w:rFonts w:hint="eastAsia" w:ascii="宋体" w:hAnsi="宋体" w:cs="Arial"/>
          <w:kern w:val="0"/>
          <w:sz w:val="24"/>
        </w:rPr>
        <w:t>股票上市规则</w:t>
      </w:r>
      <w:r>
        <w:rPr>
          <w:rFonts w:ascii="宋体" w:hAnsi="宋体" w:cs="Arial"/>
          <w:kern w:val="0"/>
          <w:sz w:val="24"/>
        </w:rPr>
        <w:t>》”）</w:t>
      </w:r>
      <w:r>
        <w:rPr>
          <w:rFonts w:hint="eastAsia" w:ascii="宋体" w:hAnsi="宋体" w:cs="Arial"/>
          <w:sz w:val="24"/>
        </w:rPr>
        <w:t>、《深圳证券交易所上市公司自律监管指引第</w:t>
      </w:r>
      <w:r>
        <w:rPr>
          <w:rFonts w:ascii="宋体" w:hAnsi="宋体" w:cs="Arial"/>
          <w:sz w:val="24"/>
        </w:rPr>
        <w:t>1</w:t>
      </w:r>
      <w:r>
        <w:rPr>
          <w:rFonts w:hint="eastAsia" w:ascii="宋体" w:hAnsi="宋体" w:cs="Arial"/>
          <w:sz w:val="24"/>
        </w:rPr>
        <w:t>号——主板上市公司规范运作》《深圳证券交易所上市公司自律监管指引第</w:t>
      </w:r>
      <w:r>
        <w:rPr>
          <w:rFonts w:ascii="宋体" w:hAnsi="宋体" w:cs="Arial"/>
          <w:sz w:val="24"/>
        </w:rPr>
        <w:t>7号——交易与关联交易</w:t>
      </w:r>
      <w:r>
        <w:rPr>
          <w:rFonts w:hint="eastAsia" w:ascii="宋体" w:hAnsi="宋体" w:cs="Arial"/>
          <w:sz w:val="24"/>
        </w:rPr>
        <w:t>》</w:t>
      </w:r>
      <w:r>
        <w:rPr>
          <w:rFonts w:ascii="宋体" w:hAnsi="宋体" w:cs="Arial"/>
          <w:sz w:val="24"/>
        </w:rPr>
        <w:t>等有关法律、法规</w:t>
      </w:r>
      <w:r>
        <w:rPr>
          <w:rFonts w:ascii="宋体" w:hAnsi="宋体" w:cs="Arial"/>
          <w:kern w:val="0"/>
          <w:sz w:val="24"/>
        </w:rPr>
        <w:t>、规章、规范性文件和《华孚时尚股份有限公司章程》（以下简称“《公司章程》”）等有关规定，制定本制度。</w:t>
      </w:r>
    </w:p>
    <w:p w14:paraId="2A2BFF88">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关联交易是指公司或者其子公司与公司关联人之间发生的转移资源或义务的事项。</w:t>
      </w:r>
    </w:p>
    <w:p w14:paraId="7DB19D4C">
      <w:pPr>
        <w:widowControl/>
        <w:numPr>
          <w:ilvl w:val="0"/>
          <w:numId w:val="1"/>
        </w:numPr>
        <w:tabs>
          <w:tab w:val="left" w:pos="0"/>
          <w:tab w:val="left" w:pos="1666"/>
        </w:tabs>
        <w:spacing w:line="360" w:lineRule="auto"/>
        <w:ind w:left="0" w:firstLine="476"/>
        <w:rPr>
          <w:rFonts w:hint="eastAsia" w:ascii="宋体" w:hAnsi="宋体" w:cs="Arial"/>
          <w:kern w:val="0"/>
          <w:sz w:val="24"/>
        </w:rPr>
      </w:pPr>
      <w:r>
        <w:rPr>
          <w:rFonts w:ascii="宋体" w:hAnsi="宋体" w:cs="Arial"/>
          <w:kern w:val="0"/>
          <w:sz w:val="24"/>
        </w:rPr>
        <w:t>公司进行关联交易，应当保证关联交易的合法合规性、必要性和公允性，保持公司的独立性，不得利用关联交易调节财务指标，损害公司利益。交易各方不得隐瞒关联关系或者采取其他手段，规避公司的关联交易审议程序和信息披露义务。相关关联交易</w:t>
      </w:r>
      <w:r>
        <w:rPr>
          <w:rFonts w:hint="eastAsia" w:ascii="宋体" w:hAnsi="宋体" w:cs="Arial"/>
          <w:kern w:val="0"/>
          <w:sz w:val="24"/>
        </w:rPr>
        <w:t>不得存在导致或者可能导致公司出现被控股股东、实际控制人及其他关联人非经营性资金占用、为关联人违规提供担保或者其他被关联人侵占利益的情形。</w:t>
      </w:r>
    </w:p>
    <w:p w14:paraId="0A5EEF5B">
      <w:pPr>
        <w:widowControl/>
        <w:spacing w:line="360" w:lineRule="auto"/>
        <w:rPr>
          <w:rFonts w:ascii="宋体" w:hAnsi="宋体" w:cs="Arial"/>
          <w:kern w:val="0"/>
          <w:sz w:val="24"/>
        </w:rPr>
      </w:pPr>
    </w:p>
    <w:p w14:paraId="5AB058B0">
      <w:pPr>
        <w:widowControl/>
        <w:tabs>
          <w:tab w:val="left" w:pos="4320"/>
        </w:tabs>
        <w:spacing w:line="360" w:lineRule="auto"/>
        <w:jc w:val="center"/>
        <w:rPr>
          <w:rFonts w:ascii="宋体" w:hAnsi="宋体" w:cs="Arial"/>
          <w:b/>
          <w:kern w:val="0"/>
          <w:sz w:val="24"/>
        </w:rPr>
      </w:pPr>
      <w:r>
        <w:rPr>
          <w:rFonts w:ascii="宋体" w:hAnsi="宋体" w:cs="Arial"/>
          <w:b/>
          <w:kern w:val="0"/>
          <w:sz w:val="24"/>
        </w:rPr>
        <w:t>第二章 关联人和关联关系的界定</w:t>
      </w:r>
    </w:p>
    <w:p w14:paraId="02C329FA">
      <w:pPr>
        <w:widowControl/>
        <w:tabs>
          <w:tab w:val="left" w:pos="4320"/>
        </w:tabs>
        <w:spacing w:line="360" w:lineRule="auto"/>
        <w:rPr>
          <w:rFonts w:ascii="宋体" w:hAnsi="宋体" w:cs="Arial"/>
          <w:b/>
          <w:kern w:val="0"/>
          <w:sz w:val="24"/>
        </w:rPr>
      </w:pPr>
    </w:p>
    <w:p w14:paraId="13B57C9C">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公司的关联人分为关联法人</w:t>
      </w:r>
      <w:r>
        <w:rPr>
          <w:rFonts w:hint="eastAsia" w:ascii="宋体" w:hAnsi="宋体" w:cs="Arial"/>
          <w:kern w:val="0"/>
          <w:sz w:val="24"/>
        </w:rPr>
        <w:t>（或者其他组织）</w:t>
      </w:r>
      <w:r>
        <w:rPr>
          <w:rFonts w:ascii="宋体" w:hAnsi="宋体" w:cs="Arial"/>
          <w:kern w:val="0"/>
          <w:sz w:val="24"/>
        </w:rPr>
        <w:t>和关联自然人</w:t>
      </w:r>
      <w:r>
        <w:rPr>
          <w:rFonts w:hint="eastAsia" w:ascii="宋体" w:hAnsi="宋体" w:cs="Arial"/>
          <w:kern w:val="0"/>
          <w:sz w:val="24"/>
        </w:rPr>
        <w:t>。</w:t>
      </w:r>
    </w:p>
    <w:p w14:paraId="5F7AF7F7">
      <w:pPr>
        <w:widowControl/>
        <w:spacing w:line="360" w:lineRule="auto"/>
        <w:ind w:left="479" w:leftChars="228"/>
        <w:rPr>
          <w:rFonts w:ascii="宋体" w:hAnsi="宋体" w:cs="Arial"/>
          <w:kern w:val="0"/>
          <w:sz w:val="24"/>
        </w:rPr>
      </w:pPr>
      <w:r>
        <w:rPr>
          <w:rFonts w:ascii="宋体" w:hAnsi="宋体" w:cs="Arial"/>
          <w:kern w:val="0"/>
          <w:sz w:val="24"/>
        </w:rPr>
        <w:t>具有以下情形之一的法人，为公司的关联法人</w:t>
      </w:r>
      <w:r>
        <w:rPr>
          <w:rFonts w:hint="eastAsia" w:ascii="宋体" w:hAnsi="宋体" w:cs="Arial"/>
          <w:kern w:val="0"/>
          <w:sz w:val="24"/>
        </w:rPr>
        <w:t>（或者其他组织）</w:t>
      </w:r>
      <w:r>
        <w:rPr>
          <w:rFonts w:ascii="宋体" w:hAnsi="宋体" w:cs="Arial"/>
          <w:kern w:val="0"/>
          <w:sz w:val="24"/>
        </w:rPr>
        <w:t>：</w:t>
      </w:r>
    </w:p>
    <w:p w14:paraId="613210AF">
      <w:pPr>
        <w:widowControl/>
        <w:spacing w:line="360" w:lineRule="auto"/>
        <w:ind w:left="479" w:leftChars="228"/>
        <w:rPr>
          <w:rFonts w:ascii="宋体" w:hAnsi="宋体" w:cs="Arial"/>
          <w:kern w:val="0"/>
          <w:sz w:val="24"/>
        </w:rPr>
      </w:pPr>
      <w:r>
        <w:rPr>
          <w:rFonts w:hint="eastAsia" w:ascii="宋体" w:hAnsi="宋体" w:cs="Arial"/>
          <w:kern w:val="0"/>
          <w:sz w:val="24"/>
        </w:rPr>
        <w:t>（一）</w:t>
      </w:r>
      <w:r>
        <w:rPr>
          <w:rFonts w:ascii="宋体" w:hAnsi="宋体" w:cs="Arial"/>
          <w:kern w:val="0"/>
          <w:sz w:val="24"/>
        </w:rPr>
        <w:t>直接或者间接</w:t>
      </w:r>
      <w:r>
        <w:rPr>
          <w:rFonts w:hint="eastAsia" w:ascii="宋体" w:hAnsi="宋体" w:cs="Arial"/>
          <w:kern w:val="0"/>
          <w:sz w:val="24"/>
        </w:rPr>
        <w:t>地</w:t>
      </w:r>
      <w:r>
        <w:rPr>
          <w:rFonts w:ascii="宋体" w:hAnsi="宋体" w:cs="Arial"/>
          <w:kern w:val="0"/>
          <w:sz w:val="24"/>
        </w:rPr>
        <w:t>控制公司的法人</w:t>
      </w:r>
      <w:r>
        <w:rPr>
          <w:rFonts w:hint="eastAsia" w:ascii="宋体" w:hAnsi="宋体" w:cs="Arial"/>
          <w:kern w:val="0"/>
          <w:sz w:val="24"/>
        </w:rPr>
        <w:t>（</w:t>
      </w:r>
      <w:r>
        <w:rPr>
          <w:rFonts w:ascii="宋体" w:hAnsi="宋体" w:cs="Arial"/>
          <w:kern w:val="0"/>
          <w:sz w:val="24"/>
        </w:rPr>
        <w:t>或</w:t>
      </w:r>
      <w:r>
        <w:rPr>
          <w:rFonts w:hint="eastAsia" w:ascii="宋体" w:hAnsi="宋体" w:cs="Arial"/>
          <w:kern w:val="0"/>
          <w:sz w:val="24"/>
        </w:rPr>
        <w:t>者</w:t>
      </w:r>
      <w:r>
        <w:rPr>
          <w:rFonts w:ascii="宋体" w:hAnsi="宋体" w:cs="Arial"/>
          <w:kern w:val="0"/>
          <w:sz w:val="24"/>
        </w:rPr>
        <w:t>其他组织</w:t>
      </w:r>
      <w:r>
        <w:rPr>
          <w:rFonts w:hint="eastAsia" w:ascii="宋体" w:hAnsi="宋体" w:cs="Arial"/>
          <w:kern w:val="0"/>
          <w:sz w:val="24"/>
        </w:rPr>
        <w:t>）</w:t>
      </w:r>
      <w:r>
        <w:rPr>
          <w:rFonts w:ascii="宋体" w:hAnsi="宋体" w:cs="Arial"/>
          <w:kern w:val="0"/>
          <w:sz w:val="24"/>
        </w:rPr>
        <w:t>；</w:t>
      </w:r>
    </w:p>
    <w:p w14:paraId="09D227A3">
      <w:pPr>
        <w:widowControl/>
        <w:spacing w:line="360" w:lineRule="auto"/>
        <w:ind w:firstLine="475" w:firstLineChars="198"/>
        <w:rPr>
          <w:rFonts w:ascii="宋体" w:hAnsi="宋体" w:cs="Arial"/>
          <w:kern w:val="0"/>
          <w:sz w:val="24"/>
        </w:rPr>
      </w:pPr>
      <w:r>
        <w:rPr>
          <w:rFonts w:hint="eastAsia" w:ascii="宋体" w:hAnsi="宋体" w:cs="Arial"/>
          <w:kern w:val="0"/>
          <w:sz w:val="24"/>
        </w:rPr>
        <w:t>（二）</w:t>
      </w:r>
      <w:r>
        <w:rPr>
          <w:rFonts w:ascii="宋体" w:hAnsi="宋体" w:cs="Arial"/>
          <w:kern w:val="0"/>
          <w:sz w:val="24"/>
        </w:rPr>
        <w:t>由前项所述法人</w:t>
      </w:r>
      <w:r>
        <w:rPr>
          <w:rFonts w:hint="eastAsia" w:ascii="宋体" w:hAnsi="宋体" w:cs="Arial"/>
          <w:kern w:val="0"/>
          <w:sz w:val="24"/>
        </w:rPr>
        <w:t>（</w:t>
      </w:r>
      <w:r>
        <w:rPr>
          <w:rFonts w:ascii="宋体" w:hAnsi="宋体" w:cs="Arial"/>
          <w:kern w:val="0"/>
          <w:sz w:val="24"/>
        </w:rPr>
        <w:t>或</w:t>
      </w:r>
      <w:r>
        <w:rPr>
          <w:rFonts w:hint="eastAsia" w:ascii="宋体" w:hAnsi="宋体" w:cs="Arial"/>
          <w:kern w:val="0"/>
          <w:sz w:val="24"/>
        </w:rPr>
        <w:t>者</w:t>
      </w:r>
      <w:r>
        <w:rPr>
          <w:rFonts w:ascii="宋体" w:hAnsi="宋体" w:cs="Arial"/>
          <w:kern w:val="0"/>
          <w:sz w:val="24"/>
        </w:rPr>
        <w:t>其他组织</w:t>
      </w:r>
      <w:r>
        <w:rPr>
          <w:rFonts w:hint="eastAsia" w:ascii="宋体" w:hAnsi="宋体" w:cs="Arial"/>
          <w:kern w:val="0"/>
          <w:sz w:val="24"/>
        </w:rPr>
        <w:t>）</w:t>
      </w:r>
      <w:r>
        <w:rPr>
          <w:rFonts w:ascii="宋体" w:hAnsi="宋体" w:cs="Arial"/>
          <w:kern w:val="0"/>
          <w:sz w:val="24"/>
        </w:rPr>
        <w:t>直接或者间接控制的除本公司及子公司以外的法人</w:t>
      </w:r>
      <w:r>
        <w:rPr>
          <w:rFonts w:hint="eastAsia" w:ascii="宋体" w:hAnsi="宋体" w:cs="Arial"/>
          <w:kern w:val="0"/>
          <w:sz w:val="24"/>
        </w:rPr>
        <w:t>（</w:t>
      </w:r>
      <w:r>
        <w:rPr>
          <w:rFonts w:ascii="宋体" w:hAnsi="宋体" w:cs="Arial"/>
          <w:kern w:val="0"/>
          <w:sz w:val="24"/>
        </w:rPr>
        <w:t>或</w:t>
      </w:r>
      <w:r>
        <w:rPr>
          <w:rFonts w:hint="eastAsia" w:ascii="宋体" w:hAnsi="宋体" w:cs="Arial"/>
          <w:kern w:val="0"/>
          <w:sz w:val="24"/>
        </w:rPr>
        <w:t>者</w:t>
      </w:r>
      <w:r>
        <w:rPr>
          <w:rFonts w:ascii="宋体" w:hAnsi="宋体" w:cs="Arial"/>
          <w:kern w:val="0"/>
          <w:sz w:val="24"/>
        </w:rPr>
        <w:t>其他组织</w:t>
      </w:r>
      <w:r>
        <w:rPr>
          <w:rFonts w:hint="eastAsia" w:ascii="宋体" w:hAnsi="宋体" w:cs="Arial"/>
          <w:kern w:val="0"/>
          <w:sz w:val="24"/>
        </w:rPr>
        <w:t>）</w:t>
      </w:r>
      <w:r>
        <w:rPr>
          <w:rFonts w:ascii="宋体" w:hAnsi="宋体" w:cs="Arial"/>
          <w:kern w:val="0"/>
          <w:sz w:val="24"/>
        </w:rPr>
        <w:t>；</w:t>
      </w:r>
    </w:p>
    <w:p w14:paraId="19943F47">
      <w:pPr>
        <w:widowControl/>
        <w:spacing w:line="360" w:lineRule="auto"/>
        <w:ind w:left="479" w:leftChars="228"/>
        <w:rPr>
          <w:rFonts w:ascii="宋体" w:hAnsi="宋体" w:cs="Arial"/>
          <w:kern w:val="0"/>
          <w:sz w:val="24"/>
        </w:rPr>
      </w:pPr>
      <w:r>
        <w:rPr>
          <w:rFonts w:hint="eastAsia" w:ascii="宋体" w:hAnsi="宋体" w:cs="Arial"/>
          <w:kern w:val="0"/>
          <w:sz w:val="24"/>
        </w:rPr>
        <w:t>（三）</w:t>
      </w:r>
      <w:r>
        <w:rPr>
          <w:rFonts w:ascii="宋体" w:hAnsi="宋体" w:cs="Arial"/>
          <w:kern w:val="0"/>
          <w:sz w:val="24"/>
        </w:rPr>
        <w:t>持有公司5%以上股份的法人</w:t>
      </w:r>
      <w:r>
        <w:rPr>
          <w:rFonts w:hint="eastAsia" w:ascii="宋体" w:hAnsi="宋体" w:cs="Arial"/>
          <w:kern w:val="0"/>
          <w:sz w:val="24"/>
        </w:rPr>
        <w:t>（</w:t>
      </w:r>
      <w:r>
        <w:rPr>
          <w:rFonts w:ascii="宋体" w:hAnsi="宋体" w:cs="Arial"/>
          <w:kern w:val="0"/>
          <w:sz w:val="24"/>
        </w:rPr>
        <w:t>或</w:t>
      </w:r>
      <w:r>
        <w:rPr>
          <w:rFonts w:hint="eastAsia" w:ascii="宋体" w:hAnsi="宋体" w:cs="Arial"/>
          <w:kern w:val="0"/>
          <w:sz w:val="24"/>
        </w:rPr>
        <w:t>者</w:t>
      </w:r>
      <w:r>
        <w:rPr>
          <w:rFonts w:ascii="宋体" w:hAnsi="宋体" w:cs="Arial"/>
          <w:kern w:val="0"/>
          <w:sz w:val="24"/>
        </w:rPr>
        <w:t>其他组织</w:t>
      </w:r>
      <w:r>
        <w:rPr>
          <w:rFonts w:hint="eastAsia" w:ascii="宋体" w:hAnsi="宋体" w:cs="Arial"/>
          <w:kern w:val="0"/>
          <w:sz w:val="24"/>
        </w:rPr>
        <w:t>）</w:t>
      </w:r>
      <w:r>
        <w:rPr>
          <w:rFonts w:ascii="宋体" w:hAnsi="宋体" w:cs="Arial"/>
          <w:kern w:val="0"/>
          <w:sz w:val="24"/>
        </w:rPr>
        <w:t>及其一致行动人；</w:t>
      </w:r>
    </w:p>
    <w:p w14:paraId="063BCAAC">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（四）</w:t>
      </w:r>
      <w:r>
        <w:rPr>
          <w:rFonts w:ascii="宋体" w:hAnsi="宋体" w:cs="Arial"/>
          <w:kern w:val="0"/>
          <w:sz w:val="24"/>
        </w:rPr>
        <w:t>由公司关联自然人直接或者间接控制的，或者担任董事</w:t>
      </w:r>
      <w:r>
        <w:rPr>
          <w:rFonts w:hint="eastAsia" w:ascii="宋体" w:hAnsi="宋体" w:cs="Arial"/>
          <w:kern w:val="0"/>
          <w:sz w:val="24"/>
        </w:rPr>
        <w:t>（不含同为双方的独立董事）</w:t>
      </w:r>
      <w:r>
        <w:rPr>
          <w:rFonts w:ascii="宋体" w:hAnsi="宋体" w:cs="Arial"/>
          <w:kern w:val="0"/>
          <w:sz w:val="24"/>
        </w:rPr>
        <w:t>、高级管理人员的，除公司及</w:t>
      </w:r>
      <w:r>
        <w:rPr>
          <w:rFonts w:hint="eastAsia" w:ascii="宋体" w:hAnsi="宋体" w:cs="Arial"/>
          <w:kern w:val="0"/>
          <w:sz w:val="24"/>
        </w:rPr>
        <w:t>其控股</w:t>
      </w:r>
      <w:r>
        <w:rPr>
          <w:rFonts w:ascii="宋体" w:hAnsi="宋体" w:cs="Arial"/>
          <w:kern w:val="0"/>
          <w:sz w:val="24"/>
        </w:rPr>
        <w:t>子公司以外的法人</w:t>
      </w:r>
      <w:r>
        <w:rPr>
          <w:rFonts w:hint="eastAsia" w:ascii="宋体" w:hAnsi="宋体" w:cs="Arial"/>
          <w:kern w:val="0"/>
          <w:sz w:val="24"/>
        </w:rPr>
        <w:t>（</w:t>
      </w:r>
      <w:r>
        <w:rPr>
          <w:rFonts w:ascii="宋体" w:hAnsi="宋体" w:cs="Arial"/>
          <w:kern w:val="0"/>
          <w:sz w:val="24"/>
        </w:rPr>
        <w:t>或其他组织</w:t>
      </w:r>
      <w:r>
        <w:rPr>
          <w:rFonts w:hint="eastAsia" w:ascii="宋体" w:hAnsi="宋体" w:cs="Arial"/>
          <w:kern w:val="0"/>
          <w:sz w:val="24"/>
        </w:rPr>
        <w:t>）。</w:t>
      </w:r>
    </w:p>
    <w:p w14:paraId="3D1B4105">
      <w:pPr>
        <w:widowControl/>
        <w:spacing w:line="360" w:lineRule="auto"/>
        <w:ind w:left="951" w:leftChars="228" w:hanging="472" w:hangingChars="197"/>
        <w:rPr>
          <w:rFonts w:ascii="宋体" w:hAnsi="宋体" w:cs="Arial"/>
          <w:kern w:val="0"/>
          <w:sz w:val="24"/>
        </w:rPr>
      </w:pPr>
      <w:r>
        <w:rPr>
          <w:rFonts w:ascii="宋体" w:hAnsi="宋体" w:cs="Arial"/>
          <w:kern w:val="0"/>
          <w:sz w:val="24"/>
        </w:rPr>
        <w:t>具有以下情形之一的自然人，为公司的关联自然人：</w:t>
      </w:r>
    </w:p>
    <w:p w14:paraId="53757031">
      <w:pPr>
        <w:widowControl/>
        <w:spacing w:line="360" w:lineRule="auto"/>
        <w:ind w:left="479" w:leftChars="228"/>
        <w:rPr>
          <w:rFonts w:ascii="宋体" w:hAnsi="宋体" w:cs="Arial"/>
          <w:kern w:val="0"/>
          <w:sz w:val="24"/>
        </w:rPr>
      </w:pPr>
      <w:r>
        <w:rPr>
          <w:rFonts w:hint="eastAsia" w:ascii="宋体" w:hAnsi="宋体" w:cs="Arial"/>
          <w:kern w:val="0"/>
          <w:sz w:val="24"/>
        </w:rPr>
        <w:t>（一）</w:t>
      </w:r>
      <w:r>
        <w:rPr>
          <w:rFonts w:ascii="宋体" w:hAnsi="宋体" w:cs="Arial"/>
          <w:kern w:val="0"/>
          <w:sz w:val="24"/>
        </w:rPr>
        <w:t>直接或间接持有公司5%以上股份的自然人；</w:t>
      </w:r>
    </w:p>
    <w:p w14:paraId="4FE8E5E4">
      <w:pPr>
        <w:widowControl/>
        <w:spacing w:line="360" w:lineRule="auto"/>
        <w:ind w:left="479" w:leftChars="228"/>
        <w:rPr>
          <w:rFonts w:ascii="宋体" w:hAnsi="宋体" w:cs="Arial"/>
          <w:kern w:val="0"/>
          <w:sz w:val="24"/>
        </w:rPr>
      </w:pPr>
      <w:r>
        <w:rPr>
          <w:rFonts w:hint="eastAsia" w:ascii="宋体" w:hAnsi="宋体" w:cs="Arial"/>
          <w:kern w:val="0"/>
          <w:sz w:val="24"/>
        </w:rPr>
        <w:t>（二）</w:t>
      </w:r>
      <w:r>
        <w:rPr>
          <w:rFonts w:ascii="宋体" w:hAnsi="宋体" w:cs="Arial"/>
          <w:kern w:val="0"/>
          <w:sz w:val="24"/>
        </w:rPr>
        <w:t>公司董事和高级管理人员；</w:t>
      </w:r>
    </w:p>
    <w:p w14:paraId="2684C818">
      <w:pPr>
        <w:widowControl/>
        <w:spacing w:line="360" w:lineRule="auto"/>
        <w:ind w:firstLine="480" w:firstLineChars="200"/>
        <w:rPr>
          <w:rFonts w:ascii="宋体" w:hAnsi="宋体" w:cs="Arial"/>
          <w:kern w:val="0"/>
          <w:sz w:val="24"/>
        </w:rPr>
      </w:pPr>
      <w:r>
        <w:rPr>
          <w:rFonts w:hint="eastAsia" w:ascii="宋体" w:hAnsi="宋体" w:cs="Arial"/>
          <w:kern w:val="0"/>
          <w:sz w:val="24"/>
        </w:rPr>
        <w:t>（三）直接或者间接地控制公司的法人（或者其他组织）</w:t>
      </w:r>
      <w:r>
        <w:rPr>
          <w:rFonts w:ascii="宋体" w:hAnsi="宋体" w:cs="Arial"/>
          <w:kern w:val="0"/>
          <w:sz w:val="24"/>
        </w:rPr>
        <w:t>的董事、监事和高级管理人员；</w:t>
      </w:r>
    </w:p>
    <w:p w14:paraId="0F986B57">
      <w:pPr>
        <w:widowControl/>
        <w:spacing w:line="360" w:lineRule="auto"/>
        <w:ind w:firstLine="480" w:firstLineChars="200"/>
        <w:rPr>
          <w:rFonts w:ascii="宋体" w:hAnsi="宋体" w:cs="Arial"/>
          <w:kern w:val="0"/>
          <w:sz w:val="24"/>
        </w:rPr>
      </w:pPr>
      <w:r>
        <w:rPr>
          <w:rFonts w:hint="eastAsia" w:ascii="宋体" w:hAnsi="宋体" w:cs="Arial"/>
          <w:kern w:val="0"/>
          <w:sz w:val="24"/>
        </w:rPr>
        <w:t>（四）</w:t>
      </w:r>
      <w:r>
        <w:rPr>
          <w:rFonts w:ascii="宋体" w:hAnsi="宋体" w:cs="Arial"/>
          <w:kern w:val="0"/>
          <w:sz w:val="24"/>
        </w:rPr>
        <w:t>本款第1项和第2项所述人士的关系密切的家庭成员</w:t>
      </w:r>
      <w:r>
        <w:rPr>
          <w:rFonts w:hint="eastAsia" w:ascii="宋体" w:hAnsi="宋体" w:cs="Arial"/>
          <w:kern w:val="0"/>
          <w:sz w:val="24"/>
        </w:rPr>
        <w:t>。</w:t>
      </w:r>
    </w:p>
    <w:p w14:paraId="3764D111">
      <w:pPr>
        <w:widowControl/>
        <w:spacing w:line="360" w:lineRule="auto"/>
        <w:ind w:firstLine="480" w:firstLineChars="200"/>
        <w:rPr>
          <w:rFonts w:ascii="宋体" w:hAnsi="宋体" w:cs="Arial"/>
          <w:kern w:val="0"/>
          <w:sz w:val="24"/>
        </w:rPr>
      </w:pPr>
      <w:r>
        <w:rPr>
          <w:rFonts w:hint="eastAsia" w:ascii="宋体" w:hAnsi="宋体" w:cs="Arial"/>
          <w:kern w:val="0"/>
          <w:sz w:val="24"/>
        </w:rPr>
        <w:t>在过去十二个月内或者根据相关协议安排在未来十二个月内，存在本条第二款或第三款所述情形之一的法人（或者其他组织）、自然人，为公司的关联人。</w:t>
      </w:r>
    </w:p>
    <w:p w14:paraId="227A2415">
      <w:pPr>
        <w:widowControl/>
        <w:spacing w:line="360" w:lineRule="auto"/>
        <w:ind w:firstLine="480" w:firstLineChars="200"/>
        <w:rPr>
          <w:rFonts w:hint="eastAsia" w:ascii="宋体" w:hAnsi="宋体" w:cs="Arial"/>
          <w:kern w:val="0"/>
          <w:sz w:val="24"/>
        </w:rPr>
      </w:pPr>
      <w:r>
        <w:rPr>
          <w:rFonts w:hint="eastAsia" w:ascii="宋体" w:hAnsi="宋体" w:cs="Arial"/>
          <w:kern w:val="0"/>
          <w:sz w:val="24"/>
        </w:rPr>
        <w:t>中国证券监督管理委员会（以下简称“中国证监会”）、深圳证券交易所或者公司根据实质重于形式的原则，认定其他与公司有特殊关系、可能或者已经造成公司对其利益倾斜的自然人、法人（或者其他组织），为公司的关联人。</w:t>
      </w:r>
    </w:p>
    <w:p w14:paraId="1DC81C1A">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公司应确定公司关联方的名单</w:t>
      </w:r>
      <w:r>
        <w:rPr>
          <w:rFonts w:hint="eastAsia" w:ascii="宋体" w:hAnsi="宋体" w:cs="Arial"/>
          <w:kern w:val="0"/>
          <w:sz w:val="24"/>
        </w:rPr>
        <w:t>并向深圳证券交易所报备</w:t>
      </w:r>
      <w:r>
        <w:rPr>
          <w:rFonts w:ascii="宋体" w:hAnsi="宋体" w:cs="Arial"/>
          <w:kern w:val="0"/>
          <w:sz w:val="24"/>
        </w:rPr>
        <w:t>，确保关联方名单真实、准确、完整。关联</w:t>
      </w:r>
      <w:r>
        <w:rPr>
          <w:rFonts w:hint="eastAsia" w:ascii="宋体" w:hAnsi="宋体" w:cs="Arial"/>
          <w:kern w:val="0"/>
          <w:sz w:val="24"/>
        </w:rPr>
        <w:t>方</w:t>
      </w:r>
      <w:r>
        <w:rPr>
          <w:rFonts w:ascii="宋体" w:hAnsi="宋体" w:cs="Arial"/>
          <w:kern w:val="0"/>
          <w:sz w:val="24"/>
        </w:rPr>
        <w:t>及其信息发生变化的，公司应当在二个交易日内进行更新。</w:t>
      </w:r>
    </w:p>
    <w:p w14:paraId="62B17169">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公司及子公司在发生交易活动时，相关责任人应仔细查阅关联方名单，审慎判断是否构成关联交易。如构成关联交易，应在各自权限内履行审批、报告义务。</w:t>
      </w:r>
    </w:p>
    <w:p w14:paraId="239564B9">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公司应对关联关系对公司的控制和影响的方式、途径、程度及可能的结果等方面做出实质性判断，并作出不损害公司利益的选择。</w:t>
      </w:r>
    </w:p>
    <w:p w14:paraId="6F598453">
      <w:pPr>
        <w:widowControl/>
        <w:spacing w:line="360" w:lineRule="auto"/>
        <w:rPr>
          <w:rFonts w:ascii="宋体" w:hAnsi="宋体" w:cs="Arial"/>
          <w:b/>
          <w:kern w:val="0"/>
          <w:sz w:val="24"/>
        </w:rPr>
      </w:pPr>
    </w:p>
    <w:p w14:paraId="388A1189">
      <w:pPr>
        <w:widowControl/>
        <w:spacing w:line="360" w:lineRule="auto"/>
        <w:jc w:val="center"/>
        <w:rPr>
          <w:rFonts w:ascii="宋体" w:hAnsi="宋体" w:cs="Arial"/>
          <w:b/>
          <w:kern w:val="0"/>
          <w:sz w:val="24"/>
        </w:rPr>
      </w:pPr>
      <w:r>
        <w:rPr>
          <w:rFonts w:ascii="宋体" w:hAnsi="宋体" w:cs="Arial"/>
          <w:b/>
          <w:kern w:val="0"/>
          <w:sz w:val="24"/>
        </w:rPr>
        <w:t>第三章 关联交易范围</w:t>
      </w:r>
    </w:p>
    <w:p w14:paraId="785882DB">
      <w:pPr>
        <w:widowControl/>
        <w:spacing w:line="360" w:lineRule="auto"/>
        <w:jc w:val="center"/>
        <w:rPr>
          <w:rFonts w:ascii="宋体" w:hAnsi="宋体" w:cs="Arial"/>
          <w:b/>
          <w:kern w:val="0"/>
          <w:sz w:val="24"/>
        </w:rPr>
      </w:pPr>
    </w:p>
    <w:p w14:paraId="755C1141">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关联交易包括但不限于：</w:t>
      </w:r>
    </w:p>
    <w:p w14:paraId="4776C891">
      <w:pPr>
        <w:widowControl/>
        <w:numPr>
          <w:ilvl w:val="0"/>
          <w:numId w:val="2"/>
        </w:numPr>
        <w:spacing w:line="360" w:lineRule="auto"/>
        <w:rPr>
          <w:rFonts w:ascii="宋体" w:hAnsi="宋体" w:cs="Arial"/>
          <w:kern w:val="0"/>
          <w:sz w:val="24"/>
        </w:rPr>
      </w:pPr>
      <w:r>
        <w:rPr>
          <w:rFonts w:ascii="宋体" w:hAnsi="宋体" w:cs="Arial"/>
          <w:kern w:val="0"/>
          <w:sz w:val="24"/>
        </w:rPr>
        <w:t>购买</w:t>
      </w:r>
      <w:r>
        <w:rPr>
          <w:rFonts w:hint="eastAsia" w:ascii="宋体" w:hAnsi="宋体" w:cs="Arial"/>
          <w:kern w:val="0"/>
          <w:sz w:val="24"/>
        </w:rPr>
        <w:t>资产；</w:t>
      </w:r>
    </w:p>
    <w:p w14:paraId="19CD2C6C">
      <w:pPr>
        <w:widowControl/>
        <w:numPr>
          <w:ilvl w:val="0"/>
          <w:numId w:val="2"/>
        </w:numPr>
        <w:spacing w:line="360" w:lineRule="auto"/>
        <w:rPr>
          <w:rFonts w:ascii="宋体" w:hAnsi="宋体" w:cs="Arial"/>
          <w:kern w:val="0"/>
          <w:sz w:val="24"/>
        </w:rPr>
      </w:pPr>
      <w:r>
        <w:rPr>
          <w:rFonts w:ascii="宋体" w:hAnsi="宋体" w:cs="Arial"/>
          <w:kern w:val="0"/>
          <w:sz w:val="24"/>
        </w:rPr>
        <w:t xml:space="preserve">出售资产； </w:t>
      </w:r>
    </w:p>
    <w:p w14:paraId="12F8AB4D">
      <w:pPr>
        <w:widowControl/>
        <w:spacing w:line="360" w:lineRule="auto"/>
        <w:ind w:left="839" w:leftChars="228" w:hanging="360" w:hangingChars="150"/>
        <w:rPr>
          <w:rFonts w:ascii="宋体" w:hAnsi="宋体" w:cs="Arial"/>
          <w:kern w:val="0"/>
          <w:sz w:val="24"/>
        </w:rPr>
      </w:pPr>
      <w:r>
        <w:rPr>
          <w:rFonts w:ascii="宋体" w:hAnsi="宋体" w:cs="Arial"/>
          <w:kern w:val="0"/>
          <w:sz w:val="24"/>
        </w:rPr>
        <w:t>（</w:t>
      </w:r>
      <w:r>
        <w:rPr>
          <w:rFonts w:hint="eastAsia" w:ascii="宋体" w:hAnsi="宋体" w:cs="Arial"/>
          <w:kern w:val="0"/>
          <w:sz w:val="24"/>
        </w:rPr>
        <w:t>三</w:t>
      </w:r>
      <w:r>
        <w:rPr>
          <w:rFonts w:ascii="宋体" w:hAnsi="宋体" w:cs="Arial"/>
          <w:kern w:val="0"/>
          <w:sz w:val="24"/>
        </w:rPr>
        <w:t>）对外投资（</w:t>
      </w:r>
      <w:r>
        <w:rPr>
          <w:rFonts w:hint="eastAsia" w:ascii="宋体" w:hAnsi="宋体" w:cs="Arial"/>
          <w:kern w:val="0"/>
          <w:sz w:val="24"/>
        </w:rPr>
        <w:t>含委托理财、对子公司投资等</w:t>
      </w:r>
      <w:r>
        <w:rPr>
          <w:rFonts w:ascii="宋体" w:hAnsi="宋体" w:cs="Arial"/>
          <w:kern w:val="0"/>
          <w:sz w:val="24"/>
        </w:rPr>
        <w:t>）；</w:t>
      </w:r>
    </w:p>
    <w:p w14:paraId="0E15BC81">
      <w:pPr>
        <w:widowControl/>
        <w:spacing w:line="360" w:lineRule="auto"/>
        <w:ind w:left="479" w:leftChars="228"/>
        <w:rPr>
          <w:rFonts w:ascii="宋体" w:hAnsi="宋体" w:cs="Arial"/>
          <w:kern w:val="0"/>
          <w:sz w:val="24"/>
        </w:rPr>
      </w:pPr>
      <w:r>
        <w:rPr>
          <w:rFonts w:ascii="宋体" w:hAnsi="宋体" w:cs="Arial"/>
          <w:kern w:val="0"/>
          <w:sz w:val="24"/>
        </w:rPr>
        <w:t>（</w:t>
      </w:r>
      <w:r>
        <w:rPr>
          <w:rFonts w:hint="eastAsia" w:ascii="宋体" w:hAnsi="宋体" w:cs="Arial"/>
          <w:kern w:val="0"/>
          <w:sz w:val="24"/>
        </w:rPr>
        <w:t>四</w:t>
      </w:r>
      <w:r>
        <w:rPr>
          <w:rFonts w:ascii="宋体" w:hAnsi="宋体" w:cs="Arial"/>
          <w:kern w:val="0"/>
          <w:sz w:val="24"/>
        </w:rPr>
        <w:t>）提供财务资助</w:t>
      </w:r>
      <w:r>
        <w:rPr>
          <w:rFonts w:hint="eastAsia" w:ascii="宋体" w:hAnsi="宋体" w:cs="Arial"/>
          <w:kern w:val="0"/>
          <w:sz w:val="24"/>
        </w:rPr>
        <w:t>（含委托贷款等）</w:t>
      </w:r>
      <w:r>
        <w:rPr>
          <w:rFonts w:ascii="宋体" w:hAnsi="宋体" w:cs="Arial"/>
          <w:kern w:val="0"/>
          <w:sz w:val="24"/>
        </w:rPr>
        <w:t>；</w:t>
      </w:r>
    </w:p>
    <w:p w14:paraId="79E0C267">
      <w:pPr>
        <w:widowControl/>
        <w:spacing w:line="360" w:lineRule="auto"/>
        <w:ind w:left="479" w:leftChars="228"/>
        <w:rPr>
          <w:rFonts w:ascii="宋体" w:hAnsi="宋体" w:cs="Arial"/>
          <w:kern w:val="0"/>
          <w:sz w:val="24"/>
        </w:rPr>
      </w:pPr>
      <w:r>
        <w:rPr>
          <w:rFonts w:ascii="宋体" w:hAnsi="宋体" w:cs="Arial"/>
          <w:kern w:val="0"/>
          <w:sz w:val="24"/>
        </w:rPr>
        <w:t>（</w:t>
      </w:r>
      <w:r>
        <w:rPr>
          <w:rFonts w:hint="eastAsia" w:ascii="宋体" w:hAnsi="宋体" w:cs="Arial"/>
          <w:kern w:val="0"/>
          <w:sz w:val="24"/>
        </w:rPr>
        <w:t>五</w:t>
      </w:r>
      <w:r>
        <w:rPr>
          <w:rFonts w:ascii="宋体" w:hAnsi="宋体" w:cs="Arial"/>
          <w:kern w:val="0"/>
          <w:sz w:val="24"/>
        </w:rPr>
        <w:t>）提供担保；</w:t>
      </w:r>
    </w:p>
    <w:p w14:paraId="466610BC">
      <w:pPr>
        <w:widowControl/>
        <w:spacing w:line="360" w:lineRule="auto"/>
        <w:ind w:left="479" w:leftChars="228"/>
        <w:rPr>
          <w:rFonts w:ascii="宋体" w:hAnsi="宋体" w:cs="Arial"/>
          <w:kern w:val="0"/>
          <w:sz w:val="24"/>
        </w:rPr>
      </w:pPr>
      <w:r>
        <w:rPr>
          <w:rFonts w:ascii="宋体" w:hAnsi="宋体" w:cs="Arial"/>
          <w:kern w:val="0"/>
          <w:sz w:val="24"/>
        </w:rPr>
        <w:t>（</w:t>
      </w:r>
      <w:r>
        <w:rPr>
          <w:rFonts w:hint="eastAsia" w:ascii="宋体" w:hAnsi="宋体" w:cs="Arial"/>
          <w:kern w:val="0"/>
          <w:sz w:val="24"/>
        </w:rPr>
        <w:t>六</w:t>
      </w:r>
      <w:r>
        <w:rPr>
          <w:rFonts w:ascii="宋体" w:hAnsi="宋体" w:cs="Arial"/>
          <w:kern w:val="0"/>
          <w:sz w:val="24"/>
        </w:rPr>
        <w:t>）租入或租出资产；</w:t>
      </w:r>
    </w:p>
    <w:p w14:paraId="28BAA6CD">
      <w:pPr>
        <w:widowControl/>
        <w:spacing w:line="360" w:lineRule="auto"/>
        <w:ind w:left="479" w:leftChars="228"/>
        <w:rPr>
          <w:rFonts w:ascii="宋体" w:hAnsi="宋体" w:cs="Arial"/>
          <w:kern w:val="0"/>
          <w:sz w:val="24"/>
        </w:rPr>
      </w:pPr>
      <w:r>
        <w:rPr>
          <w:rFonts w:ascii="宋体" w:hAnsi="宋体" w:cs="Arial"/>
          <w:kern w:val="0"/>
          <w:sz w:val="24"/>
        </w:rPr>
        <w:t>（</w:t>
      </w:r>
      <w:r>
        <w:rPr>
          <w:rFonts w:hint="eastAsia" w:ascii="宋体" w:hAnsi="宋体" w:cs="Arial"/>
          <w:kern w:val="0"/>
          <w:sz w:val="24"/>
        </w:rPr>
        <w:t>七</w:t>
      </w:r>
      <w:r>
        <w:rPr>
          <w:rFonts w:ascii="宋体" w:hAnsi="宋体" w:cs="Arial"/>
          <w:kern w:val="0"/>
          <w:sz w:val="24"/>
        </w:rPr>
        <w:t>）</w:t>
      </w:r>
      <w:r>
        <w:rPr>
          <w:rFonts w:hint="eastAsia" w:ascii="宋体" w:hAnsi="宋体" w:cs="Arial"/>
          <w:kern w:val="0"/>
          <w:sz w:val="24"/>
        </w:rPr>
        <w:t>委托或者受托管理资产和业务</w:t>
      </w:r>
      <w:r>
        <w:rPr>
          <w:rFonts w:ascii="宋体" w:hAnsi="宋体" w:cs="Arial"/>
          <w:kern w:val="0"/>
          <w:sz w:val="24"/>
        </w:rPr>
        <w:t>；</w:t>
      </w:r>
    </w:p>
    <w:p w14:paraId="33926E27">
      <w:pPr>
        <w:widowControl/>
        <w:spacing w:line="360" w:lineRule="auto"/>
        <w:ind w:left="479" w:leftChars="228"/>
        <w:rPr>
          <w:rFonts w:ascii="宋体" w:hAnsi="宋体" w:cs="Arial"/>
          <w:kern w:val="0"/>
          <w:sz w:val="24"/>
        </w:rPr>
      </w:pPr>
      <w:r>
        <w:rPr>
          <w:rFonts w:ascii="宋体" w:hAnsi="宋体" w:cs="Arial"/>
          <w:kern w:val="0"/>
          <w:sz w:val="24"/>
        </w:rPr>
        <w:t>（</w:t>
      </w:r>
      <w:r>
        <w:rPr>
          <w:rFonts w:hint="eastAsia" w:ascii="宋体" w:hAnsi="宋体" w:cs="Arial"/>
          <w:kern w:val="0"/>
          <w:sz w:val="24"/>
        </w:rPr>
        <w:t>八</w:t>
      </w:r>
      <w:r>
        <w:rPr>
          <w:rFonts w:ascii="宋体" w:hAnsi="宋体" w:cs="Arial"/>
          <w:kern w:val="0"/>
          <w:sz w:val="24"/>
        </w:rPr>
        <w:t>）赠与或者受赠资产；</w:t>
      </w:r>
    </w:p>
    <w:p w14:paraId="5A6A8920">
      <w:pPr>
        <w:widowControl/>
        <w:spacing w:line="360" w:lineRule="auto"/>
        <w:ind w:left="479" w:leftChars="228"/>
        <w:rPr>
          <w:rFonts w:ascii="宋体" w:hAnsi="宋体" w:cs="Arial"/>
          <w:kern w:val="0"/>
          <w:sz w:val="24"/>
        </w:rPr>
      </w:pPr>
      <w:r>
        <w:rPr>
          <w:rFonts w:ascii="宋体" w:hAnsi="宋体" w:cs="Arial"/>
          <w:kern w:val="0"/>
          <w:sz w:val="24"/>
        </w:rPr>
        <w:t>（</w:t>
      </w:r>
      <w:r>
        <w:rPr>
          <w:rFonts w:hint="eastAsia" w:ascii="宋体" w:hAnsi="宋体" w:cs="Arial"/>
          <w:kern w:val="0"/>
          <w:sz w:val="24"/>
        </w:rPr>
        <w:t>九</w:t>
      </w:r>
      <w:r>
        <w:rPr>
          <w:rFonts w:ascii="宋体" w:hAnsi="宋体" w:cs="Arial"/>
          <w:kern w:val="0"/>
          <w:sz w:val="24"/>
        </w:rPr>
        <w:t>）债权或债务重组；</w:t>
      </w:r>
    </w:p>
    <w:p w14:paraId="7D1D5CED">
      <w:pPr>
        <w:widowControl/>
        <w:spacing w:line="360" w:lineRule="auto"/>
        <w:ind w:left="479" w:leftChars="228"/>
        <w:rPr>
          <w:rFonts w:ascii="宋体" w:hAnsi="宋体" w:cs="Arial"/>
          <w:kern w:val="0"/>
          <w:sz w:val="24"/>
        </w:rPr>
      </w:pPr>
      <w:r>
        <w:rPr>
          <w:rFonts w:ascii="宋体" w:hAnsi="宋体" w:cs="Arial"/>
          <w:kern w:val="0"/>
          <w:sz w:val="24"/>
        </w:rPr>
        <w:t>（</w:t>
      </w:r>
      <w:r>
        <w:rPr>
          <w:rFonts w:hint="eastAsia" w:ascii="宋体" w:hAnsi="宋体" w:cs="Arial"/>
          <w:kern w:val="0"/>
          <w:sz w:val="24"/>
        </w:rPr>
        <w:t>十</w:t>
      </w:r>
      <w:r>
        <w:rPr>
          <w:rFonts w:ascii="宋体" w:hAnsi="宋体" w:cs="Arial"/>
          <w:kern w:val="0"/>
          <w:sz w:val="24"/>
        </w:rPr>
        <w:t>）</w:t>
      </w:r>
      <w:r>
        <w:rPr>
          <w:rFonts w:hint="eastAsia" w:ascii="宋体" w:hAnsi="宋体" w:cs="Arial"/>
          <w:kern w:val="0"/>
          <w:sz w:val="24"/>
        </w:rPr>
        <w:t>转让或者受让研发项目</w:t>
      </w:r>
      <w:r>
        <w:rPr>
          <w:rFonts w:ascii="宋体" w:hAnsi="宋体" w:cs="Arial"/>
          <w:kern w:val="0"/>
          <w:sz w:val="24"/>
        </w:rPr>
        <w:t>；</w:t>
      </w:r>
    </w:p>
    <w:p w14:paraId="74D317CE">
      <w:pPr>
        <w:widowControl/>
        <w:spacing w:line="360" w:lineRule="auto"/>
        <w:ind w:left="479" w:leftChars="228"/>
        <w:rPr>
          <w:rFonts w:ascii="宋体" w:hAnsi="宋体" w:cs="Arial"/>
          <w:kern w:val="0"/>
          <w:sz w:val="24"/>
        </w:rPr>
      </w:pPr>
      <w:r>
        <w:rPr>
          <w:rFonts w:ascii="宋体" w:hAnsi="宋体" w:cs="Arial"/>
          <w:kern w:val="0"/>
          <w:sz w:val="24"/>
        </w:rPr>
        <w:t>（十</w:t>
      </w:r>
      <w:r>
        <w:rPr>
          <w:rFonts w:hint="eastAsia" w:ascii="宋体" w:hAnsi="宋体" w:cs="Arial"/>
          <w:kern w:val="0"/>
          <w:sz w:val="24"/>
        </w:rPr>
        <w:t>一</w:t>
      </w:r>
      <w:r>
        <w:rPr>
          <w:rFonts w:ascii="宋体" w:hAnsi="宋体" w:cs="Arial"/>
          <w:kern w:val="0"/>
          <w:sz w:val="24"/>
        </w:rPr>
        <w:t>）</w:t>
      </w:r>
      <w:r>
        <w:rPr>
          <w:rFonts w:hint="eastAsia" w:ascii="宋体" w:hAnsi="宋体" w:cs="Arial"/>
          <w:kern w:val="0"/>
          <w:sz w:val="24"/>
        </w:rPr>
        <w:t>签订许可协议；</w:t>
      </w:r>
    </w:p>
    <w:p w14:paraId="364AC142">
      <w:pPr>
        <w:widowControl/>
        <w:spacing w:line="360" w:lineRule="auto"/>
        <w:ind w:left="479" w:leftChars="228"/>
        <w:rPr>
          <w:rFonts w:ascii="宋体" w:hAnsi="宋体" w:cs="Arial"/>
          <w:kern w:val="0"/>
          <w:sz w:val="24"/>
        </w:rPr>
      </w:pPr>
      <w:r>
        <w:rPr>
          <w:rFonts w:hint="eastAsia" w:ascii="宋体" w:hAnsi="宋体" w:cs="Arial"/>
          <w:kern w:val="0"/>
          <w:sz w:val="24"/>
        </w:rPr>
        <w:t>（十二）放弃权利（含放弃优先购买权、优先认缴出资权利等）</w:t>
      </w:r>
      <w:r>
        <w:rPr>
          <w:rFonts w:ascii="宋体" w:hAnsi="宋体" w:cs="Arial"/>
          <w:kern w:val="0"/>
          <w:sz w:val="24"/>
        </w:rPr>
        <w:t>；</w:t>
      </w:r>
    </w:p>
    <w:p w14:paraId="6063AEF7">
      <w:pPr>
        <w:widowControl/>
        <w:spacing w:line="360" w:lineRule="auto"/>
        <w:ind w:left="479" w:leftChars="228"/>
        <w:rPr>
          <w:rFonts w:ascii="宋体" w:hAnsi="宋体" w:cs="Arial"/>
          <w:kern w:val="0"/>
          <w:sz w:val="24"/>
        </w:rPr>
      </w:pPr>
      <w:r>
        <w:rPr>
          <w:rFonts w:ascii="宋体" w:hAnsi="宋体" w:cs="Arial"/>
          <w:kern w:val="0"/>
          <w:sz w:val="24"/>
        </w:rPr>
        <w:t>（十</w:t>
      </w:r>
      <w:r>
        <w:rPr>
          <w:rFonts w:hint="eastAsia" w:ascii="宋体" w:hAnsi="宋体" w:cs="Arial"/>
          <w:kern w:val="0"/>
          <w:sz w:val="24"/>
        </w:rPr>
        <w:t>三</w:t>
      </w:r>
      <w:r>
        <w:rPr>
          <w:rFonts w:ascii="宋体" w:hAnsi="宋体" w:cs="Arial"/>
          <w:kern w:val="0"/>
          <w:sz w:val="24"/>
        </w:rPr>
        <w:t>）购买原材料、燃料、动力；</w:t>
      </w:r>
    </w:p>
    <w:p w14:paraId="60331C10">
      <w:pPr>
        <w:widowControl/>
        <w:spacing w:line="360" w:lineRule="auto"/>
        <w:ind w:left="479" w:leftChars="228"/>
        <w:rPr>
          <w:rFonts w:ascii="宋体" w:hAnsi="宋体" w:cs="Arial"/>
          <w:kern w:val="0"/>
          <w:sz w:val="24"/>
        </w:rPr>
      </w:pPr>
      <w:r>
        <w:rPr>
          <w:rFonts w:ascii="宋体" w:hAnsi="宋体" w:cs="Arial"/>
          <w:kern w:val="0"/>
          <w:sz w:val="24"/>
        </w:rPr>
        <w:t>（十</w:t>
      </w:r>
      <w:r>
        <w:rPr>
          <w:rFonts w:hint="eastAsia" w:ascii="宋体" w:hAnsi="宋体" w:cs="Arial"/>
          <w:kern w:val="0"/>
          <w:sz w:val="24"/>
        </w:rPr>
        <w:t>四</w:t>
      </w:r>
      <w:r>
        <w:rPr>
          <w:rFonts w:ascii="宋体" w:hAnsi="宋体" w:cs="Arial"/>
          <w:kern w:val="0"/>
          <w:sz w:val="24"/>
        </w:rPr>
        <w:t>）销售产品、商品；</w:t>
      </w:r>
    </w:p>
    <w:p w14:paraId="638B6A16">
      <w:pPr>
        <w:widowControl/>
        <w:spacing w:line="360" w:lineRule="auto"/>
        <w:ind w:left="479" w:leftChars="228"/>
        <w:rPr>
          <w:rFonts w:ascii="宋体" w:hAnsi="宋体" w:cs="Arial"/>
          <w:kern w:val="0"/>
          <w:sz w:val="24"/>
        </w:rPr>
      </w:pPr>
      <w:r>
        <w:rPr>
          <w:rFonts w:ascii="宋体" w:hAnsi="宋体" w:cs="Arial"/>
          <w:kern w:val="0"/>
          <w:sz w:val="24"/>
        </w:rPr>
        <w:t>（十</w:t>
      </w:r>
      <w:r>
        <w:rPr>
          <w:rFonts w:hint="eastAsia" w:ascii="宋体" w:hAnsi="宋体" w:cs="Arial"/>
          <w:kern w:val="0"/>
          <w:sz w:val="24"/>
        </w:rPr>
        <w:t>五</w:t>
      </w:r>
      <w:r>
        <w:rPr>
          <w:rFonts w:ascii="宋体" w:hAnsi="宋体" w:cs="Arial"/>
          <w:kern w:val="0"/>
          <w:sz w:val="24"/>
        </w:rPr>
        <w:t>）提供或者接受劳务；</w:t>
      </w:r>
    </w:p>
    <w:p w14:paraId="73F49537">
      <w:pPr>
        <w:widowControl/>
        <w:spacing w:line="360" w:lineRule="auto"/>
        <w:ind w:left="479" w:leftChars="228"/>
        <w:rPr>
          <w:rFonts w:ascii="宋体" w:hAnsi="宋体" w:cs="Arial"/>
          <w:kern w:val="0"/>
          <w:sz w:val="24"/>
        </w:rPr>
      </w:pPr>
      <w:r>
        <w:rPr>
          <w:rFonts w:ascii="宋体" w:hAnsi="宋体" w:cs="Arial"/>
          <w:kern w:val="0"/>
          <w:sz w:val="24"/>
        </w:rPr>
        <w:t>（十</w:t>
      </w:r>
      <w:r>
        <w:rPr>
          <w:rFonts w:hint="eastAsia" w:ascii="宋体" w:hAnsi="宋体" w:cs="Arial"/>
          <w:kern w:val="0"/>
          <w:sz w:val="24"/>
        </w:rPr>
        <w:t>六</w:t>
      </w:r>
      <w:r>
        <w:rPr>
          <w:rFonts w:ascii="宋体" w:hAnsi="宋体" w:cs="Arial"/>
          <w:kern w:val="0"/>
          <w:sz w:val="24"/>
        </w:rPr>
        <w:t>）委托或者受托销售；</w:t>
      </w:r>
    </w:p>
    <w:p w14:paraId="1AD4A6EF">
      <w:pPr>
        <w:widowControl/>
        <w:spacing w:line="360" w:lineRule="auto"/>
        <w:ind w:left="479" w:leftChars="228"/>
        <w:rPr>
          <w:rFonts w:hint="eastAsia" w:ascii="宋体" w:hAnsi="宋体" w:cs="Arial"/>
          <w:kern w:val="0"/>
          <w:sz w:val="24"/>
        </w:rPr>
      </w:pPr>
      <w:r>
        <w:rPr>
          <w:rFonts w:hint="eastAsia" w:ascii="宋体" w:hAnsi="宋体" w:cs="Arial"/>
          <w:kern w:val="0"/>
          <w:sz w:val="24"/>
        </w:rPr>
        <w:t>（十七）存贷款业务；</w:t>
      </w:r>
    </w:p>
    <w:p w14:paraId="4AC64319">
      <w:pPr>
        <w:widowControl/>
        <w:spacing w:line="360" w:lineRule="auto"/>
        <w:ind w:left="479" w:leftChars="228"/>
        <w:rPr>
          <w:rFonts w:hint="eastAsia" w:ascii="宋体" w:hAnsi="宋体" w:cs="Arial"/>
          <w:kern w:val="0"/>
          <w:sz w:val="24"/>
        </w:rPr>
      </w:pPr>
      <w:r>
        <w:rPr>
          <w:rFonts w:ascii="宋体" w:hAnsi="宋体" w:cs="Arial"/>
          <w:kern w:val="0"/>
          <w:sz w:val="24"/>
        </w:rPr>
        <w:t>（十</w:t>
      </w:r>
      <w:r>
        <w:rPr>
          <w:rFonts w:hint="eastAsia" w:ascii="宋体" w:hAnsi="宋体" w:cs="Arial"/>
          <w:kern w:val="0"/>
          <w:sz w:val="24"/>
        </w:rPr>
        <w:t>八</w:t>
      </w:r>
      <w:r>
        <w:rPr>
          <w:rFonts w:ascii="宋体" w:hAnsi="宋体" w:cs="Arial"/>
          <w:kern w:val="0"/>
          <w:sz w:val="24"/>
        </w:rPr>
        <w:t>）与关联</w:t>
      </w:r>
      <w:r>
        <w:rPr>
          <w:rFonts w:hint="eastAsia" w:ascii="宋体" w:hAnsi="宋体" w:cs="Arial"/>
          <w:kern w:val="0"/>
          <w:sz w:val="24"/>
        </w:rPr>
        <w:t>人</w:t>
      </w:r>
      <w:r>
        <w:rPr>
          <w:rFonts w:ascii="宋体" w:hAnsi="宋体" w:cs="Arial"/>
          <w:kern w:val="0"/>
          <w:sz w:val="24"/>
        </w:rPr>
        <w:t>共同投资；</w:t>
      </w:r>
    </w:p>
    <w:p w14:paraId="652E0645">
      <w:pPr>
        <w:widowControl/>
        <w:spacing w:line="360" w:lineRule="auto"/>
        <w:ind w:left="479" w:leftChars="228"/>
        <w:rPr>
          <w:rFonts w:ascii="宋体" w:hAnsi="宋体" w:cs="Arial"/>
          <w:kern w:val="0"/>
          <w:sz w:val="24"/>
        </w:rPr>
      </w:pPr>
      <w:r>
        <w:rPr>
          <w:rFonts w:ascii="宋体" w:hAnsi="宋体" w:cs="Arial"/>
          <w:kern w:val="0"/>
          <w:sz w:val="24"/>
        </w:rPr>
        <w:t>（十</w:t>
      </w:r>
      <w:r>
        <w:rPr>
          <w:rFonts w:hint="eastAsia" w:ascii="宋体" w:hAnsi="宋体" w:cs="Arial"/>
          <w:kern w:val="0"/>
          <w:sz w:val="24"/>
        </w:rPr>
        <w:t>九</w:t>
      </w:r>
      <w:r>
        <w:rPr>
          <w:rFonts w:ascii="宋体" w:hAnsi="宋体" w:cs="Arial"/>
          <w:kern w:val="0"/>
          <w:sz w:val="24"/>
        </w:rPr>
        <w:t>）其他通过约定可能</w:t>
      </w:r>
      <w:r>
        <w:rPr>
          <w:rFonts w:hint="eastAsia" w:ascii="宋体" w:hAnsi="宋体" w:cs="Arial"/>
          <w:kern w:val="0"/>
          <w:sz w:val="24"/>
        </w:rPr>
        <w:t>造成</w:t>
      </w:r>
      <w:r>
        <w:rPr>
          <w:rFonts w:ascii="宋体" w:hAnsi="宋体" w:cs="Arial"/>
          <w:kern w:val="0"/>
          <w:sz w:val="24"/>
        </w:rPr>
        <w:t>资源或者义务转移的事项</w:t>
      </w:r>
      <w:r>
        <w:rPr>
          <w:rFonts w:hint="eastAsia" w:ascii="宋体" w:hAnsi="宋体" w:cs="Arial"/>
          <w:kern w:val="0"/>
          <w:sz w:val="24"/>
        </w:rPr>
        <w:t>。</w:t>
      </w:r>
    </w:p>
    <w:p w14:paraId="0755AB46">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公司关联交易应当遵循以下基本原则：</w:t>
      </w:r>
    </w:p>
    <w:p w14:paraId="3A269CAF">
      <w:pPr>
        <w:widowControl/>
        <w:spacing w:line="360" w:lineRule="auto"/>
        <w:ind w:firstLine="480" w:firstLineChars="200"/>
        <w:rPr>
          <w:rFonts w:ascii="宋体" w:hAnsi="宋体" w:cs="Arial"/>
          <w:kern w:val="0"/>
          <w:sz w:val="24"/>
        </w:rPr>
      </w:pPr>
      <w:r>
        <w:rPr>
          <w:rFonts w:ascii="宋体" w:hAnsi="宋体" w:cs="Arial"/>
          <w:kern w:val="0"/>
          <w:sz w:val="24"/>
        </w:rPr>
        <w:t>（一）尽量避免、减少并规范关联交易原则。对于无法回避的关联交易之审议、审批，必须遵循公开、公平、公允的原则，不得损害公司和其他股东的利益；</w:t>
      </w:r>
    </w:p>
    <w:p w14:paraId="78F6F82C">
      <w:pPr>
        <w:widowControl/>
        <w:spacing w:line="360" w:lineRule="auto"/>
        <w:ind w:firstLine="480" w:firstLineChars="200"/>
        <w:rPr>
          <w:rFonts w:ascii="宋体" w:hAnsi="宋体" w:cs="Arial"/>
          <w:kern w:val="0"/>
          <w:sz w:val="24"/>
        </w:rPr>
      </w:pPr>
      <w:r>
        <w:rPr>
          <w:rFonts w:ascii="宋体" w:hAnsi="宋体" w:cs="Arial"/>
          <w:kern w:val="0"/>
          <w:sz w:val="24"/>
        </w:rPr>
        <w:t>（二）</w:t>
      </w:r>
      <w:r>
        <w:rPr>
          <w:rFonts w:hint="eastAsia" w:ascii="宋体" w:hAnsi="宋体" w:cs="Arial"/>
          <w:kern w:val="0"/>
          <w:sz w:val="24"/>
        </w:rPr>
        <w:t>公司应当与关联人就关联交易签订书面协议，</w:t>
      </w:r>
      <w:r>
        <w:rPr>
          <w:rFonts w:ascii="宋体" w:hAnsi="宋体" w:cs="Arial"/>
          <w:kern w:val="0"/>
          <w:sz w:val="24"/>
        </w:rPr>
        <w:t>明确交易双方的权利义务及法律责任，</w:t>
      </w:r>
      <w:r>
        <w:rPr>
          <w:rFonts w:hint="eastAsia" w:ascii="宋体" w:hAnsi="宋体" w:cs="Arial"/>
          <w:kern w:val="0"/>
          <w:sz w:val="24"/>
        </w:rPr>
        <w:t>协议的签订应当遵循平等、自愿、等价、有偿的原则，协议内容应当明确、具体、可执行</w:t>
      </w:r>
      <w:r>
        <w:rPr>
          <w:rFonts w:ascii="宋体" w:hAnsi="宋体" w:cs="Arial"/>
          <w:kern w:val="0"/>
          <w:sz w:val="24"/>
        </w:rPr>
        <w:t>；</w:t>
      </w:r>
    </w:p>
    <w:p w14:paraId="7AE1F49C">
      <w:pPr>
        <w:widowControl/>
        <w:spacing w:line="360" w:lineRule="auto"/>
        <w:ind w:firstLine="480" w:firstLineChars="200"/>
        <w:rPr>
          <w:rFonts w:ascii="宋体" w:hAnsi="宋体" w:cs="Arial"/>
          <w:kern w:val="0"/>
          <w:sz w:val="24"/>
        </w:rPr>
      </w:pPr>
      <w:r>
        <w:rPr>
          <w:rFonts w:ascii="宋体" w:hAnsi="宋体" w:cs="Arial"/>
          <w:kern w:val="0"/>
          <w:sz w:val="24"/>
        </w:rPr>
        <w:t>（三）关联交易的价格或者收费原则上应不偏离市场独立第三方的标准，对于难以比较市场价格或者订价受到限制的关联交易，应通过合同明确有关成本和利润的标准；</w:t>
      </w:r>
    </w:p>
    <w:p w14:paraId="2E830E15">
      <w:pPr>
        <w:widowControl/>
        <w:spacing w:line="360" w:lineRule="auto"/>
        <w:ind w:firstLine="480" w:firstLineChars="200"/>
        <w:rPr>
          <w:rFonts w:ascii="宋体" w:hAnsi="宋体" w:cs="Arial"/>
          <w:kern w:val="0"/>
          <w:sz w:val="24"/>
        </w:rPr>
      </w:pPr>
      <w:r>
        <w:rPr>
          <w:rFonts w:ascii="宋体" w:hAnsi="宋体" w:cs="Arial"/>
          <w:kern w:val="0"/>
          <w:sz w:val="24"/>
        </w:rPr>
        <w:t>（四）关联股东、关联董事在审议与其相关的关联交易的股东会、董事会上应当回避表决；</w:t>
      </w:r>
    </w:p>
    <w:p w14:paraId="648930CB">
      <w:pPr>
        <w:widowControl/>
        <w:spacing w:line="360" w:lineRule="auto"/>
        <w:ind w:firstLine="477" w:firstLineChars="199"/>
        <w:rPr>
          <w:rFonts w:hint="eastAsia" w:ascii="宋体" w:hAnsi="宋体" w:cs="Arial"/>
          <w:kern w:val="0"/>
          <w:sz w:val="24"/>
        </w:rPr>
      </w:pPr>
      <w:r>
        <w:rPr>
          <w:rFonts w:ascii="宋体" w:hAnsi="宋体" w:cs="Arial"/>
          <w:kern w:val="0"/>
          <w:sz w:val="24"/>
        </w:rPr>
        <w:t>（五）公司董事会应当根据客观标准判断该关联交易是否对公司有利，必要时应当聘请专业评估师或财务顾问</w:t>
      </w:r>
      <w:r>
        <w:rPr>
          <w:rFonts w:hint="eastAsia" w:ascii="宋体" w:hAnsi="宋体" w:cs="Arial"/>
          <w:kern w:val="0"/>
          <w:sz w:val="24"/>
        </w:rPr>
        <w:t>。</w:t>
      </w:r>
    </w:p>
    <w:p w14:paraId="724FDEAD">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公司应采取有效措施防止股东及其关联方以各种形式占用或转移公司的资金、资产及其他资源。</w:t>
      </w:r>
    </w:p>
    <w:p w14:paraId="3D487067">
      <w:pPr>
        <w:widowControl/>
        <w:spacing w:line="360" w:lineRule="auto"/>
        <w:rPr>
          <w:rFonts w:ascii="宋体" w:hAnsi="宋体" w:cs="Arial"/>
          <w:kern w:val="0"/>
          <w:sz w:val="24"/>
        </w:rPr>
      </w:pPr>
    </w:p>
    <w:p w14:paraId="3EEAC52D">
      <w:pPr>
        <w:widowControl/>
        <w:spacing w:line="360" w:lineRule="auto"/>
        <w:jc w:val="center"/>
        <w:rPr>
          <w:rFonts w:ascii="宋体" w:hAnsi="宋体" w:cs="Arial"/>
          <w:b/>
          <w:kern w:val="0"/>
          <w:sz w:val="24"/>
        </w:rPr>
      </w:pPr>
      <w:r>
        <w:rPr>
          <w:rFonts w:ascii="宋体" w:hAnsi="宋体" w:cs="Arial"/>
          <w:b/>
          <w:kern w:val="0"/>
          <w:sz w:val="24"/>
        </w:rPr>
        <w:t>第四章 关联交易的程序</w:t>
      </w:r>
      <w:r>
        <w:rPr>
          <w:rFonts w:hint="eastAsia" w:ascii="宋体" w:hAnsi="宋体" w:cs="Arial"/>
          <w:b/>
          <w:kern w:val="0"/>
          <w:sz w:val="24"/>
        </w:rPr>
        <w:t>、</w:t>
      </w:r>
      <w:r>
        <w:rPr>
          <w:rFonts w:ascii="宋体" w:hAnsi="宋体" w:cs="Arial"/>
          <w:b/>
          <w:kern w:val="0"/>
          <w:sz w:val="24"/>
        </w:rPr>
        <w:t>决策权限</w:t>
      </w:r>
      <w:r>
        <w:rPr>
          <w:rFonts w:hint="eastAsia" w:ascii="宋体" w:hAnsi="宋体" w:cs="Arial"/>
          <w:b/>
          <w:kern w:val="0"/>
          <w:sz w:val="24"/>
        </w:rPr>
        <w:t>及披露</w:t>
      </w:r>
    </w:p>
    <w:p w14:paraId="4EC7D172">
      <w:pPr>
        <w:widowControl/>
        <w:spacing w:line="360" w:lineRule="auto"/>
        <w:jc w:val="center"/>
        <w:rPr>
          <w:rFonts w:ascii="宋体" w:hAnsi="宋体" w:cs="Arial"/>
          <w:b/>
          <w:kern w:val="0"/>
          <w:sz w:val="24"/>
        </w:rPr>
      </w:pPr>
    </w:p>
    <w:p w14:paraId="3B14BE13">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除为关联人提供担保的情况外，</w:t>
      </w:r>
      <w:r>
        <w:rPr>
          <w:rFonts w:ascii="宋体" w:hAnsi="宋体" w:cs="Arial"/>
          <w:kern w:val="0"/>
          <w:sz w:val="24"/>
        </w:rPr>
        <w:t>公司与关联自然人发生的</w:t>
      </w:r>
      <w:r>
        <w:rPr>
          <w:rFonts w:hint="eastAsia" w:ascii="宋体" w:hAnsi="宋体" w:cs="Arial"/>
          <w:kern w:val="0"/>
          <w:sz w:val="24"/>
        </w:rPr>
        <w:t>成交</w:t>
      </w:r>
      <w:r>
        <w:rPr>
          <w:rFonts w:ascii="宋体" w:hAnsi="宋体" w:cs="Arial"/>
          <w:kern w:val="0"/>
          <w:sz w:val="24"/>
        </w:rPr>
        <w:t>金额</w:t>
      </w:r>
      <w:r>
        <w:rPr>
          <w:rFonts w:hint="eastAsia" w:ascii="宋体" w:hAnsi="宋体" w:cs="Arial"/>
          <w:kern w:val="0"/>
          <w:sz w:val="24"/>
        </w:rPr>
        <w:t>超过</w:t>
      </w:r>
      <w:r>
        <w:rPr>
          <w:rFonts w:ascii="宋体" w:hAnsi="宋体" w:cs="Arial"/>
          <w:kern w:val="0"/>
          <w:sz w:val="24"/>
        </w:rPr>
        <w:t>30万元</w:t>
      </w:r>
      <w:r>
        <w:rPr>
          <w:rFonts w:hint="eastAsia" w:ascii="宋体" w:hAnsi="宋体" w:cs="Arial"/>
          <w:kern w:val="0"/>
          <w:sz w:val="24"/>
        </w:rPr>
        <w:t>的交易、</w:t>
      </w:r>
      <w:r>
        <w:rPr>
          <w:rFonts w:ascii="宋体" w:hAnsi="宋体" w:cs="Arial"/>
          <w:kern w:val="0"/>
          <w:sz w:val="24"/>
        </w:rPr>
        <w:t>公司与关联法人</w:t>
      </w:r>
      <w:r>
        <w:rPr>
          <w:rFonts w:hint="eastAsia" w:ascii="宋体" w:hAnsi="宋体" w:cs="Arial"/>
          <w:kern w:val="0"/>
          <w:sz w:val="24"/>
        </w:rPr>
        <w:t>（或者其他组织）</w:t>
      </w:r>
      <w:r>
        <w:rPr>
          <w:rFonts w:ascii="宋体" w:hAnsi="宋体" w:cs="Arial"/>
          <w:kern w:val="0"/>
          <w:sz w:val="24"/>
        </w:rPr>
        <w:t>发生的</w:t>
      </w:r>
      <w:r>
        <w:rPr>
          <w:rFonts w:hint="eastAsia" w:ascii="宋体" w:hAnsi="宋体" w:cs="Arial"/>
          <w:kern w:val="0"/>
          <w:sz w:val="24"/>
        </w:rPr>
        <w:t>成交</w:t>
      </w:r>
      <w:r>
        <w:rPr>
          <w:rFonts w:ascii="宋体" w:hAnsi="宋体" w:cs="Arial"/>
          <w:kern w:val="0"/>
          <w:sz w:val="24"/>
        </w:rPr>
        <w:t>金额</w:t>
      </w:r>
      <w:r>
        <w:rPr>
          <w:rFonts w:hint="eastAsia" w:ascii="宋体" w:hAnsi="宋体" w:cs="Arial"/>
          <w:kern w:val="0"/>
          <w:sz w:val="24"/>
        </w:rPr>
        <w:t>超过</w:t>
      </w:r>
      <w:r>
        <w:rPr>
          <w:rFonts w:ascii="宋体" w:hAnsi="宋体" w:cs="Arial"/>
          <w:kern w:val="0"/>
          <w:sz w:val="24"/>
        </w:rPr>
        <w:t>300万元且占公司最近一期经审计净资产绝对值</w:t>
      </w:r>
      <w:r>
        <w:rPr>
          <w:rFonts w:hint="eastAsia" w:ascii="宋体" w:hAnsi="宋体" w:cs="Arial"/>
          <w:kern w:val="0"/>
          <w:sz w:val="24"/>
        </w:rPr>
        <w:t>超过</w:t>
      </w:r>
      <w:r>
        <w:rPr>
          <w:rFonts w:ascii="宋体" w:hAnsi="宋体" w:cs="Arial"/>
          <w:kern w:val="0"/>
          <w:sz w:val="24"/>
        </w:rPr>
        <w:t>0.5%的</w:t>
      </w:r>
      <w:r>
        <w:rPr>
          <w:rFonts w:hint="eastAsia" w:ascii="宋体" w:hAnsi="宋体" w:cs="Arial"/>
          <w:kern w:val="0"/>
          <w:sz w:val="24"/>
        </w:rPr>
        <w:t>交易</w:t>
      </w:r>
      <w:r>
        <w:rPr>
          <w:rFonts w:ascii="宋体" w:hAnsi="宋体" w:cs="Arial"/>
          <w:kern w:val="0"/>
          <w:sz w:val="24"/>
        </w:rPr>
        <w:t>，</w:t>
      </w:r>
      <w:r>
        <w:rPr>
          <w:rFonts w:hint="eastAsia" w:ascii="宋体" w:hAnsi="宋体" w:cs="Arial"/>
          <w:kern w:val="0"/>
          <w:sz w:val="24"/>
        </w:rPr>
        <w:t>应</w:t>
      </w:r>
      <w:r>
        <w:rPr>
          <w:rFonts w:ascii="宋体" w:hAnsi="宋体" w:cs="Arial"/>
          <w:kern w:val="0"/>
          <w:sz w:val="24"/>
        </w:rPr>
        <w:t>当</w:t>
      </w:r>
      <w:r>
        <w:rPr>
          <w:rFonts w:hint="eastAsia" w:ascii="宋体" w:hAnsi="宋体" w:cs="Arial"/>
          <w:kern w:val="0"/>
          <w:sz w:val="24"/>
        </w:rPr>
        <w:t>经全体独立董事过半数同意后履行董事会审议程序，并及时披露。</w:t>
      </w:r>
    </w:p>
    <w:p w14:paraId="5BF2739C">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除为关联人提供担保的情况外，</w:t>
      </w:r>
      <w:r>
        <w:rPr>
          <w:rFonts w:ascii="宋体" w:hAnsi="宋体" w:cs="Arial"/>
          <w:kern w:val="0"/>
          <w:sz w:val="24"/>
        </w:rPr>
        <w:t>公司与关联人发生的</w:t>
      </w:r>
      <w:r>
        <w:rPr>
          <w:rFonts w:hint="eastAsia" w:ascii="宋体" w:hAnsi="宋体" w:cs="Arial"/>
          <w:kern w:val="0"/>
          <w:sz w:val="24"/>
        </w:rPr>
        <w:t>成交</w:t>
      </w:r>
      <w:r>
        <w:rPr>
          <w:rFonts w:ascii="宋体" w:hAnsi="宋体" w:cs="Arial"/>
          <w:kern w:val="0"/>
          <w:sz w:val="24"/>
        </w:rPr>
        <w:t>金额</w:t>
      </w:r>
      <w:r>
        <w:rPr>
          <w:rFonts w:hint="eastAsia" w:ascii="宋体" w:hAnsi="宋体" w:cs="Arial"/>
          <w:kern w:val="0"/>
          <w:sz w:val="24"/>
        </w:rPr>
        <w:t>超过</w:t>
      </w:r>
      <w:r>
        <w:rPr>
          <w:rFonts w:ascii="宋体" w:hAnsi="宋体" w:cs="Arial"/>
          <w:kern w:val="0"/>
          <w:sz w:val="24"/>
        </w:rPr>
        <w:t>3,000万元且占公司最近一期经审计净资产绝对值</w:t>
      </w:r>
      <w:r>
        <w:rPr>
          <w:rFonts w:hint="eastAsia" w:ascii="宋体" w:hAnsi="宋体" w:cs="Arial"/>
          <w:kern w:val="0"/>
          <w:sz w:val="24"/>
        </w:rPr>
        <w:t>超过</w:t>
      </w:r>
      <w:r>
        <w:rPr>
          <w:rFonts w:ascii="宋体" w:hAnsi="宋体" w:cs="Arial"/>
          <w:kern w:val="0"/>
          <w:sz w:val="24"/>
        </w:rPr>
        <w:t>5%的</w:t>
      </w:r>
      <w:r>
        <w:rPr>
          <w:rFonts w:hint="eastAsia" w:ascii="宋体" w:hAnsi="宋体" w:cs="Arial"/>
          <w:kern w:val="0"/>
          <w:sz w:val="24"/>
        </w:rPr>
        <w:t>交易</w:t>
      </w:r>
      <w:r>
        <w:rPr>
          <w:rFonts w:ascii="宋体" w:hAnsi="宋体" w:cs="Arial"/>
          <w:kern w:val="0"/>
          <w:sz w:val="24"/>
        </w:rPr>
        <w:t>，</w:t>
      </w:r>
      <w:r>
        <w:rPr>
          <w:rFonts w:hint="eastAsia" w:ascii="宋体" w:hAnsi="宋体" w:cs="Arial"/>
          <w:kern w:val="0"/>
          <w:sz w:val="24"/>
        </w:rPr>
        <w:t>应当经全体独立董事过半数同意后履行董事会审议程序，并及时披露，并提交公司</w:t>
      </w:r>
      <w:r>
        <w:rPr>
          <w:rFonts w:ascii="宋体" w:hAnsi="宋体" w:cs="Arial"/>
          <w:kern w:val="0"/>
          <w:sz w:val="24"/>
        </w:rPr>
        <w:t>股东会</w:t>
      </w:r>
      <w:r>
        <w:rPr>
          <w:rFonts w:hint="eastAsia" w:ascii="宋体" w:hAnsi="宋体" w:cs="Arial"/>
          <w:kern w:val="0"/>
          <w:sz w:val="24"/>
        </w:rPr>
        <w:t>审议</w:t>
      </w:r>
      <w:r>
        <w:rPr>
          <w:rFonts w:ascii="宋体" w:hAnsi="宋体" w:cs="Arial"/>
          <w:kern w:val="0"/>
          <w:sz w:val="24"/>
        </w:rPr>
        <w:t>。</w:t>
      </w:r>
    </w:p>
    <w:p w14:paraId="2CF12E20">
      <w:pPr>
        <w:spacing w:line="360" w:lineRule="auto"/>
        <w:ind w:firstLine="480" w:firstLineChars="200"/>
        <w:rPr>
          <w:rFonts w:hint="eastAsia" w:ascii="宋体" w:hAnsi="宋体" w:cs="Arial"/>
          <w:kern w:val="0"/>
          <w:sz w:val="24"/>
        </w:rPr>
      </w:pPr>
      <w:r>
        <w:rPr>
          <w:rFonts w:hint="eastAsia" w:ascii="宋体" w:hAnsi="宋体" w:cs="Arial"/>
          <w:kern w:val="0"/>
          <w:sz w:val="24"/>
        </w:rPr>
        <w:t>对于达到本条第一款标准的关联交易事项，交易标的为公司股权的，公司应当披露标的资产经审计的最近一年又一期财务会计报告。会计师事务所发表的审计意见应当为无保留意见，审计基准日距审议相关交易事项的股东会召开日不得超过六个月。</w:t>
      </w:r>
    </w:p>
    <w:p w14:paraId="33DE177B">
      <w:pPr>
        <w:spacing w:line="360" w:lineRule="auto"/>
        <w:ind w:firstLine="480" w:firstLineChars="200"/>
        <w:rPr>
          <w:rFonts w:hint="eastAsia" w:ascii="宋体" w:hAnsi="宋体" w:cs="Arial"/>
          <w:kern w:val="0"/>
          <w:sz w:val="24"/>
        </w:rPr>
      </w:pPr>
      <w:r>
        <w:rPr>
          <w:rFonts w:hint="eastAsia" w:ascii="宋体" w:hAnsi="宋体" w:cs="Arial"/>
          <w:kern w:val="0"/>
          <w:sz w:val="24"/>
        </w:rPr>
        <w:t>对于达到本条第一款标准的关联交易事项，交易标的为公司股权以外的其他资产的，公司应当披露标的资产由资产评估机构出具的评估报告。评估基准日距审议相关交易事项的股东会召开日不得超过一年。</w:t>
      </w:r>
    </w:p>
    <w:p w14:paraId="0EF496B6">
      <w:pPr>
        <w:spacing w:line="360" w:lineRule="auto"/>
        <w:ind w:firstLine="480" w:firstLineChars="200"/>
        <w:rPr>
          <w:rFonts w:ascii="宋体" w:hAnsi="宋体" w:cs="Arial"/>
          <w:kern w:val="0"/>
          <w:sz w:val="24"/>
        </w:rPr>
      </w:pPr>
      <w:r>
        <w:rPr>
          <w:rFonts w:hint="eastAsia" w:ascii="宋体" w:hAnsi="宋体" w:cs="Arial"/>
          <w:kern w:val="0"/>
          <w:sz w:val="24"/>
        </w:rPr>
        <w:t>对于达到本制度第十条标准以及本条第一款标准的关联交易事项，交易对方以非现金资产作为交易对价或者抵偿公司债务的，应当披露所涉及资产的符合本条第二款、第三款要求的审计报告或者评估报告。相关交易无需提交股东会审议的，审计基准日或者评估基准日距审议相关事项的董事会召开日或者相关事项的公告日不得超过本条第二款、第三款要求的时限。</w:t>
      </w:r>
    </w:p>
    <w:p w14:paraId="347C48D3">
      <w:pPr>
        <w:spacing w:line="360" w:lineRule="auto"/>
        <w:ind w:firstLine="480" w:firstLineChars="200"/>
        <w:rPr>
          <w:rFonts w:hint="eastAsia" w:ascii="宋体" w:hAnsi="宋体" w:cs="Arial"/>
          <w:kern w:val="0"/>
          <w:sz w:val="24"/>
        </w:rPr>
      </w:pPr>
      <w:r>
        <w:rPr>
          <w:rFonts w:hint="eastAsia" w:ascii="宋体" w:hAnsi="宋体" w:cs="Arial"/>
          <w:kern w:val="0"/>
          <w:sz w:val="24"/>
        </w:rPr>
        <w:t>公司关联交易事项虽未达到前款规定的标准，中国证监会、深圳证券交易所根据审慎原则可以要求公司提交股东会审议，并按照本条第二款、第三款、第四款适用有关审计或者评估的要求。</w:t>
      </w:r>
    </w:p>
    <w:p w14:paraId="0819B10D">
      <w:pPr>
        <w:spacing w:line="360" w:lineRule="auto"/>
        <w:ind w:firstLine="480" w:firstLineChars="200"/>
        <w:rPr>
          <w:rFonts w:ascii="宋体" w:hAnsi="宋体" w:cs="Arial"/>
          <w:kern w:val="0"/>
          <w:sz w:val="24"/>
        </w:rPr>
      </w:pPr>
      <w:r>
        <w:rPr>
          <w:rFonts w:hint="eastAsia" w:ascii="宋体" w:hAnsi="宋体" w:cs="Arial"/>
          <w:kern w:val="0"/>
          <w:sz w:val="24"/>
        </w:rPr>
        <w:t>公司依据其他法律法规或《公司章程》提交股东会审议，或者自愿提交股东会审议的，应当披露符合本条第二款、第三款、第四款要求的审计报告或者评估报告，深圳证券交易所另有规定的除外。</w:t>
      </w:r>
    </w:p>
    <w:p w14:paraId="2F468A26">
      <w:pPr>
        <w:spacing w:line="360" w:lineRule="auto"/>
        <w:ind w:firstLine="480" w:firstLineChars="200"/>
        <w:rPr>
          <w:rFonts w:hint="eastAsia" w:ascii="宋体" w:hAnsi="宋体" w:cs="Arial"/>
          <w:kern w:val="0"/>
          <w:sz w:val="24"/>
        </w:rPr>
      </w:pPr>
      <w:r>
        <w:rPr>
          <w:rFonts w:hint="eastAsia" w:ascii="宋体" w:hAnsi="宋体" w:cs="Arial"/>
          <w:kern w:val="0"/>
          <w:sz w:val="24"/>
        </w:rPr>
        <w:t>公司与关联人发生下列情形之一的交易时，可以免于审计或者评估：</w:t>
      </w:r>
    </w:p>
    <w:p w14:paraId="5423B138">
      <w:pPr>
        <w:spacing w:line="360" w:lineRule="auto"/>
        <w:ind w:firstLine="480" w:firstLineChars="200"/>
        <w:rPr>
          <w:rFonts w:hint="eastAsia" w:ascii="宋体" w:hAnsi="宋体" w:cs="Arial"/>
          <w:kern w:val="0"/>
          <w:sz w:val="24"/>
        </w:rPr>
      </w:pPr>
      <w:r>
        <w:rPr>
          <w:rFonts w:hint="eastAsia" w:ascii="宋体" w:hAnsi="宋体" w:cs="Arial"/>
          <w:kern w:val="0"/>
          <w:sz w:val="24"/>
        </w:rPr>
        <w:t>（一）本制度第二十五条规定的日常关联交易；</w:t>
      </w:r>
    </w:p>
    <w:p w14:paraId="4D9CD147">
      <w:pPr>
        <w:spacing w:line="360" w:lineRule="auto"/>
        <w:ind w:firstLine="480" w:firstLineChars="200"/>
        <w:rPr>
          <w:rFonts w:hint="eastAsia" w:ascii="宋体" w:hAnsi="宋体" w:cs="Arial"/>
          <w:kern w:val="0"/>
          <w:sz w:val="24"/>
        </w:rPr>
      </w:pPr>
      <w:r>
        <w:rPr>
          <w:rFonts w:hint="eastAsia" w:ascii="宋体" w:hAnsi="宋体" w:cs="Arial"/>
          <w:kern w:val="0"/>
          <w:sz w:val="24"/>
        </w:rPr>
        <w:t>（二）与关联人等各方均以现金出资，且按照出资比例确定各方在所投资主体的权益比例；</w:t>
      </w:r>
    </w:p>
    <w:p w14:paraId="66F94E41">
      <w:pPr>
        <w:spacing w:line="360" w:lineRule="auto"/>
        <w:ind w:firstLine="480" w:firstLineChars="200"/>
        <w:rPr>
          <w:rFonts w:hint="eastAsia" w:ascii="宋体" w:hAnsi="宋体" w:cs="Arial"/>
          <w:kern w:val="0"/>
          <w:sz w:val="24"/>
        </w:rPr>
      </w:pPr>
      <w:r>
        <w:rPr>
          <w:rFonts w:hint="eastAsia" w:ascii="宋体" w:hAnsi="宋体" w:cs="Arial"/>
          <w:kern w:val="0"/>
          <w:sz w:val="24"/>
        </w:rPr>
        <w:t>（三）深圳证券交易所规定的其他情形。</w:t>
      </w:r>
    </w:p>
    <w:p w14:paraId="43388A85">
      <w:pPr>
        <w:widowControl/>
        <w:numPr>
          <w:ilvl w:val="0"/>
          <w:numId w:val="1"/>
        </w:numPr>
        <w:tabs>
          <w:tab w:val="left" w:pos="0"/>
          <w:tab w:val="left" w:pos="1666"/>
        </w:tabs>
        <w:spacing w:line="360" w:lineRule="auto"/>
        <w:ind w:left="0" w:firstLine="476"/>
        <w:rPr>
          <w:rFonts w:hint="eastAsia" w:ascii="宋体" w:hAnsi="宋体" w:cs="Arial"/>
          <w:kern w:val="0"/>
          <w:sz w:val="24"/>
        </w:rPr>
      </w:pPr>
      <w:r>
        <w:rPr>
          <w:rFonts w:ascii="宋体" w:hAnsi="宋体" w:cs="Arial"/>
          <w:kern w:val="0"/>
          <w:sz w:val="24"/>
        </w:rPr>
        <w:t>未达到董事会审议标准的</w:t>
      </w:r>
      <w:r>
        <w:rPr>
          <w:rFonts w:hint="eastAsia" w:ascii="宋体" w:hAnsi="宋体" w:cs="Arial"/>
          <w:kern w:val="0"/>
          <w:sz w:val="24"/>
        </w:rPr>
        <w:t>关联交易</w:t>
      </w:r>
      <w:r>
        <w:rPr>
          <w:rFonts w:ascii="宋体" w:hAnsi="宋体" w:cs="Arial"/>
          <w:kern w:val="0"/>
          <w:sz w:val="24"/>
        </w:rPr>
        <w:t>，由</w:t>
      </w:r>
      <w:r>
        <w:rPr>
          <w:rFonts w:hint="eastAsia" w:ascii="宋体" w:hAnsi="宋体" w:cs="Arial"/>
          <w:kern w:val="0"/>
          <w:sz w:val="24"/>
        </w:rPr>
        <w:t>董事长</w:t>
      </w:r>
      <w:r>
        <w:rPr>
          <w:rFonts w:ascii="宋体" w:hAnsi="宋体" w:cs="Arial"/>
          <w:kern w:val="0"/>
          <w:sz w:val="24"/>
        </w:rPr>
        <w:t>审批；</w:t>
      </w:r>
      <w:r>
        <w:rPr>
          <w:rFonts w:hint="eastAsia" w:ascii="宋体" w:hAnsi="宋体" w:cs="Arial"/>
          <w:kern w:val="0"/>
          <w:sz w:val="24"/>
        </w:rPr>
        <w:t>董事长</w:t>
      </w:r>
      <w:r>
        <w:rPr>
          <w:rFonts w:ascii="宋体" w:hAnsi="宋体" w:cs="Arial"/>
          <w:kern w:val="0"/>
          <w:sz w:val="24"/>
        </w:rPr>
        <w:t>与其决策权限内的关联交易有利害关系，应提交董事会审批。</w:t>
      </w:r>
    </w:p>
    <w:p w14:paraId="7BD85A28">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公司为关联人提供担保的，除应当经全体非关联董事的过半数审议通过外，还应当经出席董事会会议的非关联董事的三分之二以上董事审议同意并作出决议，并提交股东会审议。公司为控股股东、实际控制人及其关联人提供担保的，控股股东、实际控制人及其关联人应当提供反担保。</w:t>
      </w:r>
    </w:p>
    <w:p w14:paraId="4D7E42BB">
      <w:pPr>
        <w:widowControl/>
        <w:tabs>
          <w:tab w:val="left" w:pos="1666"/>
        </w:tabs>
        <w:spacing w:line="360" w:lineRule="auto"/>
        <w:ind w:firstLine="480" w:firstLineChars="200"/>
        <w:rPr>
          <w:rFonts w:hint="eastAsia" w:ascii="宋体" w:hAnsi="宋体" w:cs="Arial"/>
          <w:kern w:val="0"/>
          <w:sz w:val="24"/>
        </w:rPr>
      </w:pPr>
      <w:r>
        <w:rPr>
          <w:rFonts w:hint="eastAsia" w:ascii="宋体" w:hAnsi="宋体" w:cs="Arial"/>
          <w:kern w:val="0"/>
          <w:sz w:val="24"/>
        </w:rPr>
        <w:t>公司因交易导致被担保方成为公司的关联人的，在实施该交易或者关联交易的同时，应当就存续的关联担保履行相应审议程序和信息披露义务。</w:t>
      </w:r>
    </w:p>
    <w:p w14:paraId="54FE577A">
      <w:pPr>
        <w:widowControl/>
        <w:tabs>
          <w:tab w:val="left" w:pos="1666"/>
        </w:tabs>
        <w:spacing w:line="360" w:lineRule="auto"/>
        <w:ind w:firstLine="480" w:firstLineChars="200"/>
        <w:rPr>
          <w:rFonts w:hint="eastAsia" w:ascii="宋体" w:hAnsi="宋体" w:cs="Arial"/>
          <w:kern w:val="0"/>
          <w:sz w:val="24"/>
        </w:rPr>
      </w:pPr>
      <w:r>
        <w:rPr>
          <w:rFonts w:hint="eastAsia" w:ascii="宋体" w:hAnsi="宋体" w:cs="Arial"/>
          <w:kern w:val="0"/>
          <w:sz w:val="24"/>
        </w:rPr>
        <w:t>董事会或者股东会未审议通过前款规定的关联担保事项的，交易各方应当采取提前终止担保等有效措施。</w:t>
      </w:r>
    </w:p>
    <w:p w14:paraId="5EBCB0D5">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公司与关联人之间进行委托理财等，如因交易频次和时效要求等原因难以对每次投资交易履行审议程序和披露义务的，可以对投资范围、投资额度及期限等进行合理预计，以额度作为计算标准，适用本章</w:t>
      </w:r>
      <w:r>
        <w:rPr>
          <w:rFonts w:ascii="宋体" w:hAnsi="宋体" w:cs="Arial"/>
          <w:kern w:val="0"/>
          <w:sz w:val="24"/>
        </w:rPr>
        <w:t>的规定。</w:t>
      </w:r>
    </w:p>
    <w:p w14:paraId="157490A8">
      <w:pPr>
        <w:widowControl/>
        <w:tabs>
          <w:tab w:val="left" w:pos="1666"/>
        </w:tabs>
        <w:spacing w:line="360" w:lineRule="auto"/>
        <w:ind w:firstLine="480" w:firstLineChars="200"/>
        <w:rPr>
          <w:rFonts w:hint="eastAsia" w:ascii="宋体" w:hAnsi="宋体" w:cs="Arial"/>
          <w:kern w:val="0"/>
          <w:sz w:val="24"/>
        </w:rPr>
      </w:pPr>
      <w:r>
        <w:rPr>
          <w:rFonts w:hint="eastAsia" w:ascii="宋体" w:hAnsi="宋体" w:cs="Arial"/>
          <w:kern w:val="0"/>
          <w:sz w:val="24"/>
        </w:rPr>
        <w:t>相关额度的使用期限不应超过十二个月，期限内任一时点的交易金额（含前述投资的收益进行再投资的相关金额）不应超过投资额度。</w:t>
      </w:r>
    </w:p>
    <w:p w14:paraId="10E3F053">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公司在连续十二个月内发生的以下关联交易，应当按照累计计算的原则适用本章的规定：</w:t>
      </w:r>
    </w:p>
    <w:p w14:paraId="1AEB13AB">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（一）与同一关联人进行的交易；</w:t>
      </w:r>
    </w:p>
    <w:p w14:paraId="32DBDB49">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（二）与不同关联人进行的与同一交易标的的交易。</w:t>
      </w:r>
    </w:p>
    <w:p w14:paraId="024047FE">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上述同一关联人包括与该关联人同受一主体控制或</w:t>
      </w:r>
      <w:r>
        <w:rPr>
          <w:rFonts w:hint="eastAsia" w:ascii="宋体" w:hAnsi="宋体" w:cs="Arial"/>
          <w:kern w:val="0"/>
          <w:sz w:val="24"/>
        </w:rPr>
        <w:t>者</w:t>
      </w:r>
      <w:r>
        <w:rPr>
          <w:rFonts w:ascii="宋体" w:hAnsi="宋体" w:cs="Arial"/>
          <w:kern w:val="0"/>
          <w:sz w:val="24"/>
        </w:rPr>
        <w:t>相互存在股权控制关系的其他关联人。</w:t>
      </w:r>
    </w:p>
    <w:p w14:paraId="37DDF168">
      <w:pPr>
        <w:widowControl/>
        <w:tabs>
          <w:tab w:val="left" w:pos="1666"/>
        </w:tabs>
        <w:spacing w:line="360" w:lineRule="auto"/>
        <w:ind w:firstLine="480" w:firstLineChars="200"/>
        <w:rPr>
          <w:rFonts w:hint="eastAsia" w:ascii="宋体" w:hAnsi="宋体" w:cs="Arial"/>
          <w:kern w:val="0"/>
          <w:sz w:val="24"/>
        </w:rPr>
      </w:pPr>
      <w:r>
        <w:rPr>
          <w:rFonts w:hint="eastAsia" w:ascii="宋体" w:hAnsi="宋体" w:cs="Arial"/>
          <w:kern w:val="0"/>
          <w:sz w:val="24"/>
        </w:rPr>
        <w:t>公司已披露但未履行董事会、股东会审议程序的关联交易事项，仍应当纳入累计计算范围以确定应当履行的审议程序。</w:t>
      </w:r>
    </w:p>
    <w:p w14:paraId="34C857E4">
      <w:pPr>
        <w:widowControl/>
        <w:numPr>
          <w:ilvl w:val="0"/>
          <w:numId w:val="1"/>
        </w:numPr>
        <w:tabs>
          <w:tab w:val="left" w:pos="0"/>
          <w:tab w:val="left" w:pos="1666"/>
        </w:tabs>
        <w:spacing w:line="360" w:lineRule="auto"/>
        <w:ind w:left="0" w:firstLine="476"/>
        <w:rPr>
          <w:rFonts w:ascii="宋体" w:hAnsi="宋体" w:cs="Arial"/>
          <w:kern w:val="0"/>
          <w:sz w:val="24"/>
        </w:rPr>
      </w:pPr>
      <w:r>
        <w:rPr>
          <w:rStyle w:val="23"/>
          <w:rFonts w:hint="default"/>
          <w:color w:val="auto"/>
        </w:rPr>
        <w:t>公司关联交易事项因适用连续十二个月累计计算原则达到披露标准的，可以仅将本次关联交易事项按照相关要求披露，并在公告中简要说明前期累计未达到披露标准的关联交易事项。</w:t>
      </w:r>
    </w:p>
    <w:p w14:paraId="27E4FE3C">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公司关联交易</w:t>
      </w:r>
      <w:r>
        <w:rPr>
          <w:rFonts w:hint="eastAsia" w:ascii="宋体" w:hAnsi="宋体" w:cs="Arial"/>
          <w:kern w:val="0"/>
          <w:sz w:val="24"/>
        </w:rPr>
        <w:t>事项</w:t>
      </w:r>
      <w:r>
        <w:rPr>
          <w:rFonts w:ascii="宋体" w:hAnsi="宋体" w:cs="Arial"/>
          <w:kern w:val="0"/>
          <w:sz w:val="24"/>
        </w:rPr>
        <w:t>因</w:t>
      </w:r>
      <w:r>
        <w:rPr>
          <w:rFonts w:hint="eastAsia" w:ascii="宋体" w:hAnsi="宋体" w:cs="Arial"/>
          <w:kern w:val="0"/>
          <w:sz w:val="24"/>
        </w:rPr>
        <w:t>适用</w:t>
      </w:r>
      <w:r>
        <w:rPr>
          <w:rFonts w:ascii="宋体" w:hAnsi="宋体" w:cs="Arial"/>
          <w:kern w:val="0"/>
          <w:sz w:val="24"/>
        </w:rPr>
        <w:t>连续十二个月累计计算原则</w:t>
      </w:r>
      <w:r>
        <w:rPr>
          <w:rFonts w:hint="eastAsia" w:ascii="宋体" w:hAnsi="宋体" w:cs="Arial"/>
          <w:kern w:val="0"/>
          <w:sz w:val="24"/>
        </w:rPr>
        <w:t>应当</w:t>
      </w:r>
      <w:r>
        <w:rPr>
          <w:rFonts w:ascii="宋体" w:hAnsi="宋体" w:cs="Arial"/>
          <w:kern w:val="0"/>
          <w:sz w:val="24"/>
        </w:rPr>
        <w:t>提交</w:t>
      </w:r>
      <w:r>
        <w:rPr>
          <w:rFonts w:hint="eastAsia" w:ascii="宋体" w:hAnsi="宋体" w:cs="Arial"/>
          <w:kern w:val="0"/>
          <w:sz w:val="24"/>
        </w:rPr>
        <w:t>董事会、</w:t>
      </w:r>
      <w:r>
        <w:rPr>
          <w:rFonts w:ascii="宋体" w:hAnsi="宋体" w:cs="Arial"/>
          <w:kern w:val="0"/>
          <w:sz w:val="24"/>
        </w:rPr>
        <w:t>股东会审议的，</w:t>
      </w:r>
      <w:r>
        <w:rPr>
          <w:rFonts w:hint="eastAsia" w:ascii="宋体" w:hAnsi="宋体" w:cs="Arial"/>
          <w:kern w:val="0"/>
          <w:sz w:val="24"/>
        </w:rPr>
        <w:t>可以</w:t>
      </w:r>
      <w:r>
        <w:rPr>
          <w:rFonts w:ascii="宋体" w:hAnsi="宋体" w:cs="Arial"/>
          <w:kern w:val="0"/>
          <w:sz w:val="24"/>
        </w:rPr>
        <w:t>仅将本次关联交易</w:t>
      </w:r>
      <w:r>
        <w:rPr>
          <w:rFonts w:hint="eastAsia" w:ascii="宋体" w:hAnsi="宋体" w:cs="Arial"/>
          <w:kern w:val="0"/>
          <w:sz w:val="24"/>
        </w:rPr>
        <w:t>事项</w:t>
      </w:r>
      <w:r>
        <w:rPr>
          <w:rFonts w:ascii="宋体" w:hAnsi="宋体" w:cs="Arial"/>
          <w:kern w:val="0"/>
          <w:sz w:val="24"/>
        </w:rPr>
        <w:t>提交</w:t>
      </w:r>
      <w:r>
        <w:rPr>
          <w:rFonts w:hint="eastAsia" w:ascii="宋体" w:hAnsi="宋体" w:cs="Arial"/>
          <w:kern w:val="0"/>
          <w:sz w:val="24"/>
        </w:rPr>
        <w:t>董事会、</w:t>
      </w:r>
      <w:r>
        <w:rPr>
          <w:rFonts w:ascii="宋体" w:hAnsi="宋体" w:cs="Arial"/>
          <w:kern w:val="0"/>
          <w:sz w:val="24"/>
        </w:rPr>
        <w:t>股东会审议，并在公告中</w:t>
      </w:r>
      <w:r>
        <w:rPr>
          <w:rFonts w:hint="eastAsia" w:ascii="宋体" w:hAnsi="宋体" w:cs="Arial"/>
          <w:kern w:val="0"/>
          <w:sz w:val="24"/>
        </w:rPr>
        <w:t>简要说明前期未履行股东会审议程序的关联交易事项</w:t>
      </w:r>
      <w:r>
        <w:rPr>
          <w:rFonts w:ascii="宋体" w:hAnsi="宋体" w:cs="Arial"/>
          <w:kern w:val="0"/>
          <w:sz w:val="24"/>
        </w:rPr>
        <w:t>。</w:t>
      </w:r>
    </w:p>
    <w:p w14:paraId="0B3916C6">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公司在审议关联交易事项时，应当详细了解交易标的真实状况和交易对方诚信记录、资信状况、履约能力等，审慎评估相关交易的必要性与合理性、定价依据的充分性、交易价格的公允性和对公司的影响，重点关注是否存在交易标的权属不清、交易对方履约能力不明、交易价格不明确等问题。</w:t>
      </w:r>
    </w:p>
    <w:p w14:paraId="27B620E4">
      <w:pPr>
        <w:widowControl/>
        <w:numPr>
          <w:ilvl w:val="0"/>
          <w:numId w:val="1"/>
        </w:numPr>
        <w:tabs>
          <w:tab w:val="left" w:pos="0"/>
          <w:tab w:val="left" w:pos="1666"/>
        </w:tabs>
        <w:spacing w:line="360" w:lineRule="auto"/>
        <w:ind w:left="0" w:firstLine="476"/>
        <w:rPr>
          <w:rFonts w:hint="eastAsia" w:ascii="宋体" w:hAnsi="宋体" w:cs="Arial"/>
          <w:kern w:val="0"/>
          <w:sz w:val="24"/>
        </w:rPr>
      </w:pPr>
      <w:r>
        <w:rPr>
          <w:rFonts w:ascii="宋体" w:hAnsi="宋体" w:cs="Arial"/>
          <w:kern w:val="0"/>
          <w:sz w:val="24"/>
        </w:rPr>
        <w:t>公司董事会审议关联交易事项时，关联董事可以参与该关联事项的审议讨论并提出自己的意见，但应当回避表决，也不得代理其他董事行使表决权，其表决权不计入表决</w:t>
      </w:r>
      <w:r>
        <w:rPr>
          <w:rFonts w:hint="eastAsia" w:ascii="宋体" w:hAnsi="宋体" w:cs="Arial"/>
          <w:kern w:val="0"/>
          <w:sz w:val="24"/>
        </w:rPr>
        <w:t>权</w:t>
      </w:r>
      <w:r>
        <w:rPr>
          <w:rFonts w:ascii="宋体" w:hAnsi="宋体" w:cs="Arial"/>
          <w:kern w:val="0"/>
          <w:sz w:val="24"/>
        </w:rPr>
        <w:t>总数；该董事会会议由过半数的非关联董事出席即可举行，董事会会议所作决议须经非关联董事过半数通过。出席董事会会议的非关联董事人数不足</w:t>
      </w:r>
      <w:r>
        <w:rPr>
          <w:rFonts w:hint="eastAsia" w:ascii="宋体" w:hAnsi="宋体" w:cs="Arial"/>
          <w:kern w:val="0"/>
          <w:sz w:val="24"/>
        </w:rPr>
        <w:t>三</w:t>
      </w:r>
      <w:r>
        <w:rPr>
          <w:rFonts w:ascii="宋体" w:hAnsi="宋体" w:cs="Arial"/>
          <w:kern w:val="0"/>
          <w:sz w:val="24"/>
        </w:rPr>
        <w:t>人的，公司应当将该交易提交股东会审议。</w:t>
      </w:r>
    </w:p>
    <w:p w14:paraId="030A7D3A">
      <w:pPr>
        <w:widowControl/>
        <w:numPr>
          <w:ilvl w:val="0"/>
          <w:numId w:val="1"/>
        </w:numPr>
        <w:tabs>
          <w:tab w:val="left" w:pos="0"/>
          <w:tab w:val="left" w:pos="1666"/>
        </w:tabs>
        <w:spacing w:line="360" w:lineRule="auto"/>
        <w:ind w:left="0" w:firstLine="476"/>
        <w:rPr>
          <w:rFonts w:hint="eastAsia" w:ascii="宋体" w:hAnsi="宋体" w:cs="Arial"/>
          <w:kern w:val="0"/>
          <w:sz w:val="24"/>
        </w:rPr>
      </w:pPr>
      <w:r>
        <w:rPr>
          <w:rFonts w:ascii="宋体" w:hAnsi="宋体" w:cs="Arial"/>
          <w:kern w:val="0"/>
          <w:sz w:val="24"/>
        </w:rPr>
        <w:t>公司在召开董事会审议关联交易事项时，会议主持人应当在会议表决前提醒关联董事须回避表决。关联董事未主动声明并回避的，知悉情况的董事应当要求关联董事予以回避。</w:t>
      </w:r>
    </w:p>
    <w:p w14:paraId="40E29E99">
      <w:pPr>
        <w:widowControl/>
        <w:spacing w:line="360" w:lineRule="auto"/>
        <w:ind w:firstLine="480" w:firstLineChars="200"/>
        <w:rPr>
          <w:rFonts w:hint="eastAsia" w:ascii="宋体" w:hAnsi="宋体" w:cs="Arial"/>
          <w:sz w:val="24"/>
        </w:rPr>
      </w:pPr>
      <w:r>
        <w:rPr>
          <w:rFonts w:ascii="宋体" w:hAnsi="宋体" w:cs="Arial"/>
          <w:sz w:val="24"/>
        </w:rPr>
        <w:t>公司股东会在审议关联交易事项时，会议主持人及见证律师应当在股东投票前，提醒关联股东须回避表决。</w:t>
      </w:r>
    </w:p>
    <w:p w14:paraId="65466205">
      <w:pPr>
        <w:widowControl/>
        <w:numPr>
          <w:ilvl w:val="0"/>
          <w:numId w:val="1"/>
        </w:numPr>
        <w:tabs>
          <w:tab w:val="left" w:pos="0"/>
          <w:tab w:val="left" w:pos="1666"/>
        </w:tabs>
        <w:spacing w:line="360" w:lineRule="auto"/>
        <w:ind w:left="0" w:firstLine="476"/>
        <w:rPr>
          <w:rFonts w:ascii="宋体" w:hAnsi="宋体" w:cs="Arial"/>
          <w:sz w:val="24"/>
        </w:rPr>
      </w:pPr>
      <w:r>
        <w:rPr>
          <w:rFonts w:ascii="宋体" w:hAnsi="宋体" w:cs="Arial"/>
          <w:sz w:val="24"/>
        </w:rPr>
        <w:t>本制度所述关联</w:t>
      </w:r>
      <w:r>
        <w:rPr>
          <w:rFonts w:ascii="宋体" w:hAnsi="宋体" w:cs="Arial"/>
          <w:kern w:val="0"/>
          <w:sz w:val="24"/>
        </w:rPr>
        <w:t>董事</w:t>
      </w:r>
      <w:r>
        <w:rPr>
          <w:rFonts w:ascii="宋体" w:hAnsi="宋体" w:cs="Arial"/>
          <w:sz w:val="24"/>
        </w:rPr>
        <w:t>具有下列情形之一的董事：</w:t>
      </w:r>
    </w:p>
    <w:p w14:paraId="143D8A12">
      <w:pPr>
        <w:widowControl/>
        <w:spacing w:line="360" w:lineRule="auto"/>
        <w:ind w:left="479" w:leftChars="228"/>
        <w:rPr>
          <w:rFonts w:ascii="宋体" w:hAnsi="宋体" w:cs="Arial"/>
          <w:sz w:val="24"/>
        </w:rPr>
      </w:pPr>
      <w:r>
        <w:rPr>
          <w:rFonts w:ascii="宋体" w:hAnsi="宋体" w:cs="Arial"/>
          <w:sz w:val="24"/>
        </w:rPr>
        <w:t>（一）交易对方；</w:t>
      </w:r>
    </w:p>
    <w:p w14:paraId="149A126C">
      <w:pPr>
        <w:widowControl/>
        <w:spacing w:line="360" w:lineRule="auto"/>
        <w:ind w:firstLine="480" w:firstLineChars="200"/>
        <w:rPr>
          <w:rFonts w:ascii="宋体" w:hAnsi="宋体" w:cs="Arial"/>
          <w:sz w:val="24"/>
        </w:rPr>
      </w:pPr>
      <w:r>
        <w:rPr>
          <w:rFonts w:ascii="宋体" w:hAnsi="宋体" w:cs="Arial"/>
          <w:sz w:val="24"/>
        </w:rPr>
        <w:t>（二）在交易对方任职，或在能直接或间接控制该交易对方的法人</w:t>
      </w:r>
      <w:r>
        <w:rPr>
          <w:rFonts w:hint="eastAsia" w:ascii="宋体" w:hAnsi="宋体" w:cs="Arial"/>
          <w:sz w:val="24"/>
        </w:rPr>
        <w:t>（</w:t>
      </w:r>
      <w:r>
        <w:rPr>
          <w:rFonts w:ascii="宋体" w:hAnsi="宋体" w:cs="Arial"/>
          <w:sz w:val="24"/>
        </w:rPr>
        <w:t>或</w:t>
      </w:r>
      <w:r>
        <w:rPr>
          <w:rFonts w:hint="eastAsia" w:ascii="宋体" w:hAnsi="宋体" w:cs="Arial"/>
          <w:sz w:val="24"/>
        </w:rPr>
        <w:t>者</w:t>
      </w:r>
      <w:r>
        <w:rPr>
          <w:rFonts w:ascii="宋体" w:hAnsi="宋体" w:cs="Arial"/>
          <w:sz w:val="24"/>
        </w:rPr>
        <w:t>其他组织</w:t>
      </w:r>
      <w:r>
        <w:rPr>
          <w:rFonts w:hint="eastAsia" w:ascii="宋体" w:hAnsi="宋体" w:cs="Arial"/>
          <w:sz w:val="24"/>
        </w:rPr>
        <w:t>）</w:t>
      </w:r>
      <w:r>
        <w:rPr>
          <w:rFonts w:ascii="宋体" w:hAnsi="宋体" w:cs="Arial"/>
          <w:sz w:val="24"/>
        </w:rPr>
        <w:t>、该交易对方能直接或间接控制的法人</w:t>
      </w:r>
      <w:r>
        <w:rPr>
          <w:rFonts w:hint="eastAsia" w:ascii="宋体" w:hAnsi="宋体" w:cs="Arial"/>
          <w:sz w:val="24"/>
        </w:rPr>
        <w:t>（</w:t>
      </w:r>
      <w:r>
        <w:rPr>
          <w:rFonts w:ascii="宋体" w:hAnsi="宋体" w:cs="Arial"/>
          <w:sz w:val="24"/>
        </w:rPr>
        <w:t>或</w:t>
      </w:r>
      <w:r>
        <w:rPr>
          <w:rFonts w:hint="eastAsia" w:ascii="宋体" w:hAnsi="宋体" w:cs="Arial"/>
          <w:sz w:val="24"/>
        </w:rPr>
        <w:t>者</w:t>
      </w:r>
      <w:r>
        <w:rPr>
          <w:rFonts w:ascii="宋体" w:hAnsi="宋体" w:cs="Arial"/>
          <w:sz w:val="24"/>
        </w:rPr>
        <w:t>其他组织</w:t>
      </w:r>
      <w:r>
        <w:rPr>
          <w:rFonts w:hint="eastAsia" w:ascii="宋体" w:hAnsi="宋体" w:cs="Arial"/>
          <w:sz w:val="24"/>
        </w:rPr>
        <w:t>）</w:t>
      </w:r>
      <w:r>
        <w:rPr>
          <w:rFonts w:ascii="宋体" w:hAnsi="宋体" w:cs="Arial"/>
          <w:sz w:val="24"/>
        </w:rPr>
        <w:t>任职的；</w:t>
      </w:r>
    </w:p>
    <w:p w14:paraId="60889FA2">
      <w:pPr>
        <w:widowControl/>
        <w:spacing w:line="360" w:lineRule="auto"/>
        <w:ind w:firstLine="480" w:firstLineChars="200"/>
        <w:rPr>
          <w:rFonts w:ascii="宋体" w:hAnsi="宋体" w:cs="Arial"/>
          <w:sz w:val="24"/>
        </w:rPr>
      </w:pPr>
      <w:r>
        <w:rPr>
          <w:rFonts w:ascii="宋体" w:hAnsi="宋体" w:cs="Arial"/>
          <w:sz w:val="24"/>
        </w:rPr>
        <w:t>（三）拥有交易对方的直接或间接控制权；</w:t>
      </w:r>
    </w:p>
    <w:p w14:paraId="0CD10F4A">
      <w:pPr>
        <w:widowControl/>
        <w:spacing w:line="360" w:lineRule="auto"/>
        <w:ind w:firstLine="480" w:firstLineChars="200"/>
        <w:rPr>
          <w:rFonts w:ascii="宋体" w:hAnsi="宋体" w:cs="Arial"/>
          <w:sz w:val="24"/>
        </w:rPr>
      </w:pPr>
      <w:r>
        <w:rPr>
          <w:rFonts w:ascii="宋体" w:hAnsi="宋体" w:cs="Arial"/>
          <w:sz w:val="24"/>
        </w:rPr>
        <w:t>（四）交易对方或者其直接</w:t>
      </w:r>
      <w:r>
        <w:rPr>
          <w:rFonts w:hint="eastAsia" w:ascii="宋体" w:hAnsi="宋体" w:cs="Arial"/>
          <w:sz w:val="24"/>
        </w:rPr>
        <w:t>、</w:t>
      </w:r>
      <w:r>
        <w:rPr>
          <w:rFonts w:ascii="宋体" w:hAnsi="宋体" w:cs="Arial"/>
          <w:sz w:val="24"/>
        </w:rPr>
        <w:t>间接控制人的关系密切的家庭成员；</w:t>
      </w:r>
    </w:p>
    <w:p w14:paraId="0ECD68FA">
      <w:pPr>
        <w:widowControl/>
        <w:spacing w:line="360" w:lineRule="auto"/>
        <w:ind w:firstLine="480" w:firstLineChars="200"/>
        <w:rPr>
          <w:rFonts w:ascii="宋体" w:hAnsi="宋体" w:cs="Arial"/>
          <w:sz w:val="24"/>
        </w:rPr>
      </w:pPr>
      <w:r>
        <w:rPr>
          <w:rFonts w:ascii="宋体" w:hAnsi="宋体" w:cs="Arial"/>
          <w:sz w:val="24"/>
        </w:rPr>
        <w:t>（五）交易对方或者其直接</w:t>
      </w:r>
      <w:r>
        <w:rPr>
          <w:rFonts w:hint="eastAsia" w:ascii="宋体" w:hAnsi="宋体" w:cs="Arial"/>
          <w:sz w:val="24"/>
        </w:rPr>
        <w:t>、</w:t>
      </w:r>
      <w:r>
        <w:rPr>
          <w:rFonts w:ascii="宋体" w:hAnsi="宋体" w:cs="Arial"/>
          <w:sz w:val="24"/>
        </w:rPr>
        <w:t>间接控制人的董事、监事和高级管理人员的关系密切的家庭成员；</w:t>
      </w:r>
    </w:p>
    <w:p w14:paraId="7D99C8CD">
      <w:pPr>
        <w:widowControl/>
        <w:spacing w:line="360" w:lineRule="auto"/>
        <w:ind w:firstLine="480" w:firstLineChars="200"/>
        <w:rPr>
          <w:rFonts w:ascii="宋体" w:hAnsi="宋体" w:cs="Arial"/>
          <w:sz w:val="24"/>
        </w:rPr>
      </w:pPr>
      <w:r>
        <w:rPr>
          <w:rFonts w:ascii="宋体" w:hAnsi="宋体" w:cs="Arial"/>
          <w:sz w:val="24"/>
        </w:rPr>
        <w:t>（六）</w:t>
      </w:r>
      <w:r>
        <w:rPr>
          <w:rFonts w:hint="eastAsia" w:ascii="宋体" w:hAnsi="宋体" w:cs="Arial"/>
          <w:sz w:val="24"/>
        </w:rPr>
        <w:t>中国证监会、深圳证券交易所或公司认定的</w:t>
      </w:r>
      <w:r>
        <w:rPr>
          <w:rFonts w:ascii="宋体" w:hAnsi="宋体" w:cs="Arial"/>
          <w:sz w:val="24"/>
        </w:rPr>
        <w:t>因其他原因使其独立的商业判断可能受到影响的</w:t>
      </w:r>
      <w:r>
        <w:rPr>
          <w:rFonts w:hint="eastAsia" w:ascii="宋体" w:hAnsi="宋体" w:cs="Arial"/>
          <w:sz w:val="24"/>
        </w:rPr>
        <w:t>董事</w:t>
      </w:r>
      <w:r>
        <w:rPr>
          <w:rFonts w:ascii="宋体" w:hAnsi="宋体" w:cs="Arial"/>
          <w:sz w:val="24"/>
        </w:rPr>
        <w:t>。</w:t>
      </w:r>
    </w:p>
    <w:p w14:paraId="0B4B43F1">
      <w:pPr>
        <w:widowControl/>
        <w:numPr>
          <w:ilvl w:val="0"/>
          <w:numId w:val="1"/>
        </w:numPr>
        <w:tabs>
          <w:tab w:val="left" w:pos="0"/>
          <w:tab w:val="left" w:pos="1666"/>
        </w:tabs>
        <w:spacing w:line="360" w:lineRule="auto"/>
        <w:ind w:left="0" w:firstLine="476"/>
        <w:rPr>
          <w:rFonts w:ascii="宋体" w:hAnsi="宋体" w:cs="Arial"/>
          <w:sz w:val="24"/>
        </w:rPr>
      </w:pPr>
      <w:r>
        <w:rPr>
          <w:rFonts w:hint="eastAsia" w:ascii="宋体" w:hAnsi="宋体" w:cs="Arial"/>
          <w:sz w:val="24"/>
        </w:rPr>
        <w:t>公司</w:t>
      </w:r>
      <w:r>
        <w:rPr>
          <w:rFonts w:ascii="宋体" w:hAnsi="宋体" w:cs="Arial"/>
          <w:sz w:val="24"/>
        </w:rPr>
        <w:t>股东会审议有关关联交易事项时，关联股东应当回避表决，其所代表的有表决权的股份数不计入有效表决总数</w:t>
      </w:r>
      <w:r>
        <w:rPr>
          <w:rFonts w:hint="eastAsia" w:ascii="宋体" w:hAnsi="宋体" w:cs="Arial"/>
          <w:sz w:val="24"/>
        </w:rPr>
        <w:t>，并且不得代理其他股东行使表决权</w:t>
      </w:r>
      <w:r>
        <w:rPr>
          <w:rFonts w:ascii="宋体" w:hAnsi="宋体" w:cs="Arial"/>
          <w:sz w:val="24"/>
        </w:rPr>
        <w:t>。</w:t>
      </w:r>
    </w:p>
    <w:p w14:paraId="2C4A12D8">
      <w:pPr>
        <w:widowControl/>
        <w:numPr>
          <w:ilvl w:val="0"/>
          <w:numId w:val="1"/>
        </w:numPr>
        <w:tabs>
          <w:tab w:val="left" w:pos="0"/>
          <w:tab w:val="left" w:pos="1666"/>
        </w:tabs>
        <w:spacing w:line="360" w:lineRule="auto"/>
        <w:ind w:left="0" w:firstLine="476"/>
        <w:rPr>
          <w:rFonts w:ascii="宋体" w:hAnsi="宋体" w:cs="Arial"/>
          <w:sz w:val="24"/>
        </w:rPr>
      </w:pPr>
      <w:r>
        <w:rPr>
          <w:rFonts w:ascii="宋体" w:hAnsi="宋体" w:cs="Arial"/>
          <w:sz w:val="24"/>
        </w:rPr>
        <w:t>本制度所述关联股东包括具有下列情形之一的股东：</w:t>
      </w:r>
    </w:p>
    <w:p w14:paraId="78975E61">
      <w:pPr>
        <w:widowControl/>
        <w:tabs>
          <w:tab w:val="left" w:pos="1440"/>
        </w:tabs>
        <w:spacing w:line="360" w:lineRule="auto"/>
        <w:ind w:left="479" w:leftChars="228"/>
        <w:rPr>
          <w:rFonts w:ascii="宋体" w:hAnsi="宋体" w:cs="Arial"/>
          <w:sz w:val="24"/>
        </w:rPr>
      </w:pPr>
      <w:r>
        <w:rPr>
          <w:rFonts w:ascii="宋体" w:hAnsi="宋体" w:cs="Arial"/>
          <w:sz w:val="24"/>
        </w:rPr>
        <w:t>（一）交易对方；</w:t>
      </w:r>
    </w:p>
    <w:p w14:paraId="635B4166">
      <w:pPr>
        <w:widowControl/>
        <w:tabs>
          <w:tab w:val="left" w:pos="1440"/>
        </w:tabs>
        <w:spacing w:line="360" w:lineRule="auto"/>
        <w:ind w:left="479" w:leftChars="228"/>
        <w:rPr>
          <w:rFonts w:ascii="宋体" w:hAnsi="宋体" w:cs="Arial"/>
          <w:sz w:val="24"/>
        </w:rPr>
      </w:pPr>
      <w:r>
        <w:rPr>
          <w:rFonts w:ascii="宋体" w:hAnsi="宋体" w:cs="Arial"/>
          <w:sz w:val="24"/>
        </w:rPr>
        <w:t>（二）拥有交易对方直接或间接控制权；</w:t>
      </w:r>
    </w:p>
    <w:p w14:paraId="33C58E59">
      <w:pPr>
        <w:widowControl/>
        <w:tabs>
          <w:tab w:val="left" w:pos="1440"/>
        </w:tabs>
        <w:spacing w:line="360" w:lineRule="auto"/>
        <w:ind w:left="479" w:leftChars="228"/>
        <w:rPr>
          <w:rFonts w:ascii="宋体" w:hAnsi="宋体" w:cs="Arial"/>
          <w:sz w:val="24"/>
        </w:rPr>
      </w:pPr>
      <w:r>
        <w:rPr>
          <w:rFonts w:ascii="宋体" w:hAnsi="宋体" w:cs="Arial"/>
          <w:sz w:val="24"/>
        </w:rPr>
        <w:t>（三）被交易对方直接或间接控制；</w:t>
      </w:r>
    </w:p>
    <w:p w14:paraId="44534F77">
      <w:pPr>
        <w:widowControl/>
        <w:tabs>
          <w:tab w:val="left" w:pos="1440"/>
        </w:tabs>
        <w:spacing w:line="360" w:lineRule="auto"/>
        <w:ind w:left="479" w:leftChars="228"/>
        <w:rPr>
          <w:rFonts w:ascii="宋体" w:hAnsi="宋体" w:cs="Arial"/>
          <w:sz w:val="24"/>
        </w:rPr>
      </w:pPr>
      <w:r>
        <w:rPr>
          <w:rFonts w:ascii="宋体" w:hAnsi="宋体" w:cs="Arial"/>
          <w:sz w:val="24"/>
        </w:rPr>
        <w:t>（四）与交易对方受同一法人</w:t>
      </w:r>
      <w:r>
        <w:rPr>
          <w:rFonts w:hint="eastAsia" w:ascii="宋体" w:hAnsi="宋体" w:cs="Arial"/>
          <w:sz w:val="24"/>
        </w:rPr>
        <w:t>（或者其他组织）</w:t>
      </w:r>
      <w:r>
        <w:rPr>
          <w:rFonts w:ascii="宋体" w:hAnsi="宋体" w:cs="Arial"/>
          <w:sz w:val="24"/>
        </w:rPr>
        <w:t>或自然人直接或间接控制；</w:t>
      </w:r>
    </w:p>
    <w:p w14:paraId="6A35E865">
      <w:pPr>
        <w:widowControl/>
        <w:tabs>
          <w:tab w:val="left" w:pos="1440"/>
        </w:tabs>
        <w:spacing w:line="360" w:lineRule="auto"/>
        <w:ind w:firstLine="477" w:firstLineChars="199"/>
        <w:rPr>
          <w:rFonts w:ascii="宋体" w:hAnsi="宋体" w:cs="Arial"/>
          <w:sz w:val="24"/>
        </w:rPr>
      </w:pPr>
      <w:r>
        <w:rPr>
          <w:rFonts w:ascii="宋体" w:hAnsi="宋体" w:cs="Arial"/>
          <w:sz w:val="24"/>
        </w:rPr>
        <w:t>（</w:t>
      </w:r>
      <w:r>
        <w:rPr>
          <w:rFonts w:hint="eastAsia" w:ascii="宋体" w:hAnsi="宋体" w:cs="Arial"/>
          <w:sz w:val="24"/>
        </w:rPr>
        <w:t>五</w:t>
      </w:r>
      <w:r>
        <w:rPr>
          <w:rFonts w:ascii="宋体" w:hAnsi="宋体" w:cs="Arial"/>
          <w:sz w:val="24"/>
        </w:rPr>
        <w:t>）在交易对方任职，或在能直接或</w:t>
      </w:r>
      <w:r>
        <w:rPr>
          <w:rFonts w:hint="eastAsia" w:ascii="宋体" w:hAnsi="宋体" w:cs="Arial"/>
          <w:sz w:val="24"/>
        </w:rPr>
        <w:t>者</w:t>
      </w:r>
      <w:r>
        <w:rPr>
          <w:rFonts w:ascii="宋体" w:hAnsi="宋体" w:cs="Arial"/>
          <w:sz w:val="24"/>
        </w:rPr>
        <w:t>间接控制该交易对方的法人</w:t>
      </w:r>
      <w:r>
        <w:rPr>
          <w:rFonts w:hint="eastAsia" w:ascii="宋体" w:hAnsi="宋体" w:cs="Arial"/>
          <w:sz w:val="24"/>
        </w:rPr>
        <w:t>（或者其他组织）</w:t>
      </w:r>
      <w:r>
        <w:rPr>
          <w:rFonts w:ascii="宋体" w:hAnsi="宋体" w:cs="Arial"/>
          <w:sz w:val="24"/>
        </w:rPr>
        <w:t>、该交易对方能直接或</w:t>
      </w:r>
      <w:r>
        <w:rPr>
          <w:rFonts w:hint="eastAsia" w:ascii="宋体" w:hAnsi="宋体" w:cs="Arial"/>
          <w:sz w:val="24"/>
        </w:rPr>
        <w:t>者</w:t>
      </w:r>
      <w:r>
        <w:rPr>
          <w:rFonts w:ascii="宋体" w:hAnsi="宋体" w:cs="Arial"/>
          <w:sz w:val="24"/>
        </w:rPr>
        <w:t>间接控制的法人</w:t>
      </w:r>
      <w:r>
        <w:rPr>
          <w:rFonts w:hint="eastAsia" w:ascii="宋体" w:hAnsi="宋体" w:cs="Arial"/>
          <w:sz w:val="24"/>
        </w:rPr>
        <w:t>（或者其他组织）</w:t>
      </w:r>
      <w:r>
        <w:rPr>
          <w:rFonts w:ascii="宋体" w:hAnsi="宋体" w:cs="Arial"/>
          <w:sz w:val="24"/>
        </w:rPr>
        <w:t>任职；</w:t>
      </w:r>
    </w:p>
    <w:p w14:paraId="558C624D">
      <w:pPr>
        <w:widowControl/>
        <w:tabs>
          <w:tab w:val="left" w:pos="1440"/>
        </w:tabs>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六</w:t>
      </w:r>
      <w:r>
        <w:rPr>
          <w:rFonts w:ascii="宋体" w:hAnsi="宋体" w:cs="Arial"/>
          <w:sz w:val="24"/>
        </w:rPr>
        <w:t>）因与交易对方或者其关联人存在尚未履行完毕的股权转让协议或者其他协议而使其表决权受到限制或影响；</w:t>
      </w:r>
    </w:p>
    <w:p w14:paraId="7706EDF2">
      <w:pPr>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七</w:t>
      </w:r>
      <w:r>
        <w:rPr>
          <w:rFonts w:ascii="宋体" w:hAnsi="宋体" w:cs="Arial"/>
          <w:sz w:val="24"/>
        </w:rPr>
        <w:t>）</w:t>
      </w:r>
      <w:r>
        <w:rPr>
          <w:rFonts w:hint="eastAsia" w:ascii="宋体" w:hAnsi="宋体" w:cs="Arial"/>
          <w:sz w:val="24"/>
        </w:rPr>
        <w:t>中国证监会、深圳证券交易所认定的</w:t>
      </w:r>
      <w:r>
        <w:rPr>
          <w:rFonts w:ascii="宋体" w:hAnsi="宋体" w:cs="Arial"/>
          <w:sz w:val="24"/>
        </w:rPr>
        <w:t>可能造成公司对其利益倾斜的</w:t>
      </w:r>
      <w:r>
        <w:rPr>
          <w:rFonts w:hint="eastAsia" w:ascii="宋体" w:hAnsi="宋体" w:cs="Arial"/>
          <w:sz w:val="24"/>
        </w:rPr>
        <w:t>股东</w:t>
      </w:r>
      <w:r>
        <w:rPr>
          <w:rFonts w:ascii="宋体" w:hAnsi="宋体" w:cs="Arial"/>
          <w:sz w:val="24"/>
        </w:rPr>
        <w:t>。</w:t>
      </w:r>
    </w:p>
    <w:p w14:paraId="2563F41C">
      <w:pPr>
        <w:widowControl/>
        <w:numPr>
          <w:ilvl w:val="0"/>
          <w:numId w:val="1"/>
        </w:numPr>
        <w:tabs>
          <w:tab w:val="left" w:pos="0"/>
          <w:tab w:val="left" w:pos="1666"/>
        </w:tabs>
        <w:spacing w:line="360" w:lineRule="auto"/>
        <w:ind w:left="0" w:firstLine="476"/>
        <w:rPr>
          <w:rFonts w:ascii="宋体" w:hAnsi="宋体" w:cs="Arial"/>
          <w:kern w:val="0"/>
          <w:sz w:val="24"/>
        </w:rPr>
      </w:pPr>
      <w:r>
        <w:rPr>
          <w:rFonts w:ascii="宋体" w:hAnsi="宋体" w:cs="Arial"/>
          <w:kern w:val="0"/>
          <w:sz w:val="24"/>
        </w:rPr>
        <w:t>公司拟进行的关联交易由公司职能部门向</w:t>
      </w:r>
      <w:r>
        <w:rPr>
          <w:rFonts w:hint="eastAsia" w:ascii="宋体" w:hAnsi="宋体" w:cs="Arial"/>
          <w:kern w:val="0"/>
          <w:sz w:val="24"/>
        </w:rPr>
        <w:t>董事长</w:t>
      </w:r>
      <w:r>
        <w:rPr>
          <w:rFonts w:ascii="宋体" w:hAnsi="宋体" w:cs="Arial"/>
          <w:kern w:val="0"/>
          <w:sz w:val="24"/>
        </w:rPr>
        <w:t>提出书面报告，就该关联交易的具体事项、定价依据和对交易各方的影响做出详细说明，由</w:t>
      </w:r>
      <w:r>
        <w:rPr>
          <w:rFonts w:hint="eastAsia" w:ascii="宋体" w:hAnsi="宋体" w:cs="Arial"/>
          <w:kern w:val="0"/>
          <w:sz w:val="24"/>
        </w:rPr>
        <w:t>董事长</w:t>
      </w:r>
      <w:r>
        <w:rPr>
          <w:rFonts w:ascii="宋体" w:hAnsi="宋体" w:cs="Arial"/>
          <w:kern w:val="0"/>
          <w:sz w:val="24"/>
        </w:rPr>
        <w:t>按照额度权限履行相应程序。</w:t>
      </w:r>
    </w:p>
    <w:p w14:paraId="4058D7E2">
      <w:pPr>
        <w:widowControl/>
        <w:numPr>
          <w:ilvl w:val="0"/>
          <w:numId w:val="1"/>
        </w:numPr>
        <w:tabs>
          <w:tab w:val="left" w:pos="0"/>
          <w:tab w:val="left" w:pos="1666"/>
        </w:tabs>
        <w:spacing w:line="360" w:lineRule="auto"/>
        <w:ind w:left="0" w:firstLine="476"/>
        <w:rPr>
          <w:rFonts w:hint="eastAsia" w:ascii="宋体" w:hAnsi="宋体" w:cs="Arial"/>
          <w:kern w:val="0"/>
          <w:sz w:val="24"/>
        </w:rPr>
      </w:pPr>
      <w:r>
        <w:rPr>
          <w:rFonts w:ascii="宋体" w:hAnsi="宋体" w:cs="Arial"/>
          <w:kern w:val="0"/>
          <w:sz w:val="24"/>
        </w:rPr>
        <w:t>公司与关联人发生本</w:t>
      </w:r>
      <w:r>
        <w:rPr>
          <w:rFonts w:hint="eastAsia" w:ascii="宋体" w:hAnsi="宋体" w:cs="Arial"/>
          <w:kern w:val="0"/>
          <w:sz w:val="24"/>
        </w:rPr>
        <w:t>制度</w:t>
      </w:r>
      <w:r>
        <w:rPr>
          <w:rFonts w:ascii="宋体" w:hAnsi="宋体" w:cs="Arial"/>
          <w:kern w:val="0"/>
          <w:sz w:val="24"/>
        </w:rPr>
        <w:t>第</w:t>
      </w:r>
      <w:r>
        <w:rPr>
          <w:rFonts w:hint="eastAsia" w:ascii="宋体" w:hAnsi="宋体" w:cs="Arial"/>
          <w:kern w:val="0"/>
          <w:sz w:val="24"/>
        </w:rPr>
        <w:t>七</w:t>
      </w:r>
      <w:r>
        <w:rPr>
          <w:rFonts w:ascii="宋体" w:hAnsi="宋体" w:cs="Arial"/>
          <w:kern w:val="0"/>
          <w:sz w:val="24"/>
        </w:rPr>
        <w:t>条第（</w:t>
      </w:r>
      <w:r>
        <w:rPr>
          <w:rFonts w:hint="eastAsia" w:ascii="宋体" w:hAnsi="宋体" w:cs="Arial"/>
          <w:kern w:val="0"/>
          <w:sz w:val="24"/>
        </w:rPr>
        <w:t>十三</w:t>
      </w:r>
      <w:r>
        <w:rPr>
          <w:rFonts w:ascii="宋体" w:hAnsi="宋体" w:cs="Arial"/>
          <w:kern w:val="0"/>
          <w:sz w:val="24"/>
        </w:rPr>
        <w:t>）</w:t>
      </w:r>
      <w:r>
        <w:rPr>
          <w:rFonts w:hint="eastAsia" w:ascii="宋体" w:hAnsi="宋体" w:cs="Arial"/>
          <w:kern w:val="0"/>
          <w:sz w:val="24"/>
        </w:rPr>
        <w:t>项至第（十七）项所列的与日常经营相关的关联交易事项，应当按照下列标准适用本章</w:t>
      </w:r>
      <w:r>
        <w:rPr>
          <w:rFonts w:ascii="宋体" w:hAnsi="宋体" w:cs="Arial"/>
          <w:kern w:val="0"/>
          <w:sz w:val="24"/>
        </w:rPr>
        <w:t>的规定及时披露</w:t>
      </w:r>
      <w:r>
        <w:rPr>
          <w:rFonts w:hint="eastAsia" w:ascii="宋体" w:hAnsi="宋体" w:cs="Arial"/>
          <w:kern w:val="0"/>
          <w:sz w:val="24"/>
        </w:rPr>
        <w:t>和履行审议程序：</w:t>
      </w:r>
    </w:p>
    <w:p w14:paraId="6F99BA6F">
      <w:pPr>
        <w:widowControl/>
        <w:tabs>
          <w:tab w:val="left" w:pos="1666"/>
        </w:tabs>
        <w:spacing w:line="360" w:lineRule="auto"/>
        <w:ind w:firstLine="480" w:firstLineChars="200"/>
        <w:rPr>
          <w:rFonts w:hint="eastAsia" w:ascii="宋体" w:hAnsi="宋体" w:cs="Arial"/>
          <w:kern w:val="0"/>
          <w:sz w:val="24"/>
        </w:rPr>
      </w:pPr>
      <w:r>
        <w:rPr>
          <w:rFonts w:ascii="宋体" w:hAnsi="宋体" w:cs="Arial"/>
          <w:kern w:val="0"/>
          <w:sz w:val="24"/>
        </w:rPr>
        <w:t>（一）</w:t>
      </w:r>
      <w:r>
        <w:rPr>
          <w:rFonts w:hint="eastAsia" w:ascii="宋体" w:hAnsi="宋体" w:cs="Arial"/>
          <w:kern w:val="0"/>
          <w:sz w:val="24"/>
        </w:rPr>
        <w:t>首次发生的日常关联交易，公司应当根据协议涉及的交易金额，履行审议程序并及时披露；协议没有具体交易金额的，应当提交股东会审议。</w:t>
      </w:r>
    </w:p>
    <w:p w14:paraId="0D62AE3A">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（二）</w:t>
      </w:r>
      <w:r>
        <w:rPr>
          <w:rFonts w:hint="eastAsia" w:ascii="宋体" w:hAnsi="宋体" w:cs="Arial"/>
          <w:kern w:val="0"/>
          <w:sz w:val="24"/>
        </w:rPr>
        <w:t>实际执行时协议主要条款发生重大变化或者协议期满需要续签的，应当根据新修订或者续签协议涉及交易金额为准，履行审议程序并及时披露。</w:t>
      </w:r>
    </w:p>
    <w:p w14:paraId="64EB0B48">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（三）</w:t>
      </w:r>
      <w:r>
        <w:rPr>
          <w:rFonts w:hint="eastAsia" w:ascii="宋体" w:hAnsi="宋体" w:cs="Arial"/>
          <w:kern w:val="0"/>
          <w:sz w:val="24"/>
        </w:rPr>
        <w:t>对于每年发生的数量众多的日常关联交易，因需要经常订立新的日常关联交易协议而难以按照本款第（一）项规定将每份协议提交董事会或者股东会审议的，公司可以按类别合理预计日常关联交易年度金额，履行审议程序并及时披露；实际执行超出预计金额的，应当以超出金额为准及时履行审议程序并披露。</w:t>
      </w:r>
    </w:p>
    <w:p w14:paraId="4D0584BF">
      <w:pPr>
        <w:widowControl/>
        <w:tabs>
          <w:tab w:val="left" w:pos="1666"/>
        </w:tabs>
        <w:spacing w:line="360" w:lineRule="auto"/>
        <w:ind w:firstLine="480" w:firstLineChars="200"/>
        <w:rPr>
          <w:rFonts w:ascii="宋体" w:hAnsi="宋体" w:cs="Arial"/>
          <w:kern w:val="0"/>
          <w:sz w:val="24"/>
        </w:rPr>
      </w:pPr>
      <w:r>
        <w:rPr>
          <w:rFonts w:hint="eastAsia" w:ascii="宋体" w:hAnsi="宋体" w:cs="Arial"/>
          <w:kern w:val="0"/>
          <w:sz w:val="24"/>
        </w:rPr>
        <w:t>（四）公司与关联人签订的日常关联交易协议期限超过三年的，应当每三年重新履行相关审议程序并披露。</w:t>
      </w:r>
    </w:p>
    <w:p w14:paraId="0020B3C9">
      <w:pPr>
        <w:widowControl/>
        <w:tabs>
          <w:tab w:val="left" w:pos="1666"/>
        </w:tabs>
        <w:spacing w:line="360" w:lineRule="auto"/>
        <w:ind w:firstLine="480" w:firstLineChars="200"/>
        <w:rPr>
          <w:rFonts w:hint="eastAsia" w:ascii="宋体" w:hAnsi="宋体" w:cs="Arial"/>
          <w:kern w:val="0"/>
          <w:sz w:val="24"/>
        </w:rPr>
      </w:pPr>
      <w:r>
        <w:rPr>
          <w:rFonts w:hint="eastAsia" w:ascii="宋体" w:hAnsi="宋体" w:cs="Arial"/>
          <w:kern w:val="0"/>
          <w:sz w:val="24"/>
        </w:rPr>
        <w:t>公司应当在年度报告和半年度报告中分类汇总披露日常关联交易的实际履行情况。</w:t>
      </w:r>
    </w:p>
    <w:p w14:paraId="2BC3C3DD">
      <w:pPr>
        <w:widowControl/>
        <w:numPr>
          <w:ilvl w:val="0"/>
          <w:numId w:val="1"/>
        </w:numPr>
        <w:tabs>
          <w:tab w:val="left" w:pos="0"/>
          <w:tab w:val="left" w:pos="1666"/>
        </w:tabs>
        <w:spacing w:line="360" w:lineRule="auto"/>
        <w:ind w:left="0" w:firstLine="476"/>
        <w:rPr>
          <w:rFonts w:hint="eastAsia" w:ascii="宋体" w:hAnsi="宋体" w:cs="Arial"/>
          <w:kern w:val="0"/>
          <w:sz w:val="24"/>
        </w:rPr>
      </w:pPr>
      <w:r>
        <w:rPr>
          <w:rFonts w:hint="eastAsia" w:ascii="宋体" w:hAnsi="宋体" w:cs="Arial"/>
          <w:kern w:val="0"/>
          <w:sz w:val="24"/>
        </w:rPr>
        <w:t xml:space="preserve"> 公司与关联人发生交易或者相关安排涉及未来可能支付或者收取或有对价的，以预计的最高金额为成交金额，适用本章的规定。</w:t>
      </w:r>
    </w:p>
    <w:p w14:paraId="687685E5">
      <w:pPr>
        <w:widowControl/>
        <w:numPr>
          <w:ilvl w:val="0"/>
          <w:numId w:val="1"/>
        </w:numPr>
        <w:tabs>
          <w:tab w:val="left" w:pos="0"/>
          <w:tab w:val="left" w:pos="1666"/>
        </w:tabs>
        <w:spacing w:line="360" w:lineRule="auto"/>
        <w:ind w:left="0" w:firstLine="476"/>
        <w:rPr>
          <w:rFonts w:ascii="宋体" w:hAnsi="宋体" w:cs="Arial"/>
          <w:sz w:val="24"/>
        </w:rPr>
      </w:pPr>
      <w:r>
        <w:rPr>
          <w:rFonts w:hint="eastAsia" w:ascii="宋体" w:hAnsi="宋体" w:cs="Arial"/>
          <w:sz w:val="24"/>
        </w:rPr>
        <w:t>公司与关联人发生的下列交易，应当按照本制度规定履行关联交易信息披露义务以及《公司章程》及其他相关制度的规定履行审议程序，并可以向深圳证券交易所申请豁免按照《股票上市规则》中关于关联交易审议程序的规定提交股东会审议：</w:t>
      </w:r>
    </w:p>
    <w:p w14:paraId="35317754">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（一）面向不特定对象的公开招标、公开拍卖或者挂牌的（不含邀标等受限方式），但招标、拍卖等难以形成公允价格的除外；</w:t>
      </w:r>
    </w:p>
    <w:p w14:paraId="3CACB143">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（二）公司单方面获得利益且不支付对价、不附任何义务的交易，包括受赠现金资产、获得债务减免等；</w:t>
      </w:r>
    </w:p>
    <w:p w14:paraId="5300FFEB">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（三）关联交易定价由国家规定；</w:t>
      </w:r>
    </w:p>
    <w:p w14:paraId="571073AB">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（四）关联人向上市公司提供资金，利率不高于贷款市场报价利率，且上市公司无相应担保。</w:t>
      </w:r>
    </w:p>
    <w:p w14:paraId="4C4D645A">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公司与关联人发生的下列交易，可以免于按照本制度规定履行相关义务，但属于</w:t>
      </w:r>
      <w:r>
        <w:rPr>
          <w:rFonts w:hint="eastAsia" w:ascii="宋体" w:hAnsi="宋体" w:cs="Arial"/>
          <w:sz w:val="24"/>
        </w:rPr>
        <w:t>《股票上市规则》</w:t>
      </w:r>
      <w:r>
        <w:rPr>
          <w:rFonts w:hint="eastAsia" w:ascii="宋体" w:hAnsi="宋体" w:cs="Arial"/>
          <w:kern w:val="0"/>
          <w:sz w:val="24"/>
        </w:rPr>
        <w:t>规定的重大交易应当履行披露义务和审议程序情形的仍应履行相关义务：</w:t>
      </w:r>
    </w:p>
    <w:p w14:paraId="5C7D218C">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（一）一方以现金方式认购另一方向不特定对象发行的股票及其衍生品种、公司债券或者企业债券，但提前确定的发行对象包含关联人的除外；</w:t>
      </w:r>
    </w:p>
    <w:p w14:paraId="7E7EBA98">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（二）一方作为承销团成员承销另一方向不特定对象发行的股票及其衍生品种、公司债券或者企业债券；</w:t>
      </w:r>
    </w:p>
    <w:p w14:paraId="184D9B44">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（三）一方依据另一方股东会决议领取股息、红利或者报酬；</w:t>
      </w:r>
    </w:p>
    <w:p w14:paraId="7AED4F61">
      <w:pPr>
        <w:widowControl/>
        <w:tabs>
          <w:tab w:val="left" w:pos="1666"/>
        </w:tabs>
        <w:spacing w:line="360" w:lineRule="auto"/>
        <w:ind w:firstLine="480" w:firstLineChars="200"/>
        <w:rPr>
          <w:rFonts w:ascii="宋体" w:hAnsi="宋体" w:cs="Arial"/>
          <w:sz w:val="24"/>
        </w:rPr>
      </w:pPr>
      <w:r>
        <w:rPr>
          <w:rFonts w:hint="eastAsia" w:ascii="宋体" w:hAnsi="宋体" w:cs="Arial"/>
          <w:sz w:val="24"/>
        </w:rPr>
        <w:t>（四）公司按与非关联人同等交易条件，向本制度第四条第三款第（二）项至第（四）项规定的关联自然人提供产品和服务；</w:t>
      </w:r>
    </w:p>
    <w:p w14:paraId="341C9BC4">
      <w:pPr>
        <w:widowControl/>
        <w:tabs>
          <w:tab w:val="left" w:pos="1666"/>
        </w:tabs>
        <w:spacing w:line="360" w:lineRule="auto"/>
        <w:ind w:firstLine="480" w:firstLineChars="200"/>
        <w:rPr>
          <w:rFonts w:hint="eastAsia" w:ascii="宋体" w:hAnsi="宋体" w:cs="Arial"/>
          <w:sz w:val="24"/>
        </w:rPr>
      </w:pPr>
      <w:r>
        <w:rPr>
          <w:rFonts w:hint="eastAsia" w:ascii="宋体" w:hAnsi="宋体" w:cs="Arial"/>
          <w:sz w:val="24"/>
        </w:rPr>
        <w:t>（五）深圳证券交易所认定的其他情形。</w:t>
      </w:r>
    </w:p>
    <w:p w14:paraId="3D49A35A">
      <w:pPr>
        <w:widowControl/>
        <w:numPr>
          <w:ilvl w:val="0"/>
          <w:numId w:val="1"/>
        </w:numPr>
        <w:tabs>
          <w:tab w:val="left" w:pos="0"/>
          <w:tab w:val="left" w:pos="1666"/>
        </w:tabs>
        <w:spacing w:line="360" w:lineRule="auto"/>
        <w:ind w:left="0" w:firstLine="476"/>
        <w:rPr>
          <w:rFonts w:ascii="宋体" w:hAnsi="宋体" w:cs="Arial"/>
          <w:kern w:val="0"/>
          <w:sz w:val="24"/>
        </w:rPr>
      </w:pPr>
      <w:r>
        <w:rPr>
          <w:rFonts w:hint="eastAsia" w:ascii="宋体" w:hAnsi="宋体" w:cs="Arial"/>
          <w:kern w:val="0"/>
          <w:sz w:val="24"/>
        </w:rPr>
        <w:t>公司应当根据关联交易事项的类型披露关联交易的有关内容，包括交易对方、交易标的、交易各方的关联关系说明和关联人基本情况、交易协议的主要内容、交易定价及依据、有关部门审批文件（如有）、中介机构意见（如适用）等。</w:t>
      </w:r>
    </w:p>
    <w:p w14:paraId="4199E49E">
      <w:pPr>
        <w:spacing w:line="360" w:lineRule="auto"/>
        <w:rPr>
          <w:rFonts w:hint="eastAsia" w:ascii="宋体" w:hAnsi="宋体" w:cs="Arial"/>
          <w:sz w:val="24"/>
        </w:rPr>
      </w:pPr>
    </w:p>
    <w:p w14:paraId="2CC67C16">
      <w:pPr>
        <w:spacing w:line="360" w:lineRule="auto"/>
        <w:jc w:val="center"/>
        <w:rPr>
          <w:rFonts w:ascii="宋体" w:hAnsi="宋体" w:cs="Arial"/>
          <w:b/>
          <w:sz w:val="24"/>
        </w:rPr>
      </w:pPr>
      <w:bookmarkStart w:id="2" w:name="_Toc258598307"/>
      <w:r>
        <w:rPr>
          <w:rFonts w:ascii="宋体" w:hAnsi="宋体" w:cs="Arial"/>
          <w:b/>
          <w:sz w:val="24"/>
        </w:rPr>
        <w:t>第五章 公司资金往来</w:t>
      </w:r>
      <w:bookmarkEnd w:id="2"/>
    </w:p>
    <w:p w14:paraId="38356BB0">
      <w:pPr>
        <w:spacing w:line="360" w:lineRule="auto"/>
        <w:jc w:val="center"/>
        <w:rPr>
          <w:rFonts w:ascii="宋体" w:hAnsi="宋体" w:cs="Arial"/>
          <w:b/>
          <w:sz w:val="24"/>
        </w:rPr>
      </w:pPr>
    </w:p>
    <w:p w14:paraId="130C6C88">
      <w:pPr>
        <w:widowControl/>
        <w:numPr>
          <w:ilvl w:val="0"/>
          <w:numId w:val="1"/>
        </w:numPr>
        <w:tabs>
          <w:tab w:val="left" w:pos="0"/>
          <w:tab w:val="left" w:pos="1666"/>
        </w:tabs>
        <w:spacing w:line="360" w:lineRule="auto"/>
        <w:ind w:left="0" w:firstLine="476"/>
        <w:rPr>
          <w:rFonts w:ascii="宋体" w:hAnsi="宋体" w:cs="Arial"/>
          <w:sz w:val="24"/>
        </w:rPr>
      </w:pPr>
      <w:r>
        <w:rPr>
          <w:rFonts w:hint="eastAsia" w:ascii="宋体" w:hAnsi="宋体" w:cs="Arial"/>
          <w:sz w:val="24"/>
        </w:rPr>
        <w:t>控股股东、实际控制人及其他关联方与公司发生的经营性资金往来中，不得占用公司资金。</w:t>
      </w:r>
      <w:r>
        <w:rPr>
          <w:rFonts w:ascii="宋体" w:hAnsi="宋体" w:cs="Arial"/>
          <w:sz w:val="24"/>
        </w:rPr>
        <w:t>公司不得以下列方式将资金直接或</w:t>
      </w:r>
      <w:r>
        <w:rPr>
          <w:rFonts w:hint="eastAsia" w:ascii="宋体" w:hAnsi="宋体" w:cs="Arial"/>
          <w:sz w:val="24"/>
        </w:rPr>
        <w:t>者</w:t>
      </w:r>
      <w:r>
        <w:rPr>
          <w:rFonts w:ascii="宋体" w:hAnsi="宋体" w:cs="Arial"/>
          <w:sz w:val="24"/>
        </w:rPr>
        <w:t>间接地提供给</w:t>
      </w:r>
      <w:r>
        <w:rPr>
          <w:rFonts w:hint="eastAsia" w:ascii="宋体" w:hAnsi="宋体" w:cs="Arial"/>
          <w:sz w:val="24"/>
        </w:rPr>
        <w:t>控股股东、实际控制人及其他关联方</w:t>
      </w:r>
      <w:r>
        <w:rPr>
          <w:rFonts w:ascii="宋体" w:hAnsi="宋体" w:cs="Arial"/>
          <w:sz w:val="24"/>
        </w:rPr>
        <w:t>使用：</w:t>
      </w:r>
    </w:p>
    <w:p w14:paraId="7203F653">
      <w:pPr>
        <w:widowControl/>
        <w:tabs>
          <w:tab w:val="left" w:pos="1666"/>
        </w:tabs>
        <w:spacing w:line="360" w:lineRule="auto"/>
        <w:ind w:firstLine="480" w:firstLineChars="200"/>
        <w:rPr>
          <w:rFonts w:ascii="宋体" w:hAnsi="宋体" w:cs="Arial"/>
          <w:sz w:val="24"/>
        </w:rPr>
      </w:pPr>
      <w:r>
        <w:rPr>
          <w:rFonts w:ascii="宋体" w:hAnsi="宋体" w:cs="Arial"/>
          <w:sz w:val="24"/>
        </w:rPr>
        <w:t>（一）为</w:t>
      </w:r>
      <w:r>
        <w:rPr>
          <w:rFonts w:hint="eastAsia" w:ascii="宋体" w:hAnsi="宋体" w:cs="Arial"/>
          <w:sz w:val="24"/>
        </w:rPr>
        <w:t>控股股东、实际控制人及其他关联方垫支工资、福利、保险、广告等费用、承担成本和其他支出；</w:t>
      </w:r>
    </w:p>
    <w:p w14:paraId="48D8F965">
      <w:pPr>
        <w:widowControl/>
        <w:tabs>
          <w:tab w:val="left" w:pos="1666"/>
        </w:tabs>
        <w:spacing w:line="360" w:lineRule="auto"/>
        <w:ind w:firstLine="480" w:firstLineChars="200"/>
        <w:rPr>
          <w:rFonts w:ascii="宋体" w:hAnsi="宋体" w:cs="Arial"/>
          <w:sz w:val="24"/>
        </w:rPr>
      </w:pPr>
      <w:r>
        <w:rPr>
          <w:rFonts w:ascii="宋体" w:hAnsi="宋体" w:cs="Arial"/>
          <w:sz w:val="24"/>
        </w:rPr>
        <w:t>（二）</w:t>
      </w:r>
      <w:r>
        <w:rPr>
          <w:rFonts w:hint="eastAsia" w:ascii="宋体" w:hAnsi="宋体" w:cs="Arial"/>
          <w:sz w:val="24"/>
        </w:rPr>
        <w:t>代控股股东、实际控制人及其他关联方偿还债务；</w:t>
      </w:r>
    </w:p>
    <w:p w14:paraId="11BAB324">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（三）</w:t>
      </w:r>
      <w:r>
        <w:rPr>
          <w:rFonts w:hint="eastAsia" w:ascii="宋体" w:hAnsi="宋体" w:cs="Arial"/>
          <w:kern w:val="0"/>
          <w:sz w:val="24"/>
        </w:rPr>
        <w:t>有偿或者无偿地拆借公司的资金（含委托贷款）给控股股东、实际控制人及其他关联方使用，但公司参股公司（不包括由控股股东、实际控制人控制的公司）的其他股东同比例提供资金的除外</w:t>
      </w:r>
      <w:r>
        <w:rPr>
          <w:rFonts w:ascii="宋体" w:hAnsi="宋体" w:cs="Arial"/>
          <w:kern w:val="0"/>
          <w:sz w:val="24"/>
        </w:rPr>
        <w:t>；</w:t>
      </w:r>
    </w:p>
    <w:p w14:paraId="6EC4CE97">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w:t>
      </w:r>
      <w:r>
        <w:rPr>
          <w:rFonts w:hint="eastAsia" w:ascii="宋体" w:hAnsi="宋体" w:cs="Arial"/>
          <w:kern w:val="0"/>
          <w:sz w:val="24"/>
        </w:rPr>
        <w:t>四</w:t>
      </w:r>
      <w:r>
        <w:rPr>
          <w:rFonts w:ascii="宋体" w:hAnsi="宋体" w:cs="Arial"/>
          <w:kern w:val="0"/>
          <w:sz w:val="24"/>
        </w:rPr>
        <w:t>）委托</w:t>
      </w:r>
      <w:r>
        <w:rPr>
          <w:rFonts w:hint="eastAsia" w:ascii="宋体" w:hAnsi="宋体" w:cs="Arial"/>
          <w:kern w:val="0"/>
          <w:sz w:val="24"/>
        </w:rPr>
        <w:t>控股股东、实际控制人及其他关联方</w:t>
      </w:r>
      <w:r>
        <w:rPr>
          <w:rFonts w:ascii="宋体" w:hAnsi="宋体" w:cs="Arial"/>
          <w:kern w:val="0"/>
          <w:sz w:val="24"/>
        </w:rPr>
        <w:t>进行投资活动；</w:t>
      </w:r>
    </w:p>
    <w:p w14:paraId="292072FA">
      <w:pPr>
        <w:widowControl/>
        <w:tabs>
          <w:tab w:val="left" w:pos="1666"/>
        </w:tabs>
        <w:spacing w:line="360" w:lineRule="auto"/>
        <w:ind w:firstLine="480" w:firstLineChars="200"/>
        <w:rPr>
          <w:rFonts w:hint="eastAsia" w:ascii="宋体" w:hAnsi="宋体" w:cs="Arial"/>
          <w:kern w:val="0"/>
          <w:sz w:val="24"/>
        </w:rPr>
      </w:pPr>
      <w:r>
        <w:rPr>
          <w:rFonts w:hint="eastAsia" w:ascii="宋体" w:hAnsi="宋体" w:cs="Arial"/>
          <w:kern w:val="0"/>
          <w:sz w:val="24"/>
        </w:rPr>
        <w:t>（五）为控股股东、实际控制人及其他关联方开具没有真实交易背景的商业承兑汇票，以及在没有商品和劳务对价情况下或者明显有悖商业逻辑情况下以采购款、资产转让款、预付款等方式提供资金；</w:t>
      </w:r>
    </w:p>
    <w:p w14:paraId="4ED622F2">
      <w:pPr>
        <w:widowControl/>
        <w:tabs>
          <w:tab w:val="left" w:pos="1666"/>
        </w:tabs>
        <w:spacing w:line="360" w:lineRule="auto"/>
        <w:ind w:firstLine="480" w:firstLineChars="200"/>
        <w:rPr>
          <w:rFonts w:ascii="宋体" w:hAnsi="宋体" w:cs="Arial"/>
          <w:kern w:val="0"/>
          <w:sz w:val="24"/>
        </w:rPr>
      </w:pPr>
      <w:r>
        <w:rPr>
          <w:rFonts w:ascii="宋体" w:hAnsi="宋体" w:cs="Arial"/>
          <w:kern w:val="0"/>
          <w:sz w:val="24"/>
        </w:rPr>
        <w:t>（</w:t>
      </w:r>
      <w:r>
        <w:rPr>
          <w:rFonts w:hint="eastAsia" w:ascii="宋体" w:hAnsi="宋体" w:cs="Arial"/>
          <w:kern w:val="0"/>
          <w:sz w:val="24"/>
        </w:rPr>
        <w:t>六</w:t>
      </w:r>
      <w:r>
        <w:rPr>
          <w:rFonts w:ascii="宋体" w:hAnsi="宋体" w:cs="Arial"/>
          <w:kern w:val="0"/>
          <w:sz w:val="24"/>
        </w:rPr>
        <w:t>）中国证监会及深圳证券交易所认定的其他情形。</w:t>
      </w:r>
    </w:p>
    <w:p w14:paraId="3CF7C6C6">
      <w:pPr>
        <w:widowControl/>
        <w:tabs>
          <w:tab w:val="left" w:pos="1666"/>
        </w:tabs>
        <w:spacing w:line="360" w:lineRule="auto"/>
        <w:ind w:firstLine="480" w:firstLineChars="200"/>
        <w:rPr>
          <w:rFonts w:hint="eastAsia" w:ascii="宋体" w:hAnsi="宋体" w:cs="Arial"/>
          <w:kern w:val="0"/>
          <w:sz w:val="24"/>
        </w:rPr>
      </w:pPr>
      <w:r>
        <w:rPr>
          <w:rFonts w:hint="eastAsia" w:ascii="宋体" w:hAnsi="宋体" w:cs="Arial"/>
          <w:kern w:val="0"/>
          <w:sz w:val="24"/>
        </w:rPr>
        <w:t>控股股东、实际控制人不得以“期间占用、期末归还”或者“小金额、多批次”等形式占用公司资金。</w:t>
      </w:r>
    </w:p>
    <w:p w14:paraId="480815DB">
      <w:pPr>
        <w:widowControl/>
        <w:tabs>
          <w:tab w:val="left" w:pos="1666"/>
        </w:tabs>
        <w:spacing w:line="360" w:lineRule="auto"/>
        <w:ind w:firstLine="480" w:firstLineChars="200"/>
        <w:rPr>
          <w:rFonts w:ascii="宋体" w:hAnsi="宋体" w:cs="Arial"/>
          <w:kern w:val="0"/>
          <w:sz w:val="24"/>
        </w:rPr>
      </w:pPr>
    </w:p>
    <w:p w14:paraId="32905B82">
      <w:pPr>
        <w:spacing w:line="360" w:lineRule="auto"/>
        <w:jc w:val="center"/>
        <w:rPr>
          <w:rFonts w:ascii="宋体" w:hAnsi="宋体" w:cs="Arial"/>
          <w:b/>
          <w:sz w:val="24"/>
        </w:rPr>
      </w:pPr>
      <w:r>
        <w:rPr>
          <w:rFonts w:ascii="宋体" w:hAnsi="宋体" w:cs="Arial"/>
          <w:b/>
          <w:sz w:val="24"/>
        </w:rPr>
        <w:t>第六章 附则</w:t>
      </w:r>
    </w:p>
    <w:p w14:paraId="123F730D">
      <w:pPr>
        <w:spacing w:line="360" w:lineRule="auto"/>
        <w:jc w:val="center"/>
        <w:rPr>
          <w:rFonts w:ascii="宋体" w:hAnsi="宋体" w:cs="Arial"/>
          <w:b/>
          <w:sz w:val="24"/>
        </w:rPr>
      </w:pPr>
    </w:p>
    <w:p w14:paraId="46DDBD57">
      <w:pPr>
        <w:widowControl/>
        <w:numPr>
          <w:ilvl w:val="0"/>
          <w:numId w:val="1"/>
        </w:numPr>
        <w:tabs>
          <w:tab w:val="left" w:pos="0"/>
          <w:tab w:val="left" w:pos="1666"/>
        </w:tabs>
        <w:spacing w:line="360" w:lineRule="auto"/>
        <w:ind w:left="0" w:firstLine="476"/>
        <w:rPr>
          <w:rFonts w:ascii="宋体" w:hAnsi="宋体" w:cs="Arial"/>
          <w:sz w:val="24"/>
        </w:rPr>
      </w:pPr>
      <w:r>
        <w:rPr>
          <w:rFonts w:ascii="宋体" w:hAnsi="宋体" w:cs="Arial"/>
          <w:sz w:val="24"/>
        </w:rPr>
        <w:t>本制度所称“以上”含本数；“</w:t>
      </w:r>
      <w:r>
        <w:rPr>
          <w:rFonts w:hint="eastAsia" w:ascii="宋体" w:hAnsi="宋体" w:cs="Arial"/>
          <w:sz w:val="24"/>
        </w:rPr>
        <w:t>过</w:t>
      </w:r>
      <w:r>
        <w:rPr>
          <w:rFonts w:ascii="宋体" w:hAnsi="宋体" w:cs="Arial"/>
          <w:sz w:val="24"/>
        </w:rPr>
        <w:t>”、“</w:t>
      </w:r>
      <w:r>
        <w:rPr>
          <w:rFonts w:hint="eastAsia" w:ascii="宋体" w:hAnsi="宋体" w:cs="Arial"/>
          <w:sz w:val="24"/>
        </w:rPr>
        <w:t>超过</w:t>
      </w:r>
      <w:r>
        <w:rPr>
          <w:rFonts w:ascii="宋体" w:hAnsi="宋体" w:cs="Arial"/>
          <w:sz w:val="24"/>
        </w:rPr>
        <w:t>”不含本数。</w:t>
      </w:r>
    </w:p>
    <w:p w14:paraId="31DE95B8">
      <w:pPr>
        <w:widowControl/>
        <w:numPr>
          <w:ilvl w:val="0"/>
          <w:numId w:val="1"/>
        </w:numPr>
        <w:tabs>
          <w:tab w:val="left" w:pos="0"/>
          <w:tab w:val="left" w:pos="1666"/>
        </w:tabs>
        <w:spacing w:line="360" w:lineRule="auto"/>
        <w:ind w:left="0" w:firstLine="476"/>
        <w:rPr>
          <w:rFonts w:ascii="宋体" w:hAnsi="宋体" w:cs="Arial"/>
          <w:sz w:val="24"/>
        </w:rPr>
      </w:pPr>
      <w:r>
        <w:rPr>
          <w:rFonts w:ascii="宋体" w:hAnsi="宋体" w:cs="Arial"/>
          <w:sz w:val="24"/>
        </w:rPr>
        <w:t>本制度未尽事宜，依照国家有关法律、行政法规、部门规章、其他规范性文件及《公司章程》的有关规定执行。</w:t>
      </w:r>
    </w:p>
    <w:p w14:paraId="6C138AC1">
      <w:pPr>
        <w:widowControl/>
        <w:numPr>
          <w:ilvl w:val="0"/>
          <w:numId w:val="1"/>
        </w:numPr>
        <w:tabs>
          <w:tab w:val="left" w:pos="0"/>
          <w:tab w:val="left" w:pos="1666"/>
        </w:tabs>
        <w:spacing w:line="360" w:lineRule="auto"/>
        <w:ind w:left="0" w:firstLine="476"/>
        <w:rPr>
          <w:rFonts w:ascii="宋体" w:hAnsi="宋体" w:cs="Arial"/>
          <w:sz w:val="24"/>
        </w:rPr>
      </w:pPr>
      <w:r>
        <w:rPr>
          <w:rFonts w:ascii="宋体" w:hAnsi="宋体" w:cs="Arial"/>
          <w:sz w:val="24"/>
        </w:rPr>
        <w:t xml:space="preserve">本制度由董事会负责解释。 </w:t>
      </w:r>
    </w:p>
    <w:p w14:paraId="642AC978">
      <w:pPr>
        <w:widowControl/>
        <w:numPr>
          <w:ilvl w:val="0"/>
          <w:numId w:val="1"/>
        </w:numPr>
        <w:tabs>
          <w:tab w:val="left" w:pos="0"/>
          <w:tab w:val="left" w:pos="1666"/>
        </w:tabs>
        <w:spacing w:line="360" w:lineRule="auto"/>
        <w:ind w:left="0" w:firstLine="476"/>
        <w:rPr>
          <w:rFonts w:ascii="宋体" w:hAnsi="宋体" w:cs="Arial"/>
          <w:sz w:val="24"/>
        </w:rPr>
      </w:pPr>
      <w:r>
        <w:rPr>
          <w:rFonts w:ascii="宋体" w:hAnsi="宋体" w:cs="Arial"/>
          <w:sz w:val="24"/>
        </w:rPr>
        <w:t>本制度经股东会</w:t>
      </w:r>
      <w:r>
        <w:rPr>
          <w:rFonts w:hint="eastAsia" w:ascii="宋体" w:hAnsi="宋体" w:cs="Arial"/>
          <w:sz w:val="24"/>
        </w:rPr>
        <w:t>审议</w:t>
      </w:r>
      <w:r>
        <w:rPr>
          <w:rFonts w:ascii="宋体" w:hAnsi="宋体" w:cs="Arial"/>
          <w:sz w:val="24"/>
        </w:rPr>
        <w:t>通过</w:t>
      </w:r>
      <w:bookmarkStart w:id="3" w:name="_DV_C917"/>
      <w:r>
        <w:rPr>
          <w:rFonts w:hint="eastAsia" w:ascii="宋体" w:hAnsi="宋体" w:cs="Arial"/>
          <w:sz w:val="24"/>
        </w:rPr>
        <w:t>之日起生效</w:t>
      </w:r>
      <w:bookmarkEnd w:id="3"/>
      <w:r>
        <w:rPr>
          <w:rFonts w:hint="eastAsia" w:ascii="宋体" w:hAnsi="宋体" w:cs="Arial"/>
          <w:sz w:val="24"/>
        </w:rPr>
        <w:t>实施</w:t>
      </w:r>
      <w:r>
        <w:rPr>
          <w:rFonts w:ascii="宋体" w:hAnsi="宋体" w:cs="Arial"/>
          <w:sz w:val="24"/>
        </w:rPr>
        <w:t>。</w:t>
      </w:r>
    </w:p>
    <w:p w14:paraId="7EA0AF86">
      <w:pPr>
        <w:pStyle w:val="17"/>
        <w:tabs>
          <w:tab w:val="left" w:pos="1701"/>
        </w:tabs>
        <w:ind w:firstLine="480"/>
        <w:rPr>
          <w:rFonts w:ascii="宋体" w:hAnsi="宋体" w:eastAsia="宋体" w:cs="Arial"/>
          <w:lang w:eastAsia="zh-CN"/>
        </w:rPr>
      </w:pPr>
    </w:p>
    <w:p w14:paraId="5422FE47">
      <w:pPr>
        <w:pStyle w:val="17"/>
        <w:tabs>
          <w:tab w:val="left" w:pos="1701"/>
        </w:tabs>
        <w:ind w:firstLine="480"/>
        <w:rPr>
          <w:rFonts w:ascii="宋体" w:hAnsi="宋体" w:eastAsia="宋体" w:cs="Arial"/>
          <w:lang w:eastAsia="zh-CN"/>
        </w:rPr>
      </w:pPr>
    </w:p>
    <w:sectPr>
      <w:footerReference r:id="rId3" w:type="default"/>
      <w:footerReference r:id="rId4" w:type="even"/>
      <w:pgSz w:w="11906" w:h="16838"/>
      <w:pgMar w:top="1440"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F5B7">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lang/>
      </w:rPr>
      <w:t>1</w:t>
    </w:r>
    <w:r>
      <w:rPr>
        <w:rStyle w:val="13"/>
      </w:rPr>
      <w:fldChar w:fldCharType="end"/>
    </w:r>
  </w:p>
  <w:p w14:paraId="1507E89F">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7A48">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39EEBD54">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52451"/>
    <w:multiLevelType w:val="multilevel"/>
    <w:tmpl w:val="46C52451"/>
    <w:lvl w:ilvl="0" w:tentative="0">
      <w:start w:val="1"/>
      <w:numFmt w:val="chineseCountingThousand"/>
      <w:lvlText w:val="第%1条"/>
      <w:lvlJc w:val="left"/>
      <w:pPr>
        <w:tabs>
          <w:tab w:val="left" w:pos="630"/>
        </w:tabs>
        <w:ind w:left="630" w:hanging="630"/>
      </w:pPr>
      <w:rPr>
        <w:rFonts w:hint="default" w:ascii="宋体" w:hAnsi="宋体" w:eastAsia="宋体"/>
        <w:b/>
        <w:i w:val="0"/>
        <w:sz w:val="24"/>
        <w:szCs w:val="24"/>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7ED7515B"/>
    <w:multiLevelType w:val="multilevel"/>
    <w:tmpl w:val="7ED7515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4A"/>
    <w:rsid w:val="000029A4"/>
    <w:rsid w:val="00003578"/>
    <w:rsid w:val="00003C76"/>
    <w:rsid w:val="00006541"/>
    <w:rsid w:val="00015B0E"/>
    <w:rsid w:val="00016AE1"/>
    <w:rsid w:val="00022614"/>
    <w:rsid w:val="000250E6"/>
    <w:rsid w:val="00034949"/>
    <w:rsid w:val="0003548C"/>
    <w:rsid w:val="00042947"/>
    <w:rsid w:val="0004353C"/>
    <w:rsid w:val="00043BDF"/>
    <w:rsid w:val="00045184"/>
    <w:rsid w:val="000512FC"/>
    <w:rsid w:val="00051FB9"/>
    <w:rsid w:val="00060DB8"/>
    <w:rsid w:val="000623DF"/>
    <w:rsid w:val="00065E23"/>
    <w:rsid w:val="00067DE4"/>
    <w:rsid w:val="0007587C"/>
    <w:rsid w:val="00077C18"/>
    <w:rsid w:val="00077DDA"/>
    <w:rsid w:val="00080968"/>
    <w:rsid w:val="00084608"/>
    <w:rsid w:val="00093847"/>
    <w:rsid w:val="000957A1"/>
    <w:rsid w:val="00095F31"/>
    <w:rsid w:val="000962FD"/>
    <w:rsid w:val="000A255F"/>
    <w:rsid w:val="000A45B0"/>
    <w:rsid w:val="000A4D78"/>
    <w:rsid w:val="000B0227"/>
    <w:rsid w:val="000B2D8C"/>
    <w:rsid w:val="000B30DB"/>
    <w:rsid w:val="000B437E"/>
    <w:rsid w:val="000B4AAE"/>
    <w:rsid w:val="000B52A3"/>
    <w:rsid w:val="000C27D9"/>
    <w:rsid w:val="000C68A7"/>
    <w:rsid w:val="000C72FE"/>
    <w:rsid w:val="000D17F1"/>
    <w:rsid w:val="000D594F"/>
    <w:rsid w:val="000E0A6B"/>
    <w:rsid w:val="000E3D6C"/>
    <w:rsid w:val="000E778E"/>
    <w:rsid w:val="000E7D15"/>
    <w:rsid w:val="000F3E1E"/>
    <w:rsid w:val="000F4E32"/>
    <w:rsid w:val="00112903"/>
    <w:rsid w:val="00112940"/>
    <w:rsid w:val="00112A75"/>
    <w:rsid w:val="00112E95"/>
    <w:rsid w:val="00113CDA"/>
    <w:rsid w:val="001143C4"/>
    <w:rsid w:val="00116E1F"/>
    <w:rsid w:val="001262D1"/>
    <w:rsid w:val="001277D9"/>
    <w:rsid w:val="00130076"/>
    <w:rsid w:val="001313C7"/>
    <w:rsid w:val="00134439"/>
    <w:rsid w:val="001414DD"/>
    <w:rsid w:val="0014191C"/>
    <w:rsid w:val="0015054E"/>
    <w:rsid w:val="00151963"/>
    <w:rsid w:val="0015505C"/>
    <w:rsid w:val="0016495F"/>
    <w:rsid w:val="00174CA1"/>
    <w:rsid w:val="00176A76"/>
    <w:rsid w:val="00182316"/>
    <w:rsid w:val="001847D2"/>
    <w:rsid w:val="00185024"/>
    <w:rsid w:val="00186EA2"/>
    <w:rsid w:val="0019036D"/>
    <w:rsid w:val="001963F7"/>
    <w:rsid w:val="001A5A0D"/>
    <w:rsid w:val="001A5A33"/>
    <w:rsid w:val="001A72AE"/>
    <w:rsid w:val="001B32AE"/>
    <w:rsid w:val="001C2037"/>
    <w:rsid w:val="001C68D3"/>
    <w:rsid w:val="001C7732"/>
    <w:rsid w:val="001D105A"/>
    <w:rsid w:val="001D1179"/>
    <w:rsid w:val="001E774E"/>
    <w:rsid w:val="001E78A5"/>
    <w:rsid w:val="001F6514"/>
    <w:rsid w:val="00200F43"/>
    <w:rsid w:val="002107D9"/>
    <w:rsid w:val="002120F5"/>
    <w:rsid w:val="002121C0"/>
    <w:rsid w:val="002137A1"/>
    <w:rsid w:val="00214CAA"/>
    <w:rsid w:val="00227860"/>
    <w:rsid w:val="0023452B"/>
    <w:rsid w:val="002362DF"/>
    <w:rsid w:val="00244F10"/>
    <w:rsid w:val="00245518"/>
    <w:rsid w:val="002466DF"/>
    <w:rsid w:val="002478BF"/>
    <w:rsid w:val="002525FF"/>
    <w:rsid w:val="0026319E"/>
    <w:rsid w:val="00263E78"/>
    <w:rsid w:val="00264D61"/>
    <w:rsid w:val="00271703"/>
    <w:rsid w:val="00286056"/>
    <w:rsid w:val="0028774D"/>
    <w:rsid w:val="00287CF7"/>
    <w:rsid w:val="00291B70"/>
    <w:rsid w:val="00291EDD"/>
    <w:rsid w:val="00293E15"/>
    <w:rsid w:val="00297CC9"/>
    <w:rsid w:val="002A12E0"/>
    <w:rsid w:val="002A71C0"/>
    <w:rsid w:val="002B06CB"/>
    <w:rsid w:val="002B1BF0"/>
    <w:rsid w:val="002B2A69"/>
    <w:rsid w:val="002B4403"/>
    <w:rsid w:val="002B69EA"/>
    <w:rsid w:val="002B7A58"/>
    <w:rsid w:val="002C01C5"/>
    <w:rsid w:val="002C45DE"/>
    <w:rsid w:val="002C66B5"/>
    <w:rsid w:val="002E1E88"/>
    <w:rsid w:val="002E25B7"/>
    <w:rsid w:val="002E53E6"/>
    <w:rsid w:val="002E55E5"/>
    <w:rsid w:val="002E6075"/>
    <w:rsid w:val="002F2CB4"/>
    <w:rsid w:val="002F6631"/>
    <w:rsid w:val="002F7CD0"/>
    <w:rsid w:val="0030048D"/>
    <w:rsid w:val="00300738"/>
    <w:rsid w:val="003011F9"/>
    <w:rsid w:val="00301CCF"/>
    <w:rsid w:val="003031EB"/>
    <w:rsid w:val="003040FC"/>
    <w:rsid w:val="00315797"/>
    <w:rsid w:val="00316149"/>
    <w:rsid w:val="00320F8B"/>
    <w:rsid w:val="00326725"/>
    <w:rsid w:val="003274A7"/>
    <w:rsid w:val="003324E5"/>
    <w:rsid w:val="003355EF"/>
    <w:rsid w:val="00340227"/>
    <w:rsid w:val="00343B9F"/>
    <w:rsid w:val="00344628"/>
    <w:rsid w:val="003579E9"/>
    <w:rsid w:val="003639CF"/>
    <w:rsid w:val="00365F4A"/>
    <w:rsid w:val="00370425"/>
    <w:rsid w:val="00370E5D"/>
    <w:rsid w:val="00372615"/>
    <w:rsid w:val="00377006"/>
    <w:rsid w:val="003778E2"/>
    <w:rsid w:val="00377B52"/>
    <w:rsid w:val="00381C6C"/>
    <w:rsid w:val="00381D74"/>
    <w:rsid w:val="0038370C"/>
    <w:rsid w:val="0038586E"/>
    <w:rsid w:val="00390E18"/>
    <w:rsid w:val="003932B8"/>
    <w:rsid w:val="0039432D"/>
    <w:rsid w:val="003967FC"/>
    <w:rsid w:val="003A1313"/>
    <w:rsid w:val="003A189F"/>
    <w:rsid w:val="003A6DB2"/>
    <w:rsid w:val="003B2D34"/>
    <w:rsid w:val="003B3BE1"/>
    <w:rsid w:val="003B52A0"/>
    <w:rsid w:val="003B5D2D"/>
    <w:rsid w:val="003C238B"/>
    <w:rsid w:val="003D2F85"/>
    <w:rsid w:val="003D5B18"/>
    <w:rsid w:val="003D631B"/>
    <w:rsid w:val="003D6FC4"/>
    <w:rsid w:val="003E0B30"/>
    <w:rsid w:val="003E0CA9"/>
    <w:rsid w:val="003E40F0"/>
    <w:rsid w:val="003E66D0"/>
    <w:rsid w:val="003F1B3C"/>
    <w:rsid w:val="003F700C"/>
    <w:rsid w:val="003F7ED2"/>
    <w:rsid w:val="00400B64"/>
    <w:rsid w:val="00406301"/>
    <w:rsid w:val="00407E98"/>
    <w:rsid w:val="004115B6"/>
    <w:rsid w:val="00415801"/>
    <w:rsid w:val="004166F3"/>
    <w:rsid w:val="00424414"/>
    <w:rsid w:val="004266A7"/>
    <w:rsid w:val="00437CEA"/>
    <w:rsid w:val="004611CD"/>
    <w:rsid w:val="00463DBF"/>
    <w:rsid w:val="004642E5"/>
    <w:rsid w:val="0046703C"/>
    <w:rsid w:val="00474F91"/>
    <w:rsid w:val="00475A80"/>
    <w:rsid w:val="004765E8"/>
    <w:rsid w:val="00477897"/>
    <w:rsid w:val="00482AE9"/>
    <w:rsid w:val="0048502D"/>
    <w:rsid w:val="00497259"/>
    <w:rsid w:val="004B47BE"/>
    <w:rsid w:val="004B61F3"/>
    <w:rsid w:val="004C1722"/>
    <w:rsid w:val="004C3D8C"/>
    <w:rsid w:val="004C3FA0"/>
    <w:rsid w:val="004D3B67"/>
    <w:rsid w:val="004D4355"/>
    <w:rsid w:val="004D52F8"/>
    <w:rsid w:val="004D5FBB"/>
    <w:rsid w:val="00513B58"/>
    <w:rsid w:val="00526D50"/>
    <w:rsid w:val="00527793"/>
    <w:rsid w:val="00527F05"/>
    <w:rsid w:val="00545DFF"/>
    <w:rsid w:val="005503CB"/>
    <w:rsid w:val="005532DA"/>
    <w:rsid w:val="00560ED2"/>
    <w:rsid w:val="00563DA8"/>
    <w:rsid w:val="00596384"/>
    <w:rsid w:val="00597333"/>
    <w:rsid w:val="005A0B0B"/>
    <w:rsid w:val="005A1B05"/>
    <w:rsid w:val="005A2D19"/>
    <w:rsid w:val="005A3FA6"/>
    <w:rsid w:val="005B0FFE"/>
    <w:rsid w:val="005B1175"/>
    <w:rsid w:val="005B2409"/>
    <w:rsid w:val="005B5214"/>
    <w:rsid w:val="005B65D1"/>
    <w:rsid w:val="005C2B94"/>
    <w:rsid w:val="005C357B"/>
    <w:rsid w:val="005D1C3E"/>
    <w:rsid w:val="005D2ECF"/>
    <w:rsid w:val="005D34E4"/>
    <w:rsid w:val="005D52EE"/>
    <w:rsid w:val="005D5AF7"/>
    <w:rsid w:val="005D6146"/>
    <w:rsid w:val="005E10FA"/>
    <w:rsid w:val="005E244B"/>
    <w:rsid w:val="005E7506"/>
    <w:rsid w:val="005F04A6"/>
    <w:rsid w:val="005F10CD"/>
    <w:rsid w:val="005F32E8"/>
    <w:rsid w:val="005F6819"/>
    <w:rsid w:val="006006D6"/>
    <w:rsid w:val="00616B20"/>
    <w:rsid w:val="00622A7F"/>
    <w:rsid w:val="00626555"/>
    <w:rsid w:val="006320CD"/>
    <w:rsid w:val="00640368"/>
    <w:rsid w:val="00640CCB"/>
    <w:rsid w:val="00641561"/>
    <w:rsid w:val="00641D6A"/>
    <w:rsid w:val="00643673"/>
    <w:rsid w:val="00647192"/>
    <w:rsid w:val="00652382"/>
    <w:rsid w:val="00665B79"/>
    <w:rsid w:val="006758DD"/>
    <w:rsid w:val="00681990"/>
    <w:rsid w:val="00683BD4"/>
    <w:rsid w:val="006854C2"/>
    <w:rsid w:val="00686BBB"/>
    <w:rsid w:val="00694E29"/>
    <w:rsid w:val="00694E5C"/>
    <w:rsid w:val="00696A44"/>
    <w:rsid w:val="006A1044"/>
    <w:rsid w:val="006A35DA"/>
    <w:rsid w:val="006A3957"/>
    <w:rsid w:val="006A3E6F"/>
    <w:rsid w:val="006A6F7F"/>
    <w:rsid w:val="006B6D47"/>
    <w:rsid w:val="006C074C"/>
    <w:rsid w:val="006C1A61"/>
    <w:rsid w:val="006C1D18"/>
    <w:rsid w:val="006C3D09"/>
    <w:rsid w:val="006C40C6"/>
    <w:rsid w:val="006C704A"/>
    <w:rsid w:val="006D0088"/>
    <w:rsid w:val="006D2E70"/>
    <w:rsid w:val="006D3748"/>
    <w:rsid w:val="006D5AE9"/>
    <w:rsid w:val="006E344C"/>
    <w:rsid w:val="006E5523"/>
    <w:rsid w:val="006F0FB1"/>
    <w:rsid w:val="006F6E27"/>
    <w:rsid w:val="00703C58"/>
    <w:rsid w:val="0071125B"/>
    <w:rsid w:val="00712497"/>
    <w:rsid w:val="00716DCD"/>
    <w:rsid w:val="0072136E"/>
    <w:rsid w:val="0072504A"/>
    <w:rsid w:val="00727303"/>
    <w:rsid w:val="007400E9"/>
    <w:rsid w:val="00740246"/>
    <w:rsid w:val="0074194B"/>
    <w:rsid w:val="0074599E"/>
    <w:rsid w:val="00753E25"/>
    <w:rsid w:val="00760914"/>
    <w:rsid w:val="007641FF"/>
    <w:rsid w:val="0076712F"/>
    <w:rsid w:val="0077458E"/>
    <w:rsid w:val="00774BBC"/>
    <w:rsid w:val="00783114"/>
    <w:rsid w:val="00790C7B"/>
    <w:rsid w:val="00791FB8"/>
    <w:rsid w:val="00793536"/>
    <w:rsid w:val="007A114D"/>
    <w:rsid w:val="007A3255"/>
    <w:rsid w:val="007A48B5"/>
    <w:rsid w:val="007A4A06"/>
    <w:rsid w:val="007B0098"/>
    <w:rsid w:val="007B342D"/>
    <w:rsid w:val="007B3438"/>
    <w:rsid w:val="007B4256"/>
    <w:rsid w:val="007C64CF"/>
    <w:rsid w:val="007C7FAD"/>
    <w:rsid w:val="007D4B61"/>
    <w:rsid w:val="007D5C11"/>
    <w:rsid w:val="007D7F02"/>
    <w:rsid w:val="007E05F0"/>
    <w:rsid w:val="007E176E"/>
    <w:rsid w:val="007E2B6A"/>
    <w:rsid w:val="007E53EC"/>
    <w:rsid w:val="007F0796"/>
    <w:rsid w:val="00806E98"/>
    <w:rsid w:val="00810790"/>
    <w:rsid w:val="00811380"/>
    <w:rsid w:val="0081279C"/>
    <w:rsid w:val="00814394"/>
    <w:rsid w:val="00814BC8"/>
    <w:rsid w:val="0082279D"/>
    <w:rsid w:val="00823748"/>
    <w:rsid w:val="00826B98"/>
    <w:rsid w:val="008273EE"/>
    <w:rsid w:val="00833416"/>
    <w:rsid w:val="008428FF"/>
    <w:rsid w:val="00844EAD"/>
    <w:rsid w:val="00846229"/>
    <w:rsid w:val="008507F1"/>
    <w:rsid w:val="00852A92"/>
    <w:rsid w:val="00862287"/>
    <w:rsid w:val="00863292"/>
    <w:rsid w:val="008700E4"/>
    <w:rsid w:val="008745D6"/>
    <w:rsid w:val="00875743"/>
    <w:rsid w:val="0087722A"/>
    <w:rsid w:val="00877AAE"/>
    <w:rsid w:val="00883345"/>
    <w:rsid w:val="00886433"/>
    <w:rsid w:val="00887AAE"/>
    <w:rsid w:val="00891C55"/>
    <w:rsid w:val="008937C5"/>
    <w:rsid w:val="0089798F"/>
    <w:rsid w:val="008A4FCA"/>
    <w:rsid w:val="008B4B74"/>
    <w:rsid w:val="008C45C2"/>
    <w:rsid w:val="008C665F"/>
    <w:rsid w:val="008D1213"/>
    <w:rsid w:val="008D1F88"/>
    <w:rsid w:val="008D2650"/>
    <w:rsid w:val="008D6381"/>
    <w:rsid w:val="008D6666"/>
    <w:rsid w:val="008E6295"/>
    <w:rsid w:val="008E7285"/>
    <w:rsid w:val="0090419C"/>
    <w:rsid w:val="00906566"/>
    <w:rsid w:val="00921077"/>
    <w:rsid w:val="009266B4"/>
    <w:rsid w:val="00926DAE"/>
    <w:rsid w:val="00927B76"/>
    <w:rsid w:val="00931044"/>
    <w:rsid w:val="009317DF"/>
    <w:rsid w:val="00934ACB"/>
    <w:rsid w:val="009364A9"/>
    <w:rsid w:val="0093728F"/>
    <w:rsid w:val="009442AB"/>
    <w:rsid w:val="00944A88"/>
    <w:rsid w:val="009478F4"/>
    <w:rsid w:val="00952F3D"/>
    <w:rsid w:val="0095786F"/>
    <w:rsid w:val="0096202D"/>
    <w:rsid w:val="00972AAA"/>
    <w:rsid w:val="0097433B"/>
    <w:rsid w:val="00975394"/>
    <w:rsid w:val="00980011"/>
    <w:rsid w:val="00980566"/>
    <w:rsid w:val="00982C5C"/>
    <w:rsid w:val="00984C17"/>
    <w:rsid w:val="00993A4F"/>
    <w:rsid w:val="009951ED"/>
    <w:rsid w:val="009A29ED"/>
    <w:rsid w:val="009B6C3E"/>
    <w:rsid w:val="009B6C6F"/>
    <w:rsid w:val="009B7125"/>
    <w:rsid w:val="009C599A"/>
    <w:rsid w:val="009D7205"/>
    <w:rsid w:val="009E0C03"/>
    <w:rsid w:val="009E388D"/>
    <w:rsid w:val="009E44A4"/>
    <w:rsid w:val="009E6DFB"/>
    <w:rsid w:val="009F0FB4"/>
    <w:rsid w:val="009F18FF"/>
    <w:rsid w:val="009F66B7"/>
    <w:rsid w:val="009F7A7B"/>
    <w:rsid w:val="00A04FA3"/>
    <w:rsid w:val="00A054C7"/>
    <w:rsid w:val="00A13DFB"/>
    <w:rsid w:val="00A207ED"/>
    <w:rsid w:val="00A20CE7"/>
    <w:rsid w:val="00A24109"/>
    <w:rsid w:val="00A34413"/>
    <w:rsid w:val="00A35F8C"/>
    <w:rsid w:val="00A379B8"/>
    <w:rsid w:val="00A423C4"/>
    <w:rsid w:val="00A431AB"/>
    <w:rsid w:val="00A44E6B"/>
    <w:rsid w:val="00A50E5A"/>
    <w:rsid w:val="00A515A6"/>
    <w:rsid w:val="00A51FC4"/>
    <w:rsid w:val="00A5586C"/>
    <w:rsid w:val="00A57BB4"/>
    <w:rsid w:val="00A600E7"/>
    <w:rsid w:val="00A64D19"/>
    <w:rsid w:val="00A706B5"/>
    <w:rsid w:val="00A80E0A"/>
    <w:rsid w:val="00A841A1"/>
    <w:rsid w:val="00A85629"/>
    <w:rsid w:val="00A91AD2"/>
    <w:rsid w:val="00A922C8"/>
    <w:rsid w:val="00A95A05"/>
    <w:rsid w:val="00AA4B37"/>
    <w:rsid w:val="00AA68B3"/>
    <w:rsid w:val="00AB372B"/>
    <w:rsid w:val="00AB3D5F"/>
    <w:rsid w:val="00AC4330"/>
    <w:rsid w:val="00AC61C8"/>
    <w:rsid w:val="00AD01F8"/>
    <w:rsid w:val="00AD5722"/>
    <w:rsid w:val="00AE05A5"/>
    <w:rsid w:val="00AE4889"/>
    <w:rsid w:val="00AF2689"/>
    <w:rsid w:val="00AF33EC"/>
    <w:rsid w:val="00B01AED"/>
    <w:rsid w:val="00B02897"/>
    <w:rsid w:val="00B02E30"/>
    <w:rsid w:val="00B05EA5"/>
    <w:rsid w:val="00B06626"/>
    <w:rsid w:val="00B112A5"/>
    <w:rsid w:val="00B11F1B"/>
    <w:rsid w:val="00B15C43"/>
    <w:rsid w:val="00B16B2A"/>
    <w:rsid w:val="00B250D6"/>
    <w:rsid w:val="00B26FE7"/>
    <w:rsid w:val="00B27795"/>
    <w:rsid w:val="00B31CEB"/>
    <w:rsid w:val="00B33B0C"/>
    <w:rsid w:val="00B3454F"/>
    <w:rsid w:val="00B36993"/>
    <w:rsid w:val="00B423A8"/>
    <w:rsid w:val="00B443E1"/>
    <w:rsid w:val="00B452D1"/>
    <w:rsid w:val="00B456DD"/>
    <w:rsid w:val="00B46956"/>
    <w:rsid w:val="00B46E76"/>
    <w:rsid w:val="00B51123"/>
    <w:rsid w:val="00B511F2"/>
    <w:rsid w:val="00B555FF"/>
    <w:rsid w:val="00B62270"/>
    <w:rsid w:val="00B62C74"/>
    <w:rsid w:val="00B64855"/>
    <w:rsid w:val="00B64D67"/>
    <w:rsid w:val="00B657E3"/>
    <w:rsid w:val="00B6593A"/>
    <w:rsid w:val="00B65CB4"/>
    <w:rsid w:val="00B678CA"/>
    <w:rsid w:val="00B728A0"/>
    <w:rsid w:val="00B75D04"/>
    <w:rsid w:val="00B804F2"/>
    <w:rsid w:val="00B82EE3"/>
    <w:rsid w:val="00B83554"/>
    <w:rsid w:val="00B845A0"/>
    <w:rsid w:val="00B848C4"/>
    <w:rsid w:val="00B85C2A"/>
    <w:rsid w:val="00B85FF5"/>
    <w:rsid w:val="00B878CA"/>
    <w:rsid w:val="00B95B5D"/>
    <w:rsid w:val="00B95E27"/>
    <w:rsid w:val="00B97F14"/>
    <w:rsid w:val="00BA2782"/>
    <w:rsid w:val="00BA42AC"/>
    <w:rsid w:val="00BA5522"/>
    <w:rsid w:val="00BB16A7"/>
    <w:rsid w:val="00BB4216"/>
    <w:rsid w:val="00BB77BA"/>
    <w:rsid w:val="00BC0E93"/>
    <w:rsid w:val="00BC1D08"/>
    <w:rsid w:val="00BC2FF3"/>
    <w:rsid w:val="00BD06BF"/>
    <w:rsid w:val="00BD4C22"/>
    <w:rsid w:val="00BD5530"/>
    <w:rsid w:val="00BE5CD4"/>
    <w:rsid w:val="00BE618E"/>
    <w:rsid w:val="00C02E6A"/>
    <w:rsid w:val="00C103D7"/>
    <w:rsid w:val="00C1271B"/>
    <w:rsid w:val="00C12B6F"/>
    <w:rsid w:val="00C1782A"/>
    <w:rsid w:val="00C2406A"/>
    <w:rsid w:val="00C36FDB"/>
    <w:rsid w:val="00C4759A"/>
    <w:rsid w:val="00C51DB1"/>
    <w:rsid w:val="00C536E3"/>
    <w:rsid w:val="00C57CD8"/>
    <w:rsid w:val="00C6021F"/>
    <w:rsid w:val="00C62484"/>
    <w:rsid w:val="00C70FF8"/>
    <w:rsid w:val="00C71621"/>
    <w:rsid w:val="00C74013"/>
    <w:rsid w:val="00C74D51"/>
    <w:rsid w:val="00C750B8"/>
    <w:rsid w:val="00C76D58"/>
    <w:rsid w:val="00C8019D"/>
    <w:rsid w:val="00C809D0"/>
    <w:rsid w:val="00C80D7D"/>
    <w:rsid w:val="00C82210"/>
    <w:rsid w:val="00C919C3"/>
    <w:rsid w:val="00C94F10"/>
    <w:rsid w:val="00CA2198"/>
    <w:rsid w:val="00CA54E6"/>
    <w:rsid w:val="00CA7A88"/>
    <w:rsid w:val="00CB0F3C"/>
    <w:rsid w:val="00CB1EB3"/>
    <w:rsid w:val="00CB5681"/>
    <w:rsid w:val="00CB7B0A"/>
    <w:rsid w:val="00CC3162"/>
    <w:rsid w:val="00CC3A2C"/>
    <w:rsid w:val="00CC670F"/>
    <w:rsid w:val="00CD1CB4"/>
    <w:rsid w:val="00CE1EDF"/>
    <w:rsid w:val="00CF1089"/>
    <w:rsid w:val="00CF2891"/>
    <w:rsid w:val="00D10BF8"/>
    <w:rsid w:val="00D2027F"/>
    <w:rsid w:val="00D208B7"/>
    <w:rsid w:val="00D20AA9"/>
    <w:rsid w:val="00D2117D"/>
    <w:rsid w:val="00D22AFC"/>
    <w:rsid w:val="00D321CD"/>
    <w:rsid w:val="00D333C8"/>
    <w:rsid w:val="00D54740"/>
    <w:rsid w:val="00D57318"/>
    <w:rsid w:val="00D57F47"/>
    <w:rsid w:val="00D603C2"/>
    <w:rsid w:val="00D62567"/>
    <w:rsid w:val="00D678F6"/>
    <w:rsid w:val="00D71828"/>
    <w:rsid w:val="00D76433"/>
    <w:rsid w:val="00D804DE"/>
    <w:rsid w:val="00D81210"/>
    <w:rsid w:val="00D87891"/>
    <w:rsid w:val="00D91CF7"/>
    <w:rsid w:val="00D92BD8"/>
    <w:rsid w:val="00DA1E96"/>
    <w:rsid w:val="00DA6701"/>
    <w:rsid w:val="00DA7B42"/>
    <w:rsid w:val="00DB266A"/>
    <w:rsid w:val="00DB391D"/>
    <w:rsid w:val="00DB489A"/>
    <w:rsid w:val="00DB6FF9"/>
    <w:rsid w:val="00DC0F05"/>
    <w:rsid w:val="00DC13A7"/>
    <w:rsid w:val="00DC34B5"/>
    <w:rsid w:val="00DC64BB"/>
    <w:rsid w:val="00DD4061"/>
    <w:rsid w:val="00DD44DA"/>
    <w:rsid w:val="00DE7429"/>
    <w:rsid w:val="00DE7699"/>
    <w:rsid w:val="00DF0B95"/>
    <w:rsid w:val="00DF247A"/>
    <w:rsid w:val="00DF3F2C"/>
    <w:rsid w:val="00DF6FC5"/>
    <w:rsid w:val="00E00433"/>
    <w:rsid w:val="00E00B50"/>
    <w:rsid w:val="00E06245"/>
    <w:rsid w:val="00E133EC"/>
    <w:rsid w:val="00E1587B"/>
    <w:rsid w:val="00E15C21"/>
    <w:rsid w:val="00E2535A"/>
    <w:rsid w:val="00E3335E"/>
    <w:rsid w:val="00E34790"/>
    <w:rsid w:val="00E34E4A"/>
    <w:rsid w:val="00E40171"/>
    <w:rsid w:val="00E419F4"/>
    <w:rsid w:val="00E42263"/>
    <w:rsid w:val="00E5101D"/>
    <w:rsid w:val="00E51C25"/>
    <w:rsid w:val="00E562C3"/>
    <w:rsid w:val="00E6715E"/>
    <w:rsid w:val="00E6769E"/>
    <w:rsid w:val="00E71EF4"/>
    <w:rsid w:val="00E74DDC"/>
    <w:rsid w:val="00E776FA"/>
    <w:rsid w:val="00E8543C"/>
    <w:rsid w:val="00E85DCC"/>
    <w:rsid w:val="00E866F3"/>
    <w:rsid w:val="00E8708C"/>
    <w:rsid w:val="00E90769"/>
    <w:rsid w:val="00E90DD1"/>
    <w:rsid w:val="00E93006"/>
    <w:rsid w:val="00EA2F83"/>
    <w:rsid w:val="00EA5566"/>
    <w:rsid w:val="00EA6E98"/>
    <w:rsid w:val="00EB38BE"/>
    <w:rsid w:val="00EB3F4C"/>
    <w:rsid w:val="00EB5698"/>
    <w:rsid w:val="00EB7341"/>
    <w:rsid w:val="00EC08FB"/>
    <w:rsid w:val="00EC0F19"/>
    <w:rsid w:val="00EC264D"/>
    <w:rsid w:val="00EC7EF6"/>
    <w:rsid w:val="00ED06EF"/>
    <w:rsid w:val="00ED3B72"/>
    <w:rsid w:val="00EE2045"/>
    <w:rsid w:val="00EE3F0A"/>
    <w:rsid w:val="00EE5CB3"/>
    <w:rsid w:val="00EF3E66"/>
    <w:rsid w:val="00EF669C"/>
    <w:rsid w:val="00F0068F"/>
    <w:rsid w:val="00F029C1"/>
    <w:rsid w:val="00F05B9F"/>
    <w:rsid w:val="00F07DBE"/>
    <w:rsid w:val="00F127AC"/>
    <w:rsid w:val="00F14EB4"/>
    <w:rsid w:val="00F15A5B"/>
    <w:rsid w:val="00F21837"/>
    <w:rsid w:val="00F234FE"/>
    <w:rsid w:val="00F24AD3"/>
    <w:rsid w:val="00F31008"/>
    <w:rsid w:val="00F35FDA"/>
    <w:rsid w:val="00F43E74"/>
    <w:rsid w:val="00F44EEF"/>
    <w:rsid w:val="00F47D41"/>
    <w:rsid w:val="00F50B9C"/>
    <w:rsid w:val="00F50F41"/>
    <w:rsid w:val="00F53761"/>
    <w:rsid w:val="00F57BD2"/>
    <w:rsid w:val="00F614F1"/>
    <w:rsid w:val="00F66A12"/>
    <w:rsid w:val="00F80E02"/>
    <w:rsid w:val="00F81994"/>
    <w:rsid w:val="00F8390F"/>
    <w:rsid w:val="00F85177"/>
    <w:rsid w:val="00F92323"/>
    <w:rsid w:val="00F971DB"/>
    <w:rsid w:val="00F97EAC"/>
    <w:rsid w:val="00FA02F3"/>
    <w:rsid w:val="00FA7D0B"/>
    <w:rsid w:val="00FB2357"/>
    <w:rsid w:val="00FB28E0"/>
    <w:rsid w:val="00FB2F46"/>
    <w:rsid w:val="00FB4053"/>
    <w:rsid w:val="00FB43EB"/>
    <w:rsid w:val="00FC67C0"/>
    <w:rsid w:val="00FD0985"/>
    <w:rsid w:val="00FD29F0"/>
    <w:rsid w:val="00FD67A5"/>
    <w:rsid w:val="00FD6A68"/>
    <w:rsid w:val="00FE4454"/>
    <w:rsid w:val="00FF3232"/>
    <w:rsid w:val="00FF3C75"/>
    <w:rsid w:val="00FF5701"/>
    <w:rsid w:val="00FF6F22"/>
    <w:rsid w:val="218C36E0"/>
    <w:rsid w:val="592B3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annotation text"/>
    <w:basedOn w:val="1"/>
    <w:semiHidden/>
    <w:uiPriority w:val="0"/>
    <w:pPr>
      <w:jc w:val="left"/>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semiHidden/>
    <w:uiPriority w:val="0"/>
    <w:rPr>
      <w:b/>
      <w:bCs/>
    </w:rPr>
  </w:style>
  <w:style w:type="character" w:styleId="12">
    <w:name w:val="Strong"/>
    <w:qFormat/>
    <w:uiPriority w:val="0"/>
    <w:rPr>
      <w:rFonts w:ascii="Tahoma" w:hAnsi="Tahoma" w:eastAsia="宋体" w:cs="Arial"/>
      <w:b/>
      <w:bCs/>
      <w:color w:val="000000"/>
      <w:kern w:val="2"/>
      <w:sz w:val="24"/>
      <w:szCs w:val="28"/>
      <w:lang w:val="en-US" w:eastAsia="zh-CN" w:bidi="ar-SA"/>
    </w:rPr>
  </w:style>
  <w:style w:type="character" w:styleId="13">
    <w:name w:val="page number"/>
    <w:uiPriority w:val="0"/>
  </w:style>
  <w:style w:type="character" w:styleId="14">
    <w:name w:val="annotation reference"/>
    <w:semiHidden/>
    <w:uiPriority w:val="0"/>
    <w:rPr>
      <w:sz w:val="21"/>
      <w:szCs w:val="21"/>
    </w:rPr>
  </w:style>
  <w:style w:type="character" w:customStyle="1" w:styleId="15">
    <w:name w:val="页眉 Char"/>
    <w:link w:val="7"/>
    <w:uiPriority w:val="0"/>
    <w:rPr>
      <w:kern w:val="2"/>
      <w:sz w:val="18"/>
      <w:szCs w:val="18"/>
    </w:rPr>
  </w:style>
  <w:style w:type="paragraph" w:customStyle="1" w:styleId="16">
    <w:name w:val="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7">
    <w:name w:val="K&amp;W Body text"/>
    <w:basedOn w:val="1"/>
    <w:uiPriority w:val="0"/>
    <w:pPr>
      <w:widowControl/>
      <w:spacing w:after="360" w:line="320" w:lineRule="atLeast"/>
      <w:ind w:firstLine="200" w:firstLineChars="200"/>
    </w:pPr>
    <w:rPr>
      <w:rFonts w:ascii="Arial" w:hAnsi="Arial" w:eastAsia="楷体_GB2312"/>
      <w:kern w:val="0"/>
      <w:sz w:val="24"/>
      <w:szCs w:val="20"/>
      <w:lang w:eastAsia="en-US"/>
    </w:rPr>
  </w:style>
  <w:style w:type="paragraph" w:customStyle="1" w:styleId="18">
    <w:name w:val=" Char"/>
    <w:basedOn w:val="1"/>
    <w:uiPriority w:val="0"/>
    <w:pPr>
      <w:widowControl/>
      <w:spacing w:after="160" w:line="240" w:lineRule="exact"/>
      <w:jc w:val="left"/>
    </w:pPr>
    <w:rPr>
      <w:rFonts w:ascii="Verdana" w:hAnsi="Verdana" w:eastAsia="PMingLiU"/>
      <w:kern w:val="0"/>
      <w:sz w:val="20"/>
      <w:szCs w:val="20"/>
      <w:lang w:eastAsia="en-US"/>
    </w:rPr>
  </w:style>
  <w:style w:type="paragraph" w:customStyle="1" w:styleId="19">
    <w:name w:val="CM2"/>
    <w:basedOn w:val="1"/>
    <w:next w:val="1"/>
    <w:uiPriority w:val="0"/>
    <w:pPr>
      <w:autoSpaceDE w:val="0"/>
      <w:autoSpaceDN w:val="0"/>
      <w:adjustRightInd w:val="0"/>
      <w:spacing w:line="468" w:lineRule="atLeast"/>
      <w:jc w:val="left"/>
    </w:pPr>
    <w:rPr>
      <w:rFonts w:ascii="黑体" w:hAnsi="Calibri" w:eastAsia="黑体" w:cs="黑体"/>
      <w:kern w:val="0"/>
      <w:sz w:val="24"/>
    </w:rPr>
  </w:style>
  <w:style w:type="character" w:customStyle="1" w:styleId="20">
    <w:name w:val="DeltaView Insertion"/>
    <w:uiPriority w:val="99"/>
    <w:rPr>
      <w:color w:val="0000FF"/>
      <w:u w:val="double"/>
    </w:rPr>
  </w:style>
  <w:style w:type="character" w:customStyle="1" w:styleId="21">
    <w:name w:val="DeltaView Deletion"/>
    <w:uiPriority w:val="99"/>
    <w:rPr>
      <w:strike/>
      <w:color w:val="FF0000"/>
    </w:rPr>
  </w:style>
  <w:style w:type="paragraph" w:customStyle="1" w:styleId="22">
    <w:name w:val="Default"/>
    <w:uiPriority w:val="0"/>
    <w:pPr>
      <w:widowControl w:val="0"/>
      <w:autoSpaceDE w:val="0"/>
      <w:autoSpaceDN w:val="0"/>
      <w:adjustRightInd w:val="0"/>
    </w:pPr>
    <w:rPr>
      <w:color w:val="000000"/>
      <w:sz w:val="24"/>
      <w:szCs w:val="24"/>
      <w:lang w:val="en-US" w:eastAsia="zh-CN" w:bidi="ar-SA"/>
    </w:rPr>
  </w:style>
  <w:style w:type="character" w:customStyle="1" w:styleId="23">
    <w:name w:val="fontstyle01"/>
    <w:uiPriority w:val="0"/>
    <w:rPr>
      <w:rFonts w:hint="eastAsia" w:ascii="宋体" w:hAnsi="宋体" w:eastAsia="宋体"/>
      <w:color w:val="000000"/>
      <w:sz w:val="24"/>
      <w:szCs w:val="24"/>
    </w:rPr>
  </w:style>
  <w:style w:type="character" w:customStyle="1" w:styleId="24">
    <w:name w:val="fontstyle11"/>
    <w:uiPriority w:val="0"/>
    <w:rPr>
      <w:rFonts w:hint="default" w:ascii="Calibri" w:hAnsi="Calibri" w:cs="Calibri"/>
      <w:color w:val="000000"/>
      <w:sz w:val="24"/>
      <w:szCs w:val="24"/>
    </w:rPr>
  </w:style>
  <w:style w:type="character" w:customStyle="1" w:styleId="25">
    <w:name w:val="fontstyle21"/>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King&amp;Wood</Company>
  <Pages>9</Pages>
  <Words>6279</Words>
  <Characters>6292</Characters>
  <Lines>45</Lines>
  <Paragraphs>12</Paragraphs>
  <TotalTime>0</TotalTime>
  <ScaleCrop>false</ScaleCrop>
  <LinksUpToDate>false</LinksUpToDate>
  <CharactersWithSpaces>6301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2011-07-06T14:28:00Z</dcterms:created>
  <dc:creator>tanjing</dc:creator>
  <cp:lastModifiedBy>WSY</cp:lastModifiedBy>
  <dcterms:modified xsi:type="dcterms:W3CDTF">2025-07-23T07:35:59Z</dcterms:modified>
  <dc:title>江苏星源航天材料股份有限公司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eyJoZGlkIjoiMGYyMzhhMzNmNzJhMTU4YjMxZTc1YjkyNzFjZGE5ZTciLCJ1c2VySWQiOiIyNjU0NTI1NDMifQ==</vt:lpwstr>
  </property>
  <property fmtid="{D5CDD505-2E9C-101B-9397-08002B2CF9AE}" pid="3" name="KSOProductBuildVer">
    <vt:lpwstr>2052-12.1.0.21915</vt:lpwstr>
  </property>
  <property fmtid="{D5CDD505-2E9C-101B-9397-08002B2CF9AE}" pid="4" name="ICV">
    <vt:lpwstr>427BC953CC524C94BB03B80304B7C298_13</vt:lpwstr>
  </property>
</Properties>
</file>