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796A">
      <w:pPr>
        <w:pStyle w:val="2"/>
        <w:spacing w:before="0" w:after="0" w:line="360" w:lineRule="auto"/>
        <w:jc w:val="center"/>
        <w:rPr>
          <w:rFonts w:ascii="宋体" w:hAnsi="宋体" w:eastAsia="宋体"/>
          <w:sz w:val="36"/>
          <w:szCs w:val="36"/>
        </w:rPr>
      </w:pPr>
      <w:bookmarkStart w:id="3" w:name="_GoBack"/>
      <w:bookmarkEnd w:id="3"/>
      <w:bookmarkStart w:id="0" w:name="_Toc185679019"/>
      <w:bookmarkStart w:id="1" w:name="_Toc192586572"/>
      <w:r>
        <w:rPr>
          <w:rFonts w:hint="eastAsia" w:ascii="宋体" w:hAnsi="宋体" w:eastAsia="宋体"/>
          <w:sz w:val="36"/>
          <w:szCs w:val="36"/>
        </w:rPr>
        <w:t>华孚时尚</w:t>
      </w:r>
      <w:r>
        <w:rPr>
          <w:rFonts w:ascii="宋体" w:hAnsi="宋体" w:eastAsia="宋体"/>
          <w:sz w:val="36"/>
          <w:szCs w:val="36"/>
        </w:rPr>
        <w:t>股份有限公司</w:t>
      </w:r>
      <w:bookmarkEnd w:id="0"/>
      <w:bookmarkEnd w:id="1"/>
    </w:p>
    <w:p w14:paraId="35946240">
      <w:pPr>
        <w:pStyle w:val="2"/>
        <w:spacing w:before="0" w:after="0" w:line="360" w:lineRule="auto"/>
        <w:jc w:val="center"/>
        <w:rPr>
          <w:rFonts w:hint="eastAsia" w:ascii="宋体" w:hAnsi="宋体" w:eastAsia="宋体"/>
          <w:sz w:val="36"/>
          <w:szCs w:val="36"/>
        </w:rPr>
      </w:pPr>
      <w:r>
        <w:rPr>
          <w:rFonts w:ascii="宋体" w:hAnsi="宋体" w:eastAsia="宋体"/>
          <w:sz w:val="36"/>
          <w:szCs w:val="36"/>
        </w:rPr>
        <w:t>对外投资管理</w:t>
      </w:r>
      <w:r>
        <w:rPr>
          <w:rFonts w:hint="eastAsia" w:ascii="宋体" w:hAnsi="宋体" w:eastAsia="宋体"/>
          <w:sz w:val="36"/>
          <w:szCs w:val="36"/>
        </w:rPr>
        <w:t>制度</w:t>
      </w:r>
    </w:p>
    <w:p w14:paraId="47EFB6C0">
      <w:pPr>
        <w:tabs>
          <w:tab w:val="left" w:pos="1620"/>
        </w:tabs>
        <w:spacing w:line="360" w:lineRule="auto"/>
        <w:rPr>
          <w:rFonts w:ascii="宋体" w:hAnsi="宋体"/>
          <w:b/>
          <w:sz w:val="24"/>
        </w:rPr>
      </w:pPr>
    </w:p>
    <w:p w14:paraId="29BDC404">
      <w:pPr>
        <w:widowControl/>
        <w:tabs>
          <w:tab w:val="left" w:pos="4320"/>
        </w:tabs>
        <w:spacing w:line="360" w:lineRule="auto"/>
        <w:jc w:val="center"/>
        <w:rPr>
          <w:rFonts w:ascii="宋体" w:hAnsi="宋体"/>
          <w:b/>
          <w:kern w:val="0"/>
          <w:sz w:val="24"/>
        </w:rPr>
      </w:pPr>
      <w:r>
        <w:rPr>
          <w:rFonts w:ascii="宋体" w:hAnsi="宋体"/>
          <w:b/>
          <w:kern w:val="0"/>
          <w:sz w:val="24"/>
        </w:rPr>
        <w:t>第一章 总则</w:t>
      </w:r>
    </w:p>
    <w:p w14:paraId="0ABFCB8C">
      <w:pPr>
        <w:widowControl/>
        <w:tabs>
          <w:tab w:val="left" w:pos="4320"/>
        </w:tabs>
        <w:spacing w:line="360" w:lineRule="auto"/>
        <w:jc w:val="center"/>
        <w:rPr>
          <w:rFonts w:ascii="宋体" w:hAnsi="宋体"/>
          <w:b/>
          <w:kern w:val="0"/>
          <w:sz w:val="24"/>
        </w:rPr>
      </w:pPr>
    </w:p>
    <w:p w14:paraId="724D3E4D">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为了规范</w:t>
      </w:r>
      <w:r>
        <w:rPr>
          <w:rFonts w:hint="eastAsia" w:ascii="宋体" w:hAnsi="宋体"/>
          <w:kern w:val="0"/>
          <w:sz w:val="24"/>
        </w:rPr>
        <w:t>华孚时尚</w:t>
      </w:r>
      <w:r>
        <w:rPr>
          <w:rFonts w:ascii="宋体" w:hAnsi="宋体"/>
          <w:kern w:val="0"/>
          <w:sz w:val="24"/>
        </w:rPr>
        <w:t>股份有限公司（以下简称</w:t>
      </w:r>
      <w:r>
        <w:rPr>
          <w:rFonts w:hint="eastAsia" w:ascii="宋体" w:hAnsi="宋体"/>
          <w:kern w:val="0"/>
          <w:sz w:val="24"/>
        </w:rPr>
        <w:t>“</w:t>
      </w:r>
      <w:r>
        <w:rPr>
          <w:rFonts w:ascii="宋体" w:hAnsi="宋体"/>
          <w:kern w:val="0"/>
          <w:sz w:val="24"/>
        </w:rPr>
        <w:t>公司</w:t>
      </w:r>
      <w:r>
        <w:rPr>
          <w:rFonts w:hint="eastAsia" w:ascii="宋体" w:hAnsi="宋体"/>
          <w:kern w:val="0"/>
          <w:sz w:val="24"/>
        </w:rPr>
        <w:t>”</w:t>
      </w:r>
      <w:r>
        <w:rPr>
          <w:rFonts w:ascii="宋体" w:hAnsi="宋体"/>
          <w:kern w:val="0"/>
          <w:sz w:val="24"/>
        </w:rPr>
        <w:t>）对外投资行为，防范投资风险，提高对外投资效益，根据《中华人民共和国公司法》</w:t>
      </w:r>
      <w:r>
        <w:rPr>
          <w:rFonts w:hint="eastAsia" w:ascii="宋体" w:hAnsi="宋体"/>
          <w:kern w:val="0"/>
          <w:sz w:val="24"/>
        </w:rPr>
        <w:t>（</w:t>
      </w:r>
      <w:r>
        <w:rPr>
          <w:rFonts w:ascii="宋体" w:hAnsi="宋体"/>
          <w:kern w:val="0"/>
          <w:sz w:val="24"/>
        </w:rPr>
        <w:t>以下简称</w:t>
      </w:r>
      <w:r>
        <w:rPr>
          <w:rFonts w:hint="eastAsia" w:ascii="宋体" w:hAnsi="宋体"/>
          <w:kern w:val="0"/>
          <w:sz w:val="24"/>
        </w:rPr>
        <w:t>“</w:t>
      </w:r>
      <w:r>
        <w:rPr>
          <w:rFonts w:ascii="宋体" w:hAnsi="宋体"/>
          <w:kern w:val="0"/>
          <w:sz w:val="24"/>
        </w:rPr>
        <w:t>《公司法》</w:t>
      </w:r>
      <w:r>
        <w:rPr>
          <w:rFonts w:hint="eastAsia" w:ascii="宋体" w:hAnsi="宋体"/>
          <w:kern w:val="0"/>
          <w:sz w:val="24"/>
        </w:rPr>
        <w:t>”）</w:t>
      </w:r>
      <w:r>
        <w:rPr>
          <w:rFonts w:hint="eastAsia" w:ascii="宋体" w:hAnsi="宋体" w:cs="Arial"/>
          <w:sz w:val="24"/>
        </w:rPr>
        <w:t>《中华人民共和国证券法》《上市公司治理准则》《深圳证券交易所股票上市规则》《深圳证券交易所上市公司自律监管指引第</w:t>
      </w:r>
      <w:r>
        <w:rPr>
          <w:rFonts w:ascii="宋体" w:hAnsi="宋体" w:cs="Arial"/>
          <w:sz w:val="24"/>
        </w:rPr>
        <w:t>1</w:t>
      </w:r>
      <w:r>
        <w:rPr>
          <w:rFonts w:hint="eastAsia" w:ascii="宋体" w:hAnsi="宋体" w:cs="Arial"/>
          <w:sz w:val="24"/>
        </w:rPr>
        <w:t>号——主板上市公司规范运作》</w:t>
      </w:r>
      <w:r>
        <w:rPr>
          <w:rFonts w:ascii="宋体" w:hAnsi="宋体"/>
          <w:kern w:val="0"/>
          <w:sz w:val="24"/>
        </w:rPr>
        <w:t>等法律</w:t>
      </w:r>
      <w:r>
        <w:rPr>
          <w:rFonts w:hint="eastAsia" w:ascii="宋体" w:hAnsi="宋体"/>
          <w:kern w:val="0"/>
          <w:sz w:val="24"/>
        </w:rPr>
        <w:t>、</w:t>
      </w:r>
      <w:r>
        <w:rPr>
          <w:rFonts w:ascii="宋体" w:hAnsi="宋体"/>
          <w:kern w:val="0"/>
          <w:sz w:val="24"/>
        </w:rPr>
        <w:t>法规</w:t>
      </w:r>
      <w:r>
        <w:rPr>
          <w:rFonts w:hint="eastAsia" w:ascii="宋体" w:hAnsi="宋体"/>
          <w:kern w:val="0"/>
          <w:sz w:val="24"/>
        </w:rPr>
        <w:t>、规章、规范性文件和</w:t>
      </w:r>
      <w:r>
        <w:rPr>
          <w:rFonts w:ascii="宋体" w:hAnsi="宋体"/>
          <w:kern w:val="0"/>
          <w:sz w:val="24"/>
        </w:rPr>
        <w:t>《</w:t>
      </w:r>
      <w:r>
        <w:rPr>
          <w:rFonts w:hint="eastAsia" w:ascii="宋体" w:hAnsi="宋体"/>
          <w:kern w:val="0"/>
          <w:sz w:val="24"/>
        </w:rPr>
        <w:t>华孚时尚</w:t>
      </w:r>
      <w:r>
        <w:rPr>
          <w:rFonts w:ascii="宋体" w:hAnsi="宋体"/>
          <w:kern w:val="0"/>
          <w:sz w:val="24"/>
        </w:rPr>
        <w:t>股份有限公司章程》（以下简称</w:t>
      </w:r>
      <w:r>
        <w:rPr>
          <w:rFonts w:hint="eastAsia" w:ascii="宋体" w:hAnsi="宋体"/>
          <w:kern w:val="0"/>
          <w:sz w:val="24"/>
        </w:rPr>
        <w:t>“</w:t>
      </w:r>
      <w:r>
        <w:rPr>
          <w:rFonts w:ascii="宋体" w:hAnsi="宋体"/>
          <w:kern w:val="0"/>
          <w:sz w:val="24"/>
        </w:rPr>
        <w:t>《公司章程》</w:t>
      </w:r>
      <w:r>
        <w:rPr>
          <w:rFonts w:hint="eastAsia" w:ascii="宋体" w:hAnsi="宋体"/>
          <w:kern w:val="0"/>
          <w:sz w:val="24"/>
        </w:rPr>
        <w:t>”</w:t>
      </w:r>
      <w:r>
        <w:rPr>
          <w:rFonts w:ascii="宋体" w:hAnsi="宋体"/>
          <w:kern w:val="0"/>
          <w:sz w:val="24"/>
        </w:rPr>
        <w:t>）的相关规定，</w:t>
      </w:r>
      <w:r>
        <w:rPr>
          <w:rFonts w:hint="eastAsia" w:ascii="宋体" w:hAnsi="宋体"/>
          <w:kern w:val="0"/>
          <w:sz w:val="24"/>
        </w:rPr>
        <w:t>结合公司的实际情况，</w:t>
      </w:r>
      <w:r>
        <w:rPr>
          <w:rFonts w:ascii="宋体" w:hAnsi="宋体"/>
          <w:kern w:val="0"/>
          <w:sz w:val="24"/>
        </w:rPr>
        <w:t>制定本</w:t>
      </w:r>
      <w:r>
        <w:rPr>
          <w:rFonts w:hint="eastAsia" w:ascii="宋体" w:hAnsi="宋体"/>
          <w:kern w:val="0"/>
          <w:sz w:val="24"/>
        </w:rPr>
        <w:t>制度</w:t>
      </w:r>
      <w:r>
        <w:rPr>
          <w:rFonts w:ascii="宋体" w:hAnsi="宋体"/>
          <w:kern w:val="0"/>
          <w:sz w:val="24"/>
        </w:rPr>
        <w:t>。</w:t>
      </w:r>
    </w:p>
    <w:p w14:paraId="256D3FF4">
      <w:pPr>
        <w:widowControl/>
        <w:numPr>
          <w:ilvl w:val="0"/>
          <w:numId w:val="1"/>
        </w:numPr>
        <w:tabs>
          <w:tab w:val="left" w:pos="0"/>
          <w:tab w:val="left" w:pos="1666"/>
        </w:tabs>
        <w:spacing w:line="360" w:lineRule="auto"/>
        <w:ind w:left="0" w:firstLine="476"/>
        <w:rPr>
          <w:rFonts w:hint="eastAsia" w:ascii="宋体" w:hAnsi="宋体"/>
          <w:kern w:val="0"/>
          <w:sz w:val="24"/>
        </w:rPr>
      </w:pPr>
      <w:r>
        <w:rPr>
          <w:rFonts w:ascii="宋体" w:hAnsi="宋体"/>
          <w:kern w:val="0"/>
          <w:sz w:val="24"/>
        </w:rPr>
        <w:t>本</w:t>
      </w:r>
      <w:r>
        <w:rPr>
          <w:rFonts w:hint="eastAsia" w:ascii="宋体" w:hAnsi="宋体"/>
          <w:kern w:val="0"/>
          <w:sz w:val="24"/>
        </w:rPr>
        <w:t>制度</w:t>
      </w:r>
      <w:r>
        <w:rPr>
          <w:rFonts w:ascii="宋体" w:hAnsi="宋体"/>
          <w:kern w:val="0"/>
          <w:sz w:val="24"/>
        </w:rPr>
        <w:t>旨在建立有效的控制机制，对公司及全资、控股子公司（以下简称</w:t>
      </w:r>
      <w:r>
        <w:rPr>
          <w:rFonts w:hint="eastAsia" w:ascii="宋体" w:hAnsi="宋体"/>
          <w:kern w:val="0"/>
          <w:sz w:val="24"/>
        </w:rPr>
        <w:t>“</w:t>
      </w:r>
      <w:r>
        <w:rPr>
          <w:rFonts w:ascii="宋体" w:hAnsi="宋体"/>
          <w:kern w:val="0"/>
          <w:sz w:val="24"/>
        </w:rPr>
        <w:t>子公司</w:t>
      </w:r>
      <w:r>
        <w:rPr>
          <w:rFonts w:hint="eastAsia" w:ascii="宋体" w:hAnsi="宋体"/>
          <w:kern w:val="0"/>
          <w:sz w:val="24"/>
        </w:rPr>
        <w:t>”</w:t>
      </w:r>
      <w:r>
        <w:rPr>
          <w:rFonts w:ascii="宋体" w:hAnsi="宋体"/>
          <w:kern w:val="0"/>
          <w:sz w:val="24"/>
        </w:rPr>
        <w:t>）在组织资源、资产、投资等经营运作过程中进行风险控制，保障资金运营的安全性和收益性，提高公司的抗风险能力</w:t>
      </w:r>
      <w:r>
        <w:rPr>
          <w:rFonts w:hint="eastAsia" w:ascii="宋体" w:hAnsi="宋体"/>
          <w:kern w:val="0"/>
          <w:sz w:val="24"/>
        </w:rPr>
        <w:t>。</w:t>
      </w:r>
    </w:p>
    <w:p w14:paraId="5F732E3E">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本</w:t>
      </w:r>
      <w:r>
        <w:rPr>
          <w:rFonts w:hint="eastAsia" w:ascii="宋体" w:hAnsi="宋体"/>
          <w:kern w:val="0"/>
          <w:sz w:val="24"/>
        </w:rPr>
        <w:t>制度</w:t>
      </w:r>
      <w:r>
        <w:rPr>
          <w:rFonts w:ascii="宋体" w:hAnsi="宋体"/>
          <w:kern w:val="0"/>
          <w:sz w:val="24"/>
        </w:rPr>
        <w:t>所称对外投资，是指公司在境内外进行的下列以盈利或保值增值为目的的投资行为：</w:t>
      </w:r>
    </w:p>
    <w:p w14:paraId="337D895A">
      <w:pPr>
        <w:widowControl/>
        <w:tabs>
          <w:tab w:val="left" w:pos="1666"/>
        </w:tabs>
        <w:spacing w:line="360" w:lineRule="auto"/>
        <w:ind w:firstLine="480" w:firstLineChars="200"/>
        <w:rPr>
          <w:rFonts w:ascii="宋体" w:hAnsi="宋体"/>
          <w:kern w:val="0"/>
          <w:sz w:val="24"/>
        </w:rPr>
      </w:pPr>
      <w:r>
        <w:rPr>
          <w:rFonts w:ascii="宋体" w:hAnsi="宋体"/>
          <w:kern w:val="0"/>
          <w:sz w:val="24"/>
        </w:rPr>
        <w:t>（一）新设立企业的股权投资；</w:t>
      </w:r>
    </w:p>
    <w:p w14:paraId="34FEB167">
      <w:pPr>
        <w:widowControl/>
        <w:tabs>
          <w:tab w:val="left" w:pos="1666"/>
        </w:tabs>
        <w:spacing w:line="360" w:lineRule="auto"/>
        <w:ind w:firstLine="480" w:firstLineChars="200"/>
        <w:rPr>
          <w:rFonts w:ascii="宋体" w:hAnsi="宋体"/>
          <w:kern w:val="0"/>
          <w:sz w:val="24"/>
        </w:rPr>
      </w:pPr>
      <w:r>
        <w:rPr>
          <w:rFonts w:ascii="宋体" w:hAnsi="宋体"/>
          <w:kern w:val="0"/>
          <w:sz w:val="24"/>
        </w:rPr>
        <w:t>（二）新增投资企业的增资扩股、股权收购投资；</w:t>
      </w:r>
    </w:p>
    <w:p w14:paraId="410FBF2C">
      <w:pPr>
        <w:widowControl/>
        <w:tabs>
          <w:tab w:val="left" w:pos="1666"/>
        </w:tabs>
        <w:spacing w:line="360" w:lineRule="auto"/>
        <w:ind w:firstLine="480" w:firstLineChars="200"/>
        <w:rPr>
          <w:rFonts w:ascii="宋体" w:hAnsi="宋体"/>
          <w:kern w:val="0"/>
          <w:sz w:val="24"/>
        </w:rPr>
      </w:pPr>
      <w:r>
        <w:rPr>
          <w:rFonts w:ascii="宋体" w:hAnsi="宋体"/>
          <w:kern w:val="0"/>
          <w:sz w:val="24"/>
        </w:rPr>
        <w:t>（三）现有投资企业的增资扩股、股权收购投资；</w:t>
      </w:r>
    </w:p>
    <w:p w14:paraId="51671A0F">
      <w:pPr>
        <w:widowControl/>
        <w:tabs>
          <w:tab w:val="left" w:pos="1666"/>
        </w:tabs>
        <w:spacing w:line="360" w:lineRule="auto"/>
        <w:ind w:firstLine="480" w:firstLineChars="200"/>
        <w:rPr>
          <w:rFonts w:ascii="宋体" w:hAnsi="宋体"/>
          <w:kern w:val="0"/>
          <w:sz w:val="24"/>
        </w:rPr>
      </w:pPr>
      <w:r>
        <w:rPr>
          <w:rFonts w:ascii="宋体" w:hAnsi="宋体"/>
          <w:kern w:val="0"/>
          <w:sz w:val="24"/>
        </w:rPr>
        <w:t>（四）公司经营性项目及资产投资；</w:t>
      </w:r>
    </w:p>
    <w:p w14:paraId="32524A32">
      <w:pPr>
        <w:widowControl/>
        <w:tabs>
          <w:tab w:val="left" w:pos="1666"/>
        </w:tabs>
        <w:spacing w:line="360" w:lineRule="auto"/>
        <w:ind w:firstLine="480" w:firstLineChars="200"/>
        <w:rPr>
          <w:rFonts w:ascii="宋体" w:hAnsi="宋体"/>
          <w:kern w:val="0"/>
          <w:sz w:val="24"/>
        </w:rPr>
      </w:pPr>
      <w:r>
        <w:rPr>
          <w:rFonts w:ascii="宋体" w:hAnsi="宋体"/>
          <w:kern w:val="0"/>
          <w:sz w:val="24"/>
        </w:rPr>
        <w:t>（五）</w:t>
      </w:r>
      <w:r>
        <w:rPr>
          <w:rFonts w:hint="eastAsia" w:ascii="宋体" w:hAnsi="宋体"/>
          <w:kern w:val="0"/>
          <w:sz w:val="24"/>
        </w:rPr>
        <w:t>证券投资、委托理财、期货和衍生品交易</w:t>
      </w:r>
      <w:r>
        <w:rPr>
          <w:rFonts w:ascii="宋体" w:hAnsi="宋体"/>
          <w:kern w:val="0"/>
          <w:sz w:val="24"/>
        </w:rPr>
        <w:t>；</w:t>
      </w:r>
    </w:p>
    <w:p w14:paraId="2051B930">
      <w:pPr>
        <w:widowControl/>
        <w:tabs>
          <w:tab w:val="left" w:pos="1666"/>
        </w:tabs>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六</w:t>
      </w:r>
      <w:r>
        <w:rPr>
          <w:rFonts w:ascii="宋体" w:hAnsi="宋体"/>
          <w:kern w:val="0"/>
          <w:sz w:val="24"/>
        </w:rPr>
        <w:t>）其他投资。</w:t>
      </w:r>
    </w:p>
    <w:p w14:paraId="541D0342">
      <w:pPr>
        <w:widowControl/>
        <w:numPr>
          <w:ilvl w:val="0"/>
          <w:numId w:val="1"/>
        </w:numPr>
        <w:tabs>
          <w:tab w:val="left" w:pos="0"/>
          <w:tab w:val="left" w:pos="1666"/>
        </w:tabs>
        <w:spacing w:line="360" w:lineRule="auto"/>
        <w:ind w:left="0" w:firstLine="476"/>
        <w:rPr>
          <w:rFonts w:hint="eastAsia" w:ascii="宋体" w:hAnsi="宋体"/>
          <w:kern w:val="0"/>
          <w:sz w:val="24"/>
        </w:rPr>
      </w:pPr>
      <w:r>
        <w:rPr>
          <w:rFonts w:ascii="宋体" w:hAnsi="宋体"/>
          <w:kern w:val="0"/>
          <w:sz w:val="24"/>
        </w:rPr>
        <w:t>公司对外投资行为</w:t>
      </w:r>
      <w:r>
        <w:rPr>
          <w:rFonts w:hint="eastAsia" w:ascii="宋体" w:hAnsi="宋体"/>
          <w:kern w:val="0"/>
          <w:sz w:val="24"/>
        </w:rPr>
        <w:t>应符合国家关于对外投资的法律、法规，以取得较好的经济效益为目的，并应遵循以下原则：</w:t>
      </w:r>
    </w:p>
    <w:p w14:paraId="3A8AEB13">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（一）</w:t>
      </w:r>
      <w:r>
        <w:rPr>
          <w:rFonts w:ascii="宋体" w:hAnsi="宋体"/>
          <w:kern w:val="0"/>
          <w:sz w:val="24"/>
        </w:rPr>
        <w:t>符合国家有关法规及产业政策</w:t>
      </w:r>
      <w:r>
        <w:rPr>
          <w:rFonts w:hint="eastAsia" w:ascii="宋体" w:hAnsi="宋体"/>
          <w:kern w:val="0"/>
          <w:sz w:val="24"/>
        </w:rPr>
        <w:t>；</w:t>
      </w:r>
    </w:p>
    <w:p w14:paraId="70DD74EB">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（二）</w:t>
      </w:r>
      <w:r>
        <w:rPr>
          <w:rFonts w:ascii="宋体" w:hAnsi="宋体"/>
          <w:kern w:val="0"/>
          <w:sz w:val="24"/>
        </w:rPr>
        <w:t>符合公司发展战略，有利于增强公司竞争能力，有利于合理配置企业资源，创造良好经济效益，促进公司可持续发展</w:t>
      </w:r>
      <w:r>
        <w:rPr>
          <w:rFonts w:hint="eastAsia" w:ascii="宋体" w:hAnsi="宋体"/>
          <w:kern w:val="0"/>
          <w:sz w:val="24"/>
        </w:rPr>
        <w:t>和全体股东利益；</w:t>
      </w:r>
    </w:p>
    <w:p w14:paraId="0DE8D3EA">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（三）对外投资的产权关系明确清晰，确保投资的安全、完整，实现保值增值。</w:t>
      </w:r>
    </w:p>
    <w:p w14:paraId="227E5945">
      <w:pPr>
        <w:widowControl/>
        <w:numPr>
          <w:ilvl w:val="0"/>
          <w:numId w:val="1"/>
        </w:numPr>
        <w:tabs>
          <w:tab w:val="left" w:pos="0"/>
          <w:tab w:val="left" w:pos="1666"/>
        </w:tabs>
        <w:spacing w:line="360" w:lineRule="auto"/>
        <w:ind w:left="0" w:firstLine="476"/>
        <w:rPr>
          <w:rFonts w:hint="eastAsia" w:ascii="宋体" w:hAnsi="宋体"/>
          <w:kern w:val="0"/>
          <w:sz w:val="24"/>
        </w:rPr>
      </w:pPr>
      <w:r>
        <w:rPr>
          <w:rFonts w:ascii="宋体" w:hAnsi="宋体"/>
          <w:kern w:val="0"/>
          <w:sz w:val="24"/>
        </w:rPr>
        <w:t>公司对外投资由公司集中进行。公司对子公司的投资活动</w:t>
      </w:r>
      <w:r>
        <w:rPr>
          <w:rFonts w:hint="eastAsia" w:ascii="宋体" w:hAnsi="宋体"/>
          <w:kern w:val="0"/>
          <w:sz w:val="24"/>
        </w:rPr>
        <w:t>按</w:t>
      </w:r>
      <w:r>
        <w:rPr>
          <w:rFonts w:ascii="宋体" w:hAnsi="宋体"/>
          <w:kern w:val="0"/>
          <w:sz w:val="24"/>
        </w:rPr>
        <w:t>照本</w:t>
      </w:r>
      <w:r>
        <w:rPr>
          <w:rFonts w:hint="eastAsia" w:ascii="宋体" w:hAnsi="宋体"/>
          <w:kern w:val="0"/>
          <w:sz w:val="24"/>
        </w:rPr>
        <w:t>制度</w:t>
      </w:r>
      <w:r>
        <w:rPr>
          <w:rFonts w:ascii="宋体" w:hAnsi="宋体"/>
          <w:kern w:val="0"/>
          <w:sz w:val="24"/>
        </w:rPr>
        <w:t>实施指导、监督及管理</w:t>
      </w:r>
      <w:r>
        <w:rPr>
          <w:rFonts w:hint="eastAsia" w:ascii="宋体" w:hAnsi="宋体"/>
          <w:kern w:val="0"/>
          <w:sz w:val="24"/>
        </w:rPr>
        <w:t>。</w:t>
      </w:r>
    </w:p>
    <w:p w14:paraId="3941404E">
      <w:pPr>
        <w:widowControl/>
        <w:tabs>
          <w:tab w:val="left" w:pos="1666"/>
        </w:tabs>
        <w:spacing w:line="360" w:lineRule="auto"/>
        <w:rPr>
          <w:rFonts w:ascii="宋体" w:hAnsi="宋体"/>
          <w:kern w:val="0"/>
          <w:sz w:val="24"/>
        </w:rPr>
      </w:pPr>
    </w:p>
    <w:p w14:paraId="1D9D2C2B">
      <w:pPr>
        <w:widowControl/>
        <w:tabs>
          <w:tab w:val="left" w:pos="4320"/>
        </w:tabs>
        <w:spacing w:line="360" w:lineRule="auto"/>
        <w:jc w:val="center"/>
        <w:rPr>
          <w:rFonts w:ascii="宋体" w:hAnsi="宋体"/>
          <w:b/>
          <w:kern w:val="0"/>
          <w:sz w:val="24"/>
        </w:rPr>
      </w:pPr>
      <w:r>
        <w:rPr>
          <w:rFonts w:ascii="宋体" w:hAnsi="宋体"/>
          <w:b/>
          <w:kern w:val="0"/>
          <w:sz w:val="24"/>
        </w:rPr>
        <w:t>第二章 对外投资</w:t>
      </w:r>
      <w:r>
        <w:rPr>
          <w:rFonts w:hint="eastAsia" w:ascii="宋体" w:hAnsi="宋体"/>
          <w:b/>
          <w:kern w:val="0"/>
          <w:sz w:val="24"/>
        </w:rPr>
        <w:t>组织机构和审批</w:t>
      </w:r>
      <w:r>
        <w:rPr>
          <w:rFonts w:ascii="宋体" w:hAnsi="宋体"/>
          <w:b/>
          <w:kern w:val="0"/>
          <w:sz w:val="24"/>
        </w:rPr>
        <w:t>权限</w:t>
      </w:r>
    </w:p>
    <w:p w14:paraId="3B80698E">
      <w:pPr>
        <w:widowControl/>
        <w:tabs>
          <w:tab w:val="left" w:pos="4320"/>
        </w:tabs>
        <w:spacing w:line="360" w:lineRule="auto"/>
        <w:rPr>
          <w:rFonts w:ascii="宋体" w:hAnsi="宋体"/>
          <w:b/>
          <w:kern w:val="0"/>
          <w:sz w:val="24"/>
        </w:rPr>
      </w:pPr>
    </w:p>
    <w:p w14:paraId="13C37A4A">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公司投资部负责对公司重大投资项目的可行性、投资风险、投资回报等事宜进行专门研究和评估，为决策提供建议。</w:t>
      </w:r>
    </w:p>
    <w:p w14:paraId="7D229AA8">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总裁统一管理公司对外投资事项，统一协调指导公司的对外投资活动。</w:t>
      </w:r>
    </w:p>
    <w:p w14:paraId="4A3CCE45">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总裁负责对已批准实施的对外投资项目的人、财、物进行计划、组织、监控，并应及时向董事会汇报投资进展情况，提出调整建议等，以利于董事会或股东会及时对投资作出修订。</w:t>
      </w:r>
    </w:p>
    <w:p w14:paraId="0FAEAD36">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总裁可组织成立项目实施小组，负责对外投资项目的任务执行和具体实施。公司可建立项目实施的问责机制，对项目实施情况进行跟进和考核。如发现投资项目出现异常情况，应当及时向公司董事会报告。</w:t>
      </w:r>
    </w:p>
    <w:p w14:paraId="0A2A5BD7">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公司财务部为对外投资的财务管理部门，负责对对外投资项目进行投资效益评估、筹措资金、办理出资手续等。</w:t>
      </w:r>
    </w:p>
    <w:p w14:paraId="0CE36BE6">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公司董事会审计委员会及内部审计机构负责对对外投资进行定期审计。</w:t>
      </w:r>
    </w:p>
    <w:p w14:paraId="36AC0445">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公司法律事务部负责对对外投资项目的协议、合同和重要相关信函、章程等进行法律审核。</w:t>
      </w:r>
    </w:p>
    <w:p w14:paraId="6A80A653">
      <w:pPr>
        <w:widowControl/>
        <w:numPr>
          <w:ilvl w:val="0"/>
          <w:numId w:val="1"/>
        </w:numPr>
        <w:tabs>
          <w:tab w:val="left" w:pos="0"/>
          <w:tab w:val="left" w:pos="1666"/>
        </w:tabs>
        <w:spacing w:line="360" w:lineRule="auto"/>
        <w:ind w:left="0" w:firstLine="476"/>
        <w:rPr>
          <w:rFonts w:hint="eastAsia" w:ascii="宋体" w:hAnsi="宋体"/>
          <w:kern w:val="0"/>
          <w:sz w:val="24"/>
        </w:rPr>
      </w:pPr>
      <w:r>
        <w:rPr>
          <w:rFonts w:ascii="宋体" w:hAnsi="宋体"/>
          <w:kern w:val="0"/>
          <w:sz w:val="24"/>
        </w:rPr>
        <w:t>公司股东会、董事会、</w:t>
      </w:r>
      <w:r>
        <w:rPr>
          <w:rFonts w:hint="eastAsia" w:ascii="宋体" w:hAnsi="宋体"/>
          <w:kern w:val="0"/>
          <w:sz w:val="24"/>
        </w:rPr>
        <w:t>总裁</w:t>
      </w:r>
      <w:r>
        <w:rPr>
          <w:rFonts w:ascii="宋体" w:hAnsi="宋体"/>
          <w:kern w:val="0"/>
          <w:sz w:val="24"/>
        </w:rPr>
        <w:t>为公司对外投资的决策机构，各自在其权限范围内，依法对公司的对外投资作出决策。</w:t>
      </w:r>
    </w:p>
    <w:p w14:paraId="5C4E33C7">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公司对外投资的审批应严格按照《公司法》及其他有关法律、法规和《公司章程》《股东会议事规则》《董事会议事规则》等规定的权限履行审批程序。</w:t>
      </w:r>
    </w:p>
    <w:p w14:paraId="2FD6966D">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公司发生的对外投资事项达到下列标准之一的，应</w:t>
      </w:r>
      <w:r>
        <w:rPr>
          <w:rFonts w:hint="eastAsia" w:ascii="宋体" w:hAnsi="宋体"/>
          <w:kern w:val="0"/>
          <w:sz w:val="24"/>
        </w:rPr>
        <w:t>由总裁提交</w:t>
      </w:r>
      <w:r>
        <w:rPr>
          <w:rFonts w:ascii="宋体" w:hAnsi="宋体"/>
          <w:kern w:val="0"/>
          <w:sz w:val="24"/>
        </w:rPr>
        <w:t>董事会审议通过</w:t>
      </w:r>
      <w:r>
        <w:rPr>
          <w:rFonts w:hint="eastAsia" w:ascii="宋体" w:hAnsi="宋体"/>
          <w:kern w:val="0"/>
          <w:sz w:val="24"/>
        </w:rPr>
        <w:t>并及时披露</w:t>
      </w:r>
      <w:r>
        <w:rPr>
          <w:rFonts w:ascii="宋体" w:hAnsi="宋体"/>
          <w:kern w:val="0"/>
          <w:sz w:val="24"/>
        </w:rPr>
        <w:t>：</w:t>
      </w:r>
    </w:p>
    <w:p w14:paraId="32C50A2F">
      <w:pPr>
        <w:widowControl/>
        <w:spacing w:line="360" w:lineRule="auto"/>
        <w:ind w:firstLine="477" w:firstLineChars="199"/>
        <w:rPr>
          <w:rFonts w:ascii="宋体" w:hAnsi="宋体" w:cs="Arial"/>
          <w:kern w:val="0"/>
          <w:sz w:val="24"/>
        </w:rPr>
      </w:pPr>
      <w:r>
        <w:rPr>
          <w:rFonts w:ascii="宋体" w:hAnsi="宋体" w:cs="Arial"/>
          <w:kern w:val="0"/>
          <w:sz w:val="24"/>
        </w:rPr>
        <w:t>（一）交易涉及的资产总额占公司最近一期经审计总资产的10%以上，该交易涉及的资产总额同时存在账面值和评估值的，</w:t>
      </w:r>
      <w:r>
        <w:rPr>
          <w:rFonts w:hint="eastAsia" w:ascii="宋体" w:hAnsi="宋体" w:cs="Arial"/>
          <w:kern w:val="0"/>
          <w:sz w:val="24"/>
        </w:rPr>
        <w:t>以较高者为准</w:t>
      </w:r>
      <w:r>
        <w:rPr>
          <w:rFonts w:ascii="宋体" w:hAnsi="宋体" w:cs="Arial"/>
          <w:kern w:val="0"/>
          <w:sz w:val="24"/>
        </w:rPr>
        <w:t>；</w:t>
      </w:r>
    </w:p>
    <w:p w14:paraId="53A5B459">
      <w:pPr>
        <w:widowControl/>
        <w:spacing w:line="360" w:lineRule="auto"/>
        <w:ind w:firstLine="477" w:firstLineChars="199"/>
        <w:rPr>
          <w:rFonts w:hint="eastAsia" w:ascii="宋体" w:hAnsi="宋体" w:cs="Arial"/>
          <w:kern w:val="0"/>
          <w:sz w:val="24"/>
        </w:rPr>
      </w:pPr>
      <w:r>
        <w:rPr>
          <w:rFonts w:hint="eastAsia" w:ascii="宋体" w:hAnsi="宋体" w:cs="Arial"/>
          <w:kern w:val="0"/>
          <w:sz w:val="24"/>
        </w:rPr>
        <w:t>（二）交易标的（如股权）涉及的资产净额占公司最近一期经审计净资产的10%以上，且绝对金额超过1,000万元，该交易涉及的资产净额同时存在账面值和评估值的，以较高者为准；</w:t>
      </w:r>
    </w:p>
    <w:p w14:paraId="2C580FED">
      <w:pPr>
        <w:widowControl/>
        <w:spacing w:line="360" w:lineRule="auto"/>
        <w:ind w:firstLine="477" w:firstLineChars="199"/>
        <w:rPr>
          <w:rFonts w:ascii="宋体" w:hAnsi="宋体" w:cs="Arial"/>
          <w:kern w:val="0"/>
          <w:sz w:val="24"/>
        </w:rPr>
      </w:pPr>
      <w:r>
        <w:rPr>
          <w:rFonts w:ascii="宋体" w:hAnsi="宋体" w:cs="Arial"/>
          <w:kern w:val="0"/>
          <w:sz w:val="24"/>
        </w:rPr>
        <w:t>（</w:t>
      </w:r>
      <w:r>
        <w:rPr>
          <w:rFonts w:hint="eastAsia" w:ascii="宋体" w:hAnsi="宋体" w:cs="Arial"/>
          <w:kern w:val="0"/>
          <w:sz w:val="24"/>
        </w:rPr>
        <w:t>三</w:t>
      </w:r>
      <w:r>
        <w:rPr>
          <w:rFonts w:ascii="宋体" w:hAnsi="宋体" w:cs="Arial"/>
          <w:kern w:val="0"/>
          <w:sz w:val="24"/>
        </w:rPr>
        <w:t>）交易标的（如股权）在最近一个会计年度相关的营业收入占公司最近一个会计年度经审计营业收入的10%以上，且绝对金额超过1,000万元；</w:t>
      </w:r>
    </w:p>
    <w:p w14:paraId="4B94B68A">
      <w:pPr>
        <w:widowControl/>
        <w:spacing w:line="360" w:lineRule="auto"/>
        <w:ind w:firstLine="480" w:firstLineChars="200"/>
        <w:rPr>
          <w:rFonts w:ascii="宋体" w:hAnsi="宋体" w:cs="Arial"/>
          <w:kern w:val="0"/>
          <w:sz w:val="24"/>
        </w:rPr>
      </w:pPr>
      <w:r>
        <w:rPr>
          <w:rFonts w:ascii="宋体" w:hAnsi="宋体" w:cs="Arial"/>
          <w:kern w:val="0"/>
          <w:sz w:val="24"/>
        </w:rPr>
        <w:t>（</w:t>
      </w:r>
      <w:r>
        <w:rPr>
          <w:rFonts w:hint="eastAsia" w:ascii="宋体" w:hAnsi="宋体" w:cs="Arial"/>
          <w:kern w:val="0"/>
          <w:sz w:val="24"/>
        </w:rPr>
        <w:t>四</w:t>
      </w:r>
      <w:r>
        <w:rPr>
          <w:rFonts w:ascii="宋体" w:hAnsi="宋体" w:cs="Arial"/>
          <w:kern w:val="0"/>
          <w:sz w:val="24"/>
        </w:rPr>
        <w:t>）交易标的（如股权）在最近一个会计年度相关的净利润占公司最近一个会计年度经审计净利润的10%以上，且绝对金额超过100万元；</w:t>
      </w:r>
    </w:p>
    <w:p w14:paraId="5A7D3DE7">
      <w:pPr>
        <w:widowControl/>
        <w:spacing w:line="360" w:lineRule="auto"/>
        <w:ind w:firstLine="480" w:firstLineChars="200"/>
        <w:rPr>
          <w:rFonts w:ascii="宋体" w:hAnsi="宋体" w:cs="Arial"/>
          <w:kern w:val="0"/>
          <w:sz w:val="24"/>
        </w:rPr>
      </w:pPr>
      <w:r>
        <w:rPr>
          <w:rFonts w:ascii="宋体" w:hAnsi="宋体" w:cs="Arial"/>
          <w:kern w:val="0"/>
          <w:sz w:val="24"/>
        </w:rPr>
        <w:t>（</w:t>
      </w:r>
      <w:r>
        <w:rPr>
          <w:rFonts w:hint="eastAsia" w:ascii="宋体" w:hAnsi="宋体" w:cs="Arial"/>
          <w:kern w:val="0"/>
          <w:sz w:val="24"/>
        </w:rPr>
        <w:t>五</w:t>
      </w:r>
      <w:r>
        <w:rPr>
          <w:rFonts w:ascii="宋体" w:hAnsi="宋体" w:cs="Arial"/>
          <w:kern w:val="0"/>
          <w:sz w:val="24"/>
        </w:rPr>
        <w:t>）交易的成交金额（含承担债务和费用）占公司最近一期经审计净资产的10%以上，且绝对金额超过1,000万元；</w:t>
      </w:r>
    </w:p>
    <w:p w14:paraId="4E951309">
      <w:pPr>
        <w:widowControl/>
        <w:spacing w:line="360" w:lineRule="auto"/>
        <w:ind w:firstLine="480" w:firstLineChars="200"/>
        <w:rPr>
          <w:rFonts w:hint="eastAsia" w:ascii="宋体" w:hAnsi="宋体" w:cs="Arial"/>
          <w:kern w:val="0"/>
          <w:sz w:val="24"/>
        </w:rPr>
      </w:pPr>
      <w:r>
        <w:rPr>
          <w:rFonts w:ascii="宋体" w:hAnsi="宋体" w:cs="Arial"/>
          <w:kern w:val="0"/>
          <w:sz w:val="24"/>
        </w:rPr>
        <w:t>（</w:t>
      </w:r>
      <w:r>
        <w:rPr>
          <w:rFonts w:hint="eastAsia" w:ascii="宋体" w:hAnsi="宋体" w:cs="Arial"/>
          <w:kern w:val="0"/>
          <w:sz w:val="24"/>
        </w:rPr>
        <w:t>六</w:t>
      </w:r>
      <w:r>
        <w:rPr>
          <w:rFonts w:ascii="宋体" w:hAnsi="宋体" w:cs="Arial"/>
          <w:kern w:val="0"/>
          <w:sz w:val="24"/>
        </w:rPr>
        <w:t>）交易产生的利润占公司最近一个会计年度经审计净利润的10%以上，且绝对金额超过100万元</w:t>
      </w:r>
      <w:r>
        <w:rPr>
          <w:rFonts w:hint="eastAsia" w:ascii="宋体" w:hAnsi="宋体" w:cs="Arial"/>
          <w:kern w:val="0"/>
          <w:sz w:val="24"/>
        </w:rPr>
        <w:t>；</w:t>
      </w:r>
    </w:p>
    <w:p w14:paraId="4CF216D4">
      <w:pPr>
        <w:widowControl/>
        <w:spacing w:line="360" w:lineRule="auto"/>
        <w:ind w:firstLine="480" w:firstLineChars="200"/>
        <w:rPr>
          <w:rFonts w:ascii="宋体" w:hAnsi="宋体" w:cs="Arial"/>
          <w:kern w:val="0"/>
          <w:sz w:val="24"/>
        </w:rPr>
      </w:pPr>
      <w:r>
        <w:rPr>
          <w:rFonts w:hint="eastAsia" w:ascii="宋体" w:hAnsi="宋体" w:cs="Arial"/>
          <w:kern w:val="0"/>
          <w:sz w:val="24"/>
        </w:rPr>
        <w:t>（七）证券投资金额占公司最近一期经审计净资产10%以上且绝对金额超过1,000万元；</w:t>
      </w:r>
    </w:p>
    <w:p w14:paraId="79791A9D">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（八）委托理财金额占公司最近一期经审计净资产10%以上且绝对金额超过1,000万元；</w:t>
      </w:r>
    </w:p>
    <w:p w14:paraId="78D7A7EC">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（九）公司从事期货和衍生品交易。</w:t>
      </w:r>
    </w:p>
    <w:p w14:paraId="58512E25">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公司发生的对外投资事项达到下列标准之一的，应经董事会审议通过</w:t>
      </w:r>
      <w:r>
        <w:rPr>
          <w:rFonts w:hint="eastAsia" w:ascii="宋体" w:hAnsi="宋体"/>
          <w:kern w:val="0"/>
          <w:sz w:val="24"/>
        </w:rPr>
        <w:t>并及时披露</w:t>
      </w:r>
      <w:r>
        <w:rPr>
          <w:rFonts w:ascii="宋体" w:hAnsi="宋体"/>
          <w:kern w:val="0"/>
          <w:sz w:val="24"/>
        </w:rPr>
        <w:t>，</w:t>
      </w:r>
      <w:r>
        <w:rPr>
          <w:rFonts w:hint="eastAsia" w:ascii="宋体" w:hAnsi="宋体"/>
          <w:kern w:val="0"/>
          <w:sz w:val="24"/>
        </w:rPr>
        <w:t>还应当</w:t>
      </w:r>
      <w:r>
        <w:rPr>
          <w:rFonts w:ascii="宋体" w:hAnsi="宋体"/>
          <w:kern w:val="0"/>
          <w:sz w:val="24"/>
        </w:rPr>
        <w:t>提交股东会审议：</w:t>
      </w:r>
    </w:p>
    <w:p w14:paraId="72DD02C2">
      <w:pPr>
        <w:widowControl/>
        <w:spacing w:line="360" w:lineRule="auto"/>
        <w:ind w:firstLine="477" w:firstLineChars="199"/>
        <w:rPr>
          <w:rFonts w:ascii="宋体" w:hAnsi="宋体" w:cs="Arial"/>
          <w:kern w:val="0"/>
          <w:sz w:val="24"/>
        </w:rPr>
      </w:pPr>
      <w:r>
        <w:rPr>
          <w:rFonts w:ascii="宋体" w:hAnsi="宋体" w:cs="Arial"/>
          <w:kern w:val="0"/>
          <w:sz w:val="24"/>
        </w:rPr>
        <w:t>（一）交易涉及的资产总额占公司最近一期经审计总资产的50%以上的，该交易涉及的资产总额同时存在账面值和评估值的，</w:t>
      </w:r>
      <w:r>
        <w:rPr>
          <w:rFonts w:hint="eastAsia" w:ascii="宋体" w:hAnsi="宋体" w:cs="Arial"/>
          <w:kern w:val="0"/>
          <w:sz w:val="24"/>
        </w:rPr>
        <w:t>以较高者为准</w:t>
      </w:r>
      <w:r>
        <w:rPr>
          <w:rFonts w:ascii="宋体" w:hAnsi="宋体" w:cs="Arial"/>
          <w:kern w:val="0"/>
          <w:sz w:val="24"/>
        </w:rPr>
        <w:t>；</w:t>
      </w:r>
    </w:p>
    <w:p w14:paraId="6D6368D2">
      <w:pPr>
        <w:widowControl/>
        <w:spacing w:line="360" w:lineRule="auto"/>
        <w:ind w:firstLine="477" w:firstLineChars="199"/>
        <w:rPr>
          <w:rFonts w:hint="eastAsia" w:ascii="宋体" w:hAnsi="宋体" w:cs="Arial"/>
          <w:kern w:val="0"/>
          <w:sz w:val="24"/>
        </w:rPr>
      </w:pPr>
      <w:r>
        <w:rPr>
          <w:rFonts w:ascii="宋体" w:hAnsi="宋体" w:cs="Arial"/>
          <w:kern w:val="0"/>
          <w:sz w:val="24"/>
        </w:rPr>
        <w:t>（二）</w:t>
      </w:r>
      <w:r>
        <w:rPr>
          <w:rFonts w:hint="eastAsia" w:ascii="宋体" w:hAnsi="宋体" w:cs="Arial"/>
          <w:kern w:val="0"/>
          <w:sz w:val="24"/>
        </w:rPr>
        <w:t>交易标的（如股权）涉及的资产净额占公司最近一期经审计净资产的50%以上，且绝对金额超过5,000万元，该交易涉及的资产净额同时存在账面值和评估值的，以较高者为准；</w:t>
      </w:r>
    </w:p>
    <w:p w14:paraId="4AA50001">
      <w:pPr>
        <w:widowControl/>
        <w:spacing w:line="360" w:lineRule="auto"/>
        <w:ind w:firstLine="477" w:firstLineChars="199"/>
        <w:rPr>
          <w:rFonts w:ascii="宋体" w:hAnsi="宋体" w:cs="Arial"/>
          <w:kern w:val="0"/>
          <w:sz w:val="24"/>
        </w:rPr>
      </w:pPr>
      <w:r>
        <w:rPr>
          <w:rFonts w:ascii="宋体" w:hAnsi="宋体" w:cs="Arial"/>
          <w:kern w:val="0"/>
          <w:sz w:val="24"/>
        </w:rPr>
        <w:t>（</w:t>
      </w:r>
      <w:r>
        <w:rPr>
          <w:rFonts w:hint="eastAsia" w:ascii="宋体" w:hAnsi="宋体" w:cs="Arial"/>
          <w:kern w:val="0"/>
          <w:sz w:val="24"/>
        </w:rPr>
        <w:t>三</w:t>
      </w:r>
      <w:r>
        <w:rPr>
          <w:rFonts w:ascii="宋体" w:hAnsi="宋体" w:cs="Arial"/>
          <w:kern w:val="0"/>
          <w:sz w:val="24"/>
        </w:rPr>
        <w:t>）交易标的（如股权）在最近一个会计年度相关的营业收入占公司最近一个会计年度经审计营业收入的50%以上，且绝对金额超过5,000万元；</w:t>
      </w:r>
    </w:p>
    <w:p w14:paraId="16830486">
      <w:pPr>
        <w:widowControl/>
        <w:spacing w:line="360" w:lineRule="auto"/>
        <w:ind w:firstLine="480" w:firstLineChars="200"/>
        <w:rPr>
          <w:rFonts w:ascii="宋体" w:hAnsi="宋体" w:cs="Arial"/>
          <w:kern w:val="0"/>
          <w:sz w:val="24"/>
        </w:rPr>
      </w:pPr>
      <w:r>
        <w:rPr>
          <w:rFonts w:ascii="宋体" w:hAnsi="宋体" w:cs="Arial"/>
          <w:kern w:val="0"/>
          <w:sz w:val="24"/>
        </w:rPr>
        <w:t>（</w:t>
      </w:r>
      <w:r>
        <w:rPr>
          <w:rFonts w:hint="eastAsia" w:ascii="宋体" w:hAnsi="宋体" w:cs="Arial"/>
          <w:kern w:val="0"/>
          <w:sz w:val="24"/>
        </w:rPr>
        <w:t>四</w:t>
      </w:r>
      <w:r>
        <w:rPr>
          <w:rFonts w:ascii="宋体" w:hAnsi="宋体" w:cs="Arial"/>
          <w:kern w:val="0"/>
          <w:sz w:val="24"/>
        </w:rPr>
        <w:t>）交易标的（如股权）在最近一个会计年度相关的净利润占公司最近一个会计年度经审计净利润的50%以上，且绝对金额超过500万元；</w:t>
      </w:r>
    </w:p>
    <w:p w14:paraId="04D19AFC">
      <w:pPr>
        <w:widowControl/>
        <w:spacing w:line="360" w:lineRule="auto"/>
        <w:ind w:firstLine="480" w:firstLineChars="200"/>
        <w:rPr>
          <w:rFonts w:ascii="宋体" w:hAnsi="宋体" w:cs="Arial"/>
          <w:kern w:val="0"/>
          <w:sz w:val="24"/>
        </w:rPr>
      </w:pPr>
      <w:r>
        <w:rPr>
          <w:rFonts w:ascii="宋体" w:hAnsi="宋体" w:cs="Arial"/>
          <w:kern w:val="0"/>
          <w:sz w:val="24"/>
        </w:rPr>
        <w:t>（</w:t>
      </w:r>
      <w:r>
        <w:rPr>
          <w:rFonts w:hint="eastAsia" w:ascii="宋体" w:hAnsi="宋体" w:cs="Arial"/>
          <w:kern w:val="0"/>
          <w:sz w:val="24"/>
        </w:rPr>
        <w:t>五</w:t>
      </w:r>
      <w:r>
        <w:rPr>
          <w:rFonts w:ascii="宋体" w:hAnsi="宋体" w:cs="Arial"/>
          <w:kern w:val="0"/>
          <w:sz w:val="24"/>
        </w:rPr>
        <w:t>）交易的成交金额（含承担债务和费用）占公司最近一期经审计净资产的50%以上，且绝对金额超过5,000万元；</w:t>
      </w:r>
    </w:p>
    <w:p w14:paraId="37D5AE51">
      <w:pPr>
        <w:widowControl/>
        <w:spacing w:line="360" w:lineRule="auto"/>
        <w:ind w:firstLine="480" w:firstLineChars="200"/>
        <w:rPr>
          <w:rFonts w:hint="eastAsia" w:ascii="宋体" w:hAnsi="宋体" w:cs="Arial"/>
          <w:kern w:val="0"/>
          <w:sz w:val="24"/>
        </w:rPr>
      </w:pPr>
      <w:r>
        <w:rPr>
          <w:rFonts w:ascii="宋体" w:hAnsi="宋体" w:cs="Arial"/>
          <w:kern w:val="0"/>
          <w:sz w:val="24"/>
        </w:rPr>
        <w:t>（</w:t>
      </w:r>
      <w:r>
        <w:rPr>
          <w:rFonts w:hint="eastAsia" w:ascii="宋体" w:hAnsi="宋体" w:cs="Arial"/>
          <w:kern w:val="0"/>
          <w:sz w:val="24"/>
        </w:rPr>
        <w:t>六</w:t>
      </w:r>
      <w:r>
        <w:rPr>
          <w:rFonts w:ascii="宋体" w:hAnsi="宋体" w:cs="Arial"/>
          <w:kern w:val="0"/>
          <w:sz w:val="24"/>
        </w:rPr>
        <w:t>）交易产生的利润占公司最近一个会计年度经审计净利润的50%以上，且绝对金额超过500万元；</w:t>
      </w:r>
    </w:p>
    <w:p w14:paraId="7F2F8B6B">
      <w:pPr>
        <w:widowControl/>
        <w:spacing w:line="360" w:lineRule="auto"/>
        <w:ind w:firstLine="480" w:firstLineChars="200"/>
        <w:rPr>
          <w:rFonts w:ascii="宋体" w:hAnsi="宋体" w:cs="Arial"/>
          <w:kern w:val="0"/>
          <w:sz w:val="24"/>
        </w:rPr>
      </w:pPr>
      <w:r>
        <w:rPr>
          <w:rFonts w:hint="eastAsia" w:ascii="宋体" w:hAnsi="宋体" w:cs="Arial"/>
          <w:kern w:val="0"/>
          <w:sz w:val="24"/>
        </w:rPr>
        <w:t>（七）证券投资金额占公司最近一期经审计净资产50%以上且绝对金额超过5,000万元；</w:t>
      </w:r>
    </w:p>
    <w:p w14:paraId="21FD4F58">
      <w:pPr>
        <w:widowControl/>
        <w:spacing w:line="360" w:lineRule="auto"/>
        <w:ind w:firstLine="480" w:firstLineChars="200"/>
        <w:rPr>
          <w:rFonts w:ascii="宋体" w:hAnsi="宋体" w:cs="Arial"/>
          <w:kern w:val="0"/>
          <w:sz w:val="24"/>
        </w:rPr>
      </w:pPr>
      <w:r>
        <w:rPr>
          <w:rFonts w:hint="eastAsia" w:ascii="宋体" w:hAnsi="宋体" w:cs="Arial"/>
          <w:kern w:val="0"/>
          <w:sz w:val="24"/>
        </w:rPr>
        <w:t>（八）委托理财金额占公司最近一期经审计净资产50%以上且绝对金额超过5,000万元；</w:t>
      </w:r>
    </w:p>
    <w:p w14:paraId="3AD24758">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九）公司从事的期货和衍生品交易属于下列情形之一的：（1）预计动用的交易保证金和权利金上限（包括为交易而提供的担保物价值、预计占用的金融机构授信额度、为应急措施所预留的保证金等，下同）占公司最近一期经审计净利润的 50%以上，且绝对金额超过5</w:t>
      </w:r>
      <w:r>
        <w:rPr>
          <w:rFonts w:ascii="宋体" w:hAnsi="宋体" w:cs="Arial"/>
          <w:kern w:val="0"/>
          <w:sz w:val="24"/>
        </w:rPr>
        <w:t>00</w:t>
      </w:r>
      <w:r>
        <w:rPr>
          <w:rFonts w:hint="eastAsia" w:ascii="宋体" w:hAnsi="宋体" w:cs="Arial"/>
          <w:kern w:val="0"/>
          <w:sz w:val="24"/>
        </w:rPr>
        <w:t>万元；（</w:t>
      </w:r>
      <w:r>
        <w:rPr>
          <w:rFonts w:ascii="宋体" w:hAnsi="宋体" w:cs="Arial"/>
          <w:kern w:val="0"/>
          <w:sz w:val="24"/>
        </w:rPr>
        <w:t>2</w:t>
      </w:r>
      <w:r>
        <w:rPr>
          <w:rFonts w:hint="eastAsia" w:ascii="宋体" w:hAnsi="宋体" w:cs="Arial"/>
          <w:kern w:val="0"/>
          <w:sz w:val="24"/>
        </w:rPr>
        <w:t>）预计任一交易日持有的最高合约价值占公司最近一期经审计净资产的 50%以上，且绝对金额超过5</w:t>
      </w:r>
      <w:r>
        <w:rPr>
          <w:rFonts w:ascii="宋体" w:hAnsi="宋体" w:cs="Arial"/>
          <w:kern w:val="0"/>
          <w:sz w:val="24"/>
        </w:rPr>
        <w:t>000</w:t>
      </w:r>
      <w:r>
        <w:rPr>
          <w:rFonts w:hint="eastAsia" w:ascii="宋体" w:hAnsi="宋体" w:cs="Arial"/>
          <w:kern w:val="0"/>
          <w:sz w:val="24"/>
        </w:rPr>
        <w:t>万元；（</w:t>
      </w:r>
      <w:r>
        <w:rPr>
          <w:rFonts w:ascii="宋体" w:hAnsi="宋体" w:cs="Arial"/>
          <w:kern w:val="0"/>
          <w:sz w:val="24"/>
        </w:rPr>
        <w:t>3</w:t>
      </w:r>
      <w:r>
        <w:rPr>
          <w:rFonts w:hint="eastAsia" w:ascii="宋体" w:hAnsi="宋体" w:cs="Arial"/>
          <w:kern w:val="0"/>
          <w:sz w:val="24"/>
        </w:rPr>
        <w:t>）不以套期保值为目的的期货和衍生品交易。</w:t>
      </w:r>
    </w:p>
    <w:p w14:paraId="1119291C">
      <w:pPr>
        <w:widowControl/>
        <w:spacing w:line="360" w:lineRule="auto"/>
        <w:ind w:firstLine="480" w:firstLineChars="200"/>
        <w:rPr>
          <w:rFonts w:ascii="宋体" w:hAnsi="宋体" w:cs="Arial"/>
          <w:kern w:val="0"/>
          <w:sz w:val="24"/>
        </w:rPr>
      </w:pPr>
      <w:r>
        <w:rPr>
          <w:rFonts w:ascii="宋体" w:hAnsi="宋体" w:cs="Arial"/>
          <w:kern w:val="0"/>
          <w:sz w:val="24"/>
        </w:rPr>
        <w:t>上述指标计算中涉及的数据如为负值，取其绝对值计算。</w:t>
      </w:r>
    </w:p>
    <w:p w14:paraId="7A73B046">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cs="Arial"/>
          <w:kern w:val="0"/>
          <w:sz w:val="24"/>
        </w:rPr>
        <w:t>对于达到本制度第十五条第（一）至（六）项标准的对外投资事项，交易标的为公司股权的，公司应当披露标的资产经审计的最近一年又一期财务会计报告。会计师事务所发表的审计意见应当为无保留意见，审计基准日距审议相关交易事项的股东会召开日不得超过六个月。</w:t>
      </w:r>
    </w:p>
    <w:p w14:paraId="5C00B1D2">
      <w:pPr>
        <w:widowControl/>
        <w:spacing w:line="360" w:lineRule="auto"/>
        <w:ind w:firstLine="480" w:firstLineChars="200"/>
        <w:rPr>
          <w:rFonts w:ascii="宋体" w:hAnsi="宋体" w:cs="Arial"/>
          <w:kern w:val="0"/>
          <w:sz w:val="24"/>
        </w:rPr>
      </w:pPr>
      <w:r>
        <w:rPr>
          <w:rFonts w:hint="eastAsia" w:ascii="宋体" w:hAnsi="宋体" w:cs="Arial"/>
          <w:kern w:val="0"/>
          <w:sz w:val="24"/>
        </w:rPr>
        <w:t>对于达到本制度第十五条第（一）至（六）项标准的对外投资事项，交易标的为公司股权以外的其他资产的，公司应当披露标的资产由资产评估机构出具的评估报告。评估基准日距审议相关交易事项的股东会召开日不得超过一年。</w:t>
      </w:r>
    </w:p>
    <w:p w14:paraId="45DFD176">
      <w:pPr>
        <w:widowControl/>
        <w:spacing w:line="360" w:lineRule="auto"/>
        <w:ind w:firstLine="480" w:firstLineChars="200"/>
        <w:rPr>
          <w:rFonts w:ascii="宋体" w:hAnsi="宋体" w:cs="Arial"/>
          <w:kern w:val="0"/>
          <w:sz w:val="24"/>
        </w:rPr>
      </w:pPr>
      <w:r>
        <w:rPr>
          <w:rFonts w:hint="eastAsia" w:ascii="宋体" w:hAnsi="宋体" w:cs="Arial"/>
          <w:kern w:val="0"/>
          <w:sz w:val="24"/>
        </w:rPr>
        <w:t>对于达到本制度第十四条第（一）至（六）项标准、第十五条第（一）至（六）项标准的对外投资事项，交易对方以非现金资产作为交易对价或者抵偿公司债务的，应当披露所涉及资产的符合本条第一款、第二款要求的审计报告或者评估报告。相关交易无需提交股东会审议的，审计基准日或者评估基准日距审议相关事项的董事会召开日或者相关事项的公告日不得超过本条第一款、第二款要求的时限。</w:t>
      </w:r>
    </w:p>
    <w:p w14:paraId="5B131A49">
      <w:pPr>
        <w:widowControl/>
        <w:numPr>
          <w:ilvl w:val="0"/>
          <w:numId w:val="1"/>
        </w:numPr>
        <w:tabs>
          <w:tab w:val="left" w:pos="0"/>
          <w:tab w:val="left" w:pos="1666"/>
        </w:tabs>
        <w:spacing w:line="360" w:lineRule="auto"/>
        <w:ind w:left="0" w:firstLine="480" w:firstLineChars="200"/>
        <w:rPr>
          <w:rFonts w:ascii="宋体" w:hAnsi="宋体"/>
          <w:kern w:val="0"/>
          <w:sz w:val="24"/>
        </w:rPr>
      </w:pPr>
      <w:r>
        <w:rPr>
          <w:rFonts w:hint="eastAsia" w:ascii="宋体" w:hAnsi="宋体"/>
          <w:kern w:val="0"/>
          <w:sz w:val="24"/>
        </w:rPr>
        <w:t>公司购买或者出售交易标的少数股权，因在交易前后均无法对交易标的形成控制、共同控制或者重大影响等客观原因，导致确实无法对交易标的最近一年又一期财务会计报告进行审计</w:t>
      </w:r>
      <w:r>
        <w:rPr>
          <w:rFonts w:ascii="宋体" w:hAnsi="宋体"/>
          <w:kern w:val="0"/>
          <w:sz w:val="24"/>
        </w:rPr>
        <w:t>或者提供相应审计报告</w:t>
      </w:r>
      <w:r>
        <w:rPr>
          <w:rFonts w:hint="eastAsia" w:ascii="宋体" w:hAnsi="宋体"/>
          <w:kern w:val="0"/>
          <w:sz w:val="24"/>
        </w:rPr>
        <w:t>的，可以披露相关情况并免于按照本制度第十六条的规定披露审计报告，中国证监会或者深圳证券交易所另有规定的除外。</w:t>
      </w:r>
    </w:p>
    <w:p w14:paraId="330E7DDF">
      <w:pPr>
        <w:widowControl/>
        <w:numPr>
          <w:ilvl w:val="0"/>
          <w:numId w:val="1"/>
        </w:numPr>
        <w:tabs>
          <w:tab w:val="left" w:pos="0"/>
          <w:tab w:val="left" w:pos="1666"/>
        </w:tabs>
        <w:spacing w:line="360" w:lineRule="auto"/>
        <w:ind w:left="0" w:firstLine="480" w:firstLineChars="200"/>
        <w:rPr>
          <w:rFonts w:ascii="宋体" w:hAnsi="宋体" w:cs="Arial"/>
          <w:kern w:val="0"/>
          <w:sz w:val="24"/>
        </w:rPr>
      </w:pPr>
      <w:r>
        <w:rPr>
          <w:rFonts w:hint="eastAsia" w:ascii="宋体" w:hAnsi="宋体"/>
          <w:kern w:val="0"/>
          <w:sz w:val="24"/>
        </w:rPr>
        <w:t>公司因交易频次和时效要求等原因难以对每次证券投资履行审议程序和披露义务的，可以对未来十二个月内证券投资范围、额度及期限等进行合理预计，</w:t>
      </w:r>
      <w:r>
        <w:rPr>
          <w:rFonts w:hint="eastAsia" w:ascii="宋体" w:hAnsi="宋体" w:cs="Arial"/>
          <w:kern w:val="0"/>
          <w:sz w:val="24"/>
        </w:rPr>
        <w:t>适用本制度规定</w:t>
      </w:r>
      <w:r>
        <w:rPr>
          <w:rFonts w:hint="eastAsia" w:ascii="宋体" w:hAnsi="宋体"/>
          <w:kern w:val="0"/>
          <w:sz w:val="24"/>
        </w:rPr>
        <w:t>。</w:t>
      </w:r>
      <w:r>
        <w:rPr>
          <w:rFonts w:hint="eastAsia" w:ascii="宋体" w:hAnsi="宋体" w:cs="Arial"/>
          <w:kern w:val="0"/>
          <w:sz w:val="24"/>
        </w:rPr>
        <w:t>相关额度的使用期限不应超过十二个月，期限内任一时点的交易金额（含前述投资的收益进行再投资的相关金额）不应超过证券投资额度。</w:t>
      </w:r>
    </w:p>
    <w:p w14:paraId="2A20EA08">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公司从事期货和衍生品交易，应当编制可行性分析报告并提交董事会审议。</w:t>
      </w:r>
    </w:p>
    <w:p w14:paraId="058B1A8D">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公司因交易频次和时效要求等原因难以对每次期货和衍生品交易履行审议程序和披露义务的，可以对未来十二个月内期货和衍生品交易的范围、额度及期限等进行合理预计并审议。相关额度的使用期限不应超过12个月，期限内任一时点的金额（含前述交易的收益进行再交易的相关金额）不应超过已审议额度。</w:t>
      </w:r>
    </w:p>
    <w:p w14:paraId="2EE818BB">
      <w:pPr>
        <w:widowControl/>
        <w:numPr>
          <w:ilvl w:val="0"/>
          <w:numId w:val="1"/>
        </w:numPr>
        <w:tabs>
          <w:tab w:val="left" w:pos="0"/>
          <w:tab w:val="left" w:pos="1666"/>
        </w:tabs>
        <w:spacing w:line="360" w:lineRule="auto"/>
        <w:ind w:left="0" w:firstLine="480" w:firstLineChars="200"/>
        <w:rPr>
          <w:rFonts w:ascii="宋体" w:hAnsi="宋体" w:cs="Arial"/>
          <w:kern w:val="0"/>
          <w:sz w:val="24"/>
        </w:rPr>
      </w:pPr>
      <w:r>
        <w:rPr>
          <w:rFonts w:hint="eastAsia" w:ascii="宋体" w:hAnsi="宋体" w:cs="Arial"/>
          <w:kern w:val="0"/>
          <w:sz w:val="24"/>
        </w:rPr>
        <w:t>公司进行委托理财，因交易频次和时效要求等原因难以对每次投资交易履行审议程序和披露义务的，可以对投资范围、额度及期限等进行合理预计，以额度计算占净资产的比例，适用本制度规定。相关额度的使用期限不应超过12个月，期限内任一时点的交易金额（含前述投资的收益进行再投资的相关金额）不应超过投资额度。</w:t>
      </w:r>
    </w:p>
    <w:p w14:paraId="13A44B65">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除本章前述所列需要经董事会和股东会审议通过的对外投资事项外，其他投资事项由总裁审批，并向董事会作出书面报告。</w:t>
      </w:r>
    </w:p>
    <w:p w14:paraId="0B370E0B">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若对外投资属于关联交易事项，则应按公司《关联交易管理制度》执行。</w:t>
      </w:r>
    </w:p>
    <w:p w14:paraId="7373F596">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子公司拟进行的对外投资事项必须制作成议案、项目建议书或可行性分析报告上报总裁，并按照规定履行审批程序。</w:t>
      </w:r>
    </w:p>
    <w:p w14:paraId="7B7F0AF4">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对外投资项目应与被投资方签订投资合同或协议，投资合同或协议必须经公司法律事务部进行审核，并经相应的决策机构批准后方可对外正式签署。公司应授权具体部门和人员按投资合同或协议规定投入现金、实物或无形资产，投入实物必须办理实物交接手续。在签订投资合同或协议之前，不得支付投资款或办理投资资产的移交；投资完成后，应取得被投资方出具的投资证明或其他有效凭据。</w:t>
      </w:r>
    </w:p>
    <w:p w14:paraId="25DFB3AD">
      <w:pPr>
        <w:widowControl/>
        <w:spacing w:line="360" w:lineRule="auto"/>
        <w:ind w:firstLine="480" w:firstLineChars="200"/>
        <w:rPr>
          <w:rFonts w:hint="eastAsia" w:ascii="宋体" w:hAnsi="宋体"/>
          <w:kern w:val="0"/>
          <w:sz w:val="24"/>
        </w:rPr>
      </w:pPr>
    </w:p>
    <w:p w14:paraId="1EE46B3C">
      <w:pPr>
        <w:widowControl/>
        <w:spacing w:line="360" w:lineRule="auto"/>
        <w:jc w:val="center"/>
        <w:rPr>
          <w:rFonts w:ascii="宋体" w:hAnsi="宋体"/>
          <w:b/>
          <w:kern w:val="0"/>
          <w:sz w:val="24"/>
        </w:rPr>
      </w:pPr>
      <w:r>
        <w:rPr>
          <w:rFonts w:ascii="宋体" w:hAnsi="宋体"/>
          <w:b/>
          <w:kern w:val="0"/>
          <w:sz w:val="24"/>
        </w:rPr>
        <w:t>第三章 对外投资的管理</w:t>
      </w:r>
      <w:r>
        <w:rPr>
          <w:rFonts w:hint="eastAsia" w:ascii="宋体" w:hAnsi="宋体"/>
          <w:b/>
          <w:kern w:val="0"/>
          <w:sz w:val="24"/>
        </w:rPr>
        <w:t>程序</w:t>
      </w:r>
    </w:p>
    <w:p w14:paraId="4CF02AFD">
      <w:pPr>
        <w:widowControl/>
        <w:spacing w:line="360" w:lineRule="auto"/>
        <w:jc w:val="center"/>
        <w:rPr>
          <w:rFonts w:hint="eastAsia" w:ascii="宋体" w:hAnsi="宋体"/>
          <w:b/>
          <w:kern w:val="0"/>
          <w:sz w:val="24"/>
        </w:rPr>
      </w:pPr>
    </w:p>
    <w:p w14:paraId="37405248">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公司应当合理安排、使用资金，致力发展公司主营业务，不得使用募集资金从事证券投资、期货和衍生品交易。</w:t>
      </w:r>
    </w:p>
    <w:p w14:paraId="28469051">
      <w:pPr>
        <w:widowControl/>
        <w:spacing w:line="360" w:lineRule="auto"/>
        <w:ind w:firstLine="480" w:firstLineChars="200"/>
        <w:rPr>
          <w:rFonts w:ascii="宋体" w:hAnsi="宋体" w:cs="Arial"/>
          <w:kern w:val="0"/>
          <w:sz w:val="24"/>
        </w:rPr>
      </w:pPr>
      <w:r>
        <w:rPr>
          <w:rFonts w:hint="eastAsia" w:ascii="宋体" w:hAnsi="宋体" w:cs="Arial"/>
          <w:kern w:val="0"/>
          <w:sz w:val="24"/>
        </w:rPr>
        <w:t>公司从事套期保值业务的期货和衍生品品种应当仅限于与公司生产经营相关的产品、原材料和外汇等，且原则上应当控制期货和衍生品在种类、规模及期限上与需管理的风险敞口相匹配。用于套期保值的期货和衍生品与需管理的相关风险敞口应当存在相互风险对冲的经济关系，使得相关期货和衍生品与相关风险敞口的价值因面临相同的风险因素而发生方向相反的变动。</w:t>
      </w:r>
    </w:p>
    <w:p w14:paraId="12F6348A">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公司从事证券投资，应当遵循合法、审慎、安全、有效的原则，</w:t>
      </w:r>
      <w:r>
        <w:rPr>
          <w:rFonts w:ascii="宋体" w:hAnsi="宋体" w:cs="Arial"/>
          <w:kern w:val="0"/>
          <w:sz w:val="24"/>
        </w:rPr>
        <w:t>应当分析</w:t>
      </w:r>
      <w:r>
        <w:rPr>
          <w:rFonts w:hint="eastAsia" w:ascii="宋体" w:hAnsi="宋体" w:cs="Arial"/>
          <w:kern w:val="0"/>
          <w:sz w:val="24"/>
        </w:rPr>
        <w:t>证券</w:t>
      </w:r>
      <w:r>
        <w:rPr>
          <w:rFonts w:ascii="宋体" w:hAnsi="宋体" w:cs="Arial"/>
          <w:kern w:val="0"/>
          <w:sz w:val="24"/>
        </w:rPr>
        <w:t>投资的可行性与必要性</w:t>
      </w:r>
      <w:r>
        <w:rPr>
          <w:rFonts w:hint="eastAsia" w:ascii="宋体" w:hAnsi="宋体" w:cs="Arial"/>
          <w:kern w:val="0"/>
          <w:sz w:val="24"/>
        </w:rPr>
        <w:t>，</w:t>
      </w:r>
      <w:r>
        <w:rPr>
          <w:rFonts w:ascii="宋体" w:hAnsi="宋体"/>
          <w:kern w:val="0"/>
          <w:sz w:val="24"/>
        </w:rPr>
        <w:t>控制投资风险、注重投资效益</w:t>
      </w:r>
      <w:r>
        <w:rPr>
          <w:rFonts w:hint="eastAsia" w:ascii="宋体" w:hAnsi="宋体"/>
          <w:kern w:val="0"/>
          <w:sz w:val="24"/>
        </w:rPr>
        <w:t>，</w:t>
      </w:r>
      <w:r>
        <w:rPr>
          <w:rFonts w:ascii="宋体" w:hAnsi="宋体" w:cs="Arial"/>
          <w:kern w:val="0"/>
          <w:sz w:val="24"/>
        </w:rPr>
        <w:t>根据公司的风险承受能力确定投资规模及期限。</w:t>
      </w:r>
    </w:p>
    <w:p w14:paraId="7C79CDC2">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公司进行证券投资必须执行严格的联合控制制度，即至少要由两名以上人员共同操作，且操作人员与资金、财务管理人员分离，相互制约，不得一人单独接触投资资产，对任何的投资资产的存入或取出，必须由相互制约的两人联名签字。</w:t>
      </w:r>
    </w:p>
    <w:p w14:paraId="12F22A7C">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公司购入的有价证券必须在购入的当日记入公司名下。财务部按照投资类别、数量、单价、应计利息、购进日期等及时登记入账，并进行相关账务处理，并定期核对证券投资资金的使用及结存情况，将收到的利息、股利及时入账。</w:t>
      </w:r>
    </w:p>
    <w:p w14:paraId="2E0E7BB5">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公司从事</w:t>
      </w:r>
      <w:r>
        <w:rPr>
          <w:rFonts w:hint="eastAsia" w:ascii="宋体" w:hAnsi="宋体"/>
          <w:kern w:val="0"/>
          <w:sz w:val="24"/>
        </w:rPr>
        <w:t>期货和</w:t>
      </w:r>
      <w:r>
        <w:rPr>
          <w:rFonts w:ascii="宋体" w:hAnsi="宋体"/>
          <w:kern w:val="0"/>
          <w:sz w:val="24"/>
        </w:rPr>
        <w:t>衍生品交易，应当合理配备投资决策、业务操作、风险控制等专业人员，并根据公司的风险承受能力确定期货和衍生品交易的品种、规模及期限</w:t>
      </w:r>
      <w:r>
        <w:rPr>
          <w:rFonts w:hint="eastAsia" w:ascii="宋体" w:hAnsi="宋体"/>
          <w:kern w:val="0"/>
          <w:sz w:val="24"/>
        </w:rPr>
        <w:t>。公司</w:t>
      </w:r>
      <w:r>
        <w:rPr>
          <w:rFonts w:ascii="宋体" w:hAnsi="宋体"/>
          <w:kern w:val="0"/>
          <w:sz w:val="24"/>
        </w:rPr>
        <w:t>指定董事会审计委员会审查</w:t>
      </w:r>
      <w:r>
        <w:rPr>
          <w:rFonts w:hint="eastAsia" w:ascii="宋体" w:hAnsi="宋体"/>
          <w:kern w:val="0"/>
          <w:sz w:val="24"/>
        </w:rPr>
        <w:t>期货和</w:t>
      </w:r>
      <w:r>
        <w:rPr>
          <w:rFonts w:ascii="宋体" w:hAnsi="宋体"/>
          <w:kern w:val="0"/>
          <w:sz w:val="24"/>
        </w:rPr>
        <w:t>衍生品交易的必要性</w:t>
      </w:r>
      <w:r>
        <w:rPr>
          <w:rFonts w:hint="eastAsia" w:ascii="宋体" w:hAnsi="宋体"/>
          <w:kern w:val="0"/>
          <w:sz w:val="24"/>
        </w:rPr>
        <w:t>、可行性</w:t>
      </w:r>
      <w:r>
        <w:rPr>
          <w:rFonts w:ascii="宋体" w:hAnsi="宋体"/>
          <w:kern w:val="0"/>
          <w:sz w:val="24"/>
        </w:rPr>
        <w:t>及风险控制情况</w:t>
      </w:r>
      <w:r>
        <w:rPr>
          <w:rFonts w:hint="eastAsia" w:ascii="宋体" w:hAnsi="宋体"/>
          <w:kern w:val="0"/>
          <w:sz w:val="24"/>
        </w:rPr>
        <w:t>，</w:t>
      </w:r>
      <w:r>
        <w:rPr>
          <w:rFonts w:ascii="宋体" w:hAnsi="宋体"/>
          <w:kern w:val="0"/>
          <w:sz w:val="24"/>
        </w:rPr>
        <w:t>必要时可以聘请专业机构出具可行性分析报告。</w:t>
      </w:r>
    </w:p>
    <w:p w14:paraId="78A0769C">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公司制定切实可行的应急处理预案，以及时应对交易过程中可能发生的重大突发事件。</w:t>
      </w:r>
    </w:p>
    <w:p w14:paraId="001C05B9">
      <w:pPr>
        <w:widowControl/>
        <w:spacing w:line="360" w:lineRule="auto"/>
        <w:ind w:firstLine="480" w:firstLineChars="200"/>
        <w:rPr>
          <w:rFonts w:hint="eastAsia" w:ascii="宋体" w:hAnsi="宋体"/>
          <w:kern w:val="0"/>
          <w:sz w:val="24"/>
        </w:rPr>
      </w:pPr>
      <w:r>
        <w:rPr>
          <w:rFonts w:hint="eastAsia" w:ascii="宋体" w:hAnsi="宋体"/>
          <w:kern w:val="0"/>
          <w:sz w:val="24"/>
        </w:rPr>
        <w:t>公司投资部应当针对各类期货和衍生品或者不同交易对手设定适当的止损限额（或者亏损预警线），明确止损处理业务流程并严格执行。</w:t>
      </w:r>
    </w:p>
    <w:p w14:paraId="215DA42C">
      <w:pPr>
        <w:widowControl/>
        <w:spacing w:line="360" w:lineRule="auto"/>
        <w:ind w:firstLine="480" w:firstLineChars="200"/>
        <w:rPr>
          <w:rFonts w:ascii="宋体" w:hAnsi="宋体"/>
          <w:kern w:val="0"/>
          <w:sz w:val="24"/>
        </w:rPr>
      </w:pPr>
      <w:r>
        <w:rPr>
          <w:rFonts w:hint="eastAsia" w:ascii="宋体" w:hAnsi="宋体"/>
          <w:kern w:val="0"/>
          <w:sz w:val="24"/>
        </w:rPr>
        <w:t>公司投资部应当跟踪期货和衍生品公开市场价格或者公允价值的变化，及时评估已交易期货和衍生品的风险敞口变化情况，并向总裁和董事会报告期货和衍生品交易授权执行情况、交易头寸情况、风险评估结果、交易盈亏状况、止损规定执行情况等。</w:t>
      </w:r>
    </w:p>
    <w:p w14:paraId="4B915B34">
      <w:pPr>
        <w:widowControl/>
        <w:spacing w:line="360" w:lineRule="auto"/>
        <w:ind w:firstLine="480" w:firstLineChars="200"/>
        <w:rPr>
          <w:rFonts w:hint="eastAsia" w:ascii="宋体" w:hAnsi="宋体"/>
          <w:kern w:val="0"/>
          <w:sz w:val="24"/>
        </w:rPr>
      </w:pPr>
      <w:r>
        <w:rPr>
          <w:rFonts w:hint="eastAsia" w:ascii="宋体" w:hAnsi="宋体"/>
          <w:kern w:val="0"/>
          <w:sz w:val="24"/>
        </w:rPr>
        <w:t>公司开展以套期保值为目的的期货和衍生品交易，公司投资部应当及时跟踪期货和衍生品与已识别风险敞口对冲后的净敞口价值变动，对套期保值效果进行持续评估。</w:t>
      </w:r>
    </w:p>
    <w:p w14:paraId="533594F1">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kern w:val="0"/>
          <w:sz w:val="24"/>
        </w:rPr>
        <w:t>公司拟在境外开展期货和衍生品交易的，应当审慎评估交易必要性和在相关国家和地区开展交易的政治、经济和法律等风险，充分考虑结算便捷性、交易流动性、汇率波动性等因素。公司拟开展场外衍生品交易的，应当评估交易必要性、产品结构复杂程度、流动性风险及交易对手信用风险。</w:t>
      </w:r>
    </w:p>
    <w:p w14:paraId="56E7AF39">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kern w:val="0"/>
          <w:sz w:val="24"/>
        </w:rPr>
        <w:t>公司开展期货和衍生品交易时，应当披露交易目的、交易品种、交易工具、交易场所、预计动用的交易保证金和权利金上限、预计任一交易日持有的最高合约价值、专业人员配备情况等，并进行充分的风险提示。</w:t>
      </w:r>
    </w:p>
    <w:p w14:paraId="37C70DD3">
      <w:pPr>
        <w:widowControl/>
        <w:spacing w:line="360" w:lineRule="auto"/>
        <w:ind w:firstLine="480" w:firstLineChars="200"/>
        <w:rPr>
          <w:rFonts w:hint="eastAsia" w:ascii="宋体" w:hAnsi="宋体"/>
          <w:kern w:val="0"/>
          <w:sz w:val="24"/>
        </w:rPr>
      </w:pPr>
      <w:r>
        <w:rPr>
          <w:rFonts w:hint="eastAsia" w:ascii="宋体" w:hAnsi="宋体"/>
          <w:kern w:val="0"/>
          <w:sz w:val="24"/>
        </w:rPr>
        <w:t>公司以套期保值为目的开展期货和衍生品交易的，应当明确说明拟使用的期货和衍生品合约的类别及其预期管理的风险敞口，明确两者是否存在相互风险对冲的经济关系，以及如何运用选定的期货和衍生品合约对相关风险敞口进行套期保值。公司应当对套期保值预计可实现的效果进行说明，包括持续评估是否达到套期保值效果的计划举措。</w:t>
      </w:r>
    </w:p>
    <w:p w14:paraId="59A2CCDD">
      <w:pPr>
        <w:widowControl/>
        <w:spacing w:line="360" w:lineRule="auto"/>
        <w:ind w:firstLine="480" w:firstLineChars="200"/>
        <w:rPr>
          <w:rFonts w:ascii="宋体" w:hAnsi="宋体"/>
          <w:kern w:val="0"/>
          <w:sz w:val="24"/>
        </w:rPr>
      </w:pPr>
      <w:r>
        <w:rPr>
          <w:rFonts w:hint="eastAsia" w:ascii="宋体" w:hAnsi="宋体"/>
          <w:kern w:val="0"/>
          <w:sz w:val="24"/>
        </w:rPr>
        <w:t>公司从事以投机为目的的期货和衍生品交易的，应当在公告标题和重要内容提示中真实、准确地披露交易目的，不得使用套期保值、风险管理等类似用语，不得以套期保值为名变相进行以投机为目的的期货和衍生品交易。</w:t>
      </w:r>
    </w:p>
    <w:p w14:paraId="5FC5A9B5">
      <w:pPr>
        <w:widowControl/>
        <w:numPr>
          <w:ilvl w:val="0"/>
          <w:numId w:val="1"/>
        </w:numPr>
        <w:tabs>
          <w:tab w:val="left" w:pos="0"/>
          <w:tab w:val="left" w:pos="1666"/>
        </w:tabs>
        <w:spacing w:line="360" w:lineRule="auto"/>
        <w:ind w:left="0" w:firstLine="476"/>
        <w:rPr>
          <w:rFonts w:hint="eastAsia" w:ascii="宋体" w:hAnsi="宋体" w:cs="Arial"/>
          <w:kern w:val="0"/>
          <w:sz w:val="24"/>
        </w:rPr>
      </w:pPr>
      <w:r>
        <w:rPr>
          <w:rFonts w:ascii="宋体" w:hAnsi="宋体" w:cs="Arial"/>
          <w:kern w:val="0"/>
          <w:sz w:val="24"/>
        </w:rPr>
        <w:t>公司董事会应当持续跟踪证券投资的执行进展和投资安全状况，如出现投资发生较大损失等异常情况的，应当立即采取措施并按规定履行披露义务。</w:t>
      </w:r>
    </w:p>
    <w:p w14:paraId="0DBC1DBB">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公司</w:t>
      </w:r>
      <w:r>
        <w:rPr>
          <w:rFonts w:hint="eastAsia" w:ascii="宋体" w:hAnsi="宋体" w:cs="Arial"/>
          <w:kern w:val="0"/>
          <w:sz w:val="24"/>
        </w:rPr>
        <w:t>期货和</w:t>
      </w:r>
      <w:r>
        <w:rPr>
          <w:rFonts w:ascii="宋体" w:hAnsi="宋体" w:cs="Arial"/>
          <w:kern w:val="0"/>
          <w:sz w:val="24"/>
        </w:rPr>
        <w:t>衍生品</w:t>
      </w:r>
      <w:r>
        <w:rPr>
          <w:rFonts w:hint="eastAsia" w:ascii="宋体" w:hAnsi="宋体" w:cs="Arial"/>
          <w:kern w:val="0"/>
          <w:sz w:val="24"/>
        </w:rPr>
        <w:t>交易已确认损益及</w:t>
      </w:r>
      <w:r>
        <w:rPr>
          <w:rFonts w:ascii="宋体" w:hAnsi="宋体" w:cs="Arial"/>
          <w:kern w:val="0"/>
          <w:sz w:val="24"/>
        </w:rPr>
        <w:t>浮动亏损金额每达到公司最近一年经审计的归属于公司股东净利润的10%且绝对金额超过1,000万元的，公司应当及时披露。</w:t>
      </w:r>
      <w:r>
        <w:rPr>
          <w:rFonts w:ascii="宋体" w:hAnsi="宋体"/>
          <w:kern w:val="0"/>
          <w:sz w:val="24"/>
        </w:rPr>
        <w:t>公司开展套期保值业务的，可以将套期工具与被套期项目价值变动加总后适用前述规定</w:t>
      </w:r>
      <w:r>
        <w:rPr>
          <w:rFonts w:hint="eastAsia" w:ascii="宋体" w:hAnsi="宋体"/>
          <w:kern w:val="0"/>
          <w:sz w:val="24"/>
        </w:rPr>
        <w:t>。</w:t>
      </w:r>
    </w:p>
    <w:p w14:paraId="751FFD29">
      <w:pPr>
        <w:widowControl/>
        <w:spacing w:line="360" w:lineRule="auto"/>
        <w:ind w:firstLine="480" w:firstLineChars="200"/>
        <w:rPr>
          <w:rFonts w:hint="eastAsia" w:ascii="宋体" w:hAnsi="宋体"/>
          <w:kern w:val="0"/>
          <w:sz w:val="24"/>
        </w:rPr>
      </w:pPr>
      <w:r>
        <w:rPr>
          <w:rFonts w:hint="eastAsia" w:ascii="宋体" w:hAnsi="宋体"/>
          <w:kern w:val="0"/>
          <w:sz w:val="24"/>
        </w:rPr>
        <w:t>公司开展套期保值业务出现前款规定的亏损情形时，还应当重新评估套期关系的有效性，披露套期工具和被套期项目的公允价值或现金流量变动未按预期抵销的原因，并分别披露套期工具和被套期项目价值变动情况等。</w:t>
      </w:r>
    </w:p>
    <w:p w14:paraId="36F9D405">
      <w:pPr>
        <w:widowControl/>
        <w:numPr>
          <w:ilvl w:val="0"/>
          <w:numId w:val="1"/>
        </w:numPr>
        <w:tabs>
          <w:tab w:val="left" w:pos="0"/>
          <w:tab w:val="left" w:pos="1666"/>
        </w:tabs>
        <w:spacing w:line="360" w:lineRule="auto"/>
        <w:ind w:left="0" w:firstLine="480" w:firstLineChars="200"/>
        <w:rPr>
          <w:rFonts w:hint="eastAsia" w:ascii="宋体" w:hAnsi="宋体"/>
          <w:kern w:val="0"/>
          <w:sz w:val="24"/>
        </w:rPr>
      </w:pPr>
      <w:r>
        <w:rPr>
          <w:rFonts w:hint="eastAsia" w:ascii="宋体" w:hAnsi="宋体"/>
          <w:kern w:val="0"/>
          <w:sz w:val="24"/>
        </w:rPr>
        <w:t>公司进行委托理财的，应当选择资信状况及财务状况良好、无不良诚信记录及盈利能力强的合格专业理财机构作为受托方，并与受托方签订书面合同，明确委托理财的金额、期限、投资品种、双方的权利义务及法律责任等。</w:t>
      </w:r>
    </w:p>
    <w:p w14:paraId="2CD06AF8">
      <w:pPr>
        <w:widowControl/>
        <w:numPr>
          <w:ilvl w:val="0"/>
          <w:numId w:val="1"/>
        </w:numPr>
        <w:tabs>
          <w:tab w:val="left" w:pos="0"/>
          <w:tab w:val="left" w:pos="1666"/>
        </w:tabs>
        <w:spacing w:line="360" w:lineRule="auto"/>
        <w:ind w:left="0" w:firstLine="480" w:firstLineChars="200"/>
        <w:rPr>
          <w:rFonts w:ascii="宋体" w:hAnsi="宋体" w:cs="Arial"/>
          <w:kern w:val="0"/>
          <w:sz w:val="24"/>
        </w:rPr>
      </w:pPr>
      <w:r>
        <w:rPr>
          <w:rFonts w:hint="eastAsia" w:ascii="宋体" w:hAnsi="宋体"/>
          <w:kern w:val="0"/>
          <w:sz w:val="24"/>
        </w:rPr>
        <w:t>公司可对理财产品资金投向实施控制或者重大影响的，应当充分披露资金最终投向、涉及的交易对手方或者标的资产的详细情况，并充分揭示投资风险以及公司的应对措施。</w:t>
      </w:r>
    </w:p>
    <w:p w14:paraId="2F8352B7">
      <w:pPr>
        <w:widowControl/>
        <w:numPr>
          <w:ilvl w:val="0"/>
          <w:numId w:val="1"/>
        </w:numPr>
        <w:tabs>
          <w:tab w:val="left" w:pos="0"/>
          <w:tab w:val="left" w:pos="1666"/>
        </w:tabs>
        <w:spacing w:line="360" w:lineRule="auto"/>
        <w:ind w:left="0" w:firstLine="480" w:firstLineChars="200"/>
        <w:rPr>
          <w:rFonts w:hint="eastAsia" w:ascii="宋体" w:hAnsi="宋体" w:cs="Arial"/>
          <w:kern w:val="0"/>
          <w:sz w:val="24"/>
        </w:rPr>
      </w:pPr>
      <w:r>
        <w:rPr>
          <w:rFonts w:hint="eastAsia" w:ascii="宋体" w:hAnsi="宋体" w:cs="Arial"/>
          <w:kern w:val="0"/>
          <w:sz w:val="24"/>
        </w:rPr>
        <w:t>公司进行委托理财发生以下情形之一的，应当及时披露相关进展情况和拟采取的应对措施：</w:t>
      </w:r>
    </w:p>
    <w:p w14:paraId="5D63F325">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（一）理财产品募集失败、未能完成备案登记、提前终止、到期不能收回；</w:t>
      </w:r>
    </w:p>
    <w:p w14:paraId="0C01F026">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（二）理财产品协议或相关担保合同主要条款变更；</w:t>
      </w:r>
    </w:p>
    <w:p w14:paraId="4342B914">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（三）受托方或资金使用方经营或财务状况出现重大风险事件；</w:t>
      </w:r>
    </w:p>
    <w:p w14:paraId="61E361A7">
      <w:pPr>
        <w:widowControl/>
        <w:spacing w:line="360" w:lineRule="auto"/>
        <w:ind w:firstLine="480" w:firstLineChars="200"/>
        <w:rPr>
          <w:rFonts w:ascii="宋体" w:hAnsi="宋体" w:cs="Arial"/>
          <w:kern w:val="0"/>
          <w:sz w:val="24"/>
        </w:rPr>
      </w:pPr>
      <w:r>
        <w:rPr>
          <w:rFonts w:hint="eastAsia" w:ascii="宋体" w:hAnsi="宋体" w:cs="Arial"/>
          <w:kern w:val="0"/>
          <w:sz w:val="24"/>
        </w:rPr>
        <w:t>（四）其他可能会损害公司利益或具有重要影响的情形。</w:t>
      </w:r>
    </w:p>
    <w:p w14:paraId="213EA122">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公司董事会应定期了解重大投资项目的执行进展和投资效益情况，如出现未按计划投资、未能实现项目预期收益、投资发生</w:t>
      </w:r>
      <w:r>
        <w:rPr>
          <w:rFonts w:hint="eastAsia" w:ascii="宋体" w:hAnsi="宋体"/>
          <w:kern w:val="0"/>
          <w:sz w:val="24"/>
        </w:rPr>
        <w:t>较大</w:t>
      </w:r>
      <w:r>
        <w:rPr>
          <w:rFonts w:ascii="宋体" w:hAnsi="宋体"/>
          <w:kern w:val="0"/>
          <w:sz w:val="24"/>
        </w:rPr>
        <w:t>损失等情况，公司董事会应查明原因</w:t>
      </w:r>
      <w:r>
        <w:rPr>
          <w:rFonts w:hint="eastAsia" w:ascii="宋体" w:hAnsi="宋体"/>
          <w:kern w:val="0"/>
          <w:sz w:val="24"/>
        </w:rPr>
        <w:t>，及时采取有效措施，并追究有关人员的责任</w:t>
      </w:r>
      <w:r>
        <w:rPr>
          <w:rFonts w:ascii="宋体" w:hAnsi="宋体"/>
          <w:kern w:val="0"/>
          <w:sz w:val="24"/>
        </w:rPr>
        <w:t>。</w:t>
      </w:r>
    </w:p>
    <w:p w14:paraId="15C0919B">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总裁</w:t>
      </w:r>
      <w:r>
        <w:rPr>
          <w:rFonts w:ascii="宋体" w:hAnsi="宋体"/>
          <w:kern w:val="0"/>
          <w:sz w:val="24"/>
        </w:rPr>
        <w:t>牵头负责对外投资项目的后续日常管理。</w:t>
      </w:r>
    </w:p>
    <w:p w14:paraId="5107B6C0">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对于对外投资组建合作、合资公司，公司应对</w:t>
      </w:r>
      <w:r>
        <w:rPr>
          <w:rFonts w:hint="eastAsia" w:ascii="宋体" w:hAnsi="宋体"/>
          <w:kern w:val="0"/>
          <w:sz w:val="24"/>
        </w:rPr>
        <w:t>合作、合资</w:t>
      </w:r>
      <w:r>
        <w:rPr>
          <w:rFonts w:ascii="宋体" w:hAnsi="宋体"/>
          <w:kern w:val="0"/>
          <w:sz w:val="24"/>
        </w:rPr>
        <w:t>公司派出经营管理人员、董事、监事或股权代表，经法定程序选举后，参与和</w:t>
      </w:r>
      <w:r>
        <w:rPr>
          <w:rFonts w:hint="eastAsia" w:ascii="宋体" w:hAnsi="宋体"/>
          <w:kern w:val="0"/>
          <w:sz w:val="24"/>
        </w:rPr>
        <w:t>监督合作、合资</w:t>
      </w:r>
      <w:r>
        <w:rPr>
          <w:rFonts w:ascii="宋体" w:hAnsi="宋体"/>
          <w:kern w:val="0"/>
          <w:sz w:val="24"/>
        </w:rPr>
        <w:t>公司的运营决策。</w:t>
      </w:r>
    </w:p>
    <w:p w14:paraId="3B786657">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对于对外投资组建的控股子公司，公司应派出董事及相应的经营管理人员，对控股子公司的运营、决策起重要作用。</w:t>
      </w:r>
    </w:p>
    <w:p w14:paraId="75FA325D">
      <w:pPr>
        <w:widowControl/>
        <w:numPr>
          <w:ilvl w:val="0"/>
          <w:numId w:val="1"/>
        </w:numPr>
        <w:tabs>
          <w:tab w:val="left" w:pos="0"/>
          <w:tab w:val="left" w:pos="1666"/>
        </w:tabs>
        <w:spacing w:line="360" w:lineRule="auto"/>
        <w:ind w:left="0" w:firstLine="476"/>
        <w:rPr>
          <w:rFonts w:hint="eastAsia" w:ascii="宋体" w:hAnsi="宋体"/>
          <w:kern w:val="0"/>
          <w:sz w:val="24"/>
        </w:rPr>
      </w:pPr>
      <w:r>
        <w:rPr>
          <w:rFonts w:ascii="宋体" w:hAnsi="宋体"/>
          <w:kern w:val="0"/>
          <w:sz w:val="24"/>
        </w:rPr>
        <w:t>本</w:t>
      </w:r>
      <w:r>
        <w:rPr>
          <w:rFonts w:hint="eastAsia" w:ascii="宋体" w:hAnsi="宋体"/>
          <w:kern w:val="0"/>
          <w:sz w:val="24"/>
        </w:rPr>
        <w:t>制度</w:t>
      </w:r>
      <w:r>
        <w:rPr>
          <w:rFonts w:ascii="宋体" w:hAnsi="宋体"/>
          <w:kern w:val="0"/>
          <w:sz w:val="24"/>
        </w:rPr>
        <w:t>第</w:t>
      </w:r>
      <w:r>
        <w:rPr>
          <w:rFonts w:hint="eastAsia" w:ascii="宋体" w:hAnsi="宋体"/>
          <w:kern w:val="0"/>
          <w:sz w:val="24"/>
        </w:rPr>
        <w:t>四十</w:t>
      </w:r>
      <w:r>
        <w:rPr>
          <w:rFonts w:ascii="宋体" w:hAnsi="宋体"/>
          <w:kern w:val="0"/>
          <w:sz w:val="24"/>
        </w:rPr>
        <w:t>条、第</w:t>
      </w:r>
      <w:r>
        <w:rPr>
          <w:rFonts w:hint="eastAsia" w:ascii="宋体" w:hAnsi="宋体"/>
          <w:kern w:val="0"/>
          <w:sz w:val="24"/>
        </w:rPr>
        <w:t>四十一</w:t>
      </w:r>
      <w:r>
        <w:rPr>
          <w:rFonts w:ascii="宋体" w:hAnsi="宋体"/>
          <w:kern w:val="0"/>
          <w:sz w:val="24"/>
        </w:rPr>
        <w:t>条规定的对外投资派出人员的人选由</w:t>
      </w:r>
      <w:r>
        <w:rPr>
          <w:rFonts w:hint="eastAsia" w:ascii="宋体" w:hAnsi="宋体"/>
          <w:kern w:val="0"/>
          <w:sz w:val="24"/>
        </w:rPr>
        <w:t>总裁</w:t>
      </w:r>
      <w:r>
        <w:rPr>
          <w:rFonts w:ascii="宋体" w:hAnsi="宋体"/>
          <w:kern w:val="0"/>
          <w:sz w:val="24"/>
        </w:rPr>
        <w:t>决定。派出人员应按照《公司法》及其他相关法律法规的规定切实履行职责，在</w:t>
      </w:r>
      <w:r>
        <w:rPr>
          <w:rFonts w:hint="eastAsia" w:ascii="宋体" w:hAnsi="宋体"/>
          <w:kern w:val="0"/>
          <w:sz w:val="24"/>
        </w:rPr>
        <w:t>被投资</w:t>
      </w:r>
      <w:r>
        <w:rPr>
          <w:rFonts w:ascii="宋体" w:hAnsi="宋体"/>
          <w:kern w:val="0"/>
          <w:sz w:val="24"/>
        </w:rPr>
        <w:t>公司的经营管理活动中维护公司利益，实现公司投资的保值、增值。</w:t>
      </w:r>
    </w:p>
    <w:p w14:paraId="4EB78874">
      <w:pPr>
        <w:widowControl/>
        <w:spacing w:line="360" w:lineRule="auto"/>
        <w:ind w:firstLine="480" w:firstLineChars="200"/>
        <w:rPr>
          <w:rFonts w:ascii="宋体" w:hAnsi="宋体" w:cs="Arial"/>
          <w:kern w:val="0"/>
          <w:sz w:val="24"/>
        </w:rPr>
      </w:pPr>
      <w:r>
        <w:rPr>
          <w:rFonts w:hint="eastAsia" w:ascii="宋体" w:hAnsi="宋体" w:cs="Arial"/>
          <w:kern w:val="0"/>
          <w:sz w:val="24"/>
        </w:rPr>
        <w:t>公司委派出任被投资公司董事、监事的有关人员，应通过参加董事会会议、监事会会议等形式，获取更多的被投资公司的信息，并及时向公司相关部门汇报投资情况。</w:t>
      </w:r>
    </w:p>
    <w:p w14:paraId="1BEDC574">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公司财务部应对公司的对外投资活动进行全面完整的财务记录，进行详尽的会计核算，按每个投资项目分别建立明细账簿，详尽记录相关资料。</w:t>
      </w:r>
    </w:p>
    <w:p w14:paraId="161BB74D">
      <w:pPr>
        <w:widowControl/>
        <w:numPr>
          <w:ilvl w:val="0"/>
          <w:numId w:val="1"/>
        </w:numPr>
        <w:tabs>
          <w:tab w:val="left" w:pos="0"/>
          <w:tab w:val="left" w:pos="1666"/>
        </w:tabs>
        <w:spacing w:line="360" w:lineRule="auto"/>
        <w:ind w:left="0" w:firstLine="476"/>
        <w:rPr>
          <w:rFonts w:hint="eastAsia" w:ascii="宋体" w:hAnsi="宋体"/>
          <w:kern w:val="0"/>
          <w:sz w:val="24"/>
        </w:rPr>
      </w:pPr>
      <w:r>
        <w:rPr>
          <w:rFonts w:ascii="宋体" w:hAnsi="宋体"/>
          <w:kern w:val="0"/>
          <w:sz w:val="24"/>
        </w:rPr>
        <w:t>公司控股子公司的会计核算方法和财务管理中所采用的会计政策及会计估计、变更等应遵循公司会计制度的有关规定。</w:t>
      </w:r>
    </w:p>
    <w:p w14:paraId="6A650927">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公司控股子公司应每月向公司财务部报送财务会计报表，并按照有关规定及时报送会计报表和提供会计资料。</w:t>
      </w:r>
    </w:p>
    <w:p w14:paraId="0FFA493A">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公司审计委员会行使对外投资活动的监督检查权。对外投资活动监督检查的内容主要包括：</w:t>
      </w:r>
    </w:p>
    <w:p w14:paraId="4A42DE76">
      <w:pPr>
        <w:widowControl/>
        <w:spacing w:line="360" w:lineRule="auto"/>
        <w:ind w:firstLine="477" w:firstLineChars="199"/>
        <w:rPr>
          <w:rFonts w:hint="eastAsia" w:ascii="宋体" w:hAnsi="宋体"/>
          <w:kern w:val="0"/>
          <w:sz w:val="24"/>
        </w:rPr>
      </w:pPr>
      <w:r>
        <w:rPr>
          <w:rFonts w:hint="eastAsia" w:ascii="宋体" w:hAnsi="宋体"/>
          <w:kern w:val="0"/>
          <w:sz w:val="24"/>
        </w:rPr>
        <w:t>（一）本制度的执行情况。重点检查对外投资业务的决策、授权批准手续是否健全，是否存在越权审批行为；</w:t>
      </w:r>
    </w:p>
    <w:p w14:paraId="27EEE57D">
      <w:pPr>
        <w:widowControl/>
        <w:spacing w:line="360" w:lineRule="auto"/>
        <w:ind w:firstLine="477" w:firstLineChars="199"/>
        <w:rPr>
          <w:rFonts w:hint="eastAsia" w:ascii="宋体" w:hAnsi="宋体"/>
          <w:kern w:val="0"/>
          <w:sz w:val="24"/>
        </w:rPr>
      </w:pPr>
      <w:r>
        <w:rPr>
          <w:rFonts w:hint="eastAsia" w:ascii="宋体" w:hAnsi="宋体"/>
          <w:kern w:val="0"/>
          <w:sz w:val="24"/>
        </w:rPr>
        <w:t>（二）投资计划的合法性。重点检查是否存在非法对外投资的现象；</w:t>
      </w:r>
    </w:p>
    <w:p w14:paraId="493B3FA1">
      <w:pPr>
        <w:widowControl/>
        <w:spacing w:line="360" w:lineRule="auto"/>
        <w:ind w:firstLine="477" w:firstLineChars="199"/>
        <w:rPr>
          <w:rFonts w:hint="eastAsia" w:ascii="宋体" w:hAnsi="宋体"/>
          <w:kern w:val="0"/>
          <w:sz w:val="24"/>
        </w:rPr>
      </w:pPr>
      <w:r>
        <w:rPr>
          <w:rFonts w:hint="eastAsia" w:ascii="宋体" w:hAnsi="宋体"/>
          <w:kern w:val="0"/>
          <w:sz w:val="24"/>
        </w:rPr>
        <w:t>（三）投资活动的批准文件、合同、协议等相关法律文件的保管情况；</w:t>
      </w:r>
    </w:p>
    <w:p w14:paraId="46E52002">
      <w:pPr>
        <w:widowControl/>
        <w:spacing w:line="360" w:lineRule="auto"/>
        <w:ind w:firstLine="477" w:firstLineChars="199"/>
        <w:rPr>
          <w:rFonts w:hint="eastAsia" w:ascii="宋体" w:hAnsi="宋体"/>
          <w:kern w:val="0"/>
          <w:sz w:val="24"/>
        </w:rPr>
      </w:pPr>
      <w:r>
        <w:rPr>
          <w:rFonts w:hint="eastAsia" w:ascii="宋体" w:hAnsi="宋体"/>
          <w:kern w:val="0"/>
          <w:sz w:val="24"/>
        </w:rPr>
        <w:t>（四）投资项目核算情况。重点检查原始凭证是否真实、合法、准确、完整，会计科目运用是否正确，会计核算是否准确、完整；</w:t>
      </w:r>
    </w:p>
    <w:p w14:paraId="5745A906">
      <w:pPr>
        <w:widowControl/>
        <w:spacing w:line="360" w:lineRule="auto"/>
        <w:ind w:firstLine="477" w:firstLineChars="199"/>
        <w:rPr>
          <w:rFonts w:hint="eastAsia" w:ascii="宋体" w:hAnsi="宋体"/>
          <w:kern w:val="0"/>
          <w:sz w:val="24"/>
        </w:rPr>
      </w:pPr>
      <w:r>
        <w:rPr>
          <w:rFonts w:hint="eastAsia" w:ascii="宋体" w:hAnsi="宋体"/>
          <w:kern w:val="0"/>
          <w:sz w:val="24"/>
        </w:rPr>
        <w:t>（五）投资资金使用情况。重点检查是否按计划用途和预算使用资金，使用过程中是否存在浪费、挪用、挤占资金等现象；</w:t>
      </w:r>
    </w:p>
    <w:p w14:paraId="4F36AEF5">
      <w:pPr>
        <w:widowControl/>
        <w:spacing w:line="360" w:lineRule="auto"/>
        <w:ind w:firstLine="477" w:firstLineChars="199"/>
        <w:rPr>
          <w:rFonts w:hint="eastAsia" w:ascii="宋体" w:hAnsi="宋体"/>
          <w:kern w:val="0"/>
          <w:sz w:val="24"/>
        </w:rPr>
      </w:pPr>
      <w:r>
        <w:rPr>
          <w:rFonts w:hint="eastAsia" w:ascii="宋体" w:hAnsi="宋体"/>
          <w:kern w:val="0"/>
          <w:sz w:val="24"/>
        </w:rPr>
        <w:t>（六）投资资产的保管情况。重点检查是否存在账实不符的现象；</w:t>
      </w:r>
    </w:p>
    <w:p w14:paraId="12DAEE31">
      <w:pPr>
        <w:widowControl/>
        <w:spacing w:line="360" w:lineRule="auto"/>
        <w:ind w:firstLine="477" w:firstLineChars="199"/>
        <w:rPr>
          <w:rFonts w:hint="eastAsia" w:ascii="宋体" w:hAnsi="宋体"/>
          <w:kern w:val="0"/>
          <w:sz w:val="24"/>
        </w:rPr>
      </w:pPr>
      <w:r>
        <w:rPr>
          <w:rFonts w:hint="eastAsia" w:ascii="宋体" w:hAnsi="宋体"/>
          <w:kern w:val="0"/>
          <w:sz w:val="24"/>
        </w:rPr>
        <w:t>（七）投资处置情况。重点检查投资处置的批准程序是否正确，过程是否真实、合法；</w:t>
      </w:r>
    </w:p>
    <w:p w14:paraId="0A08FC6D">
      <w:pPr>
        <w:widowControl/>
        <w:spacing w:line="360" w:lineRule="auto"/>
        <w:ind w:firstLine="477" w:firstLineChars="199"/>
        <w:rPr>
          <w:rFonts w:ascii="宋体" w:hAnsi="宋体"/>
          <w:kern w:val="0"/>
          <w:sz w:val="24"/>
        </w:rPr>
      </w:pPr>
      <w:r>
        <w:rPr>
          <w:rFonts w:hint="eastAsia" w:ascii="宋体" w:hAnsi="宋体"/>
          <w:kern w:val="0"/>
          <w:sz w:val="24"/>
        </w:rPr>
        <w:t>（八）向子公司派出董事、监事、经营管理人员的情况。重点检查向子公司派出董事、监事、经营管理人员的相关程序是否符合规定，派出人员是否恪尽职守，忠实维护公司利益，有无违背公司董事会决议、总裁决定等情况发生。</w:t>
      </w:r>
    </w:p>
    <w:p w14:paraId="51D50ACA">
      <w:pPr>
        <w:widowControl/>
        <w:tabs>
          <w:tab w:val="left" w:pos="1666"/>
        </w:tabs>
        <w:spacing w:line="360" w:lineRule="auto"/>
        <w:rPr>
          <w:rFonts w:ascii="宋体" w:hAnsi="宋体"/>
          <w:kern w:val="0"/>
          <w:sz w:val="24"/>
        </w:rPr>
      </w:pPr>
    </w:p>
    <w:p w14:paraId="10710D0B">
      <w:pPr>
        <w:widowControl/>
        <w:spacing w:line="360" w:lineRule="auto"/>
        <w:jc w:val="center"/>
        <w:rPr>
          <w:rFonts w:ascii="宋体" w:hAnsi="宋体"/>
          <w:b/>
          <w:kern w:val="0"/>
          <w:sz w:val="24"/>
        </w:rPr>
      </w:pPr>
      <w:r>
        <w:rPr>
          <w:rFonts w:ascii="宋体" w:hAnsi="宋体"/>
          <w:b/>
          <w:kern w:val="0"/>
          <w:sz w:val="24"/>
        </w:rPr>
        <w:t>第四章 对外投资的转让与回收</w:t>
      </w:r>
    </w:p>
    <w:p w14:paraId="23757D78">
      <w:pPr>
        <w:widowControl/>
        <w:spacing w:line="360" w:lineRule="auto"/>
        <w:jc w:val="center"/>
        <w:rPr>
          <w:rFonts w:ascii="宋体" w:hAnsi="宋体"/>
          <w:b/>
          <w:kern w:val="0"/>
          <w:sz w:val="24"/>
        </w:rPr>
      </w:pPr>
    </w:p>
    <w:p w14:paraId="4D5DD8C5">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发生下列情况之一时，公司可回收对外投资：</w:t>
      </w:r>
    </w:p>
    <w:p w14:paraId="1F9B22B6">
      <w:pPr>
        <w:widowControl/>
        <w:tabs>
          <w:tab w:val="left" w:pos="1440"/>
        </w:tabs>
        <w:spacing w:line="360" w:lineRule="auto"/>
        <w:ind w:firstLine="480" w:firstLineChars="200"/>
        <w:rPr>
          <w:rFonts w:ascii="宋体" w:hAnsi="宋体"/>
          <w:kern w:val="0"/>
          <w:sz w:val="24"/>
        </w:rPr>
      </w:pPr>
      <w:r>
        <w:rPr>
          <w:rFonts w:ascii="宋体" w:hAnsi="宋体"/>
          <w:kern w:val="0"/>
          <w:sz w:val="24"/>
        </w:rPr>
        <w:t>（一）</w:t>
      </w:r>
      <w:r>
        <w:rPr>
          <w:rFonts w:hint="eastAsia" w:ascii="宋体" w:hAnsi="宋体"/>
          <w:sz w:val="24"/>
        </w:rPr>
        <w:t>按照被投资公司的章程、合同或协议规定，</w:t>
      </w:r>
      <w:r>
        <w:rPr>
          <w:rFonts w:ascii="宋体" w:hAnsi="宋体"/>
          <w:sz w:val="24"/>
        </w:rPr>
        <w:t>该</w:t>
      </w:r>
      <w:r>
        <w:rPr>
          <w:rFonts w:ascii="宋体" w:hAnsi="宋体"/>
          <w:kern w:val="0"/>
          <w:sz w:val="24"/>
        </w:rPr>
        <w:t>投资项目（企业）经营期满；</w:t>
      </w:r>
    </w:p>
    <w:p w14:paraId="007217ED">
      <w:pPr>
        <w:spacing w:line="360" w:lineRule="auto"/>
        <w:ind w:firstLine="480" w:firstLineChars="200"/>
        <w:rPr>
          <w:rFonts w:ascii="宋体" w:hAnsi="宋体"/>
          <w:kern w:val="0"/>
          <w:sz w:val="24"/>
        </w:rPr>
      </w:pPr>
      <w:r>
        <w:rPr>
          <w:rFonts w:ascii="宋体" w:hAnsi="宋体"/>
          <w:kern w:val="0"/>
          <w:sz w:val="24"/>
        </w:rPr>
        <w:t>（二）该投资项目（企业）经营不善，无法偿还到期债务；</w:t>
      </w:r>
    </w:p>
    <w:p w14:paraId="3B70FA0B">
      <w:pPr>
        <w:spacing w:line="360" w:lineRule="auto"/>
        <w:ind w:firstLine="480" w:firstLineChars="200"/>
        <w:rPr>
          <w:rFonts w:ascii="宋体" w:hAnsi="宋体"/>
          <w:kern w:val="0"/>
          <w:sz w:val="24"/>
        </w:rPr>
      </w:pPr>
      <w:r>
        <w:rPr>
          <w:rFonts w:ascii="宋体" w:hAnsi="宋体"/>
          <w:kern w:val="0"/>
          <w:sz w:val="24"/>
        </w:rPr>
        <w:t>（三）因不可抗力致使该投资项目（企业）无法经营；</w:t>
      </w:r>
    </w:p>
    <w:p w14:paraId="21A73327">
      <w:pPr>
        <w:spacing w:line="360" w:lineRule="auto"/>
        <w:ind w:firstLine="480" w:firstLineChars="200"/>
        <w:rPr>
          <w:rFonts w:ascii="宋体" w:hAnsi="宋体"/>
          <w:kern w:val="0"/>
          <w:sz w:val="24"/>
        </w:rPr>
      </w:pPr>
      <w:r>
        <w:rPr>
          <w:rFonts w:ascii="宋体" w:hAnsi="宋体"/>
          <w:kern w:val="0"/>
          <w:sz w:val="24"/>
        </w:rPr>
        <w:t>（四）合同规定投资终止的其他情况发生时。</w:t>
      </w:r>
    </w:p>
    <w:p w14:paraId="059F9C73">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发生下列情况之一时，公司可转让对外投资：</w:t>
      </w:r>
    </w:p>
    <w:p w14:paraId="7444B17E">
      <w:pPr>
        <w:widowControl/>
        <w:tabs>
          <w:tab w:val="left" w:pos="1666"/>
        </w:tabs>
        <w:spacing w:line="360" w:lineRule="auto"/>
        <w:ind w:firstLine="480" w:firstLineChars="200"/>
        <w:rPr>
          <w:rFonts w:ascii="宋体" w:hAnsi="宋体"/>
          <w:kern w:val="0"/>
          <w:sz w:val="24"/>
        </w:rPr>
      </w:pPr>
      <w:r>
        <w:rPr>
          <w:rFonts w:ascii="宋体" w:hAnsi="宋体"/>
          <w:kern w:val="0"/>
          <w:sz w:val="24"/>
        </w:rPr>
        <w:t>（一）投资项目已明显有悖于公司经营方向；</w:t>
      </w:r>
    </w:p>
    <w:p w14:paraId="67C18546">
      <w:pPr>
        <w:widowControl/>
        <w:tabs>
          <w:tab w:val="left" w:pos="1666"/>
        </w:tabs>
        <w:spacing w:line="360" w:lineRule="auto"/>
        <w:ind w:firstLine="480" w:firstLineChars="200"/>
        <w:rPr>
          <w:rFonts w:ascii="宋体" w:hAnsi="宋体"/>
          <w:kern w:val="0"/>
          <w:sz w:val="24"/>
        </w:rPr>
      </w:pPr>
      <w:r>
        <w:rPr>
          <w:rFonts w:ascii="宋体" w:hAnsi="宋体"/>
          <w:kern w:val="0"/>
          <w:sz w:val="24"/>
        </w:rPr>
        <w:t>（二）投资项目出现连续亏损，无市场前景；</w:t>
      </w:r>
    </w:p>
    <w:p w14:paraId="199A7A29">
      <w:pPr>
        <w:widowControl/>
        <w:tabs>
          <w:tab w:val="left" w:pos="1666"/>
        </w:tabs>
        <w:spacing w:line="360" w:lineRule="auto"/>
        <w:ind w:firstLine="480" w:firstLineChars="200"/>
        <w:rPr>
          <w:rFonts w:ascii="宋体" w:hAnsi="宋体"/>
          <w:kern w:val="0"/>
          <w:sz w:val="24"/>
        </w:rPr>
      </w:pPr>
      <w:r>
        <w:rPr>
          <w:rFonts w:ascii="宋体" w:hAnsi="宋体"/>
          <w:kern w:val="0"/>
          <w:sz w:val="24"/>
        </w:rPr>
        <w:t>（三）因自身经营资金不足，急需补充资金；</w:t>
      </w:r>
    </w:p>
    <w:p w14:paraId="1C2A2CB2">
      <w:pPr>
        <w:widowControl/>
        <w:tabs>
          <w:tab w:val="left" w:pos="1666"/>
        </w:tabs>
        <w:spacing w:line="360" w:lineRule="auto"/>
        <w:ind w:firstLine="480" w:firstLineChars="200"/>
        <w:rPr>
          <w:rFonts w:ascii="宋体" w:hAnsi="宋体"/>
          <w:kern w:val="0"/>
          <w:sz w:val="24"/>
        </w:rPr>
      </w:pPr>
      <w:r>
        <w:rPr>
          <w:rFonts w:ascii="宋体" w:hAnsi="宋体"/>
          <w:kern w:val="0"/>
          <w:sz w:val="24"/>
        </w:rPr>
        <w:t>（四）公司认为必要的其他原因。</w:t>
      </w:r>
    </w:p>
    <w:p w14:paraId="67E43F79">
      <w:pPr>
        <w:widowControl/>
        <w:numPr>
          <w:ilvl w:val="0"/>
          <w:numId w:val="1"/>
        </w:numPr>
        <w:tabs>
          <w:tab w:val="left" w:pos="0"/>
          <w:tab w:val="left" w:pos="1666"/>
        </w:tabs>
        <w:spacing w:line="360" w:lineRule="auto"/>
        <w:ind w:left="0" w:firstLine="476"/>
        <w:rPr>
          <w:rFonts w:hint="eastAsia" w:ascii="宋体" w:hAnsi="宋体"/>
          <w:kern w:val="0"/>
          <w:sz w:val="24"/>
        </w:rPr>
      </w:pPr>
      <w:r>
        <w:rPr>
          <w:rFonts w:ascii="宋体" w:hAnsi="宋体"/>
          <w:kern w:val="0"/>
          <w:sz w:val="24"/>
        </w:rPr>
        <w:t>对外投资的回收和转让应符合《公司法》等相关法律法规及《公司章程》的规定。</w:t>
      </w:r>
    </w:p>
    <w:p w14:paraId="59B3202B">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批准对外投资的</w:t>
      </w:r>
      <w:r>
        <w:rPr>
          <w:rFonts w:ascii="宋体" w:hAnsi="宋体"/>
          <w:kern w:val="0"/>
          <w:sz w:val="24"/>
        </w:rPr>
        <w:t>回收和转让</w:t>
      </w:r>
      <w:r>
        <w:rPr>
          <w:rFonts w:hint="eastAsia" w:ascii="宋体" w:hAnsi="宋体"/>
          <w:kern w:val="0"/>
          <w:sz w:val="24"/>
        </w:rPr>
        <w:t>程序与权限与批准实施对外投资的权限相同。</w:t>
      </w:r>
    </w:p>
    <w:p w14:paraId="74954153">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对外投资收回和转让时，相关责任人员必须尽职尽责，认真做好投资收回和转让中的资产评估等工作，防止公司资产流失。</w:t>
      </w:r>
    </w:p>
    <w:p w14:paraId="36B77784">
      <w:pPr>
        <w:widowControl/>
        <w:tabs>
          <w:tab w:val="left" w:pos="1666"/>
        </w:tabs>
        <w:spacing w:line="360" w:lineRule="auto"/>
        <w:ind w:left="476"/>
        <w:rPr>
          <w:rFonts w:hint="eastAsia" w:ascii="宋体" w:hAnsi="宋体"/>
          <w:sz w:val="24"/>
        </w:rPr>
      </w:pPr>
    </w:p>
    <w:p w14:paraId="31DE27DF">
      <w:pPr>
        <w:spacing w:line="360" w:lineRule="auto"/>
        <w:jc w:val="center"/>
        <w:rPr>
          <w:rFonts w:ascii="宋体" w:hAnsi="宋体"/>
          <w:b/>
          <w:sz w:val="24"/>
        </w:rPr>
      </w:pPr>
      <w:r>
        <w:rPr>
          <w:rFonts w:ascii="宋体" w:hAnsi="宋体"/>
          <w:b/>
          <w:sz w:val="24"/>
        </w:rPr>
        <w:t>第五章 重大事项报告</w:t>
      </w:r>
    </w:p>
    <w:p w14:paraId="35756D4C">
      <w:pPr>
        <w:spacing w:line="360" w:lineRule="auto"/>
        <w:jc w:val="center"/>
        <w:rPr>
          <w:rFonts w:ascii="宋体" w:hAnsi="宋体"/>
          <w:b/>
          <w:sz w:val="24"/>
        </w:rPr>
      </w:pPr>
    </w:p>
    <w:p w14:paraId="0A907709">
      <w:pPr>
        <w:widowControl/>
        <w:numPr>
          <w:ilvl w:val="0"/>
          <w:numId w:val="1"/>
        </w:numPr>
        <w:tabs>
          <w:tab w:val="left" w:pos="0"/>
          <w:tab w:val="left" w:pos="1666"/>
        </w:tabs>
        <w:spacing w:line="360" w:lineRule="auto"/>
        <w:ind w:left="0" w:firstLine="476"/>
        <w:rPr>
          <w:rFonts w:hint="eastAsia" w:ascii="宋体" w:hAnsi="宋体"/>
          <w:kern w:val="0"/>
          <w:sz w:val="24"/>
        </w:rPr>
      </w:pPr>
      <w:r>
        <w:rPr>
          <w:rFonts w:hint="eastAsia" w:ascii="宋体" w:hAnsi="宋体"/>
          <w:kern w:val="0"/>
          <w:sz w:val="24"/>
        </w:rPr>
        <w:t>公司</w:t>
      </w:r>
      <w:r>
        <w:rPr>
          <w:rFonts w:ascii="宋体" w:hAnsi="宋体"/>
          <w:kern w:val="0"/>
          <w:sz w:val="24"/>
        </w:rPr>
        <w:t>子公司</w:t>
      </w:r>
      <w:r>
        <w:rPr>
          <w:rFonts w:hint="eastAsia" w:ascii="宋体" w:hAnsi="宋体"/>
          <w:kern w:val="0"/>
          <w:sz w:val="24"/>
        </w:rPr>
        <w:t>应</w:t>
      </w:r>
      <w:r>
        <w:rPr>
          <w:rFonts w:ascii="宋体" w:hAnsi="宋体"/>
          <w:kern w:val="0"/>
          <w:sz w:val="24"/>
        </w:rPr>
        <w:t>及时向公司分管负责人报告重大业务</w:t>
      </w:r>
      <w:r>
        <w:rPr>
          <w:rFonts w:hint="eastAsia" w:ascii="宋体" w:hAnsi="宋体"/>
          <w:kern w:val="0"/>
          <w:sz w:val="24"/>
        </w:rPr>
        <w:t>事件</w:t>
      </w:r>
      <w:r>
        <w:rPr>
          <w:rFonts w:ascii="宋体" w:hAnsi="宋体"/>
          <w:kern w:val="0"/>
          <w:sz w:val="24"/>
        </w:rPr>
        <w:t>、重大财务</w:t>
      </w:r>
      <w:r>
        <w:rPr>
          <w:rFonts w:hint="eastAsia" w:ascii="宋体" w:hAnsi="宋体"/>
          <w:kern w:val="0"/>
          <w:sz w:val="24"/>
        </w:rPr>
        <w:t>事件</w:t>
      </w:r>
      <w:r>
        <w:rPr>
          <w:rFonts w:ascii="宋体" w:hAnsi="宋体"/>
          <w:kern w:val="0"/>
          <w:sz w:val="24"/>
        </w:rPr>
        <w:t>以及其他可能对公司股票及其衍生品种交易价格产生较大影响的信息，并严格按照授权规定将重大</w:t>
      </w:r>
      <w:r>
        <w:rPr>
          <w:rFonts w:hint="eastAsia" w:ascii="宋体" w:hAnsi="宋体"/>
          <w:kern w:val="0"/>
          <w:sz w:val="24"/>
        </w:rPr>
        <w:t>事件</w:t>
      </w:r>
      <w:r>
        <w:rPr>
          <w:rFonts w:ascii="宋体" w:hAnsi="宋体"/>
          <w:kern w:val="0"/>
          <w:sz w:val="24"/>
        </w:rPr>
        <w:t>报公司董事会审议或者股东会审</w:t>
      </w:r>
      <w:r>
        <w:rPr>
          <w:rFonts w:hint="eastAsia" w:ascii="宋体" w:hAnsi="宋体"/>
          <w:kern w:val="0"/>
          <w:sz w:val="24"/>
        </w:rPr>
        <w:t>议。</w:t>
      </w:r>
    </w:p>
    <w:p w14:paraId="2BEDDDF7">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公司</w:t>
      </w:r>
      <w:r>
        <w:rPr>
          <w:rFonts w:ascii="宋体" w:hAnsi="宋体"/>
          <w:kern w:val="0"/>
          <w:sz w:val="24"/>
        </w:rPr>
        <w:t>子公司</w:t>
      </w:r>
      <w:r>
        <w:rPr>
          <w:rFonts w:hint="eastAsia" w:ascii="宋体" w:hAnsi="宋体"/>
          <w:kern w:val="0"/>
          <w:sz w:val="24"/>
        </w:rPr>
        <w:t>应</w:t>
      </w:r>
      <w:r>
        <w:rPr>
          <w:rFonts w:ascii="宋体" w:hAnsi="宋体"/>
          <w:kern w:val="0"/>
          <w:sz w:val="24"/>
        </w:rPr>
        <w:t>及时向公司董事会秘书报送其董事会决议、股东会决议等重要文件，通报可能对公司股票及其衍生品种交易价格产生较大影响的事项</w:t>
      </w:r>
      <w:r>
        <w:rPr>
          <w:rFonts w:hint="eastAsia" w:ascii="宋体" w:hAnsi="宋体"/>
          <w:kern w:val="0"/>
          <w:sz w:val="24"/>
        </w:rPr>
        <w:t>。</w:t>
      </w:r>
    </w:p>
    <w:p w14:paraId="5A6B79BA">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公司子公司对以下重大事项应及时报告公司财务部和董事会秘书：</w:t>
      </w:r>
    </w:p>
    <w:p w14:paraId="679B21B5">
      <w:pPr>
        <w:widowControl/>
        <w:tabs>
          <w:tab w:val="left" w:pos="1666"/>
        </w:tabs>
        <w:spacing w:line="360" w:lineRule="auto"/>
        <w:ind w:firstLine="480" w:firstLineChars="200"/>
        <w:rPr>
          <w:rFonts w:ascii="宋体" w:hAnsi="宋体"/>
          <w:kern w:val="0"/>
          <w:sz w:val="24"/>
        </w:rPr>
      </w:pPr>
      <w:r>
        <w:rPr>
          <w:rFonts w:hint="eastAsia" w:ascii="宋体" w:hAnsi="宋体"/>
          <w:kern w:val="0"/>
          <w:sz w:val="24"/>
        </w:rPr>
        <w:t>（一）收购和出售重大资产行为；</w:t>
      </w:r>
    </w:p>
    <w:p w14:paraId="7D24A4AD">
      <w:pPr>
        <w:widowControl/>
        <w:tabs>
          <w:tab w:val="left" w:pos="1666"/>
        </w:tabs>
        <w:spacing w:line="360" w:lineRule="auto"/>
        <w:ind w:firstLine="480" w:firstLineChars="200"/>
        <w:rPr>
          <w:rFonts w:ascii="宋体" w:hAnsi="宋体"/>
          <w:kern w:val="0"/>
          <w:sz w:val="24"/>
        </w:rPr>
      </w:pPr>
      <w:r>
        <w:rPr>
          <w:rFonts w:hint="eastAsia" w:ascii="宋体" w:hAnsi="宋体"/>
          <w:kern w:val="0"/>
          <w:sz w:val="24"/>
        </w:rPr>
        <w:t>（二）对外投资行为；</w:t>
      </w:r>
    </w:p>
    <w:p w14:paraId="4ADC885B">
      <w:pPr>
        <w:widowControl/>
        <w:tabs>
          <w:tab w:val="left" w:pos="1666"/>
        </w:tabs>
        <w:spacing w:line="360" w:lineRule="auto"/>
        <w:ind w:firstLine="480" w:firstLineChars="200"/>
        <w:rPr>
          <w:rFonts w:ascii="宋体" w:hAnsi="宋体"/>
          <w:kern w:val="0"/>
          <w:sz w:val="24"/>
        </w:rPr>
      </w:pPr>
      <w:r>
        <w:rPr>
          <w:rFonts w:hint="eastAsia" w:ascii="宋体" w:hAnsi="宋体"/>
          <w:kern w:val="0"/>
          <w:sz w:val="24"/>
        </w:rPr>
        <w:t>（三）重大诉讼、仲裁事项；</w:t>
      </w:r>
    </w:p>
    <w:p w14:paraId="5EB8FB6C">
      <w:pPr>
        <w:widowControl/>
        <w:tabs>
          <w:tab w:val="left" w:pos="1666"/>
        </w:tabs>
        <w:spacing w:line="360" w:lineRule="auto"/>
        <w:ind w:firstLine="480" w:firstLineChars="200"/>
        <w:rPr>
          <w:rFonts w:ascii="宋体" w:hAnsi="宋体"/>
          <w:kern w:val="0"/>
          <w:sz w:val="24"/>
        </w:rPr>
      </w:pPr>
      <w:r>
        <w:rPr>
          <w:rFonts w:hint="eastAsia" w:ascii="宋体" w:hAnsi="宋体"/>
          <w:kern w:val="0"/>
          <w:sz w:val="24"/>
        </w:rPr>
        <w:t>（四）重要合同的订立、变更和终止；</w:t>
      </w:r>
    </w:p>
    <w:p w14:paraId="490E44F8">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（五）发生重大亏损或者遭受重大损失；</w:t>
      </w:r>
    </w:p>
    <w:p w14:paraId="4790C5A9">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（六）发生重大债务、未清偿到期重大债务或者重大债权到期未获清偿；</w:t>
      </w:r>
    </w:p>
    <w:p w14:paraId="22AD0C78">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（七）可能依法承担重大违约责任或者大额赔偿责任；</w:t>
      </w:r>
    </w:p>
    <w:p w14:paraId="049EF985">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（八）因涉嫌违法违规被有权机关调查，或者受到重大行政、刑事处罚；</w:t>
      </w:r>
    </w:p>
    <w:p w14:paraId="073D44B5">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（九）主要债务人出现资不抵债或者进入破产程序，公司对相应债权未提取足额坏账准备；</w:t>
      </w:r>
    </w:p>
    <w:p w14:paraId="2341EF2A">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（十）主要资产被查封、扣押、冻结或者被抵押、质押；</w:t>
      </w:r>
    </w:p>
    <w:p w14:paraId="35779554">
      <w:pPr>
        <w:widowControl/>
        <w:tabs>
          <w:tab w:val="left" w:pos="1666"/>
        </w:tabs>
        <w:spacing w:line="360" w:lineRule="auto"/>
        <w:ind w:firstLine="480" w:firstLineChars="200"/>
        <w:rPr>
          <w:rFonts w:hint="eastAsia" w:ascii="宋体" w:hAnsi="宋体"/>
          <w:kern w:val="0"/>
          <w:sz w:val="24"/>
        </w:rPr>
      </w:pPr>
      <w:r>
        <w:rPr>
          <w:rFonts w:hint="eastAsia" w:ascii="宋体" w:hAnsi="宋体"/>
          <w:kern w:val="0"/>
          <w:sz w:val="24"/>
        </w:rPr>
        <w:t>（十一）以上事项未曾列出，但负有报告义务的人员判断可能会对公司经营产生较大影响的情形或事件。</w:t>
      </w:r>
    </w:p>
    <w:p w14:paraId="50FB7FBC">
      <w:pPr>
        <w:widowControl/>
        <w:numPr>
          <w:ilvl w:val="0"/>
          <w:numId w:val="1"/>
        </w:numPr>
        <w:tabs>
          <w:tab w:val="left" w:pos="0"/>
          <w:tab w:val="left" w:pos="1666"/>
        </w:tabs>
        <w:spacing w:line="360" w:lineRule="auto"/>
        <w:ind w:left="0" w:firstLine="476"/>
        <w:rPr>
          <w:rFonts w:ascii="宋体" w:hAnsi="宋体"/>
          <w:kern w:val="0"/>
          <w:sz w:val="24"/>
        </w:rPr>
      </w:pPr>
      <w:r>
        <w:rPr>
          <w:rFonts w:hint="eastAsia" w:ascii="宋体" w:hAnsi="宋体"/>
          <w:kern w:val="0"/>
          <w:sz w:val="24"/>
        </w:rPr>
        <w:t>子公司必须指定人员负责重大事项报告事宜。</w:t>
      </w:r>
      <w:r>
        <w:rPr>
          <w:rFonts w:ascii="宋体" w:hAnsi="宋体"/>
          <w:kern w:val="0"/>
          <w:sz w:val="24"/>
        </w:rPr>
        <w:t>子公司提供的信息应真实、准确、完整，并在第一时间报送公司。</w:t>
      </w:r>
    </w:p>
    <w:p w14:paraId="5CDC2240">
      <w:pPr>
        <w:widowControl/>
        <w:tabs>
          <w:tab w:val="left" w:pos="1666"/>
        </w:tabs>
        <w:spacing w:line="360" w:lineRule="auto"/>
        <w:ind w:left="476"/>
        <w:rPr>
          <w:rFonts w:ascii="宋体" w:hAnsi="宋体"/>
          <w:sz w:val="24"/>
        </w:rPr>
      </w:pPr>
    </w:p>
    <w:p w14:paraId="690538E2">
      <w:pPr>
        <w:spacing w:line="360" w:lineRule="auto"/>
        <w:jc w:val="center"/>
        <w:rPr>
          <w:rFonts w:ascii="宋体" w:hAnsi="宋体"/>
          <w:b/>
          <w:sz w:val="24"/>
        </w:rPr>
      </w:pPr>
      <w:r>
        <w:rPr>
          <w:rFonts w:ascii="宋体" w:hAnsi="宋体"/>
          <w:b/>
          <w:sz w:val="24"/>
        </w:rPr>
        <w:t>第六章 附则</w:t>
      </w:r>
    </w:p>
    <w:p w14:paraId="0A0F225C">
      <w:pPr>
        <w:widowControl/>
        <w:tabs>
          <w:tab w:val="left" w:pos="1666"/>
        </w:tabs>
        <w:spacing w:line="360" w:lineRule="auto"/>
        <w:rPr>
          <w:rFonts w:ascii="宋体" w:hAnsi="宋体"/>
          <w:sz w:val="24"/>
        </w:rPr>
      </w:pPr>
    </w:p>
    <w:p w14:paraId="5FAB1D53">
      <w:pPr>
        <w:widowControl/>
        <w:numPr>
          <w:ilvl w:val="0"/>
          <w:numId w:val="1"/>
        </w:numPr>
        <w:tabs>
          <w:tab w:val="left" w:pos="0"/>
          <w:tab w:val="left" w:pos="1666"/>
        </w:tabs>
        <w:spacing w:line="360" w:lineRule="auto"/>
        <w:ind w:left="0" w:firstLine="476"/>
        <w:rPr>
          <w:rFonts w:hint="eastAsia" w:ascii="宋体" w:hAnsi="宋体"/>
          <w:kern w:val="0"/>
          <w:sz w:val="24"/>
        </w:rPr>
      </w:pPr>
      <w:r>
        <w:rPr>
          <w:rFonts w:ascii="宋体" w:hAnsi="宋体"/>
          <w:kern w:val="0"/>
          <w:sz w:val="24"/>
        </w:rPr>
        <w:t>本制度未尽事宜，依照国家有关法律、行政法规、部门规章、其他规范性文件及《公司章程》的有关规定执行</w:t>
      </w:r>
      <w:r>
        <w:rPr>
          <w:rFonts w:hint="eastAsia" w:ascii="宋体" w:hAnsi="宋体"/>
          <w:kern w:val="0"/>
          <w:sz w:val="24"/>
        </w:rPr>
        <w:t>。</w:t>
      </w:r>
    </w:p>
    <w:p w14:paraId="58C6C49B">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本</w:t>
      </w:r>
      <w:r>
        <w:rPr>
          <w:rFonts w:hint="eastAsia" w:ascii="宋体" w:hAnsi="宋体"/>
          <w:kern w:val="0"/>
          <w:sz w:val="24"/>
        </w:rPr>
        <w:t>制度由</w:t>
      </w:r>
      <w:r>
        <w:rPr>
          <w:rFonts w:ascii="宋体" w:hAnsi="宋体"/>
          <w:kern w:val="0"/>
          <w:sz w:val="24"/>
        </w:rPr>
        <w:t>公司董事会</w:t>
      </w:r>
      <w:r>
        <w:rPr>
          <w:rFonts w:hint="eastAsia" w:ascii="宋体" w:hAnsi="宋体"/>
          <w:kern w:val="0"/>
          <w:sz w:val="24"/>
        </w:rPr>
        <w:t>负责解释</w:t>
      </w:r>
      <w:r>
        <w:rPr>
          <w:rFonts w:ascii="宋体" w:hAnsi="宋体"/>
          <w:kern w:val="0"/>
          <w:sz w:val="24"/>
        </w:rPr>
        <w:t>。</w:t>
      </w:r>
    </w:p>
    <w:p w14:paraId="5D427800">
      <w:pPr>
        <w:widowControl/>
        <w:numPr>
          <w:ilvl w:val="0"/>
          <w:numId w:val="1"/>
        </w:numPr>
        <w:tabs>
          <w:tab w:val="left" w:pos="0"/>
          <w:tab w:val="left" w:pos="1666"/>
        </w:tabs>
        <w:spacing w:line="360" w:lineRule="auto"/>
        <w:ind w:left="0" w:firstLine="476"/>
        <w:rPr>
          <w:rFonts w:ascii="宋体" w:hAnsi="宋体"/>
          <w:kern w:val="0"/>
          <w:sz w:val="24"/>
        </w:rPr>
      </w:pPr>
      <w:r>
        <w:rPr>
          <w:rFonts w:ascii="宋体" w:hAnsi="宋体"/>
          <w:kern w:val="0"/>
          <w:sz w:val="24"/>
        </w:rPr>
        <w:t>本</w:t>
      </w:r>
      <w:r>
        <w:rPr>
          <w:rFonts w:hint="eastAsia" w:ascii="宋体" w:hAnsi="宋体"/>
          <w:kern w:val="0"/>
          <w:sz w:val="24"/>
        </w:rPr>
        <w:t>制度</w:t>
      </w:r>
      <w:r>
        <w:rPr>
          <w:rFonts w:ascii="宋体" w:hAnsi="宋体"/>
          <w:kern w:val="0"/>
          <w:sz w:val="24"/>
        </w:rPr>
        <w:t>经</w:t>
      </w:r>
      <w:r>
        <w:rPr>
          <w:rFonts w:hint="eastAsia" w:ascii="宋体" w:hAnsi="宋体"/>
          <w:kern w:val="0"/>
          <w:sz w:val="24"/>
        </w:rPr>
        <w:t>股东会审议</w:t>
      </w:r>
      <w:r>
        <w:rPr>
          <w:rFonts w:ascii="宋体" w:hAnsi="宋体"/>
          <w:kern w:val="0"/>
          <w:sz w:val="24"/>
        </w:rPr>
        <w:t>通过</w:t>
      </w:r>
      <w:bookmarkStart w:id="2" w:name="_DV_C917"/>
      <w:r>
        <w:rPr>
          <w:rFonts w:hint="eastAsia" w:ascii="宋体" w:hAnsi="宋体"/>
          <w:kern w:val="0"/>
          <w:sz w:val="24"/>
        </w:rPr>
        <w:t>之日起生效</w:t>
      </w:r>
      <w:bookmarkEnd w:id="2"/>
      <w:r>
        <w:rPr>
          <w:rFonts w:hint="eastAsia" w:ascii="宋体" w:hAnsi="宋体"/>
          <w:kern w:val="0"/>
          <w:sz w:val="24"/>
        </w:rPr>
        <w:t>实施</w:t>
      </w:r>
      <w:r>
        <w:rPr>
          <w:rFonts w:ascii="宋体" w:hAnsi="宋体"/>
          <w:kern w:val="0"/>
          <w:sz w:val="24"/>
        </w:rPr>
        <w:t>。</w:t>
      </w:r>
    </w:p>
    <w:p w14:paraId="3D42F7CA">
      <w:pPr>
        <w:tabs>
          <w:tab w:val="left" w:pos="1260"/>
          <w:tab w:val="left" w:pos="1620"/>
        </w:tabs>
        <w:spacing w:line="360" w:lineRule="auto"/>
        <w:rPr>
          <w:rFonts w:hint="eastAsia" w:ascii="宋体" w:hAnsi="宋体"/>
          <w:kern w:val="0"/>
          <w:sz w:val="24"/>
        </w:rPr>
      </w:pPr>
    </w:p>
    <w:p w14:paraId="732F88CA">
      <w:pPr>
        <w:widowControl/>
        <w:tabs>
          <w:tab w:val="left" w:pos="1666"/>
        </w:tabs>
        <w:spacing w:line="360" w:lineRule="auto"/>
        <w:rPr>
          <w:rFonts w:hint="eastAsia" w:ascii="宋体" w:hAnsi="宋体"/>
          <w:sz w:val="24"/>
        </w:rPr>
      </w:pPr>
    </w:p>
    <w:sectPr>
      <w:footerReference r:id="rId3" w:type="default"/>
      <w:footerReference r:id="rId4" w:type="even"/>
      <w:pgSz w:w="11906" w:h="16838"/>
      <w:pgMar w:top="1440"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ACC3">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lang/>
      </w:rPr>
      <w:t>11</w:t>
    </w:r>
    <w:r>
      <w:rPr>
        <w:rStyle w:val="13"/>
      </w:rPr>
      <w:fldChar w:fldCharType="end"/>
    </w:r>
  </w:p>
  <w:p w14:paraId="1759D75B">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2C57B">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6F9F0124">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52451"/>
    <w:multiLevelType w:val="multilevel"/>
    <w:tmpl w:val="46C52451"/>
    <w:lvl w:ilvl="0" w:tentative="0">
      <w:start w:val="1"/>
      <w:numFmt w:val="chineseCountingThousand"/>
      <w:lvlText w:val="第%1条"/>
      <w:lvlJc w:val="left"/>
      <w:pPr>
        <w:tabs>
          <w:tab w:val="left" w:pos="630"/>
        </w:tabs>
        <w:ind w:left="630" w:hanging="630"/>
      </w:pPr>
      <w:rPr>
        <w:rFonts w:hint="eastAsia" w:ascii="宋体" w:hAnsi="宋体" w:eastAsia="宋体"/>
        <w:b/>
        <w:i w:val="0"/>
        <w:sz w:val="24"/>
        <w:szCs w:val="24"/>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4A"/>
    <w:rsid w:val="00000BED"/>
    <w:rsid w:val="00006541"/>
    <w:rsid w:val="00010143"/>
    <w:rsid w:val="00014B59"/>
    <w:rsid w:val="00022614"/>
    <w:rsid w:val="00030EA9"/>
    <w:rsid w:val="000345C5"/>
    <w:rsid w:val="0003548C"/>
    <w:rsid w:val="00044B68"/>
    <w:rsid w:val="000545FF"/>
    <w:rsid w:val="000623DF"/>
    <w:rsid w:val="00063674"/>
    <w:rsid w:val="000708EB"/>
    <w:rsid w:val="00072AF9"/>
    <w:rsid w:val="00072B12"/>
    <w:rsid w:val="00080968"/>
    <w:rsid w:val="00090AA5"/>
    <w:rsid w:val="000962FD"/>
    <w:rsid w:val="000B02EF"/>
    <w:rsid w:val="000B2D8C"/>
    <w:rsid w:val="000B30DB"/>
    <w:rsid w:val="000C2C6E"/>
    <w:rsid w:val="000D29AE"/>
    <w:rsid w:val="000D4529"/>
    <w:rsid w:val="000D4ADD"/>
    <w:rsid w:val="000D5F71"/>
    <w:rsid w:val="000D7475"/>
    <w:rsid w:val="000E6C4F"/>
    <w:rsid w:val="000E7D15"/>
    <w:rsid w:val="000F0D32"/>
    <w:rsid w:val="000F5DD8"/>
    <w:rsid w:val="001006A6"/>
    <w:rsid w:val="00103B1C"/>
    <w:rsid w:val="00112A75"/>
    <w:rsid w:val="00132BBC"/>
    <w:rsid w:val="0013504E"/>
    <w:rsid w:val="0015030D"/>
    <w:rsid w:val="0015054E"/>
    <w:rsid w:val="00151138"/>
    <w:rsid w:val="0015488E"/>
    <w:rsid w:val="0015505C"/>
    <w:rsid w:val="00161C52"/>
    <w:rsid w:val="00174CA1"/>
    <w:rsid w:val="001808AF"/>
    <w:rsid w:val="00182F94"/>
    <w:rsid w:val="001847D2"/>
    <w:rsid w:val="00185024"/>
    <w:rsid w:val="001865D2"/>
    <w:rsid w:val="00186EA2"/>
    <w:rsid w:val="0018716B"/>
    <w:rsid w:val="001905DC"/>
    <w:rsid w:val="00196CB3"/>
    <w:rsid w:val="001A04ED"/>
    <w:rsid w:val="001A1DBA"/>
    <w:rsid w:val="001A3E00"/>
    <w:rsid w:val="001A5A0D"/>
    <w:rsid w:val="001A5A33"/>
    <w:rsid w:val="001B0B6B"/>
    <w:rsid w:val="001C4108"/>
    <w:rsid w:val="001C5264"/>
    <w:rsid w:val="001D105A"/>
    <w:rsid w:val="001D1179"/>
    <w:rsid w:val="001D2682"/>
    <w:rsid w:val="001D4CFA"/>
    <w:rsid w:val="001E20A6"/>
    <w:rsid w:val="002000BD"/>
    <w:rsid w:val="002107D9"/>
    <w:rsid w:val="00214CAA"/>
    <w:rsid w:val="00220B67"/>
    <w:rsid w:val="00221D00"/>
    <w:rsid w:val="00222455"/>
    <w:rsid w:val="00227EB8"/>
    <w:rsid w:val="00231948"/>
    <w:rsid w:val="00233B95"/>
    <w:rsid w:val="00235BFF"/>
    <w:rsid w:val="002374CA"/>
    <w:rsid w:val="00244F10"/>
    <w:rsid w:val="00252DF4"/>
    <w:rsid w:val="00260AB6"/>
    <w:rsid w:val="0026319E"/>
    <w:rsid w:val="002762D6"/>
    <w:rsid w:val="00277C4B"/>
    <w:rsid w:val="00280D91"/>
    <w:rsid w:val="002813A9"/>
    <w:rsid w:val="0028774D"/>
    <w:rsid w:val="00291B70"/>
    <w:rsid w:val="002978D7"/>
    <w:rsid w:val="002A12BF"/>
    <w:rsid w:val="002B69EA"/>
    <w:rsid w:val="002B70E0"/>
    <w:rsid w:val="002B75AF"/>
    <w:rsid w:val="002B7A58"/>
    <w:rsid w:val="002C45DE"/>
    <w:rsid w:val="002C5853"/>
    <w:rsid w:val="002E25B7"/>
    <w:rsid w:val="002E3DBC"/>
    <w:rsid w:val="002E55E5"/>
    <w:rsid w:val="002E642B"/>
    <w:rsid w:val="002F2CB4"/>
    <w:rsid w:val="002F450E"/>
    <w:rsid w:val="00301A12"/>
    <w:rsid w:val="0030515D"/>
    <w:rsid w:val="00315329"/>
    <w:rsid w:val="00315714"/>
    <w:rsid w:val="00315797"/>
    <w:rsid w:val="003201CF"/>
    <w:rsid w:val="0033270E"/>
    <w:rsid w:val="0033352A"/>
    <w:rsid w:val="003355D3"/>
    <w:rsid w:val="00336B7F"/>
    <w:rsid w:val="00342933"/>
    <w:rsid w:val="00343B9F"/>
    <w:rsid w:val="0034412F"/>
    <w:rsid w:val="003514C1"/>
    <w:rsid w:val="00357238"/>
    <w:rsid w:val="00370425"/>
    <w:rsid w:val="00373CB9"/>
    <w:rsid w:val="00375037"/>
    <w:rsid w:val="003806BD"/>
    <w:rsid w:val="00380A8D"/>
    <w:rsid w:val="0038370C"/>
    <w:rsid w:val="00383A5D"/>
    <w:rsid w:val="00385207"/>
    <w:rsid w:val="00385612"/>
    <w:rsid w:val="0038586E"/>
    <w:rsid w:val="003932B8"/>
    <w:rsid w:val="003953F0"/>
    <w:rsid w:val="003A2732"/>
    <w:rsid w:val="003A6623"/>
    <w:rsid w:val="003A6DB2"/>
    <w:rsid w:val="003A7A9B"/>
    <w:rsid w:val="003B3C33"/>
    <w:rsid w:val="003B52A0"/>
    <w:rsid w:val="003C04FC"/>
    <w:rsid w:val="003C06CC"/>
    <w:rsid w:val="003C26FA"/>
    <w:rsid w:val="003D01B1"/>
    <w:rsid w:val="003D2F85"/>
    <w:rsid w:val="003D31C3"/>
    <w:rsid w:val="003D4E02"/>
    <w:rsid w:val="003D631B"/>
    <w:rsid w:val="003D6FC4"/>
    <w:rsid w:val="003E181F"/>
    <w:rsid w:val="003E27FE"/>
    <w:rsid w:val="003E4078"/>
    <w:rsid w:val="003E66D0"/>
    <w:rsid w:val="003F35A2"/>
    <w:rsid w:val="003F6E1C"/>
    <w:rsid w:val="003F7ED2"/>
    <w:rsid w:val="00401851"/>
    <w:rsid w:val="004115B6"/>
    <w:rsid w:val="00412C6D"/>
    <w:rsid w:val="00415ECB"/>
    <w:rsid w:val="0041623B"/>
    <w:rsid w:val="004166F3"/>
    <w:rsid w:val="00424414"/>
    <w:rsid w:val="004317A4"/>
    <w:rsid w:val="00432081"/>
    <w:rsid w:val="00432315"/>
    <w:rsid w:val="00434B90"/>
    <w:rsid w:val="0043745A"/>
    <w:rsid w:val="00443089"/>
    <w:rsid w:val="0044595A"/>
    <w:rsid w:val="00447A99"/>
    <w:rsid w:val="00463DBF"/>
    <w:rsid w:val="0047189F"/>
    <w:rsid w:val="00474F91"/>
    <w:rsid w:val="004831B0"/>
    <w:rsid w:val="00484636"/>
    <w:rsid w:val="004910A5"/>
    <w:rsid w:val="00494D1A"/>
    <w:rsid w:val="00495AE9"/>
    <w:rsid w:val="004A2587"/>
    <w:rsid w:val="004A6AC8"/>
    <w:rsid w:val="004B52F9"/>
    <w:rsid w:val="004B61F3"/>
    <w:rsid w:val="004C1722"/>
    <w:rsid w:val="004C7A66"/>
    <w:rsid w:val="004D3656"/>
    <w:rsid w:val="004F2E34"/>
    <w:rsid w:val="00512F1A"/>
    <w:rsid w:val="00513B58"/>
    <w:rsid w:val="0052233D"/>
    <w:rsid w:val="0052406E"/>
    <w:rsid w:val="00526843"/>
    <w:rsid w:val="005302C2"/>
    <w:rsid w:val="00532FA6"/>
    <w:rsid w:val="005353FE"/>
    <w:rsid w:val="00535F84"/>
    <w:rsid w:val="00542043"/>
    <w:rsid w:val="00544D10"/>
    <w:rsid w:val="005532DA"/>
    <w:rsid w:val="00561855"/>
    <w:rsid w:val="00561A7C"/>
    <w:rsid w:val="00563BF1"/>
    <w:rsid w:val="00571D70"/>
    <w:rsid w:val="00574715"/>
    <w:rsid w:val="00576AFD"/>
    <w:rsid w:val="00577D53"/>
    <w:rsid w:val="00590F2C"/>
    <w:rsid w:val="0059301D"/>
    <w:rsid w:val="00595378"/>
    <w:rsid w:val="00597333"/>
    <w:rsid w:val="005A4C0B"/>
    <w:rsid w:val="005B1175"/>
    <w:rsid w:val="005B37D7"/>
    <w:rsid w:val="005B4782"/>
    <w:rsid w:val="005B5B00"/>
    <w:rsid w:val="005C0E03"/>
    <w:rsid w:val="005C0EDD"/>
    <w:rsid w:val="005C2B94"/>
    <w:rsid w:val="005C357B"/>
    <w:rsid w:val="005C3B4E"/>
    <w:rsid w:val="005D2ECF"/>
    <w:rsid w:val="005D52EE"/>
    <w:rsid w:val="005D732A"/>
    <w:rsid w:val="005E1851"/>
    <w:rsid w:val="005E3B09"/>
    <w:rsid w:val="005E64D4"/>
    <w:rsid w:val="005E6FF8"/>
    <w:rsid w:val="005F0B08"/>
    <w:rsid w:val="006006D6"/>
    <w:rsid w:val="00623059"/>
    <w:rsid w:val="006350BE"/>
    <w:rsid w:val="00635154"/>
    <w:rsid w:val="00636627"/>
    <w:rsid w:val="006424B0"/>
    <w:rsid w:val="00646EFD"/>
    <w:rsid w:val="00654137"/>
    <w:rsid w:val="00655812"/>
    <w:rsid w:val="00657FEE"/>
    <w:rsid w:val="00660E96"/>
    <w:rsid w:val="00666C15"/>
    <w:rsid w:val="00672B10"/>
    <w:rsid w:val="006775E3"/>
    <w:rsid w:val="00680463"/>
    <w:rsid w:val="00681990"/>
    <w:rsid w:val="00683BD4"/>
    <w:rsid w:val="0069158F"/>
    <w:rsid w:val="00691788"/>
    <w:rsid w:val="00694CD3"/>
    <w:rsid w:val="00694E29"/>
    <w:rsid w:val="006A2899"/>
    <w:rsid w:val="006A5D19"/>
    <w:rsid w:val="006A6F7F"/>
    <w:rsid w:val="006B4AF3"/>
    <w:rsid w:val="006B5C18"/>
    <w:rsid w:val="006C1D18"/>
    <w:rsid w:val="006C1EA2"/>
    <w:rsid w:val="006D02A1"/>
    <w:rsid w:val="006D40F2"/>
    <w:rsid w:val="006D7D31"/>
    <w:rsid w:val="006F58D0"/>
    <w:rsid w:val="00700119"/>
    <w:rsid w:val="0070717C"/>
    <w:rsid w:val="007154ED"/>
    <w:rsid w:val="00715C94"/>
    <w:rsid w:val="0072436A"/>
    <w:rsid w:val="007261B0"/>
    <w:rsid w:val="00735F54"/>
    <w:rsid w:val="0074194B"/>
    <w:rsid w:val="00743394"/>
    <w:rsid w:val="00743BF6"/>
    <w:rsid w:val="0074599E"/>
    <w:rsid w:val="00746142"/>
    <w:rsid w:val="00757A40"/>
    <w:rsid w:val="00762465"/>
    <w:rsid w:val="00762C1D"/>
    <w:rsid w:val="00766639"/>
    <w:rsid w:val="0077458E"/>
    <w:rsid w:val="00774BBC"/>
    <w:rsid w:val="007800DF"/>
    <w:rsid w:val="00786FD3"/>
    <w:rsid w:val="00791F1E"/>
    <w:rsid w:val="00791FB8"/>
    <w:rsid w:val="007A1AA3"/>
    <w:rsid w:val="007A3255"/>
    <w:rsid w:val="007A7BFF"/>
    <w:rsid w:val="007B0098"/>
    <w:rsid w:val="007B11EE"/>
    <w:rsid w:val="007B207D"/>
    <w:rsid w:val="007B3438"/>
    <w:rsid w:val="007C032B"/>
    <w:rsid w:val="007C26AE"/>
    <w:rsid w:val="007C5B1D"/>
    <w:rsid w:val="007C6295"/>
    <w:rsid w:val="007C7FAD"/>
    <w:rsid w:val="007D5C11"/>
    <w:rsid w:val="007D7AA5"/>
    <w:rsid w:val="007E14BC"/>
    <w:rsid w:val="007E53EC"/>
    <w:rsid w:val="007F0796"/>
    <w:rsid w:val="007F2516"/>
    <w:rsid w:val="00806756"/>
    <w:rsid w:val="00811380"/>
    <w:rsid w:val="0081279C"/>
    <w:rsid w:val="0082150F"/>
    <w:rsid w:val="00825739"/>
    <w:rsid w:val="0082617E"/>
    <w:rsid w:val="008273EE"/>
    <w:rsid w:val="00833416"/>
    <w:rsid w:val="00840282"/>
    <w:rsid w:val="008413CA"/>
    <w:rsid w:val="00843A69"/>
    <w:rsid w:val="00845BDA"/>
    <w:rsid w:val="008516FE"/>
    <w:rsid w:val="00852A92"/>
    <w:rsid w:val="00860DA8"/>
    <w:rsid w:val="008651CF"/>
    <w:rsid w:val="00874040"/>
    <w:rsid w:val="00877AAE"/>
    <w:rsid w:val="00886320"/>
    <w:rsid w:val="00891C55"/>
    <w:rsid w:val="00892944"/>
    <w:rsid w:val="008937C5"/>
    <w:rsid w:val="008A3138"/>
    <w:rsid w:val="008A6F36"/>
    <w:rsid w:val="008B3020"/>
    <w:rsid w:val="008B51F1"/>
    <w:rsid w:val="008B5D93"/>
    <w:rsid w:val="008B7C05"/>
    <w:rsid w:val="008C023D"/>
    <w:rsid w:val="008C26FB"/>
    <w:rsid w:val="008D48B2"/>
    <w:rsid w:val="008E6295"/>
    <w:rsid w:val="008E6FDB"/>
    <w:rsid w:val="008E7285"/>
    <w:rsid w:val="008F2303"/>
    <w:rsid w:val="008F5B17"/>
    <w:rsid w:val="009126B0"/>
    <w:rsid w:val="009160A0"/>
    <w:rsid w:val="00917BAC"/>
    <w:rsid w:val="00921077"/>
    <w:rsid w:val="00925BD3"/>
    <w:rsid w:val="009273C8"/>
    <w:rsid w:val="00927E6B"/>
    <w:rsid w:val="00927F0E"/>
    <w:rsid w:val="00935744"/>
    <w:rsid w:val="0093728F"/>
    <w:rsid w:val="00937FAE"/>
    <w:rsid w:val="009424F4"/>
    <w:rsid w:val="009442AB"/>
    <w:rsid w:val="009454E0"/>
    <w:rsid w:val="00946F2A"/>
    <w:rsid w:val="00947031"/>
    <w:rsid w:val="00952D3B"/>
    <w:rsid w:val="00975336"/>
    <w:rsid w:val="00977230"/>
    <w:rsid w:val="0098467E"/>
    <w:rsid w:val="00984954"/>
    <w:rsid w:val="00985691"/>
    <w:rsid w:val="00985CB8"/>
    <w:rsid w:val="00993963"/>
    <w:rsid w:val="00993A4F"/>
    <w:rsid w:val="009A16B1"/>
    <w:rsid w:val="009A29ED"/>
    <w:rsid w:val="009A487F"/>
    <w:rsid w:val="009A64E0"/>
    <w:rsid w:val="009B2726"/>
    <w:rsid w:val="009B6C6F"/>
    <w:rsid w:val="009C0577"/>
    <w:rsid w:val="009D0610"/>
    <w:rsid w:val="009D25BC"/>
    <w:rsid w:val="009D2DB1"/>
    <w:rsid w:val="009E554E"/>
    <w:rsid w:val="009E6DFB"/>
    <w:rsid w:val="009F0FB4"/>
    <w:rsid w:val="009F5F14"/>
    <w:rsid w:val="00A00194"/>
    <w:rsid w:val="00A10041"/>
    <w:rsid w:val="00A174EE"/>
    <w:rsid w:val="00A23E47"/>
    <w:rsid w:val="00A25E64"/>
    <w:rsid w:val="00A2765C"/>
    <w:rsid w:val="00A27D30"/>
    <w:rsid w:val="00A314F7"/>
    <w:rsid w:val="00A34EB8"/>
    <w:rsid w:val="00A3778C"/>
    <w:rsid w:val="00A428CA"/>
    <w:rsid w:val="00A431AB"/>
    <w:rsid w:val="00A515A6"/>
    <w:rsid w:val="00A52031"/>
    <w:rsid w:val="00A536F3"/>
    <w:rsid w:val="00A626DC"/>
    <w:rsid w:val="00A62C91"/>
    <w:rsid w:val="00A74892"/>
    <w:rsid w:val="00A81EC6"/>
    <w:rsid w:val="00A87B93"/>
    <w:rsid w:val="00A950AE"/>
    <w:rsid w:val="00A97003"/>
    <w:rsid w:val="00AB372B"/>
    <w:rsid w:val="00AC0946"/>
    <w:rsid w:val="00AC1018"/>
    <w:rsid w:val="00AC1CDA"/>
    <w:rsid w:val="00AD5178"/>
    <w:rsid w:val="00AF7631"/>
    <w:rsid w:val="00B01E0F"/>
    <w:rsid w:val="00B023AE"/>
    <w:rsid w:val="00B06626"/>
    <w:rsid w:val="00B1020F"/>
    <w:rsid w:val="00B112A5"/>
    <w:rsid w:val="00B2100D"/>
    <w:rsid w:val="00B24304"/>
    <w:rsid w:val="00B24927"/>
    <w:rsid w:val="00B26345"/>
    <w:rsid w:val="00B26FE7"/>
    <w:rsid w:val="00B27795"/>
    <w:rsid w:val="00B3454F"/>
    <w:rsid w:val="00B354F9"/>
    <w:rsid w:val="00B37864"/>
    <w:rsid w:val="00B411DC"/>
    <w:rsid w:val="00B423A8"/>
    <w:rsid w:val="00B443E1"/>
    <w:rsid w:val="00B56EA3"/>
    <w:rsid w:val="00B61618"/>
    <w:rsid w:val="00B64855"/>
    <w:rsid w:val="00B657E3"/>
    <w:rsid w:val="00B661C5"/>
    <w:rsid w:val="00B700F1"/>
    <w:rsid w:val="00B701D7"/>
    <w:rsid w:val="00B75D04"/>
    <w:rsid w:val="00B76490"/>
    <w:rsid w:val="00B7676C"/>
    <w:rsid w:val="00B81A28"/>
    <w:rsid w:val="00B82384"/>
    <w:rsid w:val="00B82EE3"/>
    <w:rsid w:val="00B83CFC"/>
    <w:rsid w:val="00B86A74"/>
    <w:rsid w:val="00B8795E"/>
    <w:rsid w:val="00BA21FF"/>
    <w:rsid w:val="00BA3C2C"/>
    <w:rsid w:val="00BA3F69"/>
    <w:rsid w:val="00BB16A7"/>
    <w:rsid w:val="00BB3E53"/>
    <w:rsid w:val="00BB6ADD"/>
    <w:rsid w:val="00BD672C"/>
    <w:rsid w:val="00BD6F4E"/>
    <w:rsid w:val="00BE1784"/>
    <w:rsid w:val="00BE25FA"/>
    <w:rsid w:val="00BE5CD4"/>
    <w:rsid w:val="00BF2983"/>
    <w:rsid w:val="00C00D0F"/>
    <w:rsid w:val="00C02DBC"/>
    <w:rsid w:val="00C039F9"/>
    <w:rsid w:val="00C10338"/>
    <w:rsid w:val="00C103D7"/>
    <w:rsid w:val="00C216D3"/>
    <w:rsid w:val="00C257D9"/>
    <w:rsid w:val="00C27EAA"/>
    <w:rsid w:val="00C301EA"/>
    <w:rsid w:val="00C34A9A"/>
    <w:rsid w:val="00C516BF"/>
    <w:rsid w:val="00C51DB1"/>
    <w:rsid w:val="00C5514C"/>
    <w:rsid w:val="00C62066"/>
    <w:rsid w:val="00C63937"/>
    <w:rsid w:val="00C70FF8"/>
    <w:rsid w:val="00C716ED"/>
    <w:rsid w:val="00C748E5"/>
    <w:rsid w:val="00C76D58"/>
    <w:rsid w:val="00C7716D"/>
    <w:rsid w:val="00C77937"/>
    <w:rsid w:val="00C8019D"/>
    <w:rsid w:val="00C85BAA"/>
    <w:rsid w:val="00C864C6"/>
    <w:rsid w:val="00C91EF6"/>
    <w:rsid w:val="00C93903"/>
    <w:rsid w:val="00C94AAA"/>
    <w:rsid w:val="00CA07B9"/>
    <w:rsid w:val="00CA113A"/>
    <w:rsid w:val="00CA2198"/>
    <w:rsid w:val="00CA6301"/>
    <w:rsid w:val="00CB16F8"/>
    <w:rsid w:val="00CB2ADD"/>
    <w:rsid w:val="00CB44A9"/>
    <w:rsid w:val="00CC6419"/>
    <w:rsid w:val="00CC6E90"/>
    <w:rsid w:val="00CD346B"/>
    <w:rsid w:val="00CD36B8"/>
    <w:rsid w:val="00CD65BB"/>
    <w:rsid w:val="00CD7996"/>
    <w:rsid w:val="00CD7C60"/>
    <w:rsid w:val="00CE1EDF"/>
    <w:rsid w:val="00CE23E1"/>
    <w:rsid w:val="00CF6F8D"/>
    <w:rsid w:val="00D009E7"/>
    <w:rsid w:val="00D039B3"/>
    <w:rsid w:val="00D044B0"/>
    <w:rsid w:val="00D237D3"/>
    <w:rsid w:val="00D301D9"/>
    <w:rsid w:val="00D321CD"/>
    <w:rsid w:val="00D5005E"/>
    <w:rsid w:val="00D603C2"/>
    <w:rsid w:val="00D678F6"/>
    <w:rsid w:val="00D725F0"/>
    <w:rsid w:val="00D7306A"/>
    <w:rsid w:val="00D804DE"/>
    <w:rsid w:val="00D80DEF"/>
    <w:rsid w:val="00D81210"/>
    <w:rsid w:val="00D86FCE"/>
    <w:rsid w:val="00DA72BF"/>
    <w:rsid w:val="00DB489A"/>
    <w:rsid w:val="00DC0F05"/>
    <w:rsid w:val="00DC16A8"/>
    <w:rsid w:val="00DC2D4A"/>
    <w:rsid w:val="00DC64BB"/>
    <w:rsid w:val="00DD440E"/>
    <w:rsid w:val="00DF0B95"/>
    <w:rsid w:val="00DF20BA"/>
    <w:rsid w:val="00DF4E54"/>
    <w:rsid w:val="00DF50BC"/>
    <w:rsid w:val="00E06098"/>
    <w:rsid w:val="00E06BC7"/>
    <w:rsid w:val="00E07318"/>
    <w:rsid w:val="00E1587B"/>
    <w:rsid w:val="00E15C21"/>
    <w:rsid w:val="00E211F0"/>
    <w:rsid w:val="00E24558"/>
    <w:rsid w:val="00E34C62"/>
    <w:rsid w:val="00E34E4A"/>
    <w:rsid w:val="00E40663"/>
    <w:rsid w:val="00E43EE5"/>
    <w:rsid w:val="00E47BB0"/>
    <w:rsid w:val="00E5549A"/>
    <w:rsid w:val="00E55F20"/>
    <w:rsid w:val="00E562C3"/>
    <w:rsid w:val="00E63344"/>
    <w:rsid w:val="00E8708C"/>
    <w:rsid w:val="00E9003D"/>
    <w:rsid w:val="00E90DD1"/>
    <w:rsid w:val="00E9739E"/>
    <w:rsid w:val="00EA23C7"/>
    <w:rsid w:val="00EA4EC1"/>
    <w:rsid w:val="00EA5F0B"/>
    <w:rsid w:val="00EA7343"/>
    <w:rsid w:val="00EB3EF6"/>
    <w:rsid w:val="00EB3F4C"/>
    <w:rsid w:val="00EB49DC"/>
    <w:rsid w:val="00EC181F"/>
    <w:rsid w:val="00EC1EB2"/>
    <w:rsid w:val="00EC2332"/>
    <w:rsid w:val="00EC264D"/>
    <w:rsid w:val="00EC2BDB"/>
    <w:rsid w:val="00EC2D87"/>
    <w:rsid w:val="00ED06EF"/>
    <w:rsid w:val="00EE2045"/>
    <w:rsid w:val="00F03E3A"/>
    <w:rsid w:val="00F07F0D"/>
    <w:rsid w:val="00F15A5B"/>
    <w:rsid w:val="00F234FE"/>
    <w:rsid w:val="00F2368A"/>
    <w:rsid w:val="00F24AD3"/>
    <w:rsid w:val="00F34C67"/>
    <w:rsid w:val="00F44257"/>
    <w:rsid w:val="00F45557"/>
    <w:rsid w:val="00F46ABE"/>
    <w:rsid w:val="00F504D3"/>
    <w:rsid w:val="00F50ADC"/>
    <w:rsid w:val="00F50F41"/>
    <w:rsid w:val="00F5153E"/>
    <w:rsid w:val="00F739FB"/>
    <w:rsid w:val="00F81994"/>
    <w:rsid w:val="00F846D0"/>
    <w:rsid w:val="00F93A15"/>
    <w:rsid w:val="00F971DB"/>
    <w:rsid w:val="00FA02F3"/>
    <w:rsid w:val="00FA6170"/>
    <w:rsid w:val="00FB1389"/>
    <w:rsid w:val="00FB28E0"/>
    <w:rsid w:val="00FC19CD"/>
    <w:rsid w:val="00FC35BA"/>
    <w:rsid w:val="00FD29F0"/>
    <w:rsid w:val="00FD6E0D"/>
    <w:rsid w:val="00FF6444"/>
    <w:rsid w:val="00FF6F22"/>
    <w:rsid w:val="4B017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character" w:default="1" w:styleId="11">
    <w:name w:val="Default Paragraph Font"/>
    <w:link w:val="12"/>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3">
    <w:name w:val="Document Map"/>
    <w:basedOn w:val="1"/>
    <w:semiHidden/>
    <w:uiPriority w:val="0"/>
    <w:pPr>
      <w:shd w:val="clear" w:color="auto" w:fill="000080"/>
    </w:pPr>
  </w:style>
  <w:style w:type="paragraph" w:styleId="4">
    <w:name w:val="annotation text"/>
    <w:basedOn w:val="1"/>
    <w:semiHidden/>
    <w:uiPriority w:val="0"/>
    <w:pPr>
      <w:jc w:val="left"/>
    </w:pPr>
  </w:style>
  <w:style w:type="paragraph" w:styleId="5">
    <w:name w:val="Body Text"/>
    <w:basedOn w:val="1"/>
    <w:link w:val="19"/>
    <w:uiPriority w:val="0"/>
    <w:pPr>
      <w:spacing w:after="12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semiHidden/>
    <w:uiPriority w:val="0"/>
    <w:rPr>
      <w:b/>
      <w:bCs/>
    </w:rPr>
  </w:style>
  <w:style w:type="paragraph" w:customStyle="1" w:styleId="12">
    <w:name w:val=" Char2 Char Char Char"/>
    <w:basedOn w:val="1"/>
    <w:link w:val="11"/>
    <w:uiPriority w:val="0"/>
    <w:pPr>
      <w:widowControl/>
      <w:spacing w:after="160" w:line="240" w:lineRule="exact"/>
    </w:pPr>
    <w:rPr>
      <w:rFonts w:ascii="Verdana" w:hAnsi="Verdana" w:eastAsia="Times New Roman" w:cs="Arial"/>
      <w:kern w:val="0"/>
      <w:sz w:val="22"/>
      <w:szCs w:val="20"/>
      <w:lang w:eastAsia="en-US"/>
    </w:rPr>
  </w:style>
  <w:style w:type="character" w:styleId="13">
    <w:name w:val="page number"/>
    <w:basedOn w:val="11"/>
    <w:uiPriority w:val="0"/>
  </w:style>
  <w:style w:type="character" w:styleId="14">
    <w:name w:val="annotation reference"/>
    <w:semiHidden/>
    <w:uiPriority w:val="0"/>
    <w:rPr>
      <w:sz w:val="21"/>
      <w:szCs w:val="21"/>
    </w:rPr>
  </w:style>
  <w:style w:type="paragraph" w:customStyle="1" w:styleId="15">
    <w:name w:val="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6">
    <w:name w:val="K&amp;W Body text"/>
    <w:basedOn w:val="1"/>
    <w:uiPriority w:val="0"/>
    <w:pPr>
      <w:widowControl/>
      <w:spacing w:after="360" w:line="320" w:lineRule="atLeast"/>
      <w:ind w:firstLine="200" w:firstLineChars="200"/>
    </w:pPr>
    <w:rPr>
      <w:rFonts w:ascii="Arial" w:hAnsi="Arial" w:eastAsia="楷体_GB2312"/>
      <w:kern w:val="0"/>
      <w:sz w:val="24"/>
      <w:szCs w:val="20"/>
      <w:lang w:eastAsia="en-US"/>
    </w:rPr>
  </w:style>
  <w:style w:type="character" w:customStyle="1" w:styleId="17">
    <w:name w:val="页眉 Char"/>
    <w:link w:val="8"/>
    <w:uiPriority w:val="0"/>
    <w:rPr>
      <w:kern w:val="2"/>
      <w:sz w:val="18"/>
      <w:szCs w:val="18"/>
    </w:rPr>
  </w:style>
  <w:style w:type="character" w:customStyle="1" w:styleId="18">
    <w:name w:val="DeltaView Insertion"/>
    <w:uiPriority w:val="99"/>
    <w:rPr>
      <w:color w:val="0000FF"/>
      <w:u w:val="double"/>
    </w:rPr>
  </w:style>
  <w:style w:type="character" w:customStyle="1" w:styleId="19">
    <w:name w:val="正文文本 Char"/>
    <w:link w:val="5"/>
    <w:uiPriority w:val="0"/>
    <w:rPr>
      <w:kern w:val="2"/>
      <w:sz w:val="21"/>
      <w:szCs w:val="24"/>
    </w:rPr>
  </w:style>
  <w:style w:type="paragraph" w:customStyle="1" w:styleId="20">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character" w:customStyle="1" w:styleId="21">
    <w:name w:val="fontstyle01"/>
    <w:uiPriority w:val="0"/>
    <w:rPr>
      <w:rFonts w:hint="eastAsia" w:ascii="宋体" w:hAnsi="宋体" w:eastAsia="宋体"/>
      <w:color w:val="000000"/>
      <w:sz w:val="24"/>
      <w:szCs w:val="24"/>
    </w:rPr>
  </w:style>
  <w:style w:type="character" w:customStyle="1" w:styleId="22">
    <w:name w:val="fontstyle11"/>
    <w:uiPriority w:val="0"/>
    <w:rPr>
      <w:rFonts w:hint="default" w:ascii="Times New Roman" w:hAnsi="Times New Roman" w:cs="Times New Roman"/>
      <w:color w:val="000000"/>
      <w:sz w:val="24"/>
      <w:szCs w:val="24"/>
    </w:rPr>
  </w:style>
  <w:style w:type="character" w:customStyle="1" w:styleId="23">
    <w:name w:val="fontstyle21"/>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King&amp;Wood</Company>
  <Pages>11</Pages>
  <Words>7584</Words>
  <Characters>7681</Characters>
  <Lines>55</Lines>
  <Paragraphs>15</Paragraphs>
  <TotalTime>0</TotalTime>
  <ScaleCrop>false</ScaleCrop>
  <LinksUpToDate>false</LinksUpToDate>
  <CharactersWithSpaces>7689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2011-07-06T16:02:00Z</dcterms:created>
  <dc:creator>tanjing</dc:creator>
  <cp:lastModifiedBy>WSY</cp:lastModifiedBy>
  <dcterms:modified xsi:type="dcterms:W3CDTF">2025-07-23T07:35:45Z</dcterms:modified>
  <dc:title>江苏星源航天材料股份有限公司</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D46DE89083904C1EBA815C832097DFD1_13</vt:lpwstr>
  </property>
</Properties>
</file>