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1EED3" w14:textId="77777777" w:rsidR="007C2967" w:rsidRDefault="00472AC0">
      <w:pPr>
        <w:autoSpaceDE w:val="0"/>
        <w:autoSpaceDN w:val="0"/>
        <w:adjustRightInd w:val="0"/>
        <w:spacing w:line="360" w:lineRule="auto"/>
        <w:jc w:val="center"/>
        <w:rPr>
          <w:rFonts w:ascii="宋体" w:hAnsi="宋体"/>
          <w:b/>
          <w:sz w:val="36"/>
          <w:szCs w:val="32"/>
        </w:rPr>
      </w:pPr>
      <w:r>
        <w:rPr>
          <w:rFonts w:ascii="宋体" w:hAnsi="宋体" w:hint="eastAsia"/>
          <w:b/>
          <w:sz w:val="36"/>
          <w:szCs w:val="32"/>
        </w:rPr>
        <w:t>华孚时尚股份有限公司</w:t>
      </w:r>
    </w:p>
    <w:p w14:paraId="3847AFBF" w14:textId="6BCA3A93" w:rsidR="007C2967" w:rsidRDefault="00472AC0">
      <w:pPr>
        <w:autoSpaceDE w:val="0"/>
        <w:autoSpaceDN w:val="0"/>
        <w:adjustRightInd w:val="0"/>
        <w:spacing w:line="360" w:lineRule="auto"/>
        <w:jc w:val="center"/>
        <w:rPr>
          <w:rFonts w:ascii="宋体" w:hAnsi="宋体"/>
          <w:b/>
          <w:sz w:val="36"/>
          <w:szCs w:val="32"/>
        </w:rPr>
      </w:pPr>
      <w:r>
        <w:rPr>
          <w:rFonts w:ascii="宋体" w:hAnsi="宋体" w:hint="eastAsia"/>
          <w:b/>
          <w:sz w:val="36"/>
          <w:szCs w:val="32"/>
        </w:rPr>
        <w:t>董事会专门委员会议事规则</w:t>
      </w:r>
    </w:p>
    <w:p w14:paraId="232C8274" w14:textId="77777777" w:rsidR="007C2967" w:rsidRDefault="007C2967">
      <w:pPr>
        <w:autoSpaceDE w:val="0"/>
        <w:autoSpaceDN w:val="0"/>
        <w:adjustRightInd w:val="0"/>
        <w:spacing w:line="360" w:lineRule="auto"/>
        <w:jc w:val="center"/>
        <w:rPr>
          <w:rFonts w:ascii="宋体" w:hAnsi="宋体"/>
          <w:b/>
          <w:sz w:val="28"/>
          <w:szCs w:val="28"/>
        </w:rPr>
      </w:pPr>
    </w:p>
    <w:p w14:paraId="0190F112" w14:textId="34C1F33A" w:rsidR="007C2967" w:rsidRDefault="00472AC0">
      <w:pPr>
        <w:autoSpaceDE w:val="0"/>
        <w:autoSpaceDN w:val="0"/>
        <w:adjustRightInd w:val="0"/>
        <w:spacing w:line="360" w:lineRule="auto"/>
        <w:jc w:val="center"/>
        <w:rPr>
          <w:rFonts w:ascii="宋体" w:hAnsi="宋体"/>
          <w:b/>
          <w:sz w:val="28"/>
          <w:szCs w:val="28"/>
        </w:rPr>
      </w:pPr>
      <w:r>
        <w:rPr>
          <w:rFonts w:ascii="宋体" w:hAnsi="宋体" w:hint="eastAsia"/>
          <w:b/>
          <w:sz w:val="28"/>
          <w:szCs w:val="28"/>
        </w:rPr>
        <w:t>董事会战略委员会</w:t>
      </w:r>
      <w:r w:rsidRPr="00472AC0">
        <w:rPr>
          <w:rFonts w:ascii="宋体" w:hAnsi="宋体" w:hint="eastAsia"/>
          <w:b/>
          <w:sz w:val="28"/>
          <w:szCs w:val="28"/>
        </w:rPr>
        <w:t>议事规则</w:t>
      </w:r>
    </w:p>
    <w:p w14:paraId="710452EA" w14:textId="77777777" w:rsidR="007C2967" w:rsidRDefault="00472AC0">
      <w:pPr>
        <w:numPr>
          <w:ilvl w:val="0"/>
          <w:numId w:val="14"/>
        </w:numPr>
        <w:tabs>
          <w:tab w:val="clear" w:pos="780"/>
          <w:tab w:val="left" w:pos="1200"/>
        </w:tabs>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总则</w:t>
      </w:r>
    </w:p>
    <w:p w14:paraId="4A4CC064" w14:textId="77777777" w:rsidR="007C2967" w:rsidRDefault="007C2967">
      <w:pPr>
        <w:autoSpaceDE w:val="0"/>
        <w:autoSpaceDN w:val="0"/>
        <w:adjustRightInd w:val="0"/>
        <w:spacing w:line="360" w:lineRule="auto"/>
        <w:ind w:left="360"/>
        <w:jc w:val="center"/>
        <w:rPr>
          <w:rFonts w:ascii="宋体" w:hAnsi="宋体" w:cs="宋体"/>
          <w:b/>
          <w:kern w:val="0"/>
          <w:sz w:val="24"/>
          <w:szCs w:val="24"/>
        </w:rPr>
      </w:pPr>
    </w:p>
    <w:p w14:paraId="734A15C5" w14:textId="429F4A36"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cs="宋体" w:hint="eastAsia"/>
          <w:kern w:val="0"/>
          <w:sz w:val="24"/>
          <w:szCs w:val="24"/>
        </w:rPr>
        <w:t>为适应华孚时尚股份有限公司（以下简称“公司”）战略发展需要，增强公司核心竞争力，确定公司发展规划，健全投资决策程序，加强决策科学性，提高重大投资决策的效益和决策的质量，</w:t>
      </w:r>
      <w:r>
        <w:rPr>
          <w:rFonts w:ascii="宋体" w:hAnsi="宋体"/>
          <w:kern w:val="0"/>
          <w:sz w:val="24"/>
          <w:szCs w:val="24"/>
        </w:rPr>
        <w:t>根据《中华人民共和国公司法》（以下简称</w:t>
      </w:r>
      <w:r>
        <w:rPr>
          <w:rFonts w:ascii="宋体" w:hAnsi="宋体" w:hint="eastAsia"/>
          <w:kern w:val="0"/>
          <w:sz w:val="24"/>
          <w:szCs w:val="24"/>
        </w:rPr>
        <w:t>“</w:t>
      </w:r>
      <w:r>
        <w:rPr>
          <w:rFonts w:ascii="宋体" w:hAnsi="宋体"/>
          <w:kern w:val="0"/>
          <w:sz w:val="24"/>
          <w:szCs w:val="24"/>
        </w:rPr>
        <w:t>《公司法》</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w:t>
      </w:r>
      <w:r>
        <w:rPr>
          <w:rFonts w:ascii="宋体" w:hAnsi="宋体" w:cs="Arial" w:hint="eastAsia"/>
          <w:sz w:val="24"/>
        </w:rPr>
        <w:t>《中华人民共和国证券法》《上市公司治理准则》《深圳证券交易所股票上市规则》《深圳证券交易所上市公司自律监管指引第</w:t>
      </w:r>
      <w:r>
        <w:rPr>
          <w:rFonts w:ascii="宋体" w:hAnsi="宋体" w:cs="Arial"/>
          <w:sz w:val="24"/>
        </w:rPr>
        <w:t>1</w:t>
      </w:r>
      <w:r>
        <w:rPr>
          <w:rFonts w:ascii="宋体" w:hAnsi="宋体" w:cs="Arial" w:hint="eastAsia"/>
          <w:sz w:val="24"/>
        </w:rPr>
        <w:t>号——主板上市公司规范运作》</w:t>
      </w:r>
      <w:r>
        <w:rPr>
          <w:rFonts w:ascii="宋体" w:hAnsi="宋体" w:hint="eastAsia"/>
          <w:kern w:val="0"/>
          <w:sz w:val="24"/>
          <w:szCs w:val="24"/>
        </w:rPr>
        <w:t>等有关法律、法规、规章、规范性文件和</w:t>
      </w:r>
      <w:r>
        <w:rPr>
          <w:rFonts w:ascii="宋体" w:hAnsi="宋体"/>
          <w:kern w:val="0"/>
          <w:sz w:val="24"/>
          <w:szCs w:val="24"/>
        </w:rPr>
        <w:t>《</w:t>
      </w:r>
      <w:r>
        <w:rPr>
          <w:rFonts w:ascii="宋体" w:hAnsi="宋体" w:cs="宋体" w:hint="eastAsia"/>
          <w:kern w:val="0"/>
          <w:sz w:val="24"/>
          <w:szCs w:val="24"/>
        </w:rPr>
        <w:t>华孚时尚股份有限公司</w:t>
      </w:r>
      <w:r>
        <w:rPr>
          <w:rFonts w:ascii="宋体" w:hAnsi="宋体"/>
          <w:kern w:val="0"/>
          <w:sz w:val="24"/>
          <w:szCs w:val="24"/>
        </w:rPr>
        <w:t>章程》（以下简称</w:t>
      </w:r>
      <w:r>
        <w:rPr>
          <w:rFonts w:ascii="宋体" w:hAnsi="宋体" w:hint="eastAsia"/>
          <w:kern w:val="0"/>
          <w:sz w:val="24"/>
          <w:szCs w:val="24"/>
        </w:rPr>
        <w:t>“</w:t>
      </w:r>
      <w:r>
        <w:rPr>
          <w:rFonts w:ascii="宋体" w:hAnsi="宋体"/>
          <w:kern w:val="0"/>
          <w:sz w:val="24"/>
          <w:szCs w:val="24"/>
        </w:rPr>
        <w:t>《公司章程》</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的</w:t>
      </w:r>
      <w:r>
        <w:rPr>
          <w:rFonts w:ascii="宋体" w:hAnsi="宋体"/>
          <w:kern w:val="0"/>
          <w:sz w:val="24"/>
          <w:szCs w:val="24"/>
        </w:rPr>
        <w:t>有关规定</w:t>
      </w:r>
      <w:r>
        <w:rPr>
          <w:rFonts w:ascii="宋体" w:hAnsi="宋体" w:hint="eastAsia"/>
          <w:kern w:val="0"/>
          <w:sz w:val="24"/>
          <w:szCs w:val="24"/>
        </w:rPr>
        <w:t>，</w:t>
      </w:r>
      <w:r>
        <w:rPr>
          <w:rFonts w:ascii="宋体" w:hAnsi="宋体" w:cs="宋体" w:hint="eastAsia"/>
          <w:kern w:val="0"/>
          <w:sz w:val="24"/>
          <w:szCs w:val="24"/>
        </w:rPr>
        <w:t>设立董事会战略委员会（以下简称“战略委员会”或“委员会”），作为负责公司长期发展战略和重大投资决策的专门机构，并制定本议事规则</w:t>
      </w:r>
      <w:r>
        <w:rPr>
          <w:rFonts w:ascii="宋体" w:hAnsi="宋体" w:cs="宋体" w:hint="eastAsia"/>
          <w:kern w:val="0"/>
          <w:sz w:val="24"/>
          <w:szCs w:val="24"/>
        </w:rPr>
        <w:t>。</w:t>
      </w:r>
    </w:p>
    <w:p w14:paraId="63BC2F42"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战略委员会是公司董事会下设的专门委员会。</w:t>
      </w:r>
    </w:p>
    <w:p w14:paraId="131A35F7"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战略委员会主要负责对公司长期发展战略和重大投资决策进行研究并提出建议。</w:t>
      </w:r>
    </w:p>
    <w:p w14:paraId="280E9DCA" w14:textId="77777777" w:rsidR="007C2967" w:rsidRDefault="007C2967">
      <w:pPr>
        <w:autoSpaceDE w:val="0"/>
        <w:autoSpaceDN w:val="0"/>
        <w:adjustRightInd w:val="0"/>
        <w:spacing w:line="360" w:lineRule="auto"/>
        <w:jc w:val="left"/>
        <w:rPr>
          <w:rFonts w:ascii="宋体" w:hAnsi="宋体" w:cs="宋体"/>
          <w:kern w:val="0"/>
          <w:sz w:val="24"/>
          <w:szCs w:val="24"/>
        </w:rPr>
      </w:pPr>
    </w:p>
    <w:p w14:paraId="614C4D9D" w14:textId="77777777" w:rsidR="007C2967" w:rsidRDefault="00472AC0">
      <w:pPr>
        <w:numPr>
          <w:ilvl w:val="0"/>
          <w:numId w:val="14"/>
        </w:numPr>
        <w:tabs>
          <w:tab w:val="clear" w:pos="780"/>
          <w:tab w:val="left" w:pos="1200"/>
        </w:tabs>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 xml:space="preserve"> </w:t>
      </w:r>
      <w:r>
        <w:rPr>
          <w:rFonts w:ascii="宋体" w:hAnsi="宋体" w:cs="宋体" w:hint="eastAsia"/>
          <w:b/>
          <w:kern w:val="0"/>
          <w:sz w:val="28"/>
          <w:szCs w:val="28"/>
        </w:rPr>
        <w:t>人员构成</w:t>
      </w:r>
    </w:p>
    <w:p w14:paraId="1D047E1C" w14:textId="77777777" w:rsidR="007C2967" w:rsidRDefault="007C2967">
      <w:pPr>
        <w:autoSpaceDE w:val="0"/>
        <w:autoSpaceDN w:val="0"/>
        <w:adjustRightInd w:val="0"/>
        <w:spacing w:line="360" w:lineRule="auto"/>
        <w:ind w:left="360"/>
        <w:jc w:val="center"/>
        <w:rPr>
          <w:rFonts w:ascii="宋体" w:hAnsi="宋体" w:cs="宋体"/>
          <w:b/>
          <w:kern w:val="0"/>
          <w:sz w:val="24"/>
          <w:szCs w:val="24"/>
        </w:rPr>
      </w:pPr>
    </w:p>
    <w:p w14:paraId="4EA25312" w14:textId="77777777"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cs="宋体" w:hint="eastAsia"/>
          <w:kern w:val="0"/>
          <w:sz w:val="24"/>
          <w:szCs w:val="24"/>
        </w:rPr>
        <w:t>战略</w:t>
      </w:r>
      <w:r>
        <w:rPr>
          <w:rFonts w:ascii="宋体" w:hAnsi="宋体" w:cs="宋体"/>
          <w:kern w:val="0"/>
          <w:sz w:val="24"/>
          <w:szCs w:val="24"/>
        </w:rPr>
        <w:t>委员会由三名董事组成</w:t>
      </w:r>
      <w:r>
        <w:rPr>
          <w:rFonts w:ascii="宋体" w:hAnsi="宋体" w:cs="宋体" w:hint="eastAsia"/>
          <w:kern w:val="0"/>
          <w:sz w:val="24"/>
          <w:szCs w:val="24"/>
        </w:rPr>
        <w:t>。</w:t>
      </w:r>
      <w:r>
        <w:rPr>
          <w:rFonts w:ascii="宋体" w:hAnsi="宋体" w:cs="宋体"/>
          <w:kern w:val="0"/>
          <w:sz w:val="24"/>
          <w:szCs w:val="24"/>
        </w:rPr>
        <w:t>委员由</w:t>
      </w:r>
      <w:r>
        <w:rPr>
          <w:rFonts w:ascii="宋体" w:hAnsi="宋体" w:cs="宋体" w:hint="eastAsia"/>
          <w:kern w:val="0"/>
          <w:sz w:val="24"/>
          <w:szCs w:val="24"/>
        </w:rPr>
        <w:t>董事长、</w:t>
      </w:r>
      <w:r>
        <w:rPr>
          <w:rFonts w:hint="eastAsia"/>
          <w:sz w:val="24"/>
        </w:rPr>
        <w:t>过半数</w:t>
      </w:r>
      <w:r>
        <w:rPr>
          <w:rFonts w:ascii="宋体" w:hAnsi="宋体" w:cs="宋体"/>
          <w:kern w:val="0"/>
          <w:sz w:val="24"/>
          <w:szCs w:val="24"/>
        </w:rPr>
        <w:t>独立董事或全体董事的三分之一提名，并由董事会会议选举产生。</w:t>
      </w:r>
    </w:p>
    <w:p w14:paraId="59B4A0EF" w14:textId="77777777"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cs="宋体" w:hint="eastAsia"/>
          <w:kern w:val="0"/>
          <w:sz w:val="24"/>
          <w:szCs w:val="24"/>
        </w:rPr>
        <w:t>战略</w:t>
      </w:r>
      <w:r>
        <w:rPr>
          <w:rFonts w:ascii="宋体" w:hAnsi="宋体" w:cs="宋体"/>
          <w:kern w:val="0"/>
          <w:sz w:val="24"/>
          <w:szCs w:val="24"/>
        </w:rPr>
        <w:t>委员会设召集人</w:t>
      </w:r>
      <w:r>
        <w:rPr>
          <w:rFonts w:ascii="宋体" w:hAnsi="宋体" w:cs="宋体" w:hint="eastAsia"/>
          <w:kern w:val="0"/>
          <w:sz w:val="24"/>
          <w:szCs w:val="24"/>
        </w:rPr>
        <w:t>一名</w:t>
      </w:r>
      <w:r>
        <w:rPr>
          <w:rFonts w:ascii="宋体" w:hAnsi="宋体" w:cs="宋体"/>
          <w:kern w:val="0"/>
          <w:sz w:val="24"/>
          <w:szCs w:val="24"/>
        </w:rPr>
        <w:t>，由</w:t>
      </w:r>
      <w:r>
        <w:rPr>
          <w:rFonts w:ascii="宋体" w:hAnsi="宋体" w:cs="宋体" w:hint="eastAsia"/>
          <w:kern w:val="0"/>
          <w:sz w:val="24"/>
          <w:szCs w:val="24"/>
        </w:rPr>
        <w:t>公司董事长</w:t>
      </w:r>
      <w:r>
        <w:rPr>
          <w:rFonts w:ascii="宋体" w:hAnsi="宋体" w:cs="宋体"/>
          <w:kern w:val="0"/>
          <w:sz w:val="24"/>
          <w:szCs w:val="24"/>
        </w:rPr>
        <w:t>担任，</w:t>
      </w:r>
      <w:r>
        <w:rPr>
          <w:rFonts w:ascii="宋体" w:hAnsi="宋体" w:cs="宋体" w:hint="eastAsia"/>
          <w:kern w:val="0"/>
          <w:sz w:val="24"/>
          <w:szCs w:val="24"/>
        </w:rPr>
        <w:t>负责召集和主持战略委员会会议</w:t>
      </w:r>
      <w:r>
        <w:rPr>
          <w:rFonts w:ascii="宋体" w:hAnsi="宋体" w:cs="宋体"/>
          <w:kern w:val="0"/>
          <w:sz w:val="24"/>
          <w:szCs w:val="24"/>
        </w:rPr>
        <w:t>。</w:t>
      </w:r>
    </w:p>
    <w:p w14:paraId="27E7B5B1" w14:textId="2A83D494"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cs="宋体" w:hint="eastAsia"/>
          <w:kern w:val="0"/>
          <w:sz w:val="24"/>
          <w:szCs w:val="24"/>
        </w:rPr>
        <w:t>战略</w:t>
      </w:r>
      <w:r>
        <w:rPr>
          <w:rFonts w:ascii="宋体" w:hAnsi="宋体" w:cs="宋体"/>
          <w:kern w:val="0"/>
          <w:sz w:val="24"/>
          <w:szCs w:val="24"/>
        </w:rPr>
        <w:t>委员会任期与董事会任期一致，委员任期届满，连选可以连任。在该任期内，如有委员不再担任公司董事职务，自动失去委员资格，并由</w:t>
      </w:r>
      <w:r>
        <w:rPr>
          <w:rFonts w:ascii="宋体" w:hAnsi="宋体" w:cs="宋体" w:hint="eastAsia"/>
          <w:kern w:val="0"/>
          <w:sz w:val="24"/>
          <w:szCs w:val="24"/>
        </w:rPr>
        <w:t>公</w:t>
      </w:r>
      <w:r>
        <w:rPr>
          <w:rFonts w:ascii="宋体" w:hAnsi="宋体" w:cs="宋体" w:hint="eastAsia"/>
          <w:kern w:val="0"/>
          <w:sz w:val="24"/>
          <w:szCs w:val="24"/>
        </w:rPr>
        <w:lastRenderedPageBreak/>
        <w:t>司</w:t>
      </w:r>
      <w:r>
        <w:rPr>
          <w:rFonts w:ascii="宋体" w:hAnsi="宋体" w:cs="宋体"/>
          <w:kern w:val="0"/>
          <w:sz w:val="24"/>
          <w:szCs w:val="24"/>
        </w:rPr>
        <w:t>根据本议事规则</w:t>
      </w:r>
      <w:r>
        <w:rPr>
          <w:rFonts w:ascii="宋体" w:hAnsi="宋体" w:cs="宋体"/>
          <w:kern w:val="0"/>
          <w:sz w:val="24"/>
          <w:szCs w:val="24"/>
        </w:rPr>
        <w:t>第</w:t>
      </w:r>
      <w:r>
        <w:rPr>
          <w:rFonts w:ascii="宋体" w:hAnsi="宋体" w:cs="宋体" w:hint="eastAsia"/>
          <w:kern w:val="0"/>
          <w:sz w:val="24"/>
          <w:szCs w:val="24"/>
        </w:rPr>
        <w:t>四</w:t>
      </w:r>
      <w:r>
        <w:rPr>
          <w:rFonts w:ascii="宋体" w:hAnsi="宋体" w:cs="宋体"/>
          <w:kern w:val="0"/>
          <w:sz w:val="24"/>
          <w:szCs w:val="24"/>
        </w:rPr>
        <w:t>条</w:t>
      </w:r>
      <w:r>
        <w:rPr>
          <w:rFonts w:ascii="宋体" w:hAnsi="宋体" w:cs="宋体" w:hint="eastAsia"/>
          <w:kern w:val="0"/>
          <w:sz w:val="24"/>
          <w:szCs w:val="24"/>
        </w:rPr>
        <w:t>、</w:t>
      </w:r>
      <w:r>
        <w:rPr>
          <w:rFonts w:ascii="宋体" w:hAnsi="宋体" w:cs="宋体"/>
          <w:kern w:val="0"/>
          <w:sz w:val="24"/>
          <w:szCs w:val="24"/>
        </w:rPr>
        <w:t>第</w:t>
      </w:r>
      <w:r>
        <w:rPr>
          <w:rFonts w:ascii="宋体" w:hAnsi="宋体" w:cs="宋体" w:hint="eastAsia"/>
          <w:kern w:val="0"/>
          <w:sz w:val="24"/>
          <w:szCs w:val="24"/>
        </w:rPr>
        <w:t>五</w:t>
      </w:r>
      <w:r>
        <w:rPr>
          <w:rFonts w:ascii="宋体" w:hAnsi="宋体" w:cs="宋体"/>
          <w:kern w:val="0"/>
          <w:sz w:val="24"/>
          <w:szCs w:val="24"/>
        </w:rPr>
        <w:t>条</w:t>
      </w:r>
      <w:r>
        <w:rPr>
          <w:rFonts w:ascii="宋体" w:hAnsi="宋体" w:cs="宋体" w:hint="eastAsia"/>
          <w:kern w:val="0"/>
          <w:sz w:val="24"/>
          <w:szCs w:val="24"/>
        </w:rPr>
        <w:t>的</w:t>
      </w:r>
      <w:r>
        <w:rPr>
          <w:rFonts w:ascii="宋体" w:hAnsi="宋体" w:cs="宋体"/>
          <w:kern w:val="0"/>
          <w:sz w:val="24"/>
          <w:szCs w:val="24"/>
        </w:rPr>
        <w:t>规定补足委员人数。</w:t>
      </w:r>
    </w:p>
    <w:p w14:paraId="0E94EEB4" w14:textId="77777777" w:rsidR="007C2967" w:rsidRDefault="007C2967">
      <w:pPr>
        <w:tabs>
          <w:tab w:val="left" w:pos="1620"/>
        </w:tabs>
        <w:spacing w:line="360" w:lineRule="auto"/>
        <w:ind w:left="476"/>
        <w:rPr>
          <w:rFonts w:ascii="宋体" w:hAnsi="宋体" w:cs="宋体"/>
          <w:kern w:val="0"/>
          <w:sz w:val="24"/>
          <w:szCs w:val="24"/>
        </w:rPr>
      </w:pPr>
    </w:p>
    <w:p w14:paraId="42F8C012" w14:textId="77777777" w:rsidR="007C2967" w:rsidRDefault="00472AC0">
      <w:pPr>
        <w:numPr>
          <w:ilvl w:val="0"/>
          <w:numId w:val="14"/>
        </w:numPr>
        <w:tabs>
          <w:tab w:val="clear" w:pos="780"/>
          <w:tab w:val="left" w:pos="1200"/>
        </w:tabs>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职责权限</w:t>
      </w:r>
    </w:p>
    <w:p w14:paraId="52AC6F37" w14:textId="77777777" w:rsidR="007C2967" w:rsidRDefault="007C2967">
      <w:pPr>
        <w:autoSpaceDE w:val="0"/>
        <w:autoSpaceDN w:val="0"/>
        <w:adjustRightInd w:val="0"/>
        <w:spacing w:line="360" w:lineRule="auto"/>
        <w:ind w:left="360"/>
        <w:jc w:val="center"/>
        <w:rPr>
          <w:rFonts w:ascii="宋体" w:hAnsi="宋体" w:cs="宋体"/>
          <w:b/>
          <w:kern w:val="0"/>
          <w:sz w:val="24"/>
          <w:szCs w:val="24"/>
        </w:rPr>
      </w:pPr>
    </w:p>
    <w:p w14:paraId="1B583A77" w14:textId="77777777"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cs="宋体" w:hint="eastAsia"/>
          <w:kern w:val="0"/>
          <w:sz w:val="24"/>
          <w:szCs w:val="24"/>
        </w:rPr>
        <w:t>战略委员会负责对公司长期发展战略和重大投资决策进行研究，并就下列事项向董事会提出建议：</w:t>
      </w:r>
    </w:p>
    <w:p w14:paraId="4D0CD34B" w14:textId="77777777" w:rsidR="007C2967" w:rsidRDefault="00472AC0">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（一）公司的经营管理目标和长期发展战略规划；</w:t>
      </w:r>
    </w:p>
    <w:p w14:paraId="64587244" w14:textId="77777777" w:rsidR="007C2967" w:rsidRDefault="00472AC0">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（二）重大投资、融资方案；</w:t>
      </w:r>
    </w:p>
    <w:p w14:paraId="6198F76B" w14:textId="77777777" w:rsidR="007C2967" w:rsidRDefault="00472AC0">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（三）重大资本运作、资产经营项目；</w:t>
      </w:r>
    </w:p>
    <w:p w14:paraId="577E0290" w14:textId="77777777" w:rsidR="007C2967" w:rsidRDefault="00472AC0">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（四）其他影响公司发展的重大事项进。</w:t>
      </w:r>
    </w:p>
    <w:p w14:paraId="11FA3975" w14:textId="77777777" w:rsidR="007C2967" w:rsidRDefault="00472AC0">
      <w:pPr>
        <w:numPr>
          <w:ilvl w:val="0"/>
          <w:numId w:val="15"/>
        </w:numPr>
        <w:tabs>
          <w:tab w:val="clear" w:pos="720"/>
          <w:tab w:val="left" w:pos="1620"/>
        </w:tabs>
        <w:spacing w:line="360" w:lineRule="auto"/>
        <w:ind w:left="0" w:firstLine="476"/>
        <w:rPr>
          <w:rFonts w:ascii="宋体" w:hAnsi="宋体" w:cs="宋体"/>
          <w:kern w:val="0"/>
          <w:sz w:val="24"/>
          <w:szCs w:val="24"/>
        </w:rPr>
      </w:pPr>
      <w:r>
        <w:rPr>
          <w:rFonts w:ascii="宋体" w:hAnsi="宋体" w:hint="eastAsia"/>
          <w:kern w:val="0"/>
          <w:sz w:val="24"/>
          <w:szCs w:val="24"/>
        </w:rPr>
        <w:t>除另有规定外，战略委员会的提案应当提交董事会审议决定</w:t>
      </w:r>
      <w:r>
        <w:rPr>
          <w:rFonts w:ascii="宋体" w:hAnsi="宋体" w:cs="宋体" w:hint="eastAsia"/>
          <w:kern w:val="0"/>
          <w:sz w:val="24"/>
          <w:szCs w:val="24"/>
        </w:rPr>
        <w:t>。</w:t>
      </w:r>
    </w:p>
    <w:p w14:paraId="25F1C2B4" w14:textId="77777777" w:rsidR="007C2967" w:rsidRDefault="007C2967">
      <w:pPr>
        <w:autoSpaceDE w:val="0"/>
        <w:autoSpaceDN w:val="0"/>
        <w:adjustRightInd w:val="0"/>
        <w:spacing w:line="360" w:lineRule="auto"/>
        <w:ind w:firstLineChars="200" w:firstLine="480"/>
        <w:jc w:val="left"/>
        <w:rPr>
          <w:rFonts w:ascii="宋体" w:hAnsi="宋体" w:cs="宋体"/>
          <w:kern w:val="0"/>
          <w:sz w:val="24"/>
          <w:szCs w:val="24"/>
        </w:rPr>
      </w:pPr>
    </w:p>
    <w:p w14:paraId="25FBEBE5" w14:textId="77777777" w:rsidR="007C2967" w:rsidRDefault="00472AC0">
      <w:pPr>
        <w:numPr>
          <w:ilvl w:val="0"/>
          <w:numId w:val="14"/>
        </w:numPr>
        <w:tabs>
          <w:tab w:val="clear" w:pos="780"/>
          <w:tab w:val="left" w:pos="1200"/>
        </w:tabs>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议事规则</w:t>
      </w:r>
    </w:p>
    <w:p w14:paraId="0D59E2B7" w14:textId="77777777" w:rsidR="007C2967" w:rsidRDefault="007C2967">
      <w:pPr>
        <w:spacing w:line="360" w:lineRule="auto"/>
        <w:rPr>
          <w:rFonts w:ascii="宋体" w:hAnsi="宋体"/>
          <w:kern w:val="0"/>
          <w:sz w:val="24"/>
          <w:szCs w:val="24"/>
        </w:rPr>
      </w:pPr>
    </w:p>
    <w:p w14:paraId="1C7335EE"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kern w:val="0"/>
          <w:sz w:val="24"/>
          <w:szCs w:val="24"/>
        </w:rPr>
        <w:t>战略委员会会议根据工作需要，采用不定期方式召开委员会全体会议。</w:t>
      </w:r>
      <w:r>
        <w:rPr>
          <w:rFonts w:ascii="宋体" w:hAnsi="宋体" w:hint="eastAsia"/>
          <w:kern w:val="0"/>
          <w:sz w:val="24"/>
          <w:szCs w:val="24"/>
        </w:rPr>
        <w:t>战略委员会召开</w:t>
      </w:r>
      <w:r>
        <w:rPr>
          <w:rFonts w:ascii="宋体" w:hAnsi="宋体"/>
          <w:kern w:val="0"/>
          <w:sz w:val="24"/>
          <w:szCs w:val="24"/>
        </w:rPr>
        <w:t>会议</w:t>
      </w:r>
      <w:r>
        <w:rPr>
          <w:rFonts w:ascii="宋体" w:hAnsi="宋体" w:hint="eastAsia"/>
          <w:kern w:val="0"/>
          <w:sz w:val="24"/>
          <w:szCs w:val="24"/>
        </w:rPr>
        <w:t>，公司原则上</w:t>
      </w:r>
      <w:r>
        <w:rPr>
          <w:rFonts w:ascii="宋体" w:hAnsi="宋体"/>
          <w:kern w:val="0"/>
          <w:sz w:val="24"/>
          <w:szCs w:val="24"/>
        </w:rPr>
        <w:t>应提前三天通知全体委员</w:t>
      </w:r>
      <w:r>
        <w:rPr>
          <w:rFonts w:ascii="宋体" w:hAnsi="宋体" w:cs="Arial" w:hint="eastAsia"/>
          <w:kern w:val="0"/>
          <w:sz w:val="24"/>
          <w:szCs w:val="24"/>
        </w:rPr>
        <w:t>并</w:t>
      </w:r>
      <w:r>
        <w:rPr>
          <w:rFonts w:ascii="宋体" w:hAnsi="宋体" w:cs="Arial"/>
          <w:kern w:val="0"/>
          <w:sz w:val="24"/>
          <w:szCs w:val="24"/>
        </w:rPr>
        <w:t>提供相关资料和信息</w:t>
      </w:r>
      <w:r>
        <w:rPr>
          <w:rFonts w:ascii="宋体" w:hAnsi="宋体"/>
          <w:kern w:val="0"/>
          <w:sz w:val="24"/>
          <w:szCs w:val="24"/>
        </w:rPr>
        <w:t>。经全体委员一致同意，前述通知期可以豁免。</w:t>
      </w:r>
    </w:p>
    <w:p w14:paraId="49D05A7D"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会议通知应包括如下内容：</w:t>
      </w:r>
    </w:p>
    <w:p w14:paraId="7310865E"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（一）会议召开时间、地点、</w:t>
      </w:r>
      <w:r>
        <w:rPr>
          <w:rFonts w:ascii="宋体" w:hAnsi="宋体" w:cs="Arial" w:hint="eastAsia"/>
          <w:sz w:val="24"/>
        </w:rPr>
        <w:t>方式、召集人</w:t>
      </w:r>
      <w:r>
        <w:rPr>
          <w:rFonts w:ascii="宋体" w:hAnsi="宋体" w:hint="eastAsia"/>
          <w:kern w:val="0"/>
          <w:sz w:val="24"/>
          <w:szCs w:val="24"/>
        </w:rPr>
        <w:t>；</w:t>
      </w:r>
    </w:p>
    <w:p w14:paraId="32281E33"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（二）会议期限；</w:t>
      </w:r>
    </w:p>
    <w:p w14:paraId="021AF8A5"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（三）会议需要讨论的议题；</w:t>
      </w:r>
    </w:p>
    <w:p w14:paraId="4E4195ED"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（四）会议联系人及联系方式；</w:t>
      </w:r>
    </w:p>
    <w:p w14:paraId="1C26B544"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（五）会议通知的日期。</w:t>
      </w:r>
    </w:p>
    <w:p w14:paraId="7326163B"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kern w:val="0"/>
          <w:sz w:val="24"/>
          <w:szCs w:val="24"/>
        </w:rPr>
        <w:t>战略委员会会议可采用专人或邮件送出等方式进行通知。</w:t>
      </w:r>
    </w:p>
    <w:p w14:paraId="0CDCEB15"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kern w:val="0"/>
          <w:sz w:val="24"/>
          <w:szCs w:val="24"/>
        </w:rPr>
        <w:t>战略委员会</w:t>
      </w:r>
      <w:r>
        <w:rPr>
          <w:rFonts w:ascii="宋体" w:hAnsi="宋体" w:hint="eastAsia"/>
          <w:kern w:val="0"/>
          <w:sz w:val="24"/>
          <w:szCs w:val="24"/>
        </w:rPr>
        <w:t>召集人</w:t>
      </w:r>
      <w:r>
        <w:rPr>
          <w:rFonts w:ascii="宋体" w:hAnsi="宋体"/>
          <w:kern w:val="0"/>
          <w:sz w:val="24"/>
          <w:szCs w:val="24"/>
        </w:rPr>
        <w:t>负责召集和主持战略委员会会议，当</w:t>
      </w:r>
      <w:r>
        <w:rPr>
          <w:rFonts w:ascii="宋体" w:hAnsi="宋体" w:hint="eastAsia"/>
          <w:kern w:val="0"/>
          <w:sz w:val="24"/>
          <w:szCs w:val="24"/>
        </w:rPr>
        <w:t>召集人</w:t>
      </w:r>
      <w:r>
        <w:rPr>
          <w:rFonts w:ascii="宋体" w:hAnsi="宋体"/>
          <w:kern w:val="0"/>
          <w:sz w:val="24"/>
          <w:szCs w:val="24"/>
        </w:rPr>
        <w:t>不能或无法履行职责时，由其指定一名其他委员代行其职权；</w:t>
      </w:r>
      <w:r>
        <w:rPr>
          <w:rFonts w:ascii="宋体" w:hAnsi="宋体" w:hint="eastAsia"/>
          <w:kern w:val="0"/>
          <w:sz w:val="24"/>
          <w:szCs w:val="24"/>
        </w:rPr>
        <w:t>召集人</w:t>
      </w:r>
      <w:r>
        <w:rPr>
          <w:rFonts w:ascii="宋体" w:hAnsi="宋体"/>
          <w:kern w:val="0"/>
          <w:sz w:val="24"/>
          <w:szCs w:val="24"/>
        </w:rPr>
        <w:t>既不履行职责，也不指定其他委员代行其职责时，任何一名委员均可将有关情况向公司董事会报告，由公司董事会指定一名委员履行战略委员会召集人职责。</w:t>
      </w:r>
    </w:p>
    <w:p w14:paraId="4F9AAF4B"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kern w:val="0"/>
          <w:sz w:val="24"/>
          <w:szCs w:val="24"/>
        </w:rPr>
        <w:t>战略委员会</w:t>
      </w:r>
      <w:r>
        <w:rPr>
          <w:rFonts w:ascii="宋体" w:hAnsi="宋体" w:hint="eastAsia"/>
          <w:kern w:val="0"/>
          <w:sz w:val="24"/>
          <w:szCs w:val="24"/>
        </w:rPr>
        <w:t>会议须有三</w:t>
      </w:r>
      <w:r>
        <w:rPr>
          <w:rFonts w:ascii="宋体" w:hAnsi="宋体"/>
          <w:kern w:val="0"/>
          <w:sz w:val="24"/>
          <w:szCs w:val="24"/>
        </w:rPr>
        <w:t>分之</w:t>
      </w:r>
      <w:r>
        <w:rPr>
          <w:rFonts w:ascii="宋体" w:hAnsi="宋体" w:hint="eastAsia"/>
          <w:kern w:val="0"/>
          <w:sz w:val="24"/>
          <w:szCs w:val="24"/>
        </w:rPr>
        <w:t>二</w:t>
      </w:r>
      <w:r>
        <w:rPr>
          <w:rFonts w:ascii="宋体" w:hAnsi="宋体"/>
          <w:kern w:val="0"/>
          <w:sz w:val="24"/>
          <w:szCs w:val="24"/>
        </w:rPr>
        <w:t>以上委员出席方可举行。战略委员</w:t>
      </w:r>
      <w:r>
        <w:rPr>
          <w:rFonts w:ascii="宋体" w:hAnsi="宋体"/>
          <w:kern w:val="0"/>
          <w:sz w:val="24"/>
          <w:szCs w:val="24"/>
        </w:rPr>
        <w:lastRenderedPageBreak/>
        <w:t>会委员</w:t>
      </w:r>
      <w:r>
        <w:rPr>
          <w:rFonts w:ascii="宋体" w:hAnsi="宋体" w:hint="eastAsia"/>
          <w:kern w:val="0"/>
          <w:sz w:val="24"/>
          <w:szCs w:val="24"/>
        </w:rPr>
        <w:t>应当</w:t>
      </w:r>
      <w:r>
        <w:rPr>
          <w:rFonts w:ascii="宋体" w:hAnsi="宋体"/>
          <w:kern w:val="0"/>
          <w:sz w:val="24"/>
          <w:szCs w:val="24"/>
        </w:rPr>
        <w:t>亲自出席会议，</w:t>
      </w:r>
      <w:r>
        <w:rPr>
          <w:rFonts w:ascii="宋体" w:hAnsi="宋体" w:cs="Arial"/>
          <w:kern w:val="0"/>
          <w:sz w:val="24"/>
          <w:szCs w:val="24"/>
        </w:rPr>
        <w:t>因故不能亲自出席会议的，应当事先审阅会议材料，形成明确的意见，</w:t>
      </w:r>
      <w:r>
        <w:rPr>
          <w:rFonts w:ascii="宋体" w:hAnsi="宋体" w:hint="eastAsia"/>
          <w:kern w:val="0"/>
          <w:sz w:val="24"/>
          <w:szCs w:val="24"/>
        </w:rPr>
        <w:t>并</w:t>
      </w:r>
      <w:r>
        <w:rPr>
          <w:rFonts w:ascii="宋体" w:hAnsi="宋体"/>
          <w:kern w:val="0"/>
          <w:sz w:val="24"/>
          <w:szCs w:val="24"/>
        </w:rPr>
        <w:t>书面委托其他委员代为出席会议。战略委员会委员委托其他委员代为出席会议的，应向召集人提交授权委托书，授权委托书应当载明代理人姓名、代理事项、代理权限和有效期限，并由委托人签名或盖章。授权委托书应不迟于会议表决前提交给会议主持人。</w:t>
      </w:r>
    </w:p>
    <w:p w14:paraId="1C851D42"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战略委员会委员既不亲自出席会议，也未委托其他委员代为出席会议的，视为未出席相关会议。委员连续两次不出席会议的，视为不能适当履行职权，公司董事会可以撤销其委员职务。</w:t>
      </w:r>
    </w:p>
    <w:p w14:paraId="4A796149"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董事会秘书</w:t>
      </w:r>
      <w:r>
        <w:rPr>
          <w:rFonts w:ascii="宋体" w:hAnsi="宋体"/>
          <w:kern w:val="0"/>
          <w:sz w:val="24"/>
          <w:szCs w:val="24"/>
        </w:rPr>
        <w:t>可以列席</w:t>
      </w:r>
      <w:r>
        <w:rPr>
          <w:rFonts w:ascii="宋体" w:hAnsi="宋体" w:hint="eastAsia"/>
          <w:kern w:val="0"/>
          <w:sz w:val="24"/>
          <w:szCs w:val="24"/>
        </w:rPr>
        <w:t>战略</w:t>
      </w:r>
      <w:r>
        <w:rPr>
          <w:rFonts w:ascii="宋体" w:hAnsi="宋体"/>
          <w:kern w:val="0"/>
          <w:sz w:val="24"/>
          <w:szCs w:val="24"/>
        </w:rPr>
        <w:t>委员会会议。如有必要，</w:t>
      </w:r>
      <w:r>
        <w:rPr>
          <w:rFonts w:ascii="宋体" w:hAnsi="宋体" w:hint="eastAsia"/>
          <w:kern w:val="0"/>
          <w:sz w:val="24"/>
          <w:szCs w:val="24"/>
        </w:rPr>
        <w:t>战略</w:t>
      </w:r>
      <w:r>
        <w:rPr>
          <w:rFonts w:ascii="宋体" w:hAnsi="宋体"/>
          <w:kern w:val="0"/>
          <w:sz w:val="24"/>
          <w:szCs w:val="24"/>
        </w:rPr>
        <w:t>委员会可邀请公司董事及高级管理人员列席会议</w:t>
      </w:r>
      <w:r>
        <w:rPr>
          <w:rFonts w:ascii="宋体" w:hAnsi="宋体" w:hint="eastAsia"/>
          <w:kern w:val="0"/>
          <w:sz w:val="24"/>
          <w:szCs w:val="24"/>
        </w:rPr>
        <w:t>，</w:t>
      </w:r>
      <w:r>
        <w:rPr>
          <w:rFonts w:ascii="宋体" w:hAnsi="宋体"/>
          <w:kern w:val="0"/>
          <w:sz w:val="24"/>
          <w:szCs w:val="24"/>
        </w:rPr>
        <w:t>但非战略委员会委员对议案没有表决权。</w:t>
      </w:r>
    </w:p>
    <w:p w14:paraId="7C07A99B"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如有必要，战略委员会可以聘请中介机构为其决策提供专业意见，费用由公司支付。</w:t>
      </w:r>
    </w:p>
    <w:p w14:paraId="010260AF"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战略委员会所作决议应经全体委员的过半数通过方为有效。战略委员会委员每人享有一票表决权。</w:t>
      </w:r>
    </w:p>
    <w:p w14:paraId="2B5B8836"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出席会议的委员应本着认真负责的态度，对议案进行审议并充分表达个人意见；委员对其个人的投票表决承担责任。</w:t>
      </w:r>
    </w:p>
    <w:p w14:paraId="1441CD9A"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战略委员会会议以现场召开为原则。在保证全体</w:t>
      </w:r>
      <w:proofErr w:type="gramStart"/>
      <w:r>
        <w:rPr>
          <w:rFonts w:ascii="宋体" w:hAnsi="宋体"/>
          <w:kern w:val="0"/>
          <w:sz w:val="24"/>
          <w:szCs w:val="24"/>
        </w:rPr>
        <w:t>参会</w:t>
      </w:r>
      <w:r>
        <w:rPr>
          <w:rFonts w:ascii="宋体" w:hAnsi="宋体" w:hint="eastAsia"/>
          <w:kern w:val="0"/>
          <w:sz w:val="24"/>
          <w:szCs w:val="24"/>
        </w:rPr>
        <w:t>委员</w:t>
      </w:r>
      <w:proofErr w:type="gramEnd"/>
      <w:r>
        <w:rPr>
          <w:rFonts w:ascii="宋体" w:hAnsi="宋体"/>
          <w:kern w:val="0"/>
          <w:sz w:val="24"/>
          <w:szCs w:val="24"/>
        </w:rPr>
        <w:t>能够充分沟通并表达意见的前提下，必要时可以采用</w:t>
      </w:r>
      <w:r>
        <w:rPr>
          <w:rFonts w:ascii="宋体" w:hAnsi="宋体" w:hint="eastAsia"/>
          <w:kern w:val="0"/>
          <w:sz w:val="24"/>
          <w:szCs w:val="24"/>
        </w:rPr>
        <w:t>电子通信、</w:t>
      </w:r>
      <w:proofErr w:type="gramStart"/>
      <w:r>
        <w:rPr>
          <w:rFonts w:ascii="宋体" w:hAnsi="宋体" w:hint="eastAsia"/>
          <w:kern w:val="0"/>
          <w:sz w:val="24"/>
          <w:szCs w:val="24"/>
        </w:rPr>
        <w:t>传签等</w:t>
      </w:r>
      <w:proofErr w:type="gramEnd"/>
      <w:r>
        <w:rPr>
          <w:rFonts w:ascii="宋体" w:hAnsi="宋体"/>
          <w:kern w:val="0"/>
          <w:sz w:val="24"/>
          <w:szCs w:val="24"/>
        </w:rPr>
        <w:t>方式召开。</w:t>
      </w:r>
    </w:p>
    <w:p w14:paraId="497BC799"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战略委员会会议通过的议案及表决结果，应</w:t>
      </w:r>
      <w:r>
        <w:rPr>
          <w:rFonts w:ascii="宋体" w:hAnsi="宋体" w:hint="eastAsia"/>
          <w:kern w:val="0"/>
          <w:sz w:val="24"/>
          <w:szCs w:val="24"/>
        </w:rPr>
        <w:t>及时</w:t>
      </w:r>
      <w:r>
        <w:rPr>
          <w:rFonts w:ascii="宋体" w:hAnsi="宋体"/>
          <w:kern w:val="0"/>
          <w:sz w:val="24"/>
          <w:szCs w:val="24"/>
        </w:rPr>
        <w:t>以书面形式报公司董事会。</w:t>
      </w:r>
    </w:p>
    <w:p w14:paraId="7EEB90DC"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战略委员会会议应当按规定制作会议记录，</w:t>
      </w:r>
      <w:r>
        <w:rPr>
          <w:rFonts w:ascii="宋体" w:hAnsi="宋体" w:hint="eastAsia"/>
          <w:kern w:val="0"/>
          <w:sz w:val="24"/>
          <w:szCs w:val="24"/>
        </w:rPr>
        <w:t>会议记录应当真实、准确、完整，充分反映与会人员对所审议事项提出的意见</w:t>
      </w:r>
      <w:r>
        <w:rPr>
          <w:rFonts w:ascii="宋体" w:hAnsi="宋体"/>
          <w:kern w:val="0"/>
          <w:sz w:val="24"/>
          <w:szCs w:val="24"/>
        </w:rPr>
        <w:t>，出席会议的委员和会议记录人应当在会议记录上签名。出席会议的委员有权要求在记录上对其在会议上的发</w:t>
      </w:r>
      <w:r>
        <w:rPr>
          <w:rFonts w:ascii="宋体" w:hAnsi="宋体"/>
          <w:kern w:val="0"/>
          <w:sz w:val="24"/>
          <w:szCs w:val="24"/>
        </w:rPr>
        <w:t>言做出说明性记载。</w:t>
      </w:r>
      <w:r>
        <w:rPr>
          <w:rFonts w:ascii="宋体" w:hAnsi="宋体" w:hint="eastAsia"/>
          <w:kern w:val="0"/>
          <w:sz w:val="24"/>
          <w:szCs w:val="24"/>
        </w:rPr>
        <w:t>与会委员对会议决议持异议的，应在会议记录或会议纪要上予以注明。</w:t>
      </w:r>
    </w:p>
    <w:p w14:paraId="335CF515"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战略委员会会议记录作为公司档案由董事会秘书负责保存，保存期</w:t>
      </w:r>
      <w:r>
        <w:rPr>
          <w:rFonts w:ascii="宋体" w:hAnsi="宋体" w:hint="eastAsia"/>
          <w:kern w:val="0"/>
          <w:sz w:val="24"/>
          <w:szCs w:val="24"/>
        </w:rPr>
        <w:t>不少于</w:t>
      </w:r>
      <w:r>
        <w:rPr>
          <w:rFonts w:ascii="宋体" w:hAnsi="宋体"/>
          <w:kern w:val="0"/>
          <w:sz w:val="24"/>
          <w:szCs w:val="24"/>
        </w:rPr>
        <w:t>十年。</w:t>
      </w:r>
    </w:p>
    <w:p w14:paraId="550B8FE4"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会议记录应至少包括以下内容：</w:t>
      </w:r>
    </w:p>
    <w:p w14:paraId="17EEBE46"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（一）会议召开的日期、地点和召集人姓名；</w:t>
      </w:r>
    </w:p>
    <w:p w14:paraId="452D75BE"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（二）出席会议人员的姓名，受他人委托出席会议的应特别注明；</w:t>
      </w:r>
    </w:p>
    <w:p w14:paraId="1A5B747A"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（三）会议议程；</w:t>
      </w:r>
    </w:p>
    <w:p w14:paraId="60885F11"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（四）委员发言要点；</w:t>
      </w:r>
    </w:p>
    <w:p w14:paraId="3E339EE2"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（五）每一决议事项或议案的表决方式和载明赞成、反对或弃权的票数的表决结果；</w:t>
      </w:r>
    </w:p>
    <w:p w14:paraId="06FCE5D1"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（六）其他应当在会议记录中说明和记载的事项。</w:t>
      </w:r>
    </w:p>
    <w:p w14:paraId="586F64A2" w14:textId="77777777"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战略委员会委员对于了解到的公司相关信息，在该等信息尚未</w:t>
      </w:r>
      <w:r>
        <w:rPr>
          <w:rFonts w:ascii="宋体" w:hAnsi="宋体"/>
          <w:kern w:val="0"/>
          <w:sz w:val="24"/>
          <w:szCs w:val="24"/>
        </w:rPr>
        <w:t>公开之前，负有保密义务。</w:t>
      </w:r>
    </w:p>
    <w:p w14:paraId="335BA436" w14:textId="77777777" w:rsidR="007C2967" w:rsidRDefault="007C2967">
      <w:pPr>
        <w:spacing w:line="360" w:lineRule="auto"/>
        <w:rPr>
          <w:rFonts w:ascii="宋体" w:hAnsi="宋体"/>
          <w:kern w:val="0"/>
          <w:sz w:val="24"/>
          <w:szCs w:val="24"/>
        </w:rPr>
      </w:pPr>
    </w:p>
    <w:p w14:paraId="7F1CE8C4" w14:textId="77777777" w:rsidR="007C2967" w:rsidRDefault="00472AC0">
      <w:pPr>
        <w:numPr>
          <w:ilvl w:val="0"/>
          <w:numId w:val="14"/>
        </w:numPr>
        <w:tabs>
          <w:tab w:val="clear" w:pos="780"/>
          <w:tab w:val="left" w:pos="1200"/>
        </w:tabs>
        <w:autoSpaceDE w:val="0"/>
        <w:autoSpaceDN w:val="0"/>
        <w:adjustRightInd w:val="0"/>
        <w:spacing w:line="360" w:lineRule="auto"/>
        <w:jc w:val="center"/>
        <w:rPr>
          <w:rFonts w:ascii="宋体" w:hAnsi="宋体" w:cs="宋体"/>
          <w:b/>
          <w:kern w:val="0"/>
          <w:sz w:val="28"/>
          <w:szCs w:val="28"/>
        </w:rPr>
      </w:pPr>
      <w:r>
        <w:rPr>
          <w:rFonts w:ascii="宋体" w:hAnsi="宋体" w:cs="宋体" w:hint="eastAsia"/>
          <w:b/>
          <w:kern w:val="0"/>
          <w:sz w:val="28"/>
          <w:szCs w:val="28"/>
        </w:rPr>
        <w:t>附</w:t>
      </w:r>
      <w:r>
        <w:rPr>
          <w:rFonts w:ascii="宋体" w:hAnsi="宋体" w:cs="宋体" w:hint="eastAsia"/>
          <w:b/>
          <w:kern w:val="0"/>
          <w:sz w:val="28"/>
          <w:szCs w:val="28"/>
        </w:rPr>
        <w:t xml:space="preserve"> </w:t>
      </w:r>
      <w:r>
        <w:rPr>
          <w:rFonts w:ascii="宋体" w:hAnsi="宋体" w:cs="宋体" w:hint="eastAsia"/>
          <w:b/>
          <w:kern w:val="0"/>
          <w:sz w:val="28"/>
          <w:szCs w:val="28"/>
        </w:rPr>
        <w:t>则</w:t>
      </w:r>
    </w:p>
    <w:p w14:paraId="103A33B6" w14:textId="77777777" w:rsidR="007C2967" w:rsidRDefault="007C2967">
      <w:pPr>
        <w:autoSpaceDE w:val="0"/>
        <w:autoSpaceDN w:val="0"/>
        <w:adjustRightInd w:val="0"/>
        <w:spacing w:line="360" w:lineRule="auto"/>
        <w:jc w:val="center"/>
        <w:rPr>
          <w:rFonts w:ascii="宋体" w:hAnsi="宋体"/>
          <w:b/>
          <w:kern w:val="0"/>
          <w:sz w:val="24"/>
          <w:szCs w:val="24"/>
        </w:rPr>
      </w:pPr>
    </w:p>
    <w:p w14:paraId="34F7AA66" w14:textId="05C2C679"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kern w:val="0"/>
          <w:sz w:val="24"/>
          <w:szCs w:val="24"/>
        </w:rPr>
        <w:t>未尽事宜，依照国家有关法律、行政法规、部门规章、其他规范性文件及《公司章程》的有关规定执行</w:t>
      </w:r>
      <w:r>
        <w:rPr>
          <w:rFonts w:ascii="宋体" w:hAnsi="宋体" w:hint="eastAsia"/>
          <w:kern w:val="0"/>
          <w:sz w:val="24"/>
          <w:szCs w:val="24"/>
        </w:rPr>
        <w:t>。</w:t>
      </w:r>
    </w:p>
    <w:p w14:paraId="6DDF36D3" w14:textId="175A705C"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hint="eastAsia"/>
          <w:kern w:val="0"/>
          <w:sz w:val="24"/>
          <w:szCs w:val="24"/>
        </w:rPr>
        <w:t>由</w:t>
      </w:r>
      <w:r>
        <w:rPr>
          <w:rFonts w:ascii="宋体" w:hAnsi="宋体"/>
          <w:kern w:val="0"/>
          <w:sz w:val="24"/>
          <w:szCs w:val="24"/>
        </w:rPr>
        <w:t>董事会</w:t>
      </w:r>
      <w:r>
        <w:rPr>
          <w:rFonts w:ascii="宋体" w:hAnsi="宋体" w:hint="eastAsia"/>
          <w:kern w:val="0"/>
          <w:sz w:val="24"/>
          <w:szCs w:val="24"/>
        </w:rPr>
        <w:t>负责解释</w:t>
      </w:r>
      <w:r>
        <w:rPr>
          <w:rFonts w:ascii="宋体" w:hAnsi="宋体"/>
          <w:kern w:val="0"/>
          <w:sz w:val="24"/>
          <w:szCs w:val="24"/>
        </w:rPr>
        <w:t>。</w:t>
      </w:r>
    </w:p>
    <w:p w14:paraId="0464EDE1" w14:textId="0C194E8B" w:rsidR="007C2967" w:rsidRDefault="00472AC0">
      <w:pPr>
        <w:numPr>
          <w:ilvl w:val="0"/>
          <w:numId w:val="15"/>
        </w:numPr>
        <w:tabs>
          <w:tab w:val="clear" w:pos="720"/>
          <w:tab w:val="left" w:pos="1620"/>
        </w:tabs>
        <w:spacing w:line="360" w:lineRule="auto"/>
        <w:ind w:left="0" w:firstLine="476"/>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w:t>
      </w:r>
      <w:proofErr w:type="gramStart"/>
      <w:r>
        <w:rPr>
          <w:rFonts w:ascii="宋体" w:hAnsi="宋体" w:hint="eastAsia"/>
          <w:kern w:val="0"/>
          <w:sz w:val="24"/>
          <w:szCs w:val="24"/>
        </w:rPr>
        <w:t>规则</w:t>
      </w:r>
      <w:r>
        <w:rPr>
          <w:rFonts w:ascii="宋体" w:hAnsi="宋体"/>
          <w:kern w:val="0"/>
          <w:sz w:val="24"/>
          <w:szCs w:val="24"/>
        </w:rPr>
        <w:t>经</w:t>
      </w:r>
      <w:proofErr w:type="gramEnd"/>
      <w:r>
        <w:rPr>
          <w:rFonts w:ascii="宋体" w:hAnsi="宋体" w:hint="eastAsia"/>
          <w:kern w:val="0"/>
          <w:sz w:val="24"/>
          <w:szCs w:val="24"/>
        </w:rPr>
        <w:t>董事会</w:t>
      </w:r>
      <w:r>
        <w:rPr>
          <w:rFonts w:ascii="宋体" w:hAnsi="宋体"/>
          <w:kern w:val="0"/>
          <w:sz w:val="24"/>
          <w:szCs w:val="24"/>
        </w:rPr>
        <w:t>审议通过</w:t>
      </w:r>
      <w:r>
        <w:rPr>
          <w:rFonts w:ascii="宋体" w:hAnsi="宋体" w:cs="Arial" w:hint="eastAsia"/>
          <w:sz w:val="24"/>
        </w:rPr>
        <w:t>之日起生效实施</w:t>
      </w:r>
      <w:r>
        <w:rPr>
          <w:rFonts w:ascii="宋体" w:hAnsi="宋体"/>
          <w:kern w:val="0"/>
          <w:sz w:val="24"/>
          <w:szCs w:val="24"/>
        </w:rPr>
        <w:t>。</w:t>
      </w:r>
    </w:p>
    <w:p w14:paraId="0AAA5E6D" w14:textId="77777777" w:rsidR="007C2967" w:rsidRDefault="007C2967">
      <w:pPr>
        <w:widowControl/>
        <w:wordWrap w:val="0"/>
        <w:spacing w:after="360" w:line="320" w:lineRule="atLeast"/>
        <w:jc w:val="right"/>
        <w:rPr>
          <w:rFonts w:ascii="Arial" w:eastAsia="楷体_GB2312" w:hAnsi="Arial"/>
          <w:kern w:val="0"/>
          <w:sz w:val="24"/>
        </w:rPr>
      </w:pPr>
    </w:p>
    <w:p w14:paraId="6CDB0A44" w14:textId="77777777" w:rsidR="007C2967" w:rsidRDefault="007C2967">
      <w:pPr>
        <w:adjustRightInd w:val="0"/>
        <w:snapToGrid w:val="0"/>
        <w:spacing w:line="360" w:lineRule="auto"/>
        <w:jc w:val="center"/>
        <w:rPr>
          <w:rFonts w:ascii="宋体" w:hAnsi="宋体"/>
          <w:b/>
          <w:sz w:val="28"/>
          <w:szCs w:val="28"/>
        </w:rPr>
      </w:pPr>
    </w:p>
    <w:p w14:paraId="63EED600" w14:textId="77777777" w:rsidR="007C2967" w:rsidRDefault="007C2967">
      <w:pPr>
        <w:adjustRightInd w:val="0"/>
        <w:snapToGrid w:val="0"/>
        <w:spacing w:line="360" w:lineRule="auto"/>
        <w:jc w:val="center"/>
        <w:rPr>
          <w:rFonts w:ascii="宋体" w:hAnsi="宋体"/>
          <w:b/>
          <w:sz w:val="28"/>
          <w:szCs w:val="28"/>
        </w:rPr>
      </w:pPr>
    </w:p>
    <w:p w14:paraId="154CBD09" w14:textId="77777777" w:rsidR="007C2967" w:rsidRDefault="007C2967">
      <w:pPr>
        <w:adjustRightInd w:val="0"/>
        <w:snapToGrid w:val="0"/>
        <w:spacing w:line="360" w:lineRule="auto"/>
        <w:jc w:val="center"/>
        <w:rPr>
          <w:rFonts w:ascii="宋体" w:hAnsi="宋体"/>
          <w:b/>
          <w:sz w:val="28"/>
          <w:szCs w:val="28"/>
        </w:rPr>
      </w:pPr>
    </w:p>
    <w:p w14:paraId="14EA4E53" w14:textId="77777777" w:rsidR="007C2967" w:rsidRDefault="007C2967">
      <w:pPr>
        <w:adjustRightInd w:val="0"/>
        <w:snapToGrid w:val="0"/>
        <w:spacing w:line="360" w:lineRule="auto"/>
        <w:jc w:val="center"/>
        <w:rPr>
          <w:rFonts w:ascii="宋体" w:hAnsi="宋体"/>
          <w:b/>
          <w:sz w:val="28"/>
          <w:szCs w:val="28"/>
        </w:rPr>
      </w:pPr>
    </w:p>
    <w:p w14:paraId="10AE6CD3" w14:textId="77777777" w:rsidR="007C2967" w:rsidRDefault="007C2967">
      <w:pPr>
        <w:adjustRightInd w:val="0"/>
        <w:snapToGrid w:val="0"/>
        <w:spacing w:line="360" w:lineRule="auto"/>
        <w:jc w:val="center"/>
        <w:rPr>
          <w:rFonts w:ascii="宋体" w:hAnsi="宋体"/>
          <w:b/>
          <w:sz w:val="28"/>
          <w:szCs w:val="28"/>
        </w:rPr>
      </w:pPr>
    </w:p>
    <w:p w14:paraId="46F3F14F" w14:textId="77777777" w:rsidR="007C2967" w:rsidRDefault="007C2967">
      <w:pPr>
        <w:adjustRightInd w:val="0"/>
        <w:snapToGrid w:val="0"/>
        <w:spacing w:line="360" w:lineRule="auto"/>
        <w:jc w:val="center"/>
        <w:rPr>
          <w:rFonts w:ascii="宋体" w:hAnsi="宋体"/>
          <w:b/>
          <w:sz w:val="28"/>
          <w:szCs w:val="28"/>
        </w:rPr>
      </w:pPr>
    </w:p>
    <w:p w14:paraId="34D09B35" w14:textId="77777777" w:rsidR="007C2967" w:rsidRDefault="007C2967">
      <w:pPr>
        <w:adjustRightInd w:val="0"/>
        <w:snapToGrid w:val="0"/>
        <w:spacing w:line="360" w:lineRule="auto"/>
        <w:jc w:val="center"/>
        <w:rPr>
          <w:rFonts w:ascii="宋体" w:hAnsi="宋体"/>
          <w:b/>
          <w:sz w:val="28"/>
          <w:szCs w:val="28"/>
        </w:rPr>
      </w:pPr>
    </w:p>
    <w:p w14:paraId="488E5C66" w14:textId="77777777" w:rsidR="007C2967" w:rsidRDefault="007C2967">
      <w:pPr>
        <w:adjustRightInd w:val="0"/>
        <w:snapToGrid w:val="0"/>
        <w:spacing w:line="360" w:lineRule="auto"/>
        <w:jc w:val="center"/>
        <w:rPr>
          <w:rFonts w:ascii="宋体" w:hAnsi="宋体"/>
          <w:b/>
          <w:sz w:val="28"/>
          <w:szCs w:val="28"/>
        </w:rPr>
      </w:pPr>
    </w:p>
    <w:p w14:paraId="373537A0" w14:textId="77777777" w:rsidR="007C2967" w:rsidRDefault="007C2967">
      <w:pPr>
        <w:adjustRightInd w:val="0"/>
        <w:snapToGrid w:val="0"/>
        <w:spacing w:line="360" w:lineRule="auto"/>
        <w:jc w:val="center"/>
        <w:rPr>
          <w:rFonts w:ascii="宋体" w:hAnsi="宋体"/>
          <w:b/>
          <w:sz w:val="28"/>
          <w:szCs w:val="28"/>
        </w:rPr>
      </w:pPr>
    </w:p>
    <w:p w14:paraId="164D89DE" w14:textId="77777777" w:rsidR="007C2967" w:rsidRDefault="007C2967">
      <w:pPr>
        <w:adjustRightInd w:val="0"/>
        <w:snapToGrid w:val="0"/>
        <w:spacing w:line="360" w:lineRule="auto"/>
        <w:jc w:val="center"/>
        <w:rPr>
          <w:rFonts w:ascii="宋体" w:hAnsi="宋体" w:hint="eastAsia"/>
          <w:b/>
          <w:sz w:val="28"/>
          <w:szCs w:val="28"/>
        </w:rPr>
      </w:pPr>
    </w:p>
    <w:p w14:paraId="113B4212" w14:textId="77777777" w:rsidR="00472AC0" w:rsidRDefault="00472AC0">
      <w:pPr>
        <w:adjustRightInd w:val="0"/>
        <w:snapToGrid w:val="0"/>
        <w:spacing w:line="360" w:lineRule="auto"/>
        <w:jc w:val="center"/>
        <w:rPr>
          <w:rFonts w:ascii="宋体" w:hAnsi="宋体"/>
          <w:b/>
          <w:sz w:val="28"/>
          <w:szCs w:val="28"/>
        </w:rPr>
      </w:pPr>
    </w:p>
    <w:p w14:paraId="525741DD" w14:textId="28564900" w:rsidR="007C2967" w:rsidRDefault="00472AC0">
      <w:pPr>
        <w:adjustRightInd w:val="0"/>
        <w:snapToGrid w:val="0"/>
        <w:spacing w:line="360" w:lineRule="auto"/>
        <w:jc w:val="center"/>
        <w:rPr>
          <w:rFonts w:ascii="宋体" w:hAnsi="宋体"/>
          <w:b/>
          <w:sz w:val="28"/>
          <w:szCs w:val="28"/>
        </w:rPr>
      </w:pPr>
      <w:r>
        <w:rPr>
          <w:rFonts w:ascii="宋体" w:hAnsi="宋体" w:hint="eastAsia"/>
          <w:b/>
          <w:sz w:val="28"/>
          <w:szCs w:val="28"/>
        </w:rPr>
        <w:lastRenderedPageBreak/>
        <w:t>董事会</w:t>
      </w:r>
      <w:r>
        <w:rPr>
          <w:rFonts w:ascii="宋体" w:hAnsi="宋体"/>
          <w:b/>
          <w:sz w:val="28"/>
          <w:szCs w:val="28"/>
        </w:rPr>
        <w:t>审计委员会</w:t>
      </w:r>
      <w:r w:rsidRPr="00472AC0">
        <w:rPr>
          <w:rFonts w:ascii="宋体" w:hAnsi="宋体" w:hint="eastAsia"/>
          <w:b/>
          <w:sz w:val="28"/>
          <w:szCs w:val="28"/>
        </w:rPr>
        <w:t>议事规则</w:t>
      </w:r>
    </w:p>
    <w:p w14:paraId="573E2C25"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第一章</w:t>
      </w:r>
      <w:r>
        <w:rPr>
          <w:rFonts w:ascii="宋体" w:hAnsi="宋体"/>
          <w:b/>
          <w:kern w:val="0"/>
          <w:sz w:val="28"/>
          <w:szCs w:val="28"/>
        </w:rPr>
        <w:t xml:space="preserve"> </w:t>
      </w:r>
      <w:r>
        <w:rPr>
          <w:rFonts w:ascii="宋体" w:hAnsi="宋体"/>
          <w:b/>
          <w:kern w:val="0"/>
          <w:sz w:val="28"/>
          <w:szCs w:val="28"/>
        </w:rPr>
        <w:t>总</w:t>
      </w:r>
      <w:r>
        <w:rPr>
          <w:rFonts w:ascii="宋体" w:hAnsi="宋体"/>
          <w:b/>
          <w:kern w:val="0"/>
          <w:sz w:val="28"/>
          <w:szCs w:val="28"/>
        </w:rPr>
        <w:t xml:space="preserve"> </w:t>
      </w:r>
      <w:r>
        <w:rPr>
          <w:rFonts w:ascii="宋体" w:hAnsi="宋体"/>
          <w:b/>
          <w:kern w:val="0"/>
          <w:sz w:val="28"/>
          <w:szCs w:val="28"/>
        </w:rPr>
        <w:t>则</w:t>
      </w:r>
    </w:p>
    <w:p w14:paraId="301540CF" w14:textId="77777777" w:rsidR="007C2967" w:rsidRDefault="007C2967">
      <w:pPr>
        <w:autoSpaceDE w:val="0"/>
        <w:autoSpaceDN w:val="0"/>
        <w:adjustRightInd w:val="0"/>
        <w:spacing w:line="360" w:lineRule="auto"/>
        <w:jc w:val="center"/>
        <w:rPr>
          <w:rFonts w:ascii="宋体" w:hAnsi="宋体"/>
          <w:kern w:val="0"/>
          <w:sz w:val="24"/>
          <w:szCs w:val="24"/>
        </w:rPr>
      </w:pPr>
    </w:p>
    <w:p w14:paraId="6827C796" w14:textId="4F463D7E" w:rsidR="007C2967" w:rsidRDefault="00472AC0">
      <w:pPr>
        <w:numPr>
          <w:ilvl w:val="0"/>
          <w:numId w:val="16"/>
        </w:numPr>
        <w:tabs>
          <w:tab w:val="clear" w:pos="720"/>
          <w:tab w:val="left" w:pos="1442"/>
        </w:tabs>
        <w:spacing w:line="360" w:lineRule="auto"/>
        <w:ind w:left="0" w:firstLine="462"/>
        <w:rPr>
          <w:rFonts w:ascii="宋体" w:hAnsi="宋体"/>
          <w:kern w:val="0"/>
          <w:sz w:val="24"/>
          <w:szCs w:val="24"/>
        </w:rPr>
      </w:pPr>
      <w:r>
        <w:rPr>
          <w:rFonts w:ascii="宋体" w:hAnsi="宋体"/>
          <w:kern w:val="0"/>
          <w:sz w:val="24"/>
          <w:szCs w:val="24"/>
        </w:rPr>
        <w:t>为强化</w:t>
      </w:r>
      <w:r>
        <w:rPr>
          <w:rFonts w:ascii="宋体" w:hAnsi="宋体" w:hint="eastAsia"/>
          <w:kern w:val="0"/>
          <w:sz w:val="24"/>
          <w:szCs w:val="24"/>
        </w:rPr>
        <w:t>华孚时尚股份有限公司</w:t>
      </w:r>
      <w:r>
        <w:rPr>
          <w:rFonts w:ascii="宋体" w:hAnsi="宋体"/>
          <w:kern w:val="0"/>
          <w:sz w:val="24"/>
          <w:szCs w:val="24"/>
        </w:rPr>
        <w:t>（以下简称</w:t>
      </w:r>
      <w:r>
        <w:rPr>
          <w:rFonts w:ascii="宋体" w:hAnsi="宋体" w:hint="eastAsia"/>
          <w:kern w:val="0"/>
          <w:sz w:val="24"/>
          <w:szCs w:val="24"/>
        </w:rPr>
        <w:t>“</w:t>
      </w:r>
      <w:r>
        <w:rPr>
          <w:rFonts w:ascii="宋体" w:hAnsi="宋体"/>
          <w:kern w:val="0"/>
          <w:sz w:val="24"/>
          <w:szCs w:val="24"/>
        </w:rPr>
        <w:t>公司</w:t>
      </w:r>
      <w:r>
        <w:rPr>
          <w:rFonts w:ascii="宋体" w:hAnsi="宋体" w:hint="eastAsia"/>
          <w:kern w:val="0"/>
          <w:sz w:val="24"/>
          <w:szCs w:val="24"/>
        </w:rPr>
        <w:t>”</w:t>
      </w:r>
      <w:r>
        <w:rPr>
          <w:rFonts w:ascii="宋体" w:hAnsi="宋体"/>
          <w:kern w:val="0"/>
          <w:sz w:val="24"/>
          <w:szCs w:val="24"/>
        </w:rPr>
        <w:t>）董事会决策功能，实现对公司财务收支和各项经营活动的有效监督，充分发挥公司内部控制制度的独立性、有效性，保护全体股东及利益相关者的权益，根据《中华人民共和国公司法》</w:t>
      </w:r>
      <w:r>
        <w:rPr>
          <w:rFonts w:ascii="宋体" w:hAnsi="宋体" w:hint="eastAsia"/>
          <w:kern w:val="0"/>
          <w:sz w:val="24"/>
          <w:szCs w:val="24"/>
        </w:rPr>
        <w:t>（以下简称“《公司法》”）、</w:t>
      </w:r>
      <w:r>
        <w:rPr>
          <w:rFonts w:ascii="宋体" w:hAnsi="宋体" w:cs="Arial" w:hint="eastAsia"/>
          <w:sz w:val="24"/>
        </w:rPr>
        <w:t>《中华人民共和国证券法》《上市公司治理准则》《深圳证券交易所股票上市规则》</w:t>
      </w:r>
      <w:r>
        <w:rPr>
          <w:rFonts w:ascii="宋体" w:hAnsi="宋体" w:cs="Arial"/>
          <w:sz w:val="24"/>
        </w:rPr>
        <w:t>《</w:t>
      </w:r>
      <w:r>
        <w:rPr>
          <w:rFonts w:ascii="宋体" w:hAnsi="宋体" w:cs="Arial" w:hint="eastAsia"/>
          <w:sz w:val="24"/>
        </w:rPr>
        <w:t>深圳证券交易所上市公司自律监管指引第</w:t>
      </w:r>
      <w:r>
        <w:rPr>
          <w:rFonts w:ascii="宋体" w:hAnsi="宋体" w:cs="Arial"/>
          <w:sz w:val="24"/>
        </w:rPr>
        <w:t>1</w:t>
      </w:r>
      <w:r>
        <w:rPr>
          <w:rFonts w:ascii="宋体" w:hAnsi="宋体" w:cs="Arial"/>
          <w:sz w:val="24"/>
        </w:rPr>
        <w:t>号</w:t>
      </w:r>
      <w:r>
        <w:rPr>
          <w:rFonts w:ascii="宋体" w:hAnsi="宋体" w:cs="Arial"/>
          <w:sz w:val="24"/>
        </w:rPr>
        <w:t>——</w:t>
      </w:r>
      <w:r>
        <w:rPr>
          <w:rFonts w:ascii="宋体" w:hAnsi="宋体" w:cs="Arial" w:hint="eastAsia"/>
          <w:sz w:val="24"/>
        </w:rPr>
        <w:t>主板</w:t>
      </w:r>
      <w:r>
        <w:rPr>
          <w:rFonts w:ascii="宋体" w:hAnsi="宋体" w:cs="Arial"/>
          <w:sz w:val="24"/>
        </w:rPr>
        <w:t>上市公司规范运作》</w:t>
      </w:r>
      <w:r>
        <w:rPr>
          <w:rFonts w:ascii="宋体" w:hAnsi="宋体" w:hint="eastAsia"/>
          <w:kern w:val="0"/>
          <w:sz w:val="24"/>
          <w:szCs w:val="24"/>
        </w:rPr>
        <w:t>等有关法律、法规、规章、规范性文件和</w:t>
      </w:r>
      <w:r>
        <w:rPr>
          <w:rFonts w:ascii="宋体" w:hAnsi="宋体"/>
          <w:kern w:val="0"/>
          <w:sz w:val="24"/>
          <w:szCs w:val="24"/>
        </w:rPr>
        <w:t>《</w:t>
      </w:r>
      <w:r>
        <w:rPr>
          <w:rFonts w:ascii="宋体" w:hAnsi="宋体" w:hint="eastAsia"/>
          <w:kern w:val="0"/>
          <w:sz w:val="24"/>
          <w:szCs w:val="24"/>
        </w:rPr>
        <w:t>华孚时尚股份有限公司</w:t>
      </w:r>
      <w:r>
        <w:rPr>
          <w:rFonts w:ascii="宋体" w:hAnsi="宋体"/>
          <w:kern w:val="0"/>
          <w:sz w:val="24"/>
          <w:szCs w:val="24"/>
        </w:rPr>
        <w:t>章程》（以下简称</w:t>
      </w:r>
      <w:r>
        <w:rPr>
          <w:rFonts w:ascii="宋体" w:hAnsi="宋体" w:hint="eastAsia"/>
          <w:kern w:val="0"/>
          <w:sz w:val="24"/>
          <w:szCs w:val="24"/>
        </w:rPr>
        <w:t>“</w:t>
      </w:r>
      <w:r>
        <w:rPr>
          <w:rFonts w:ascii="宋体" w:hAnsi="宋体"/>
          <w:kern w:val="0"/>
          <w:sz w:val="24"/>
          <w:szCs w:val="24"/>
        </w:rPr>
        <w:t>《公司章程》</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的</w:t>
      </w:r>
      <w:r>
        <w:rPr>
          <w:rFonts w:ascii="宋体" w:hAnsi="宋体"/>
          <w:kern w:val="0"/>
          <w:sz w:val="24"/>
          <w:szCs w:val="24"/>
        </w:rPr>
        <w:t>有关规定</w:t>
      </w:r>
      <w:r>
        <w:rPr>
          <w:rFonts w:ascii="宋体" w:hAnsi="宋体" w:hint="eastAsia"/>
          <w:kern w:val="0"/>
          <w:sz w:val="24"/>
          <w:szCs w:val="24"/>
        </w:rPr>
        <w:t>，</w:t>
      </w:r>
      <w:r>
        <w:rPr>
          <w:rFonts w:ascii="宋体" w:hAnsi="宋体"/>
          <w:kern w:val="0"/>
          <w:sz w:val="24"/>
          <w:szCs w:val="24"/>
        </w:rPr>
        <w:t>公司设</w:t>
      </w:r>
      <w:r>
        <w:rPr>
          <w:rFonts w:ascii="宋体" w:hAnsi="宋体" w:hint="eastAsia"/>
          <w:kern w:val="0"/>
          <w:sz w:val="24"/>
          <w:szCs w:val="24"/>
        </w:rPr>
        <w:t>置</w:t>
      </w:r>
      <w:r>
        <w:rPr>
          <w:rFonts w:ascii="宋体" w:hAnsi="宋体"/>
          <w:kern w:val="0"/>
          <w:sz w:val="24"/>
          <w:szCs w:val="24"/>
        </w:rPr>
        <w:t>董事会审计委员会</w:t>
      </w:r>
      <w:r>
        <w:rPr>
          <w:rFonts w:ascii="宋体" w:hAnsi="宋体" w:hint="eastAsia"/>
          <w:kern w:val="0"/>
          <w:sz w:val="24"/>
          <w:szCs w:val="24"/>
        </w:rPr>
        <w:t>（</w:t>
      </w:r>
      <w:r>
        <w:rPr>
          <w:rFonts w:ascii="宋体" w:hAnsi="宋体"/>
          <w:kern w:val="0"/>
          <w:sz w:val="24"/>
          <w:szCs w:val="24"/>
        </w:rPr>
        <w:t>以下简称</w:t>
      </w:r>
      <w:r>
        <w:rPr>
          <w:rFonts w:ascii="宋体" w:hAnsi="宋体" w:hint="eastAsia"/>
          <w:kern w:val="0"/>
          <w:sz w:val="24"/>
          <w:szCs w:val="24"/>
        </w:rPr>
        <w:t>“</w:t>
      </w:r>
      <w:r>
        <w:rPr>
          <w:rFonts w:ascii="宋体" w:hAnsi="宋体"/>
          <w:kern w:val="0"/>
          <w:sz w:val="24"/>
          <w:szCs w:val="24"/>
        </w:rPr>
        <w:t>审计委员会</w:t>
      </w:r>
      <w:r>
        <w:rPr>
          <w:rFonts w:ascii="宋体" w:hAnsi="宋体" w:hint="eastAsia"/>
          <w:kern w:val="0"/>
          <w:sz w:val="24"/>
          <w:szCs w:val="24"/>
        </w:rPr>
        <w:t>”</w:t>
      </w:r>
      <w:r>
        <w:rPr>
          <w:rFonts w:ascii="宋体" w:hAnsi="宋体"/>
          <w:kern w:val="0"/>
          <w:sz w:val="24"/>
          <w:szCs w:val="24"/>
        </w:rPr>
        <w:t>或</w:t>
      </w:r>
      <w:r>
        <w:rPr>
          <w:rFonts w:ascii="宋体" w:hAnsi="宋体" w:hint="eastAsia"/>
          <w:kern w:val="0"/>
          <w:sz w:val="24"/>
          <w:szCs w:val="24"/>
        </w:rPr>
        <w:t>“</w:t>
      </w:r>
      <w:r>
        <w:rPr>
          <w:rFonts w:ascii="宋体" w:hAnsi="宋体"/>
          <w:kern w:val="0"/>
          <w:sz w:val="24"/>
          <w:szCs w:val="24"/>
        </w:rPr>
        <w:t>委员会</w:t>
      </w:r>
      <w:r>
        <w:rPr>
          <w:rFonts w:ascii="宋体" w:hAnsi="宋体" w:hint="eastAsia"/>
          <w:kern w:val="0"/>
          <w:sz w:val="24"/>
          <w:szCs w:val="24"/>
        </w:rPr>
        <w:t>”）。</w:t>
      </w:r>
      <w:r>
        <w:rPr>
          <w:rFonts w:ascii="宋体" w:hAnsi="宋体"/>
          <w:kern w:val="0"/>
          <w:sz w:val="24"/>
          <w:szCs w:val="24"/>
        </w:rPr>
        <w:t>为确保审计委员会规范、高效地开展工作，公司董事会特制订本议事规则</w:t>
      </w:r>
      <w:r>
        <w:rPr>
          <w:rFonts w:ascii="宋体" w:hAnsi="宋体"/>
          <w:kern w:val="0"/>
          <w:sz w:val="24"/>
          <w:szCs w:val="24"/>
        </w:rPr>
        <w:t>。</w:t>
      </w:r>
    </w:p>
    <w:p w14:paraId="536E2783" w14:textId="77777777" w:rsidR="007C2967" w:rsidRDefault="00472AC0">
      <w:pPr>
        <w:numPr>
          <w:ilvl w:val="0"/>
          <w:numId w:val="16"/>
        </w:numPr>
        <w:tabs>
          <w:tab w:val="clear" w:pos="720"/>
          <w:tab w:val="left" w:pos="1428"/>
        </w:tabs>
        <w:spacing w:line="360" w:lineRule="auto"/>
        <w:ind w:left="0" w:firstLine="462"/>
        <w:rPr>
          <w:rFonts w:ascii="宋体" w:hAnsi="宋体"/>
          <w:kern w:val="0"/>
          <w:sz w:val="24"/>
          <w:szCs w:val="24"/>
        </w:rPr>
      </w:pPr>
      <w:r>
        <w:rPr>
          <w:rFonts w:ascii="宋体" w:hAnsi="宋体" w:hint="eastAsia"/>
          <w:kern w:val="0"/>
          <w:sz w:val="24"/>
          <w:szCs w:val="24"/>
        </w:rPr>
        <w:t>审计委员会是董事会下设的</w:t>
      </w:r>
      <w:r>
        <w:rPr>
          <w:rFonts w:ascii="宋体" w:hAnsi="宋体"/>
          <w:kern w:val="0"/>
          <w:sz w:val="24"/>
          <w:szCs w:val="24"/>
        </w:rPr>
        <w:t>负责公司内、外部审计的沟通、监督和核查工作的专门机构</w:t>
      </w:r>
      <w:r>
        <w:rPr>
          <w:rFonts w:ascii="宋体" w:hAnsi="宋体" w:hint="eastAsia"/>
          <w:kern w:val="0"/>
          <w:sz w:val="24"/>
          <w:szCs w:val="24"/>
        </w:rPr>
        <w:t>，并行使《公司法》规定的监事会的职权</w:t>
      </w:r>
      <w:r>
        <w:rPr>
          <w:rFonts w:ascii="宋体" w:hAnsi="宋体"/>
          <w:kern w:val="0"/>
          <w:sz w:val="24"/>
          <w:szCs w:val="24"/>
        </w:rPr>
        <w:t>。</w:t>
      </w:r>
    </w:p>
    <w:p w14:paraId="6EFCC111" w14:textId="49009CAC" w:rsidR="007C2967" w:rsidRDefault="00472AC0">
      <w:pPr>
        <w:numPr>
          <w:ilvl w:val="0"/>
          <w:numId w:val="16"/>
        </w:numPr>
        <w:tabs>
          <w:tab w:val="clear" w:pos="720"/>
          <w:tab w:val="left" w:pos="1442"/>
        </w:tabs>
        <w:spacing w:line="360" w:lineRule="auto"/>
        <w:ind w:left="0" w:firstLine="462"/>
        <w:rPr>
          <w:rFonts w:ascii="宋体" w:hAnsi="宋体"/>
          <w:kern w:val="0"/>
          <w:sz w:val="24"/>
          <w:szCs w:val="24"/>
        </w:rPr>
      </w:pPr>
      <w:r>
        <w:rPr>
          <w:rFonts w:ascii="宋体" w:hAnsi="宋体"/>
          <w:kern w:val="0"/>
          <w:sz w:val="24"/>
          <w:szCs w:val="24"/>
        </w:rPr>
        <w:t>审计委员会根据《公司章程》和本议事规则</w:t>
      </w:r>
      <w:r>
        <w:rPr>
          <w:rFonts w:ascii="宋体" w:hAnsi="宋体"/>
          <w:kern w:val="0"/>
          <w:sz w:val="24"/>
          <w:szCs w:val="24"/>
        </w:rPr>
        <w:t>规定的职责范围履行职责，独立工作，不受公司其他部门干涉。</w:t>
      </w:r>
    </w:p>
    <w:p w14:paraId="63113A91" w14:textId="77777777" w:rsidR="007C2967" w:rsidRDefault="007C2967">
      <w:pPr>
        <w:autoSpaceDE w:val="0"/>
        <w:autoSpaceDN w:val="0"/>
        <w:adjustRightInd w:val="0"/>
        <w:spacing w:line="360" w:lineRule="auto"/>
        <w:ind w:firstLineChars="200" w:firstLine="480"/>
        <w:rPr>
          <w:rFonts w:ascii="宋体" w:hAnsi="宋体"/>
          <w:kern w:val="0"/>
          <w:sz w:val="24"/>
          <w:szCs w:val="24"/>
        </w:rPr>
      </w:pPr>
    </w:p>
    <w:p w14:paraId="4D187523"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第二章</w:t>
      </w:r>
      <w:r>
        <w:rPr>
          <w:rFonts w:ascii="宋体" w:hAnsi="宋体"/>
          <w:b/>
          <w:kern w:val="0"/>
          <w:sz w:val="28"/>
          <w:szCs w:val="28"/>
        </w:rPr>
        <w:t xml:space="preserve"> </w:t>
      </w:r>
      <w:r>
        <w:rPr>
          <w:rFonts w:ascii="宋体" w:hAnsi="宋体"/>
          <w:b/>
          <w:kern w:val="0"/>
          <w:sz w:val="28"/>
          <w:szCs w:val="28"/>
        </w:rPr>
        <w:t>人员构成</w:t>
      </w:r>
    </w:p>
    <w:p w14:paraId="1C7AD791" w14:textId="77777777" w:rsidR="007C2967" w:rsidRDefault="007C2967">
      <w:pPr>
        <w:autoSpaceDE w:val="0"/>
        <w:autoSpaceDN w:val="0"/>
        <w:adjustRightInd w:val="0"/>
        <w:spacing w:line="360" w:lineRule="auto"/>
        <w:jc w:val="center"/>
        <w:rPr>
          <w:rFonts w:ascii="宋体" w:hAnsi="宋体"/>
          <w:kern w:val="0"/>
          <w:sz w:val="24"/>
          <w:szCs w:val="24"/>
        </w:rPr>
      </w:pPr>
    </w:p>
    <w:p w14:paraId="788F6564"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审计委员会由三名不在公司担任高级管理人员的董事组成，其中</w:t>
      </w:r>
      <w:r>
        <w:rPr>
          <w:rFonts w:ascii="宋体" w:hAnsi="宋体" w:hint="eastAsia"/>
          <w:kern w:val="0"/>
          <w:sz w:val="24"/>
          <w:szCs w:val="24"/>
        </w:rPr>
        <w:t>包括两名</w:t>
      </w:r>
      <w:r>
        <w:rPr>
          <w:rFonts w:ascii="宋体" w:hAnsi="宋体"/>
          <w:kern w:val="0"/>
          <w:sz w:val="24"/>
          <w:szCs w:val="24"/>
        </w:rPr>
        <w:t>独立董事，</w:t>
      </w:r>
      <w:r>
        <w:rPr>
          <w:rFonts w:ascii="宋体" w:hAnsi="宋体" w:hint="eastAsia"/>
          <w:kern w:val="0"/>
          <w:sz w:val="24"/>
          <w:szCs w:val="24"/>
        </w:rPr>
        <w:t>且</w:t>
      </w:r>
      <w:r>
        <w:rPr>
          <w:rFonts w:ascii="宋体" w:hAnsi="宋体"/>
          <w:kern w:val="0"/>
          <w:sz w:val="24"/>
          <w:szCs w:val="24"/>
        </w:rPr>
        <w:t>有一名独立董事是会计专业人士。</w:t>
      </w:r>
      <w:r>
        <w:rPr>
          <w:rFonts w:ascii="宋体" w:hAnsi="宋体" w:hint="eastAsia"/>
          <w:kern w:val="0"/>
          <w:sz w:val="24"/>
          <w:szCs w:val="24"/>
        </w:rPr>
        <w:t>审计委员会</w:t>
      </w:r>
      <w:r>
        <w:rPr>
          <w:rFonts w:ascii="宋体" w:hAnsi="宋体"/>
          <w:kern w:val="0"/>
          <w:sz w:val="24"/>
          <w:szCs w:val="24"/>
        </w:rPr>
        <w:t>委员由</w:t>
      </w:r>
      <w:r>
        <w:rPr>
          <w:rFonts w:ascii="宋体" w:hAnsi="宋体" w:hint="eastAsia"/>
          <w:kern w:val="0"/>
          <w:sz w:val="24"/>
          <w:szCs w:val="24"/>
        </w:rPr>
        <w:t>董事长、过半数</w:t>
      </w:r>
      <w:r>
        <w:rPr>
          <w:rFonts w:ascii="宋体" w:hAnsi="宋体"/>
          <w:kern w:val="0"/>
          <w:sz w:val="24"/>
          <w:szCs w:val="24"/>
        </w:rPr>
        <w:t>独立董事或全体董事的三分之一提名，并由董事会会议选举产生。</w:t>
      </w:r>
    </w:p>
    <w:p w14:paraId="192CAB5E"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审计委员会设召集人</w:t>
      </w:r>
      <w:r>
        <w:rPr>
          <w:rFonts w:ascii="宋体" w:hAnsi="宋体" w:hint="eastAsia"/>
          <w:kern w:val="0"/>
          <w:sz w:val="24"/>
          <w:szCs w:val="24"/>
        </w:rPr>
        <w:t>一名</w:t>
      </w:r>
      <w:r>
        <w:rPr>
          <w:rFonts w:ascii="宋体" w:hAnsi="宋体"/>
          <w:kern w:val="0"/>
          <w:sz w:val="24"/>
          <w:szCs w:val="24"/>
        </w:rPr>
        <w:t>，由独立董事委员担任，且该独立董事应为会计专业人士</w:t>
      </w:r>
      <w:r>
        <w:rPr>
          <w:rFonts w:ascii="宋体" w:hAnsi="宋体" w:hint="eastAsia"/>
          <w:kern w:val="0"/>
          <w:sz w:val="24"/>
          <w:szCs w:val="24"/>
        </w:rPr>
        <w:t>，</w:t>
      </w:r>
      <w:r>
        <w:rPr>
          <w:rFonts w:ascii="宋体" w:hAnsi="宋体" w:cs="宋体" w:hint="eastAsia"/>
          <w:kern w:val="0"/>
          <w:sz w:val="24"/>
          <w:szCs w:val="24"/>
        </w:rPr>
        <w:t>负责召集和主持审计委员会会议</w:t>
      </w:r>
      <w:r>
        <w:rPr>
          <w:rFonts w:ascii="宋体" w:hAnsi="宋体"/>
          <w:kern w:val="0"/>
          <w:sz w:val="24"/>
          <w:szCs w:val="24"/>
        </w:rPr>
        <w:t>；</w:t>
      </w:r>
      <w:r>
        <w:rPr>
          <w:rFonts w:ascii="宋体" w:hAnsi="宋体" w:hint="eastAsia"/>
          <w:kern w:val="0"/>
          <w:sz w:val="24"/>
          <w:szCs w:val="24"/>
        </w:rPr>
        <w:t>召集人由董事长提名并经董事会审议通过产生</w:t>
      </w:r>
      <w:r>
        <w:rPr>
          <w:rFonts w:ascii="宋体" w:hAnsi="宋体"/>
          <w:kern w:val="0"/>
          <w:sz w:val="24"/>
          <w:szCs w:val="24"/>
        </w:rPr>
        <w:t>。</w:t>
      </w:r>
    </w:p>
    <w:p w14:paraId="6AD08CF8" w14:textId="5A9F33CF"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w:t>
      </w:r>
      <w:r>
        <w:rPr>
          <w:rFonts w:ascii="宋体" w:hAnsi="宋体"/>
          <w:kern w:val="0"/>
          <w:sz w:val="24"/>
          <w:szCs w:val="24"/>
        </w:rPr>
        <w:t>委员会任期与董事会任期一致，委员任期届满，连选可以连任。在该任期内，如有委员不再担任公司董事职务，自动失去委员资格，并由</w:t>
      </w:r>
      <w:r>
        <w:rPr>
          <w:rFonts w:ascii="宋体" w:hAnsi="宋体" w:hint="eastAsia"/>
          <w:kern w:val="0"/>
          <w:sz w:val="24"/>
          <w:szCs w:val="24"/>
        </w:rPr>
        <w:t>公司</w:t>
      </w:r>
      <w:r>
        <w:rPr>
          <w:rFonts w:ascii="宋体" w:hAnsi="宋体"/>
          <w:kern w:val="0"/>
          <w:sz w:val="24"/>
          <w:szCs w:val="24"/>
        </w:rPr>
        <w:t>根据本议事规则</w:t>
      </w:r>
      <w:r>
        <w:rPr>
          <w:rFonts w:ascii="宋体" w:hAnsi="宋体"/>
          <w:kern w:val="0"/>
          <w:sz w:val="24"/>
          <w:szCs w:val="24"/>
        </w:rPr>
        <w:t>第</w:t>
      </w:r>
      <w:r>
        <w:rPr>
          <w:rFonts w:ascii="宋体" w:hAnsi="宋体" w:hint="eastAsia"/>
          <w:kern w:val="0"/>
          <w:sz w:val="24"/>
          <w:szCs w:val="24"/>
        </w:rPr>
        <w:t>四</w:t>
      </w:r>
      <w:r>
        <w:rPr>
          <w:rFonts w:ascii="宋体" w:hAnsi="宋体"/>
          <w:kern w:val="0"/>
          <w:sz w:val="24"/>
          <w:szCs w:val="24"/>
        </w:rPr>
        <w:t>条</w:t>
      </w:r>
      <w:r>
        <w:rPr>
          <w:rFonts w:ascii="宋体" w:hAnsi="宋体" w:hint="eastAsia"/>
          <w:kern w:val="0"/>
          <w:sz w:val="24"/>
          <w:szCs w:val="24"/>
        </w:rPr>
        <w:t>、</w:t>
      </w:r>
      <w:r>
        <w:rPr>
          <w:rFonts w:ascii="宋体" w:hAnsi="宋体"/>
          <w:kern w:val="0"/>
          <w:sz w:val="24"/>
          <w:szCs w:val="24"/>
        </w:rPr>
        <w:t>第</w:t>
      </w:r>
      <w:r>
        <w:rPr>
          <w:rFonts w:ascii="宋体" w:hAnsi="宋体" w:hint="eastAsia"/>
          <w:kern w:val="0"/>
          <w:sz w:val="24"/>
          <w:szCs w:val="24"/>
        </w:rPr>
        <w:t>五</w:t>
      </w:r>
      <w:r>
        <w:rPr>
          <w:rFonts w:ascii="宋体" w:hAnsi="宋体"/>
          <w:kern w:val="0"/>
          <w:sz w:val="24"/>
          <w:szCs w:val="24"/>
        </w:rPr>
        <w:t>条</w:t>
      </w:r>
      <w:r>
        <w:rPr>
          <w:rFonts w:ascii="宋体" w:hAnsi="宋体" w:hint="eastAsia"/>
          <w:kern w:val="0"/>
          <w:sz w:val="24"/>
          <w:szCs w:val="24"/>
        </w:rPr>
        <w:t>的</w:t>
      </w:r>
      <w:r>
        <w:rPr>
          <w:rFonts w:ascii="宋体" w:hAnsi="宋体"/>
          <w:kern w:val="0"/>
          <w:sz w:val="24"/>
          <w:szCs w:val="24"/>
        </w:rPr>
        <w:t>规定补足委员人数。</w:t>
      </w:r>
    </w:p>
    <w:p w14:paraId="08ADB993"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审计委员会成员应当勤勉尽责，切实有效地监督、评估公司内外</w:t>
      </w:r>
      <w:r>
        <w:rPr>
          <w:rFonts w:ascii="宋体" w:hAnsi="宋体" w:hint="eastAsia"/>
          <w:kern w:val="0"/>
          <w:sz w:val="24"/>
          <w:szCs w:val="24"/>
        </w:rPr>
        <w:lastRenderedPageBreak/>
        <w:t>部审计工作，促进公司建立有效的内部控制并提供真实、准确、完整的财务报告。审计委员会成员应当具备履行审计委员会工作职责的专业知识和经验。</w:t>
      </w:r>
    </w:p>
    <w:p w14:paraId="1C44A7A3" w14:textId="77777777" w:rsidR="007C2967" w:rsidRDefault="007C2967">
      <w:pPr>
        <w:autoSpaceDE w:val="0"/>
        <w:autoSpaceDN w:val="0"/>
        <w:adjustRightInd w:val="0"/>
        <w:spacing w:line="360" w:lineRule="auto"/>
        <w:ind w:firstLineChars="200" w:firstLine="480"/>
        <w:rPr>
          <w:rFonts w:ascii="宋体" w:hAnsi="宋体"/>
          <w:kern w:val="0"/>
          <w:sz w:val="24"/>
          <w:szCs w:val="24"/>
        </w:rPr>
      </w:pPr>
    </w:p>
    <w:p w14:paraId="044D8267"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第三章</w:t>
      </w:r>
      <w:r>
        <w:rPr>
          <w:rFonts w:ascii="宋体" w:hAnsi="宋体"/>
          <w:b/>
          <w:kern w:val="0"/>
          <w:sz w:val="28"/>
          <w:szCs w:val="28"/>
        </w:rPr>
        <w:t xml:space="preserve"> </w:t>
      </w:r>
      <w:r>
        <w:rPr>
          <w:rFonts w:ascii="宋体" w:hAnsi="宋体"/>
          <w:b/>
          <w:kern w:val="0"/>
          <w:sz w:val="28"/>
          <w:szCs w:val="28"/>
        </w:rPr>
        <w:t>职责权限</w:t>
      </w:r>
    </w:p>
    <w:p w14:paraId="76AE1291" w14:textId="77777777" w:rsidR="007C2967" w:rsidRDefault="007C2967">
      <w:pPr>
        <w:autoSpaceDE w:val="0"/>
        <w:autoSpaceDN w:val="0"/>
        <w:adjustRightInd w:val="0"/>
        <w:spacing w:line="360" w:lineRule="auto"/>
        <w:jc w:val="center"/>
        <w:rPr>
          <w:rFonts w:ascii="宋体" w:hAnsi="宋体"/>
          <w:b/>
          <w:kern w:val="0"/>
          <w:sz w:val="24"/>
          <w:szCs w:val="24"/>
        </w:rPr>
      </w:pPr>
    </w:p>
    <w:p w14:paraId="2A9F9D6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公司应当为审计委员会提供必要的工作条件，配备专门人员或者机构承担审计委员会的工作联络、会议组织、材料准备和档案管理等日常工作。审计委员会履行职责时，公司管理层及相关部门应当给予配合。审计委员会发现公司经营情况异常，可以进行调查，必要时，可以聘请中介机构协助其工作，有关费用由公司承担。</w:t>
      </w:r>
    </w:p>
    <w:p w14:paraId="5FA1C867"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审计委员会负责审核公司财务信息及其披露、监督及评估内外部审计工作和内部控制。下列事项应当经审计委员会全体成员过半数同意后，提交董事会审议：</w:t>
      </w:r>
    </w:p>
    <w:p w14:paraId="77607FE3"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一</w:t>
      </w:r>
      <w:r>
        <w:rPr>
          <w:rFonts w:ascii="宋体" w:hAnsi="宋体" w:hint="eastAsia"/>
          <w:kern w:val="0"/>
          <w:sz w:val="24"/>
          <w:szCs w:val="24"/>
        </w:rPr>
        <w:t>）</w:t>
      </w:r>
      <w:r>
        <w:rPr>
          <w:rFonts w:ascii="宋体" w:hAnsi="宋体"/>
          <w:kern w:val="0"/>
          <w:sz w:val="24"/>
          <w:szCs w:val="24"/>
        </w:rPr>
        <w:t>披露财务会计报告及定期报告中的财务信息、内部控制评价报告；</w:t>
      </w:r>
    </w:p>
    <w:p w14:paraId="21F06696"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二</w:t>
      </w:r>
      <w:r>
        <w:rPr>
          <w:rFonts w:ascii="宋体" w:hAnsi="宋体" w:hint="eastAsia"/>
          <w:kern w:val="0"/>
          <w:sz w:val="24"/>
          <w:szCs w:val="24"/>
        </w:rPr>
        <w:t>）</w:t>
      </w:r>
      <w:r>
        <w:rPr>
          <w:rFonts w:ascii="宋体" w:hAnsi="宋体"/>
          <w:kern w:val="0"/>
          <w:sz w:val="24"/>
          <w:szCs w:val="24"/>
        </w:rPr>
        <w:t>聘用</w:t>
      </w:r>
      <w:r>
        <w:rPr>
          <w:rFonts w:ascii="宋体" w:hAnsi="宋体" w:hint="eastAsia"/>
          <w:kern w:val="0"/>
          <w:sz w:val="24"/>
          <w:szCs w:val="24"/>
        </w:rPr>
        <w:t>或者</w:t>
      </w:r>
      <w:r>
        <w:rPr>
          <w:rFonts w:ascii="宋体" w:hAnsi="宋体"/>
          <w:kern w:val="0"/>
          <w:sz w:val="24"/>
          <w:szCs w:val="24"/>
        </w:rPr>
        <w:t>解聘承</w:t>
      </w:r>
      <w:r>
        <w:rPr>
          <w:rFonts w:ascii="宋体" w:hAnsi="宋体"/>
          <w:kern w:val="0"/>
          <w:sz w:val="24"/>
          <w:szCs w:val="24"/>
        </w:rPr>
        <w:t>办公司审计业务的会计师事务所；</w:t>
      </w:r>
    </w:p>
    <w:p w14:paraId="2570DE43"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三</w:t>
      </w:r>
      <w:r>
        <w:rPr>
          <w:rFonts w:ascii="宋体" w:hAnsi="宋体" w:hint="eastAsia"/>
          <w:kern w:val="0"/>
          <w:sz w:val="24"/>
          <w:szCs w:val="24"/>
        </w:rPr>
        <w:t>）</w:t>
      </w:r>
      <w:r>
        <w:rPr>
          <w:rFonts w:ascii="宋体" w:hAnsi="宋体"/>
          <w:kern w:val="0"/>
          <w:sz w:val="24"/>
          <w:szCs w:val="24"/>
        </w:rPr>
        <w:t>聘任或者解聘公司财务负责人；</w:t>
      </w:r>
    </w:p>
    <w:p w14:paraId="7DF20EC5"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（四）</w:t>
      </w:r>
      <w:r>
        <w:rPr>
          <w:rFonts w:ascii="宋体" w:hAnsi="宋体"/>
          <w:kern w:val="0"/>
          <w:sz w:val="24"/>
          <w:szCs w:val="24"/>
        </w:rPr>
        <w:t>因会计准则变更以外的原因</w:t>
      </w:r>
      <w:proofErr w:type="gramStart"/>
      <w:r>
        <w:rPr>
          <w:rFonts w:ascii="宋体" w:hAnsi="宋体"/>
          <w:kern w:val="0"/>
          <w:sz w:val="24"/>
          <w:szCs w:val="24"/>
        </w:rPr>
        <w:t>作出</w:t>
      </w:r>
      <w:proofErr w:type="gramEnd"/>
      <w:r>
        <w:rPr>
          <w:rFonts w:ascii="宋体" w:hAnsi="宋体"/>
          <w:kern w:val="0"/>
          <w:sz w:val="24"/>
          <w:szCs w:val="24"/>
        </w:rPr>
        <w:t>会计政策、会计估计变更或者重大会计差错更正；</w:t>
      </w:r>
    </w:p>
    <w:p w14:paraId="066D068B"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五</w:t>
      </w:r>
      <w:r>
        <w:rPr>
          <w:rFonts w:ascii="宋体" w:hAnsi="宋体" w:hint="eastAsia"/>
          <w:kern w:val="0"/>
          <w:sz w:val="24"/>
          <w:szCs w:val="24"/>
        </w:rPr>
        <w:t>）</w:t>
      </w:r>
      <w:r>
        <w:rPr>
          <w:rFonts w:ascii="宋体" w:hAnsi="宋体"/>
          <w:kern w:val="0"/>
          <w:sz w:val="24"/>
          <w:szCs w:val="24"/>
        </w:rPr>
        <w:t>法律</w:t>
      </w:r>
      <w:r>
        <w:rPr>
          <w:rFonts w:ascii="宋体" w:hAnsi="宋体" w:hint="eastAsia"/>
          <w:kern w:val="0"/>
          <w:sz w:val="24"/>
          <w:szCs w:val="24"/>
        </w:rPr>
        <w:t>、行政</w:t>
      </w:r>
      <w:r>
        <w:rPr>
          <w:rFonts w:ascii="宋体" w:hAnsi="宋体"/>
          <w:kern w:val="0"/>
          <w:sz w:val="24"/>
          <w:szCs w:val="24"/>
        </w:rPr>
        <w:t>法规、中国证监会规定、</w:t>
      </w:r>
      <w:r>
        <w:rPr>
          <w:rFonts w:ascii="宋体" w:hAnsi="宋体" w:hint="eastAsia"/>
          <w:kern w:val="0"/>
          <w:sz w:val="24"/>
          <w:szCs w:val="24"/>
        </w:rPr>
        <w:t>深圳证券交易所</w:t>
      </w:r>
      <w:r>
        <w:rPr>
          <w:rFonts w:ascii="宋体" w:hAnsi="宋体"/>
          <w:kern w:val="0"/>
          <w:sz w:val="24"/>
          <w:szCs w:val="24"/>
        </w:rPr>
        <w:t>有关规定和</w:t>
      </w:r>
      <w:r>
        <w:rPr>
          <w:rFonts w:ascii="宋体" w:hAnsi="宋体" w:hint="eastAsia"/>
          <w:kern w:val="0"/>
          <w:sz w:val="24"/>
          <w:szCs w:val="24"/>
        </w:rPr>
        <w:t>《</w:t>
      </w:r>
      <w:r>
        <w:rPr>
          <w:rFonts w:ascii="宋体" w:hAnsi="宋体"/>
          <w:kern w:val="0"/>
          <w:sz w:val="24"/>
          <w:szCs w:val="24"/>
        </w:rPr>
        <w:t>公司章程</w:t>
      </w:r>
      <w:r>
        <w:rPr>
          <w:rFonts w:ascii="宋体" w:hAnsi="宋体" w:hint="eastAsia"/>
          <w:kern w:val="0"/>
          <w:sz w:val="24"/>
          <w:szCs w:val="24"/>
        </w:rPr>
        <w:t>》</w:t>
      </w:r>
      <w:r>
        <w:rPr>
          <w:rFonts w:ascii="宋体" w:hAnsi="宋体"/>
          <w:kern w:val="0"/>
          <w:sz w:val="24"/>
          <w:szCs w:val="24"/>
        </w:rPr>
        <w:t>规定的其他事项。</w:t>
      </w:r>
    </w:p>
    <w:p w14:paraId="47EBE5CA"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审计委员会的提案应当提交董事会审议决定。</w:t>
      </w:r>
    </w:p>
    <w:p w14:paraId="7C5955AE"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委员会依法检查公司财务，对公司董事、高级管理人员遵守法律法规、深圳证券交易所相关规定和《公司章程》以及执行公司职务的行为进行监督，可以要求董事、高级管理人员提交执行职务的报告。董事、高级管理人员应当如实向审计委员会提供有关情况</w:t>
      </w:r>
      <w:r>
        <w:rPr>
          <w:rFonts w:ascii="宋体" w:hAnsi="宋体" w:hint="eastAsia"/>
          <w:kern w:val="0"/>
          <w:sz w:val="24"/>
          <w:szCs w:val="24"/>
        </w:rPr>
        <w:t>和材料，不得妨碍审计委员会行使职权。</w:t>
      </w:r>
    </w:p>
    <w:p w14:paraId="1EA490BA"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审计委员会发现董事、高级管理人员违反法律法规、深圳证券交易所相关规定或者《公司章程》的，应当向董事会通报或者向股东会报告，并及时披露，也可以直接向监管机构报告。</w:t>
      </w:r>
    </w:p>
    <w:p w14:paraId="5519F77A"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审计委员会行使职权所必需的费用，由公司承担。</w:t>
      </w:r>
    </w:p>
    <w:p w14:paraId="0449709A"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lastRenderedPageBreak/>
        <w:t>审计委员会应当审核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14:paraId="472CEA3D"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审计委员会向董事会提出聘请或更</w:t>
      </w:r>
      <w:r>
        <w:rPr>
          <w:rFonts w:ascii="宋体" w:hAnsi="宋体" w:hint="eastAsia"/>
          <w:kern w:val="0"/>
          <w:sz w:val="24"/>
          <w:szCs w:val="24"/>
        </w:rPr>
        <w:t>换外部审计机构的建议，审核外部审计机构的审计费用及聘用条款，不应受公司主要股东、实际控制人或者董事及高级管理人员的不当影响。</w:t>
      </w:r>
    </w:p>
    <w:p w14:paraId="26D0AFE1"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审计委员会应当督促外部审计机构诚实守信、勤勉尽责，严格遵守业务规则和行业自律规范，严格执行内部控制制度，对公司财务会计报告进行核查验证，履行特别注意义务，审慎发表专业意见。</w:t>
      </w:r>
    </w:p>
    <w:p w14:paraId="68A20FBD" w14:textId="77777777" w:rsidR="007C2967" w:rsidRDefault="00472AC0">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公司董事及高级管理人员发现公司发布的财务会计报告存在虚假记载、误导性陈述或者重大遗漏并向审计委员会、董事会报告的，或者保荐人、独立财务顾问、外部审计机构向审计委员会、董事会指出公司财务会计报告存在虚假记载、误导性陈述或者重大遗漏的，审计委员会应当督促公司相关责任部门制定整改措施和整改时间，进行后续审查，监督整改措施的落实情况，并及时披露整改完成情况。</w:t>
      </w:r>
    </w:p>
    <w:p w14:paraId="252F2DF2"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审计委员会在履行监督职责过程中，对违反法律法规、深圳证券交易所相关规定、《公司章程》或者股东会决议的董事、高级管理人员，可以提出罢免建议。</w:t>
      </w:r>
    </w:p>
    <w:p w14:paraId="09269F63"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审计委员会至少每季</w:t>
      </w:r>
      <w:r>
        <w:rPr>
          <w:rFonts w:ascii="宋体" w:hAnsi="宋体" w:hint="eastAsia"/>
          <w:kern w:val="0"/>
          <w:sz w:val="24"/>
          <w:szCs w:val="24"/>
        </w:rPr>
        <w:t>度向董事会报告一次，内容</w:t>
      </w:r>
      <w:bookmarkStart w:id="0" w:name="_DV_M2800"/>
      <w:bookmarkEnd w:id="0"/>
      <w:r>
        <w:rPr>
          <w:rFonts w:ascii="宋体" w:hAnsi="宋体" w:hint="eastAsia"/>
          <w:kern w:val="0"/>
          <w:sz w:val="24"/>
          <w:szCs w:val="24"/>
        </w:rPr>
        <w:t>包括内部审计工作进度、</w:t>
      </w:r>
      <w:bookmarkStart w:id="1" w:name="_DV_M2801"/>
      <w:bookmarkEnd w:id="1"/>
      <w:r>
        <w:rPr>
          <w:rFonts w:ascii="宋体" w:hAnsi="宋体" w:hint="eastAsia"/>
          <w:kern w:val="0"/>
          <w:sz w:val="24"/>
          <w:szCs w:val="24"/>
        </w:rPr>
        <w:t>质量以及发现的重大问题等。</w:t>
      </w:r>
    </w:p>
    <w:p w14:paraId="16BFAB3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w:t>
      </w:r>
      <w:r>
        <w:rPr>
          <w:rFonts w:ascii="宋体" w:hAnsi="宋体" w:hint="eastAsia"/>
          <w:kern w:val="0"/>
          <w:sz w:val="24"/>
          <w:szCs w:val="24"/>
        </w:rPr>
        <w:t>监督及评估</w:t>
      </w:r>
      <w:r>
        <w:rPr>
          <w:rFonts w:ascii="宋体" w:hAnsi="宋体"/>
          <w:kern w:val="0"/>
          <w:sz w:val="24"/>
          <w:szCs w:val="24"/>
        </w:rPr>
        <w:t>内部审计</w:t>
      </w:r>
      <w:r>
        <w:rPr>
          <w:rFonts w:ascii="宋体" w:hAnsi="宋体" w:hint="eastAsia"/>
          <w:kern w:val="0"/>
          <w:sz w:val="24"/>
          <w:szCs w:val="24"/>
        </w:rPr>
        <w:t>工作。内部审计部对</w:t>
      </w:r>
      <w:bookmarkStart w:id="2" w:name="_DV_M2769"/>
      <w:bookmarkEnd w:id="2"/>
      <w:r>
        <w:rPr>
          <w:rFonts w:ascii="宋体" w:hAnsi="宋体" w:hint="eastAsia"/>
          <w:kern w:val="0"/>
          <w:sz w:val="24"/>
          <w:szCs w:val="24"/>
        </w:rPr>
        <w:t>审计委员会负责，向</w:t>
      </w:r>
      <w:bookmarkStart w:id="3" w:name="_DV_M2770"/>
      <w:bookmarkEnd w:id="3"/>
      <w:r>
        <w:rPr>
          <w:rFonts w:ascii="宋体" w:hAnsi="宋体" w:hint="eastAsia"/>
          <w:kern w:val="0"/>
          <w:sz w:val="24"/>
          <w:szCs w:val="24"/>
        </w:rPr>
        <w:t>审计委员会报告工作</w:t>
      </w:r>
      <w:r>
        <w:rPr>
          <w:rFonts w:ascii="宋体" w:hAnsi="宋体"/>
          <w:kern w:val="0"/>
          <w:sz w:val="24"/>
          <w:szCs w:val="24"/>
        </w:rPr>
        <w:t>。</w:t>
      </w:r>
    </w:p>
    <w:p w14:paraId="731D683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内部审计部</w:t>
      </w:r>
      <w:r>
        <w:rPr>
          <w:rFonts w:ascii="宋体" w:hAnsi="宋体"/>
          <w:kern w:val="0"/>
          <w:sz w:val="24"/>
          <w:szCs w:val="24"/>
        </w:rPr>
        <w:t>负责做好审计委员会决策的前期准备工作，提供公司有关方面的书面资料：</w:t>
      </w:r>
    </w:p>
    <w:p w14:paraId="27343E15"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（一）公司相关财务报告；</w:t>
      </w:r>
    </w:p>
    <w:p w14:paraId="4F8B39DB"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（二）内外部审计机构的工作报告；</w:t>
      </w:r>
    </w:p>
    <w:p w14:paraId="5845A0D3"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（三）外部审计合同及相关工作报告；</w:t>
      </w:r>
    </w:p>
    <w:p w14:paraId="5E9BF81C"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（四）公司对外披露信息情况；</w:t>
      </w:r>
    </w:p>
    <w:p w14:paraId="6FDB7D3B"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lastRenderedPageBreak/>
        <w:t>（五）公司重大关联交易审计报告；</w:t>
      </w:r>
    </w:p>
    <w:p w14:paraId="17DDF125"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（六）其他相关事宜。</w:t>
      </w:r>
    </w:p>
    <w:p w14:paraId="2BBE5A3F"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审计委员会会议对</w:t>
      </w:r>
      <w:r>
        <w:rPr>
          <w:rFonts w:ascii="宋体" w:hAnsi="宋体" w:hint="eastAsia"/>
          <w:kern w:val="0"/>
          <w:sz w:val="24"/>
          <w:szCs w:val="24"/>
        </w:rPr>
        <w:t>内部审计部</w:t>
      </w:r>
      <w:r>
        <w:rPr>
          <w:rFonts w:ascii="宋体" w:hAnsi="宋体"/>
          <w:kern w:val="0"/>
          <w:sz w:val="24"/>
          <w:szCs w:val="24"/>
        </w:rPr>
        <w:t>提供的报告进行评议，并将相关书面决议材料呈报董事会讨论：</w:t>
      </w:r>
    </w:p>
    <w:p w14:paraId="3F527FA9"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（一）外部审计机构工作评价，外部审计机构的聘请及更换；</w:t>
      </w:r>
    </w:p>
    <w:p w14:paraId="0E201337"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（二）公司内部审计制度是否已得到有效实施，公司财务报告是否全面真实；</w:t>
      </w:r>
    </w:p>
    <w:p w14:paraId="12BD810B"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（三）公司对外披露的财务报告等信息是否客观真实，公司重大的关联交易是否合乎相关法律法规；</w:t>
      </w:r>
    </w:p>
    <w:p w14:paraId="2B8537F4"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（四）公司</w:t>
      </w:r>
      <w:r>
        <w:rPr>
          <w:rFonts w:ascii="宋体" w:hAnsi="宋体" w:hint="eastAsia"/>
          <w:kern w:val="0"/>
          <w:sz w:val="24"/>
          <w:szCs w:val="24"/>
        </w:rPr>
        <w:t>财务部</w:t>
      </w:r>
      <w:r>
        <w:rPr>
          <w:rFonts w:ascii="宋体" w:hAnsi="宋体"/>
          <w:kern w:val="0"/>
          <w:sz w:val="24"/>
          <w:szCs w:val="24"/>
        </w:rPr>
        <w:t>、</w:t>
      </w:r>
      <w:r>
        <w:rPr>
          <w:rFonts w:ascii="宋体" w:hAnsi="宋体" w:hint="eastAsia"/>
          <w:kern w:val="0"/>
          <w:sz w:val="24"/>
          <w:szCs w:val="24"/>
        </w:rPr>
        <w:t>内部审计机构</w:t>
      </w:r>
      <w:r>
        <w:rPr>
          <w:rFonts w:ascii="宋体" w:hAnsi="宋体"/>
          <w:kern w:val="0"/>
          <w:sz w:val="24"/>
          <w:szCs w:val="24"/>
        </w:rPr>
        <w:t>的工作评价；</w:t>
      </w:r>
    </w:p>
    <w:p w14:paraId="7F3F7182"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（五）其他相关事宜。</w:t>
      </w:r>
    </w:p>
    <w:p w14:paraId="5D14BA67"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bookmarkStart w:id="4" w:name="_DV_M443"/>
      <w:bookmarkEnd w:id="4"/>
      <w:r>
        <w:rPr>
          <w:rFonts w:ascii="宋体" w:hAnsi="宋体" w:hint="eastAsia"/>
          <w:kern w:val="0"/>
          <w:sz w:val="24"/>
          <w:szCs w:val="24"/>
        </w:rPr>
        <w:t>审计委员会应当督导内部审计机构至少每半年对下列事项进行一次检查，出具检查报告并提交审计委员会。检查发现公司存在违法违规、运作不规范等情形的，应当及时向深圳证券交易所报告：</w:t>
      </w:r>
    </w:p>
    <w:p w14:paraId="0584D29A"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（一）公司募集资金使用、提供担保、关联交易、证券投资与衍生</w:t>
      </w:r>
      <w:r>
        <w:rPr>
          <w:rFonts w:ascii="宋体" w:hAnsi="宋体" w:hint="eastAsia"/>
          <w:kern w:val="0"/>
          <w:sz w:val="24"/>
          <w:szCs w:val="24"/>
        </w:rPr>
        <w:t>品交易等高风险投资、提供财务资助、购买或者出售资产、对外投资等重大事件的实施情况；</w:t>
      </w:r>
    </w:p>
    <w:p w14:paraId="5BBB5E35"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（二）公司大额资金往来以及与董事、高级管理人员、控股股东、实际控制人及其关联人资金往来情况。</w:t>
      </w:r>
    </w:p>
    <w:p w14:paraId="7E1A5951"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审计委员会应当根据内部审计部门提交的内部审计报告及相关资料，对公司内部控制有效性出具书面评估意见，并向董事会报告。</w:t>
      </w:r>
    </w:p>
    <w:p w14:paraId="09E67301"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审计委员会就其职责范围内事项向董事会提出审议意见，董事会未采纳的，公司应当披露该事项并充分说明理由。</w:t>
      </w:r>
    </w:p>
    <w:p w14:paraId="1902D448" w14:textId="77777777" w:rsidR="007C2967" w:rsidRDefault="007C2967">
      <w:pPr>
        <w:spacing w:line="360" w:lineRule="auto"/>
        <w:rPr>
          <w:rFonts w:ascii="宋体" w:hAnsi="宋体"/>
          <w:kern w:val="0"/>
          <w:sz w:val="24"/>
          <w:szCs w:val="24"/>
        </w:rPr>
      </w:pPr>
    </w:p>
    <w:p w14:paraId="14E80DD7"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第四章</w:t>
      </w:r>
      <w:r>
        <w:rPr>
          <w:rFonts w:ascii="宋体" w:hAnsi="宋体"/>
          <w:b/>
          <w:kern w:val="0"/>
          <w:sz w:val="28"/>
          <w:szCs w:val="28"/>
        </w:rPr>
        <w:t xml:space="preserve"> </w:t>
      </w:r>
      <w:r>
        <w:rPr>
          <w:rFonts w:ascii="宋体" w:hAnsi="宋体" w:hint="eastAsia"/>
          <w:b/>
          <w:kern w:val="0"/>
          <w:sz w:val="28"/>
          <w:szCs w:val="28"/>
        </w:rPr>
        <w:t>议事规则</w:t>
      </w:r>
    </w:p>
    <w:p w14:paraId="3E6CDC85" w14:textId="77777777" w:rsidR="007C2967" w:rsidRDefault="007C2967">
      <w:pPr>
        <w:autoSpaceDE w:val="0"/>
        <w:autoSpaceDN w:val="0"/>
        <w:adjustRightInd w:val="0"/>
        <w:spacing w:line="360" w:lineRule="auto"/>
        <w:jc w:val="center"/>
        <w:rPr>
          <w:rFonts w:ascii="宋体" w:hAnsi="宋体"/>
          <w:b/>
          <w:kern w:val="0"/>
          <w:sz w:val="24"/>
          <w:szCs w:val="24"/>
        </w:rPr>
      </w:pPr>
    </w:p>
    <w:p w14:paraId="64F0550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cs="Arial" w:hint="eastAsia"/>
          <w:kern w:val="0"/>
          <w:sz w:val="24"/>
          <w:szCs w:val="24"/>
        </w:rPr>
        <w:t>审计委员会每季度至少召开一次会议，两名及以上审计委员会成员提议，或者召集人认为有必要时，可以召开临时会议。</w:t>
      </w:r>
    </w:p>
    <w:p w14:paraId="09FAE029"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审计委员会</w:t>
      </w:r>
      <w:r>
        <w:rPr>
          <w:rFonts w:ascii="宋体" w:hAnsi="宋体" w:hint="eastAsia"/>
          <w:kern w:val="0"/>
          <w:sz w:val="24"/>
          <w:szCs w:val="24"/>
        </w:rPr>
        <w:t>召开会议，公司原则上</w:t>
      </w:r>
      <w:r>
        <w:rPr>
          <w:rFonts w:ascii="宋体" w:hAnsi="宋体"/>
          <w:kern w:val="0"/>
          <w:sz w:val="24"/>
          <w:szCs w:val="24"/>
        </w:rPr>
        <w:t>应提前</w:t>
      </w:r>
      <w:r>
        <w:rPr>
          <w:rFonts w:ascii="宋体" w:hAnsi="宋体" w:hint="eastAsia"/>
          <w:kern w:val="0"/>
          <w:sz w:val="24"/>
          <w:szCs w:val="24"/>
        </w:rPr>
        <w:t>三</w:t>
      </w:r>
      <w:r>
        <w:rPr>
          <w:rFonts w:ascii="宋体" w:hAnsi="宋体"/>
          <w:kern w:val="0"/>
          <w:sz w:val="24"/>
          <w:szCs w:val="24"/>
        </w:rPr>
        <w:t>天通知全体委员</w:t>
      </w:r>
      <w:r>
        <w:rPr>
          <w:rFonts w:ascii="宋体" w:hAnsi="宋体" w:cs="Arial" w:hint="eastAsia"/>
          <w:kern w:val="0"/>
          <w:sz w:val="24"/>
          <w:szCs w:val="24"/>
        </w:rPr>
        <w:t>并</w:t>
      </w:r>
      <w:r>
        <w:rPr>
          <w:rFonts w:ascii="宋体" w:hAnsi="宋体" w:cs="Arial"/>
          <w:kern w:val="0"/>
          <w:sz w:val="24"/>
          <w:szCs w:val="24"/>
        </w:rPr>
        <w:t>提供相关资料和信息</w:t>
      </w:r>
      <w:r>
        <w:rPr>
          <w:rFonts w:ascii="宋体" w:hAnsi="宋体"/>
          <w:kern w:val="0"/>
          <w:sz w:val="24"/>
          <w:szCs w:val="24"/>
        </w:rPr>
        <w:t>。</w:t>
      </w:r>
      <w:r>
        <w:rPr>
          <w:rFonts w:ascii="宋体" w:hAnsi="宋体" w:hint="eastAsia"/>
          <w:kern w:val="0"/>
          <w:sz w:val="24"/>
          <w:szCs w:val="24"/>
        </w:rPr>
        <w:t>经全体委员一致同意，前述通知期可以豁免。</w:t>
      </w:r>
    </w:p>
    <w:p w14:paraId="73C4C74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lastRenderedPageBreak/>
        <w:t>会议通知应包括如下内容：</w:t>
      </w:r>
    </w:p>
    <w:p w14:paraId="4B76BFCA"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（一）会议召开时间、地点、</w:t>
      </w:r>
      <w:r>
        <w:rPr>
          <w:rFonts w:ascii="宋体" w:hAnsi="宋体" w:cs="Arial" w:hint="eastAsia"/>
          <w:sz w:val="24"/>
        </w:rPr>
        <w:t>方式、召集人</w:t>
      </w:r>
      <w:r>
        <w:rPr>
          <w:rFonts w:ascii="宋体" w:hAnsi="宋体" w:hint="eastAsia"/>
          <w:kern w:val="0"/>
          <w:sz w:val="24"/>
          <w:szCs w:val="24"/>
        </w:rPr>
        <w:t>；</w:t>
      </w:r>
    </w:p>
    <w:p w14:paraId="6323376E"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（二）会议期限；</w:t>
      </w:r>
    </w:p>
    <w:p w14:paraId="7F0619C7"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（三）会议需要讨论的议题；</w:t>
      </w:r>
    </w:p>
    <w:p w14:paraId="29C417BC"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（四）会议联系人及联系方式；</w:t>
      </w:r>
    </w:p>
    <w:p w14:paraId="2DE1F18C"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（五）会议通知的日期。</w:t>
      </w:r>
    </w:p>
    <w:p w14:paraId="17290E2F"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审计委员会会议可采用专人或邮件送出等方式进行通知。</w:t>
      </w:r>
    </w:p>
    <w:p w14:paraId="1A2EF4D8"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审计</w:t>
      </w:r>
      <w:r>
        <w:rPr>
          <w:rFonts w:ascii="宋体" w:hAnsi="宋体"/>
          <w:kern w:val="0"/>
          <w:sz w:val="24"/>
          <w:szCs w:val="24"/>
        </w:rPr>
        <w:t>委员会</w:t>
      </w:r>
      <w:r>
        <w:rPr>
          <w:rFonts w:ascii="宋体" w:hAnsi="宋体" w:hint="eastAsia"/>
          <w:kern w:val="0"/>
          <w:sz w:val="24"/>
          <w:szCs w:val="24"/>
        </w:rPr>
        <w:t>召集人</w:t>
      </w:r>
      <w:r>
        <w:rPr>
          <w:rFonts w:ascii="宋体" w:hAnsi="宋体"/>
          <w:kern w:val="0"/>
          <w:sz w:val="24"/>
          <w:szCs w:val="24"/>
        </w:rPr>
        <w:t>负责召集和主持</w:t>
      </w:r>
      <w:r>
        <w:rPr>
          <w:rFonts w:ascii="宋体" w:hAnsi="宋体" w:hint="eastAsia"/>
          <w:kern w:val="0"/>
          <w:sz w:val="24"/>
          <w:szCs w:val="24"/>
        </w:rPr>
        <w:t>审计</w:t>
      </w:r>
      <w:r>
        <w:rPr>
          <w:rFonts w:ascii="宋体" w:hAnsi="宋体"/>
          <w:kern w:val="0"/>
          <w:sz w:val="24"/>
          <w:szCs w:val="24"/>
        </w:rPr>
        <w:t>委员会会议，当</w:t>
      </w:r>
      <w:r>
        <w:rPr>
          <w:rFonts w:ascii="宋体" w:hAnsi="宋体" w:hint="eastAsia"/>
          <w:kern w:val="0"/>
          <w:sz w:val="24"/>
          <w:szCs w:val="24"/>
        </w:rPr>
        <w:t>召集人</w:t>
      </w:r>
      <w:r>
        <w:rPr>
          <w:rFonts w:ascii="宋体" w:hAnsi="宋体"/>
          <w:kern w:val="0"/>
          <w:sz w:val="24"/>
          <w:szCs w:val="24"/>
        </w:rPr>
        <w:t>不能或无法履行职责时，由其指定一名其他委员代行其职权；</w:t>
      </w:r>
      <w:r>
        <w:rPr>
          <w:rFonts w:ascii="宋体" w:hAnsi="宋体" w:hint="eastAsia"/>
          <w:kern w:val="0"/>
          <w:sz w:val="24"/>
          <w:szCs w:val="24"/>
        </w:rPr>
        <w:t>召集人</w:t>
      </w:r>
      <w:r>
        <w:rPr>
          <w:rFonts w:ascii="宋体" w:hAnsi="宋体"/>
          <w:kern w:val="0"/>
          <w:sz w:val="24"/>
          <w:szCs w:val="24"/>
        </w:rPr>
        <w:t>既不履行职责，也不指定其他委员代行其职责时，任何一名委员均可将有关情况向公司董事会报告，由公司董事会指定一名委员履行</w:t>
      </w:r>
      <w:r>
        <w:rPr>
          <w:rFonts w:ascii="宋体" w:hAnsi="宋体" w:hint="eastAsia"/>
          <w:kern w:val="0"/>
          <w:sz w:val="24"/>
          <w:szCs w:val="24"/>
        </w:rPr>
        <w:t>审计</w:t>
      </w:r>
      <w:r>
        <w:rPr>
          <w:rFonts w:ascii="宋体" w:hAnsi="宋体"/>
          <w:kern w:val="0"/>
          <w:sz w:val="24"/>
          <w:szCs w:val="24"/>
        </w:rPr>
        <w:t>委员会召集人职责。</w:t>
      </w:r>
    </w:p>
    <w:p w14:paraId="0E0FF09D"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审计委员会会议以现场召开为原则。在保证全体</w:t>
      </w:r>
      <w:proofErr w:type="gramStart"/>
      <w:r>
        <w:rPr>
          <w:rFonts w:ascii="宋体" w:hAnsi="宋体"/>
          <w:kern w:val="0"/>
          <w:sz w:val="24"/>
          <w:szCs w:val="24"/>
        </w:rPr>
        <w:t>参会</w:t>
      </w:r>
      <w:r>
        <w:rPr>
          <w:rFonts w:ascii="宋体" w:hAnsi="宋体" w:hint="eastAsia"/>
          <w:kern w:val="0"/>
          <w:sz w:val="24"/>
          <w:szCs w:val="24"/>
        </w:rPr>
        <w:t>委员</w:t>
      </w:r>
      <w:proofErr w:type="gramEnd"/>
      <w:r>
        <w:rPr>
          <w:rFonts w:ascii="宋体" w:hAnsi="宋体"/>
          <w:kern w:val="0"/>
          <w:sz w:val="24"/>
          <w:szCs w:val="24"/>
        </w:rPr>
        <w:t>能够充分沟通并表达意见的前提下，必要时可以采用</w:t>
      </w:r>
      <w:r>
        <w:rPr>
          <w:rFonts w:ascii="宋体" w:hAnsi="宋体" w:hint="eastAsia"/>
          <w:kern w:val="0"/>
          <w:sz w:val="24"/>
          <w:szCs w:val="24"/>
        </w:rPr>
        <w:t>电子通信、</w:t>
      </w:r>
      <w:proofErr w:type="gramStart"/>
      <w:r>
        <w:rPr>
          <w:rFonts w:ascii="宋体" w:hAnsi="宋体" w:hint="eastAsia"/>
          <w:kern w:val="0"/>
          <w:sz w:val="24"/>
          <w:szCs w:val="24"/>
        </w:rPr>
        <w:t>传签等</w:t>
      </w:r>
      <w:proofErr w:type="gramEnd"/>
      <w:r>
        <w:rPr>
          <w:rFonts w:ascii="宋体" w:hAnsi="宋体"/>
          <w:kern w:val="0"/>
          <w:sz w:val="24"/>
          <w:szCs w:val="24"/>
        </w:rPr>
        <w:t>方式召开。</w:t>
      </w:r>
    </w:p>
    <w:p w14:paraId="19B25B28"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审计委员会</w:t>
      </w:r>
      <w:r>
        <w:rPr>
          <w:rFonts w:ascii="宋体" w:hAnsi="宋体" w:hint="eastAsia"/>
          <w:kern w:val="0"/>
          <w:sz w:val="24"/>
          <w:szCs w:val="24"/>
        </w:rPr>
        <w:t>会议须有</w:t>
      </w:r>
      <w:r>
        <w:rPr>
          <w:rFonts w:ascii="宋体" w:hAnsi="宋体"/>
          <w:kern w:val="0"/>
          <w:sz w:val="24"/>
          <w:szCs w:val="24"/>
        </w:rPr>
        <w:t>三分之二以上的委员出席方可举行。审计委员会委员</w:t>
      </w:r>
      <w:r>
        <w:rPr>
          <w:rFonts w:ascii="宋体" w:hAnsi="宋体" w:hint="eastAsia"/>
          <w:kern w:val="0"/>
          <w:sz w:val="24"/>
          <w:szCs w:val="24"/>
        </w:rPr>
        <w:t>应当</w:t>
      </w:r>
      <w:r>
        <w:rPr>
          <w:rFonts w:ascii="宋体" w:hAnsi="宋体"/>
          <w:kern w:val="0"/>
          <w:sz w:val="24"/>
          <w:szCs w:val="24"/>
        </w:rPr>
        <w:t>亲自出席会议，</w:t>
      </w:r>
      <w:r>
        <w:rPr>
          <w:rFonts w:ascii="宋体" w:hAnsi="宋体" w:cs="Arial"/>
          <w:kern w:val="0"/>
          <w:sz w:val="24"/>
          <w:szCs w:val="24"/>
        </w:rPr>
        <w:t>因故不能亲自出席会议的，应当事先审阅会议材料，形成明确的意见，</w:t>
      </w:r>
      <w:r>
        <w:rPr>
          <w:rFonts w:ascii="宋体" w:hAnsi="宋体" w:cs="Arial" w:hint="eastAsia"/>
          <w:kern w:val="0"/>
          <w:sz w:val="24"/>
          <w:szCs w:val="24"/>
        </w:rPr>
        <w:t>并书面</w:t>
      </w:r>
      <w:r>
        <w:rPr>
          <w:rFonts w:ascii="宋体" w:hAnsi="宋体"/>
          <w:kern w:val="0"/>
          <w:sz w:val="24"/>
          <w:szCs w:val="24"/>
        </w:rPr>
        <w:t>委托其他委员代为出席会议。审计</w:t>
      </w:r>
      <w:r>
        <w:rPr>
          <w:rFonts w:ascii="宋体" w:hAnsi="宋体"/>
          <w:kern w:val="0"/>
          <w:sz w:val="24"/>
          <w:szCs w:val="24"/>
        </w:rPr>
        <w:t>委员会委员委托其他委员代为出席会议的，应向会议主持人提交授权委托书，授权委托书应载明代理人姓名、代理事项、代理权限和有效期限，并由委托人签名或盖章。授权委托书应不迟于会议表决前提交给会议主持人。</w:t>
      </w:r>
    </w:p>
    <w:p w14:paraId="35EA383F"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 xml:space="preserve">  </w:t>
      </w:r>
      <w:r>
        <w:rPr>
          <w:rFonts w:ascii="宋体" w:hAnsi="宋体"/>
          <w:kern w:val="0"/>
          <w:sz w:val="24"/>
          <w:szCs w:val="24"/>
        </w:rPr>
        <w:t>公司</w:t>
      </w:r>
      <w:r>
        <w:rPr>
          <w:rFonts w:ascii="宋体" w:hAnsi="宋体" w:hint="eastAsia"/>
          <w:kern w:val="0"/>
          <w:sz w:val="24"/>
          <w:szCs w:val="24"/>
        </w:rPr>
        <w:t>内部审计机构</w:t>
      </w:r>
      <w:r>
        <w:rPr>
          <w:rFonts w:ascii="宋体" w:hAnsi="宋体"/>
          <w:kern w:val="0"/>
          <w:sz w:val="24"/>
          <w:szCs w:val="24"/>
        </w:rPr>
        <w:t>人员可以列席审计委员会会议。如有必要，审计委员会可以召集与会议议案有关的其他人员列席会议、介绍情况或发表意见，但非审计委员会委员对议案没有表决权。</w:t>
      </w:r>
    </w:p>
    <w:p w14:paraId="69ED041B"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 xml:space="preserve">  </w:t>
      </w:r>
      <w:r>
        <w:rPr>
          <w:rFonts w:ascii="宋体" w:hAnsi="宋体" w:cs="宋体" w:hint="eastAsia"/>
          <w:kern w:val="0"/>
          <w:sz w:val="24"/>
          <w:szCs w:val="24"/>
        </w:rPr>
        <w:t>审计委员会所作决议应经全体委员的过半数通过方为有效。审计委员会委员每人享有一票表决权。</w:t>
      </w:r>
    </w:p>
    <w:p w14:paraId="4B607FAC"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出席会议的委员应本着认真负责的态度，对议案进行审议并</w:t>
      </w:r>
      <w:r>
        <w:rPr>
          <w:rFonts w:ascii="宋体" w:hAnsi="宋体"/>
          <w:kern w:val="0"/>
          <w:sz w:val="24"/>
          <w:szCs w:val="24"/>
        </w:rPr>
        <w:t>充分表达个人意见；委员对其个人的投票表决承担责任。</w:t>
      </w:r>
    </w:p>
    <w:p w14:paraId="1565FC61"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 xml:space="preserve"> </w:t>
      </w:r>
      <w:r>
        <w:rPr>
          <w:rFonts w:ascii="宋体" w:hAnsi="宋体" w:hint="eastAsia"/>
          <w:kern w:val="0"/>
          <w:sz w:val="24"/>
          <w:szCs w:val="24"/>
        </w:rPr>
        <w:t xml:space="preserve"> </w:t>
      </w:r>
      <w:r>
        <w:rPr>
          <w:rFonts w:ascii="宋体" w:hAnsi="宋体"/>
          <w:kern w:val="0"/>
          <w:sz w:val="24"/>
          <w:szCs w:val="24"/>
        </w:rPr>
        <w:t>审计委员会会议通过的议案及表决结果，应以书面形式报公司董事会。</w:t>
      </w:r>
    </w:p>
    <w:p w14:paraId="5004EBBB"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 xml:space="preserve">  </w:t>
      </w:r>
      <w:r>
        <w:rPr>
          <w:rFonts w:ascii="宋体" w:hAnsi="宋体"/>
          <w:kern w:val="0"/>
          <w:sz w:val="24"/>
          <w:szCs w:val="24"/>
        </w:rPr>
        <w:t>审计委员会</w:t>
      </w:r>
      <w:r>
        <w:rPr>
          <w:rFonts w:ascii="宋体" w:hAnsi="宋体" w:hint="eastAsia"/>
          <w:kern w:val="0"/>
          <w:sz w:val="24"/>
          <w:szCs w:val="24"/>
        </w:rPr>
        <w:t>决议</w:t>
      </w:r>
      <w:r>
        <w:rPr>
          <w:rFonts w:ascii="宋体" w:hAnsi="宋体"/>
          <w:kern w:val="0"/>
          <w:sz w:val="24"/>
          <w:szCs w:val="24"/>
        </w:rPr>
        <w:t>应当按规定制作会议记录，</w:t>
      </w:r>
      <w:r>
        <w:rPr>
          <w:rFonts w:ascii="宋体" w:hAnsi="宋体" w:hint="eastAsia"/>
          <w:kern w:val="0"/>
          <w:sz w:val="24"/>
          <w:szCs w:val="24"/>
        </w:rPr>
        <w:t>会议记录应当真实、</w:t>
      </w:r>
      <w:r>
        <w:rPr>
          <w:rFonts w:ascii="宋体" w:hAnsi="宋体" w:hint="eastAsia"/>
          <w:kern w:val="0"/>
          <w:sz w:val="24"/>
          <w:szCs w:val="24"/>
        </w:rPr>
        <w:lastRenderedPageBreak/>
        <w:t>准确、完整，充分反映与会人员对所审议事项提出的意见</w:t>
      </w:r>
      <w:r>
        <w:rPr>
          <w:rFonts w:ascii="宋体" w:hAnsi="宋体"/>
          <w:kern w:val="0"/>
          <w:sz w:val="24"/>
          <w:szCs w:val="24"/>
        </w:rPr>
        <w:t>，出席会议的委员和会议记录人应当在会议记录上签</w:t>
      </w:r>
      <w:r>
        <w:rPr>
          <w:rFonts w:ascii="宋体" w:hAnsi="宋体" w:hint="eastAsia"/>
          <w:kern w:val="0"/>
          <w:sz w:val="24"/>
          <w:szCs w:val="24"/>
        </w:rPr>
        <w:t>字</w:t>
      </w:r>
      <w:r>
        <w:rPr>
          <w:rFonts w:ascii="宋体" w:hAnsi="宋体"/>
          <w:kern w:val="0"/>
          <w:sz w:val="24"/>
          <w:szCs w:val="24"/>
        </w:rPr>
        <w:t>。出席会议的委员有权要求在记录上对其在会议上的发言做出说明性记载。</w:t>
      </w:r>
      <w:r>
        <w:rPr>
          <w:rFonts w:ascii="宋体" w:hAnsi="宋体" w:hint="eastAsia"/>
          <w:kern w:val="0"/>
          <w:sz w:val="24"/>
          <w:szCs w:val="24"/>
        </w:rPr>
        <w:t>与会委员对会议决议持异议的，应在会议记录或会议纪要上予以注明。</w:t>
      </w:r>
    </w:p>
    <w:p w14:paraId="3A856132" w14:textId="77777777" w:rsidR="007C2967" w:rsidRDefault="00472AC0">
      <w:pPr>
        <w:tabs>
          <w:tab w:val="left" w:pos="1620"/>
        </w:tabs>
        <w:spacing w:line="360" w:lineRule="auto"/>
        <w:ind w:firstLineChars="200" w:firstLine="480"/>
        <w:rPr>
          <w:rFonts w:ascii="宋体" w:hAnsi="宋体"/>
          <w:kern w:val="0"/>
          <w:sz w:val="24"/>
          <w:szCs w:val="24"/>
        </w:rPr>
      </w:pPr>
      <w:r>
        <w:rPr>
          <w:rFonts w:ascii="宋体" w:hAnsi="宋体" w:hint="eastAsia"/>
          <w:kern w:val="0"/>
          <w:sz w:val="24"/>
          <w:szCs w:val="24"/>
        </w:rPr>
        <w:t>审计</w:t>
      </w:r>
      <w:r>
        <w:rPr>
          <w:rFonts w:ascii="宋体" w:hAnsi="宋体"/>
          <w:kern w:val="0"/>
          <w:sz w:val="24"/>
          <w:szCs w:val="24"/>
        </w:rPr>
        <w:t>委员会会议记录作为公司</w:t>
      </w:r>
      <w:r>
        <w:rPr>
          <w:rFonts w:ascii="宋体" w:hAnsi="宋体" w:hint="eastAsia"/>
          <w:kern w:val="0"/>
          <w:sz w:val="24"/>
          <w:szCs w:val="24"/>
        </w:rPr>
        <w:t>重要</w:t>
      </w:r>
      <w:r>
        <w:rPr>
          <w:rFonts w:ascii="宋体" w:hAnsi="宋体"/>
          <w:kern w:val="0"/>
          <w:sz w:val="24"/>
          <w:szCs w:val="24"/>
        </w:rPr>
        <w:t>档案由董事会秘书负责</w:t>
      </w:r>
      <w:r>
        <w:rPr>
          <w:rFonts w:ascii="宋体" w:hAnsi="宋体" w:hint="eastAsia"/>
          <w:kern w:val="0"/>
          <w:sz w:val="24"/>
          <w:szCs w:val="24"/>
        </w:rPr>
        <w:t>妥善</w:t>
      </w:r>
      <w:r>
        <w:rPr>
          <w:rFonts w:ascii="宋体" w:hAnsi="宋体"/>
          <w:kern w:val="0"/>
          <w:sz w:val="24"/>
          <w:szCs w:val="24"/>
        </w:rPr>
        <w:t>保存，保存期</w:t>
      </w:r>
      <w:r>
        <w:rPr>
          <w:rFonts w:ascii="宋体" w:hAnsi="宋体" w:hint="eastAsia"/>
          <w:kern w:val="0"/>
          <w:sz w:val="24"/>
          <w:szCs w:val="24"/>
        </w:rPr>
        <w:t>不少于</w:t>
      </w:r>
      <w:r>
        <w:rPr>
          <w:rFonts w:ascii="宋体" w:hAnsi="宋体"/>
          <w:kern w:val="0"/>
          <w:sz w:val="24"/>
          <w:szCs w:val="24"/>
        </w:rPr>
        <w:t>十年。</w:t>
      </w:r>
    </w:p>
    <w:p w14:paraId="26330B36"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会议记录应至少包括以下内容：</w:t>
      </w:r>
    </w:p>
    <w:p w14:paraId="3F44588B"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（一）会议召开的日期、地点和召集人姓名；</w:t>
      </w:r>
    </w:p>
    <w:p w14:paraId="375E6CD7"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（二）出席会议人员的姓名，受他人委托出席会议的应特别注明；</w:t>
      </w:r>
    </w:p>
    <w:p w14:paraId="56D4D5BA"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（三）会议议程；</w:t>
      </w:r>
    </w:p>
    <w:p w14:paraId="498CF8C0"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（四）委员发言要点；</w:t>
      </w:r>
    </w:p>
    <w:p w14:paraId="2BC39947"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（五）每一决议事项或议案的表决方式和载明赞成、反对或弃权的票数的表决结果；</w:t>
      </w:r>
    </w:p>
    <w:p w14:paraId="3DC63E74"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（六）其他应当在会议记录中说明和记载的事项。</w:t>
      </w:r>
    </w:p>
    <w:p w14:paraId="0DCAAF16" w14:textId="77777777"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kern w:val="0"/>
          <w:sz w:val="24"/>
          <w:szCs w:val="24"/>
        </w:rPr>
        <w:t xml:space="preserve">  </w:t>
      </w:r>
      <w:r>
        <w:rPr>
          <w:rFonts w:ascii="宋体" w:hAnsi="宋体"/>
          <w:kern w:val="0"/>
          <w:sz w:val="24"/>
          <w:szCs w:val="24"/>
        </w:rPr>
        <w:t>审计委员会委员对于了解到的公司相关信息，在该等信息尚未公开之前，负有保密义务。</w:t>
      </w:r>
    </w:p>
    <w:p w14:paraId="1373AF65" w14:textId="77777777" w:rsidR="007C2967" w:rsidRDefault="007C2967">
      <w:pPr>
        <w:autoSpaceDE w:val="0"/>
        <w:autoSpaceDN w:val="0"/>
        <w:adjustRightInd w:val="0"/>
        <w:spacing w:line="360" w:lineRule="auto"/>
        <w:ind w:firstLineChars="200" w:firstLine="480"/>
        <w:rPr>
          <w:rFonts w:ascii="宋体" w:hAnsi="宋体"/>
          <w:kern w:val="0"/>
          <w:sz w:val="24"/>
          <w:szCs w:val="24"/>
        </w:rPr>
      </w:pPr>
    </w:p>
    <w:p w14:paraId="17799EF8"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五</w:t>
      </w:r>
      <w:r>
        <w:rPr>
          <w:rFonts w:ascii="宋体" w:hAnsi="宋体"/>
          <w:b/>
          <w:kern w:val="0"/>
          <w:sz w:val="28"/>
          <w:szCs w:val="28"/>
        </w:rPr>
        <w:t>章</w:t>
      </w:r>
      <w:r>
        <w:rPr>
          <w:rFonts w:ascii="宋体" w:hAnsi="宋体"/>
          <w:b/>
          <w:kern w:val="0"/>
          <w:sz w:val="28"/>
          <w:szCs w:val="28"/>
        </w:rPr>
        <w:t xml:space="preserve"> </w:t>
      </w:r>
      <w:r>
        <w:rPr>
          <w:rFonts w:ascii="宋体" w:hAnsi="宋体"/>
          <w:b/>
          <w:kern w:val="0"/>
          <w:sz w:val="28"/>
          <w:szCs w:val="28"/>
        </w:rPr>
        <w:t>附则</w:t>
      </w:r>
    </w:p>
    <w:p w14:paraId="1C2EB509" w14:textId="77777777" w:rsidR="007C2967" w:rsidRDefault="007C2967">
      <w:pPr>
        <w:autoSpaceDE w:val="0"/>
        <w:autoSpaceDN w:val="0"/>
        <w:adjustRightInd w:val="0"/>
        <w:spacing w:line="360" w:lineRule="auto"/>
        <w:jc w:val="center"/>
        <w:rPr>
          <w:rFonts w:ascii="宋体" w:hAnsi="宋体"/>
          <w:b/>
          <w:kern w:val="0"/>
          <w:sz w:val="24"/>
          <w:szCs w:val="24"/>
        </w:rPr>
      </w:pPr>
    </w:p>
    <w:p w14:paraId="23B6179C" w14:textId="3B2E4EC0"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kern w:val="0"/>
          <w:sz w:val="24"/>
          <w:szCs w:val="24"/>
        </w:rPr>
        <w:t>未尽事宜，依照国家有关法律、行政法规、部门规章、其他规范性文件及《公司章程》的有关规定执行</w:t>
      </w:r>
      <w:r>
        <w:rPr>
          <w:rFonts w:ascii="宋体" w:hAnsi="宋体" w:hint="eastAsia"/>
          <w:kern w:val="0"/>
          <w:sz w:val="24"/>
          <w:szCs w:val="24"/>
        </w:rPr>
        <w:t>。</w:t>
      </w:r>
    </w:p>
    <w:p w14:paraId="5AD60AE7" w14:textId="012C23C1"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hint="eastAsia"/>
          <w:kern w:val="0"/>
          <w:sz w:val="24"/>
          <w:szCs w:val="24"/>
        </w:rPr>
        <w:t>由</w:t>
      </w:r>
      <w:r>
        <w:rPr>
          <w:rFonts w:ascii="宋体" w:hAnsi="宋体"/>
          <w:kern w:val="0"/>
          <w:sz w:val="24"/>
          <w:szCs w:val="24"/>
        </w:rPr>
        <w:t>董事会</w:t>
      </w:r>
      <w:r>
        <w:rPr>
          <w:rFonts w:ascii="宋体" w:hAnsi="宋体" w:hint="eastAsia"/>
          <w:kern w:val="0"/>
          <w:sz w:val="24"/>
          <w:szCs w:val="24"/>
        </w:rPr>
        <w:t>负责解释</w:t>
      </w:r>
      <w:r>
        <w:rPr>
          <w:rFonts w:ascii="宋体" w:hAnsi="宋体"/>
          <w:kern w:val="0"/>
          <w:sz w:val="24"/>
          <w:szCs w:val="24"/>
        </w:rPr>
        <w:t>。</w:t>
      </w:r>
    </w:p>
    <w:p w14:paraId="74A3809C" w14:textId="44AE384A" w:rsidR="007C2967" w:rsidRDefault="00472AC0">
      <w:pPr>
        <w:numPr>
          <w:ilvl w:val="0"/>
          <w:numId w:val="16"/>
        </w:numPr>
        <w:tabs>
          <w:tab w:val="clear" w:pos="720"/>
          <w:tab w:val="left" w:pos="1620"/>
        </w:tabs>
        <w:spacing w:line="360" w:lineRule="auto"/>
        <w:ind w:left="0" w:firstLine="462"/>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w:t>
      </w:r>
      <w:proofErr w:type="gramStart"/>
      <w:r>
        <w:rPr>
          <w:rFonts w:ascii="宋体" w:hAnsi="宋体" w:hint="eastAsia"/>
          <w:kern w:val="0"/>
          <w:sz w:val="24"/>
          <w:szCs w:val="24"/>
        </w:rPr>
        <w:t>规则</w:t>
      </w:r>
      <w:r>
        <w:rPr>
          <w:rFonts w:ascii="宋体" w:hAnsi="宋体"/>
          <w:kern w:val="0"/>
          <w:sz w:val="24"/>
          <w:szCs w:val="24"/>
        </w:rPr>
        <w:t>经</w:t>
      </w:r>
      <w:proofErr w:type="gramEnd"/>
      <w:r>
        <w:rPr>
          <w:rFonts w:ascii="宋体" w:hAnsi="宋体" w:cs="Arial" w:hint="eastAsia"/>
          <w:sz w:val="24"/>
        </w:rPr>
        <w:t>董事会审议</w:t>
      </w:r>
      <w:r>
        <w:rPr>
          <w:rFonts w:ascii="宋体" w:hAnsi="宋体" w:cs="Arial"/>
          <w:sz w:val="24"/>
        </w:rPr>
        <w:t>通过</w:t>
      </w:r>
      <w:bookmarkStart w:id="5" w:name="_DV_C917"/>
      <w:r>
        <w:rPr>
          <w:rFonts w:ascii="宋体" w:hAnsi="宋体" w:cs="Arial" w:hint="eastAsia"/>
          <w:sz w:val="24"/>
        </w:rPr>
        <w:t>之日起生效</w:t>
      </w:r>
      <w:bookmarkEnd w:id="5"/>
      <w:r>
        <w:rPr>
          <w:rFonts w:ascii="宋体" w:hAnsi="宋体" w:cs="Arial" w:hint="eastAsia"/>
          <w:sz w:val="24"/>
        </w:rPr>
        <w:t>实施</w:t>
      </w:r>
      <w:r>
        <w:rPr>
          <w:rFonts w:ascii="宋体" w:hAnsi="宋体"/>
          <w:kern w:val="0"/>
          <w:sz w:val="24"/>
          <w:szCs w:val="24"/>
        </w:rPr>
        <w:t>。</w:t>
      </w:r>
    </w:p>
    <w:p w14:paraId="73489A6D" w14:textId="77777777" w:rsidR="007C2967" w:rsidRDefault="007C2967">
      <w:pPr>
        <w:widowControl/>
        <w:spacing w:after="360" w:line="320" w:lineRule="atLeast"/>
        <w:jc w:val="left"/>
        <w:rPr>
          <w:rFonts w:ascii="Arial" w:eastAsia="楷体_GB2312" w:hAnsi="Arial"/>
          <w:kern w:val="0"/>
          <w:sz w:val="24"/>
        </w:rPr>
      </w:pPr>
    </w:p>
    <w:p w14:paraId="3D06E55F" w14:textId="77777777" w:rsidR="007C2967" w:rsidRDefault="007C2967">
      <w:pPr>
        <w:widowControl/>
        <w:spacing w:after="360" w:line="320" w:lineRule="atLeast"/>
        <w:jc w:val="left"/>
        <w:rPr>
          <w:rFonts w:ascii="Arial" w:eastAsia="楷体_GB2312" w:hAnsi="Arial"/>
          <w:kern w:val="0"/>
          <w:sz w:val="24"/>
        </w:rPr>
      </w:pPr>
    </w:p>
    <w:p w14:paraId="1BCA7BE8" w14:textId="77777777" w:rsidR="007C2967" w:rsidRDefault="007C2967">
      <w:pPr>
        <w:widowControl/>
        <w:spacing w:after="360" w:line="320" w:lineRule="atLeast"/>
        <w:jc w:val="left"/>
        <w:rPr>
          <w:rFonts w:ascii="Arial" w:eastAsia="楷体_GB2312" w:hAnsi="Arial"/>
          <w:kern w:val="0"/>
          <w:sz w:val="24"/>
        </w:rPr>
      </w:pPr>
    </w:p>
    <w:p w14:paraId="3E37D2B3" w14:textId="77777777" w:rsidR="007C2967" w:rsidRDefault="007C2967">
      <w:pPr>
        <w:widowControl/>
        <w:spacing w:after="360" w:line="320" w:lineRule="atLeast"/>
        <w:jc w:val="left"/>
        <w:rPr>
          <w:rFonts w:ascii="Arial" w:eastAsia="楷体_GB2312" w:hAnsi="Arial"/>
          <w:kern w:val="0"/>
          <w:sz w:val="24"/>
        </w:rPr>
      </w:pPr>
    </w:p>
    <w:p w14:paraId="195F4744" w14:textId="3E40E8AB" w:rsidR="007C2967" w:rsidRDefault="00472AC0">
      <w:pPr>
        <w:adjustRightInd w:val="0"/>
        <w:snapToGrid w:val="0"/>
        <w:spacing w:line="360" w:lineRule="auto"/>
        <w:jc w:val="center"/>
        <w:rPr>
          <w:rFonts w:ascii="宋体" w:hAnsi="宋体"/>
          <w:b/>
          <w:sz w:val="28"/>
          <w:szCs w:val="28"/>
        </w:rPr>
      </w:pPr>
      <w:r>
        <w:rPr>
          <w:rFonts w:ascii="宋体" w:hAnsi="宋体" w:hint="eastAsia"/>
          <w:b/>
          <w:sz w:val="28"/>
          <w:szCs w:val="28"/>
        </w:rPr>
        <w:lastRenderedPageBreak/>
        <w:t>董事会</w:t>
      </w:r>
      <w:r>
        <w:rPr>
          <w:rFonts w:ascii="宋体" w:hAnsi="宋体"/>
          <w:b/>
          <w:sz w:val="28"/>
          <w:szCs w:val="28"/>
        </w:rPr>
        <w:t>提名委员会</w:t>
      </w:r>
      <w:r w:rsidRPr="00472AC0">
        <w:rPr>
          <w:rFonts w:ascii="宋体" w:hAnsi="宋体" w:hint="eastAsia"/>
          <w:b/>
          <w:sz w:val="28"/>
          <w:szCs w:val="28"/>
        </w:rPr>
        <w:t>议事规则</w:t>
      </w:r>
    </w:p>
    <w:p w14:paraId="3625DDD1"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第一章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b/>
          <w:kern w:val="0"/>
          <w:sz w:val="28"/>
          <w:szCs w:val="28"/>
        </w:rPr>
        <w:t>总则</w:t>
      </w:r>
    </w:p>
    <w:p w14:paraId="5AA458DF" w14:textId="77777777" w:rsidR="007C2967" w:rsidRDefault="007C2967">
      <w:pPr>
        <w:autoSpaceDE w:val="0"/>
        <w:autoSpaceDN w:val="0"/>
        <w:adjustRightInd w:val="0"/>
        <w:spacing w:line="360" w:lineRule="auto"/>
        <w:jc w:val="center"/>
        <w:rPr>
          <w:rFonts w:ascii="宋体" w:hAnsi="宋体"/>
          <w:b/>
          <w:kern w:val="0"/>
          <w:sz w:val="24"/>
          <w:szCs w:val="24"/>
        </w:rPr>
      </w:pPr>
    </w:p>
    <w:p w14:paraId="49147D2D" w14:textId="53145492"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为</w:t>
      </w:r>
      <w:proofErr w:type="gramStart"/>
      <w:r>
        <w:rPr>
          <w:rFonts w:ascii="宋体" w:hAnsi="宋体"/>
          <w:kern w:val="0"/>
          <w:sz w:val="24"/>
          <w:szCs w:val="24"/>
        </w:rPr>
        <w:t>规范</w:t>
      </w:r>
      <w:r>
        <w:rPr>
          <w:rFonts w:ascii="宋体" w:hAnsi="宋体" w:hint="eastAsia"/>
          <w:kern w:val="0"/>
          <w:sz w:val="24"/>
          <w:szCs w:val="24"/>
        </w:rPr>
        <w:t>华</w:t>
      </w:r>
      <w:proofErr w:type="gramEnd"/>
      <w:r>
        <w:rPr>
          <w:rFonts w:ascii="宋体" w:hAnsi="宋体" w:hint="eastAsia"/>
          <w:kern w:val="0"/>
          <w:sz w:val="24"/>
          <w:szCs w:val="24"/>
        </w:rPr>
        <w:t>孚时尚股份有限公司</w:t>
      </w:r>
      <w:r>
        <w:rPr>
          <w:rFonts w:ascii="宋体" w:hAnsi="宋体"/>
          <w:kern w:val="0"/>
          <w:sz w:val="24"/>
          <w:szCs w:val="24"/>
        </w:rPr>
        <w:t>（以下简称</w:t>
      </w:r>
      <w:r>
        <w:rPr>
          <w:rFonts w:ascii="宋体" w:hAnsi="宋体" w:hint="eastAsia"/>
          <w:kern w:val="0"/>
          <w:sz w:val="24"/>
          <w:szCs w:val="24"/>
        </w:rPr>
        <w:t>“</w:t>
      </w:r>
      <w:r>
        <w:rPr>
          <w:rFonts w:ascii="宋体" w:hAnsi="宋体"/>
          <w:kern w:val="0"/>
          <w:sz w:val="24"/>
          <w:szCs w:val="24"/>
        </w:rPr>
        <w:t>公司</w:t>
      </w:r>
      <w:r>
        <w:rPr>
          <w:rFonts w:ascii="宋体" w:hAnsi="宋体" w:hint="eastAsia"/>
          <w:kern w:val="0"/>
          <w:sz w:val="24"/>
          <w:szCs w:val="24"/>
        </w:rPr>
        <w:t>”</w:t>
      </w:r>
      <w:r>
        <w:rPr>
          <w:rFonts w:ascii="宋体" w:hAnsi="宋体"/>
          <w:kern w:val="0"/>
          <w:sz w:val="24"/>
          <w:szCs w:val="24"/>
        </w:rPr>
        <w:t>）董事及高级管理人员的产生，优化董事会的组成，完善公司治理结构，根据《中华人民共和国公司法》（以下简称</w:t>
      </w:r>
      <w:r>
        <w:rPr>
          <w:rFonts w:ascii="宋体" w:hAnsi="宋体" w:hint="eastAsia"/>
          <w:kern w:val="0"/>
          <w:sz w:val="24"/>
          <w:szCs w:val="24"/>
        </w:rPr>
        <w:t>“</w:t>
      </w:r>
      <w:r>
        <w:rPr>
          <w:rFonts w:ascii="宋体" w:hAnsi="宋体"/>
          <w:kern w:val="0"/>
          <w:sz w:val="24"/>
          <w:szCs w:val="24"/>
        </w:rPr>
        <w:t>《公司法》</w:t>
      </w:r>
      <w:r>
        <w:rPr>
          <w:rFonts w:ascii="宋体" w:hAnsi="宋体" w:hint="eastAsia"/>
          <w:kern w:val="0"/>
          <w:sz w:val="24"/>
          <w:szCs w:val="24"/>
        </w:rPr>
        <w:t>”</w:t>
      </w:r>
      <w:r>
        <w:rPr>
          <w:rFonts w:ascii="宋体" w:hAnsi="宋体"/>
          <w:kern w:val="0"/>
          <w:sz w:val="24"/>
          <w:szCs w:val="24"/>
        </w:rPr>
        <w:t>）</w:t>
      </w:r>
      <w:r>
        <w:rPr>
          <w:rFonts w:ascii="宋体" w:hAnsi="宋体" w:cs="Arial" w:hint="eastAsia"/>
          <w:sz w:val="24"/>
        </w:rPr>
        <w:t>《中华人民共和国证券法》《上市公司治理准则》《深圳证券交易所股票上市规则》《深圳证券交易所上市公司自律监管指引第</w:t>
      </w:r>
      <w:r>
        <w:rPr>
          <w:rFonts w:ascii="宋体" w:hAnsi="宋体" w:cs="Arial"/>
          <w:sz w:val="24"/>
        </w:rPr>
        <w:t>1</w:t>
      </w:r>
      <w:r>
        <w:rPr>
          <w:rFonts w:ascii="宋体" w:hAnsi="宋体" w:cs="Arial" w:hint="eastAsia"/>
          <w:sz w:val="24"/>
        </w:rPr>
        <w:t>号——主板上市公司规范运作》</w:t>
      </w:r>
      <w:r>
        <w:rPr>
          <w:rFonts w:ascii="宋体" w:hAnsi="宋体" w:hint="eastAsia"/>
          <w:kern w:val="0"/>
          <w:sz w:val="24"/>
          <w:szCs w:val="24"/>
        </w:rPr>
        <w:t>等有关法律、法规、规章、规范性文件和</w:t>
      </w:r>
      <w:r>
        <w:rPr>
          <w:rFonts w:ascii="宋体" w:hAnsi="宋体"/>
          <w:kern w:val="0"/>
          <w:sz w:val="24"/>
          <w:szCs w:val="24"/>
        </w:rPr>
        <w:t>《</w:t>
      </w:r>
      <w:r>
        <w:rPr>
          <w:rFonts w:ascii="宋体" w:hAnsi="宋体" w:hint="eastAsia"/>
          <w:kern w:val="0"/>
          <w:sz w:val="24"/>
          <w:szCs w:val="24"/>
        </w:rPr>
        <w:t>华孚时尚股份有限公司</w:t>
      </w:r>
      <w:r>
        <w:rPr>
          <w:rFonts w:ascii="宋体" w:hAnsi="宋体"/>
          <w:kern w:val="0"/>
          <w:sz w:val="24"/>
          <w:szCs w:val="24"/>
        </w:rPr>
        <w:t>章程》（以下简称</w:t>
      </w:r>
      <w:r>
        <w:rPr>
          <w:rFonts w:ascii="宋体" w:hAnsi="宋体" w:hint="eastAsia"/>
          <w:kern w:val="0"/>
          <w:sz w:val="24"/>
          <w:szCs w:val="24"/>
        </w:rPr>
        <w:t>“</w:t>
      </w:r>
      <w:r>
        <w:rPr>
          <w:rFonts w:ascii="宋体" w:hAnsi="宋体"/>
          <w:kern w:val="0"/>
          <w:sz w:val="24"/>
          <w:szCs w:val="24"/>
        </w:rPr>
        <w:t>《公司章程》</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的</w:t>
      </w:r>
      <w:r>
        <w:rPr>
          <w:rFonts w:ascii="宋体" w:hAnsi="宋体"/>
          <w:kern w:val="0"/>
          <w:sz w:val="24"/>
          <w:szCs w:val="24"/>
        </w:rPr>
        <w:t>有关规定</w:t>
      </w:r>
      <w:r>
        <w:rPr>
          <w:rFonts w:ascii="宋体" w:hAnsi="宋体" w:hint="eastAsia"/>
          <w:kern w:val="0"/>
          <w:sz w:val="24"/>
          <w:szCs w:val="24"/>
        </w:rPr>
        <w:t>，</w:t>
      </w:r>
      <w:r>
        <w:rPr>
          <w:rFonts w:ascii="宋体" w:hAnsi="宋体"/>
          <w:kern w:val="0"/>
          <w:sz w:val="24"/>
          <w:szCs w:val="24"/>
        </w:rPr>
        <w:t>设立董事会提名委员会（以下简称</w:t>
      </w:r>
      <w:r>
        <w:rPr>
          <w:rFonts w:ascii="宋体" w:hAnsi="宋体" w:hint="eastAsia"/>
          <w:kern w:val="0"/>
          <w:sz w:val="24"/>
          <w:szCs w:val="24"/>
        </w:rPr>
        <w:t>“</w:t>
      </w:r>
      <w:r>
        <w:rPr>
          <w:rFonts w:ascii="宋体" w:hAnsi="宋体"/>
          <w:kern w:val="0"/>
          <w:sz w:val="24"/>
          <w:szCs w:val="24"/>
        </w:rPr>
        <w:t>提名委员会</w:t>
      </w:r>
      <w:r>
        <w:rPr>
          <w:rFonts w:ascii="宋体" w:hAnsi="宋体" w:hint="eastAsia"/>
          <w:kern w:val="0"/>
          <w:sz w:val="24"/>
          <w:szCs w:val="24"/>
        </w:rPr>
        <w:t>”或“</w:t>
      </w:r>
      <w:r>
        <w:rPr>
          <w:rFonts w:ascii="宋体" w:hAnsi="宋体"/>
          <w:kern w:val="0"/>
          <w:sz w:val="24"/>
          <w:szCs w:val="24"/>
        </w:rPr>
        <w:t>委员会</w:t>
      </w:r>
      <w:r>
        <w:rPr>
          <w:rFonts w:ascii="宋体" w:hAnsi="宋体" w:hint="eastAsia"/>
          <w:kern w:val="0"/>
          <w:sz w:val="24"/>
          <w:szCs w:val="24"/>
        </w:rPr>
        <w:t>”</w:t>
      </w:r>
      <w:r>
        <w:rPr>
          <w:rFonts w:ascii="宋体" w:hAnsi="宋体"/>
          <w:kern w:val="0"/>
          <w:sz w:val="24"/>
          <w:szCs w:val="24"/>
        </w:rPr>
        <w:t>），作为负责选择公司董事、高级管理人员的专门机构</w:t>
      </w:r>
      <w:r>
        <w:rPr>
          <w:rFonts w:ascii="宋体" w:hAnsi="宋体" w:hint="eastAsia"/>
          <w:kern w:val="0"/>
          <w:sz w:val="24"/>
          <w:szCs w:val="24"/>
        </w:rPr>
        <w:t>，</w:t>
      </w:r>
      <w:r>
        <w:rPr>
          <w:rFonts w:ascii="宋体" w:hAnsi="宋体"/>
          <w:kern w:val="0"/>
          <w:sz w:val="24"/>
          <w:szCs w:val="24"/>
        </w:rPr>
        <w:t>并制定本议事规则</w:t>
      </w:r>
      <w:r>
        <w:rPr>
          <w:rFonts w:ascii="宋体" w:hAnsi="宋体"/>
          <w:kern w:val="0"/>
          <w:sz w:val="24"/>
          <w:szCs w:val="24"/>
        </w:rPr>
        <w:t>。</w:t>
      </w:r>
    </w:p>
    <w:p w14:paraId="6254E65D"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提名委员会为董事会下设的专门委员会。</w:t>
      </w:r>
    </w:p>
    <w:p w14:paraId="4273DF2B" w14:textId="05E6A07C"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本议事规则</w:t>
      </w:r>
      <w:r>
        <w:rPr>
          <w:rFonts w:ascii="宋体" w:hAnsi="宋体" w:hint="eastAsia"/>
          <w:kern w:val="0"/>
          <w:sz w:val="24"/>
          <w:szCs w:val="24"/>
        </w:rPr>
        <w:t>所称</w:t>
      </w:r>
      <w:r>
        <w:rPr>
          <w:rFonts w:ascii="宋体" w:hAnsi="宋体"/>
          <w:kern w:val="0"/>
          <w:sz w:val="24"/>
          <w:szCs w:val="24"/>
        </w:rPr>
        <w:t>高级管理人员</w:t>
      </w:r>
      <w:r>
        <w:rPr>
          <w:rFonts w:ascii="宋体" w:hAnsi="宋体" w:hint="eastAsia"/>
          <w:kern w:val="0"/>
          <w:sz w:val="24"/>
          <w:szCs w:val="24"/>
        </w:rPr>
        <w:t>是指董事会聘任的总裁、副总裁、总裁助理、董事会秘书、财务负责人和首席技术官。</w:t>
      </w:r>
    </w:p>
    <w:p w14:paraId="62090805" w14:textId="77777777" w:rsidR="007C2967" w:rsidRDefault="007C2967">
      <w:pPr>
        <w:spacing w:line="360" w:lineRule="auto"/>
        <w:rPr>
          <w:rFonts w:ascii="宋体" w:hAnsi="宋体"/>
          <w:kern w:val="0"/>
          <w:sz w:val="24"/>
          <w:szCs w:val="24"/>
        </w:rPr>
      </w:pPr>
    </w:p>
    <w:p w14:paraId="19EC6AE7"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第二章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b/>
          <w:kern w:val="0"/>
          <w:sz w:val="28"/>
          <w:szCs w:val="28"/>
        </w:rPr>
        <w:t>人员构成</w:t>
      </w:r>
    </w:p>
    <w:p w14:paraId="1AE6A0E2" w14:textId="77777777" w:rsidR="007C2967" w:rsidRDefault="007C2967">
      <w:pPr>
        <w:autoSpaceDE w:val="0"/>
        <w:autoSpaceDN w:val="0"/>
        <w:adjustRightInd w:val="0"/>
        <w:spacing w:line="360" w:lineRule="auto"/>
        <w:jc w:val="center"/>
        <w:rPr>
          <w:rFonts w:ascii="宋体" w:hAnsi="宋体"/>
          <w:b/>
          <w:kern w:val="0"/>
          <w:sz w:val="24"/>
          <w:szCs w:val="24"/>
        </w:rPr>
      </w:pPr>
    </w:p>
    <w:p w14:paraId="17ED8FC9"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提名委员会由三名董事组成，其中</w:t>
      </w:r>
      <w:r>
        <w:rPr>
          <w:rFonts w:ascii="宋体" w:hAnsi="宋体" w:hint="eastAsia"/>
          <w:kern w:val="0"/>
          <w:sz w:val="24"/>
          <w:szCs w:val="24"/>
        </w:rPr>
        <w:t>包括两名</w:t>
      </w:r>
      <w:r>
        <w:rPr>
          <w:rFonts w:ascii="宋体" w:hAnsi="宋体"/>
          <w:kern w:val="0"/>
          <w:sz w:val="24"/>
          <w:szCs w:val="24"/>
        </w:rPr>
        <w:t>独立董事。</w:t>
      </w:r>
      <w:r>
        <w:rPr>
          <w:rFonts w:ascii="宋体" w:hAnsi="宋体" w:hint="eastAsia"/>
          <w:kern w:val="0"/>
          <w:sz w:val="24"/>
          <w:szCs w:val="24"/>
        </w:rPr>
        <w:t>提名委员会</w:t>
      </w:r>
      <w:r>
        <w:rPr>
          <w:rFonts w:ascii="宋体" w:hAnsi="宋体"/>
          <w:kern w:val="0"/>
          <w:sz w:val="24"/>
          <w:szCs w:val="24"/>
        </w:rPr>
        <w:t>委员由</w:t>
      </w:r>
      <w:r>
        <w:rPr>
          <w:rFonts w:ascii="宋体" w:hAnsi="宋体" w:hint="eastAsia"/>
          <w:kern w:val="0"/>
          <w:sz w:val="24"/>
          <w:szCs w:val="24"/>
        </w:rPr>
        <w:t>董事长、过半数</w:t>
      </w:r>
      <w:r>
        <w:rPr>
          <w:rFonts w:ascii="宋体" w:hAnsi="宋体"/>
          <w:kern w:val="0"/>
          <w:sz w:val="24"/>
          <w:szCs w:val="24"/>
        </w:rPr>
        <w:t>独立董事或全体董事的三分之一提名，并由董事会会议选举产生。</w:t>
      </w:r>
    </w:p>
    <w:p w14:paraId="4E3C3803"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提名委员会设召集人</w:t>
      </w:r>
      <w:r>
        <w:rPr>
          <w:rFonts w:ascii="宋体" w:hAnsi="宋体" w:hint="eastAsia"/>
          <w:kern w:val="0"/>
          <w:sz w:val="24"/>
          <w:szCs w:val="24"/>
        </w:rPr>
        <w:t>一名</w:t>
      </w:r>
      <w:r>
        <w:rPr>
          <w:rFonts w:ascii="宋体" w:hAnsi="宋体"/>
          <w:kern w:val="0"/>
          <w:sz w:val="24"/>
          <w:szCs w:val="24"/>
        </w:rPr>
        <w:t>，由独立董事委员担任，</w:t>
      </w:r>
      <w:r>
        <w:rPr>
          <w:rFonts w:ascii="宋体" w:hAnsi="宋体" w:cs="宋体" w:hint="eastAsia"/>
          <w:kern w:val="0"/>
          <w:sz w:val="24"/>
          <w:szCs w:val="24"/>
        </w:rPr>
        <w:t>负责召集和主持提名委员会会议</w:t>
      </w:r>
      <w:r>
        <w:rPr>
          <w:rFonts w:ascii="宋体" w:hAnsi="宋体"/>
          <w:kern w:val="0"/>
          <w:sz w:val="24"/>
          <w:szCs w:val="24"/>
        </w:rPr>
        <w:t>；</w:t>
      </w:r>
      <w:r>
        <w:rPr>
          <w:rFonts w:ascii="宋体" w:hAnsi="宋体" w:hint="eastAsia"/>
          <w:kern w:val="0"/>
          <w:sz w:val="24"/>
          <w:szCs w:val="24"/>
        </w:rPr>
        <w:t>召集人</w:t>
      </w:r>
      <w:r>
        <w:rPr>
          <w:rFonts w:ascii="宋体" w:hAnsi="宋体" w:hint="eastAsia"/>
          <w:kern w:val="0"/>
          <w:sz w:val="24"/>
          <w:szCs w:val="24"/>
        </w:rPr>
        <w:t>由董事长提名并经董事会审议通过产生</w:t>
      </w:r>
      <w:r>
        <w:rPr>
          <w:rFonts w:ascii="宋体" w:hAnsi="宋体"/>
          <w:kern w:val="0"/>
          <w:sz w:val="24"/>
          <w:szCs w:val="24"/>
        </w:rPr>
        <w:t>。</w:t>
      </w:r>
    </w:p>
    <w:p w14:paraId="2BFE30CC" w14:textId="6158E33A"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提名委员会任期与董事会任期一致，委员任期届满，连选可以连任。在该任期内，如有委员不再担任公司董事职务，自动失去委员资格，并由</w:t>
      </w:r>
      <w:r>
        <w:rPr>
          <w:rFonts w:ascii="宋体" w:hAnsi="宋体" w:hint="eastAsia"/>
          <w:kern w:val="0"/>
          <w:sz w:val="24"/>
          <w:szCs w:val="24"/>
        </w:rPr>
        <w:t>公司</w:t>
      </w:r>
      <w:r>
        <w:rPr>
          <w:rFonts w:ascii="宋体" w:hAnsi="宋体"/>
          <w:kern w:val="0"/>
          <w:sz w:val="24"/>
          <w:szCs w:val="24"/>
        </w:rPr>
        <w:t>根据本议事规则</w:t>
      </w:r>
      <w:r>
        <w:rPr>
          <w:rFonts w:ascii="宋体" w:hAnsi="宋体"/>
          <w:kern w:val="0"/>
          <w:sz w:val="24"/>
          <w:szCs w:val="24"/>
        </w:rPr>
        <w:t>第</w:t>
      </w:r>
      <w:r>
        <w:rPr>
          <w:rFonts w:ascii="宋体" w:hAnsi="宋体" w:hint="eastAsia"/>
          <w:kern w:val="0"/>
          <w:sz w:val="24"/>
          <w:szCs w:val="24"/>
        </w:rPr>
        <w:t>四</w:t>
      </w:r>
      <w:r>
        <w:rPr>
          <w:rFonts w:ascii="宋体" w:hAnsi="宋体"/>
          <w:kern w:val="0"/>
          <w:sz w:val="24"/>
          <w:szCs w:val="24"/>
        </w:rPr>
        <w:t>条</w:t>
      </w:r>
      <w:r>
        <w:rPr>
          <w:rFonts w:ascii="宋体" w:hAnsi="宋体" w:hint="eastAsia"/>
          <w:kern w:val="0"/>
          <w:sz w:val="24"/>
          <w:szCs w:val="24"/>
        </w:rPr>
        <w:t>、</w:t>
      </w:r>
      <w:r>
        <w:rPr>
          <w:rFonts w:ascii="宋体" w:hAnsi="宋体"/>
          <w:kern w:val="0"/>
          <w:sz w:val="24"/>
          <w:szCs w:val="24"/>
        </w:rPr>
        <w:t>第</w:t>
      </w:r>
      <w:r>
        <w:rPr>
          <w:rFonts w:ascii="宋体" w:hAnsi="宋体" w:hint="eastAsia"/>
          <w:kern w:val="0"/>
          <w:sz w:val="24"/>
          <w:szCs w:val="24"/>
        </w:rPr>
        <w:t>五</w:t>
      </w:r>
      <w:r>
        <w:rPr>
          <w:rFonts w:ascii="宋体" w:hAnsi="宋体"/>
          <w:kern w:val="0"/>
          <w:sz w:val="24"/>
          <w:szCs w:val="24"/>
        </w:rPr>
        <w:t>条</w:t>
      </w:r>
      <w:r>
        <w:rPr>
          <w:rFonts w:ascii="宋体" w:hAnsi="宋体" w:hint="eastAsia"/>
          <w:kern w:val="0"/>
          <w:sz w:val="24"/>
          <w:szCs w:val="24"/>
        </w:rPr>
        <w:t>的</w:t>
      </w:r>
      <w:r>
        <w:rPr>
          <w:rFonts w:ascii="宋体" w:hAnsi="宋体"/>
          <w:kern w:val="0"/>
          <w:sz w:val="24"/>
          <w:szCs w:val="24"/>
        </w:rPr>
        <w:t>规定补足委员人数。</w:t>
      </w:r>
    </w:p>
    <w:p w14:paraId="0F278D22" w14:textId="77777777" w:rsidR="007C2967" w:rsidRDefault="007C2967">
      <w:pPr>
        <w:autoSpaceDE w:val="0"/>
        <w:autoSpaceDN w:val="0"/>
        <w:adjustRightInd w:val="0"/>
        <w:spacing w:line="360" w:lineRule="auto"/>
        <w:jc w:val="left"/>
        <w:rPr>
          <w:rFonts w:ascii="宋体" w:hAnsi="宋体"/>
          <w:kern w:val="0"/>
          <w:sz w:val="24"/>
          <w:szCs w:val="24"/>
        </w:rPr>
      </w:pPr>
    </w:p>
    <w:p w14:paraId="390A08DC"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第三章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b/>
          <w:kern w:val="0"/>
          <w:sz w:val="28"/>
          <w:szCs w:val="28"/>
        </w:rPr>
        <w:t>职责权限</w:t>
      </w:r>
    </w:p>
    <w:p w14:paraId="34531699" w14:textId="77777777" w:rsidR="007C2967" w:rsidRDefault="007C2967">
      <w:pPr>
        <w:autoSpaceDE w:val="0"/>
        <w:autoSpaceDN w:val="0"/>
        <w:adjustRightInd w:val="0"/>
        <w:spacing w:line="360" w:lineRule="auto"/>
        <w:jc w:val="center"/>
        <w:rPr>
          <w:rFonts w:ascii="宋体" w:hAnsi="宋体"/>
          <w:b/>
          <w:kern w:val="0"/>
          <w:sz w:val="24"/>
          <w:szCs w:val="24"/>
        </w:rPr>
      </w:pPr>
    </w:p>
    <w:p w14:paraId="55BC8546"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lastRenderedPageBreak/>
        <w:t>提名委员会负责拟定董事、高级管理人员的选择标准和程序，对董事、高级管理人员人选及其任职资格进行遴选、审核，并就下列事项向董事会提出建议：</w:t>
      </w:r>
    </w:p>
    <w:p w14:paraId="6B599CD9"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（一）提名或者任免董事；</w:t>
      </w:r>
    </w:p>
    <w:p w14:paraId="7CE975BC"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（二）聘任或者解聘高级管理人员；</w:t>
      </w:r>
    </w:p>
    <w:p w14:paraId="1A6F2EC2"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（三）法律、行政法规、中国证监会规定、深圳证券交易所有关规定和《公司章程》规定的其他事项。</w:t>
      </w:r>
    </w:p>
    <w:p w14:paraId="6CB29655"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董事会对提名委员会的建议未采纳或者未完全采纳的，应当在董事会决议中记载提名委员会的意见以及未采纳的具体理由，并进行披露。</w:t>
      </w:r>
    </w:p>
    <w:p w14:paraId="120EC8EB"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除另有规定外，提名委员会的提案应当提交董事会审议决定。</w:t>
      </w:r>
    </w:p>
    <w:p w14:paraId="02F92194"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董事、高级管理人员的选任程序</w:t>
      </w:r>
      <w:r>
        <w:rPr>
          <w:rFonts w:ascii="宋体" w:hAnsi="宋体" w:hint="eastAsia"/>
          <w:kern w:val="0"/>
          <w:sz w:val="24"/>
          <w:szCs w:val="24"/>
        </w:rPr>
        <w:t>如下</w:t>
      </w:r>
      <w:r>
        <w:rPr>
          <w:rFonts w:ascii="宋体" w:hAnsi="宋体"/>
          <w:kern w:val="0"/>
          <w:sz w:val="24"/>
          <w:szCs w:val="24"/>
        </w:rPr>
        <w:t>：</w:t>
      </w:r>
    </w:p>
    <w:p w14:paraId="3A091EA6"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（一）提名委员会应积极与公司有关部门交流，研究公司对新董事、高级管理人员的需求情况；</w:t>
      </w:r>
    </w:p>
    <w:p w14:paraId="574689D5"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（二）提名委员会可在公司内部以及人才市场等广泛搜寻董事、高级管理人员人选；</w:t>
      </w:r>
    </w:p>
    <w:p w14:paraId="3BBD9C90"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（三）搜集初选人的职业、学历、职称、详细的工作经历、全部兼职情况；</w:t>
      </w:r>
    </w:p>
    <w:p w14:paraId="73384657"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（四）征求被提名人对提名的同意，否则不能将其作为董事、高级管理人员人选；</w:t>
      </w:r>
    </w:p>
    <w:p w14:paraId="61917895"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（五）召集提名委员会会议，根据董事、高级管理人员的任职条件，对初选人员进行资格审查；</w:t>
      </w:r>
    </w:p>
    <w:p w14:paraId="783FE1D4"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（六）在选举新的董事和聘任新的高级管理人员前，向董事会提出董事候选人和新聘高级管理人员人选的建议和相关材料；</w:t>
      </w:r>
    </w:p>
    <w:p w14:paraId="08E388D2"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（七）根据董事会决议和反馈意见进行其他后续工作。</w:t>
      </w:r>
    </w:p>
    <w:p w14:paraId="4970D372" w14:textId="77777777" w:rsidR="007C2967" w:rsidRDefault="007C2967">
      <w:pPr>
        <w:spacing w:line="360" w:lineRule="auto"/>
        <w:ind w:left="448"/>
        <w:rPr>
          <w:rFonts w:ascii="宋体" w:hAnsi="宋体"/>
          <w:kern w:val="0"/>
          <w:sz w:val="24"/>
          <w:szCs w:val="24"/>
        </w:rPr>
      </w:pPr>
    </w:p>
    <w:p w14:paraId="703E4D10"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四</w:t>
      </w:r>
      <w:r>
        <w:rPr>
          <w:rFonts w:ascii="宋体" w:hAnsi="宋体"/>
          <w:b/>
          <w:kern w:val="0"/>
          <w:sz w:val="28"/>
          <w:szCs w:val="28"/>
        </w:rPr>
        <w:t>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hint="eastAsia"/>
          <w:b/>
          <w:kern w:val="0"/>
          <w:sz w:val="28"/>
          <w:szCs w:val="28"/>
        </w:rPr>
        <w:t>议事规</w:t>
      </w:r>
      <w:r>
        <w:rPr>
          <w:rFonts w:ascii="宋体" w:hAnsi="宋体"/>
          <w:b/>
          <w:kern w:val="0"/>
          <w:sz w:val="28"/>
          <w:szCs w:val="28"/>
        </w:rPr>
        <w:t>则</w:t>
      </w:r>
    </w:p>
    <w:p w14:paraId="3A396034" w14:textId="77777777" w:rsidR="007C2967" w:rsidRDefault="007C2967">
      <w:pPr>
        <w:spacing w:line="360" w:lineRule="auto"/>
        <w:rPr>
          <w:rFonts w:ascii="宋体" w:hAnsi="宋体"/>
          <w:kern w:val="0"/>
          <w:sz w:val="24"/>
          <w:szCs w:val="24"/>
        </w:rPr>
      </w:pPr>
    </w:p>
    <w:p w14:paraId="198B9CF2"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提名委员会会议根据工作需要，采用不定期方式召开委员会全体会议。</w:t>
      </w:r>
      <w:r>
        <w:rPr>
          <w:rFonts w:ascii="宋体" w:hAnsi="宋体" w:hint="eastAsia"/>
          <w:kern w:val="0"/>
          <w:sz w:val="24"/>
          <w:szCs w:val="24"/>
        </w:rPr>
        <w:t>提名委员会召开</w:t>
      </w:r>
      <w:r>
        <w:rPr>
          <w:rFonts w:ascii="宋体" w:hAnsi="宋体"/>
          <w:kern w:val="0"/>
          <w:sz w:val="24"/>
          <w:szCs w:val="24"/>
        </w:rPr>
        <w:t>会议</w:t>
      </w:r>
      <w:r>
        <w:rPr>
          <w:rFonts w:ascii="宋体" w:hAnsi="宋体" w:hint="eastAsia"/>
          <w:kern w:val="0"/>
          <w:sz w:val="24"/>
          <w:szCs w:val="24"/>
        </w:rPr>
        <w:t>，公司原则上</w:t>
      </w:r>
      <w:r>
        <w:rPr>
          <w:rFonts w:ascii="宋体" w:hAnsi="宋体"/>
          <w:kern w:val="0"/>
          <w:sz w:val="24"/>
          <w:szCs w:val="24"/>
        </w:rPr>
        <w:t>应提前三</w:t>
      </w:r>
      <w:r>
        <w:rPr>
          <w:rFonts w:ascii="宋体" w:hAnsi="宋体"/>
          <w:kern w:val="0"/>
          <w:sz w:val="24"/>
          <w:szCs w:val="24"/>
        </w:rPr>
        <w:t>天通知全体委员</w:t>
      </w:r>
      <w:r>
        <w:rPr>
          <w:rFonts w:ascii="宋体" w:hAnsi="宋体" w:cs="Arial" w:hint="eastAsia"/>
          <w:kern w:val="0"/>
          <w:sz w:val="24"/>
          <w:szCs w:val="24"/>
        </w:rPr>
        <w:t>并</w:t>
      </w:r>
      <w:r>
        <w:rPr>
          <w:rFonts w:ascii="宋体" w:hAnsi="宋体" w:cs="Arial"/>
          <w:kern w:val="0"/>
          <w:sz w:val="24"/>
          <w:szCs w:val="24"/>
        </w:rPr>
        <w:t>提供相关资料和信息</w:t>
      </w:r>
      <w:r>
        <w:rPr>
          <w:rFonts w:ascii="宋体" w:hAnsi="宋体"/>
          <w:kern w:val="0"/>
          <w:sz w:val="24"/>
          <w:szCs w:val="24"/>
        </w:rPr>
        <w:t>。</w:t>
      </w:r>
      <w:r>
        <w:rPr>
          <w:rFonts w:ascii="宋体" w:hAnsi="宋体" w:hint="eastAsia"/>
          <w:kern w:val="0"/>
          <w:sz w:val="24"/>
          <w:szCs w:val="24"/>
        </w:rPr>
        <w:t>经全体委员一致同意，前述通知期可以豁免。</w:t>
      </w:r>
    </w:p>
    <w:p w14:paraId="78E358B2"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lastRenderedPageBreak/>
        <w:t>会议通知应包括如下内容：</w:t>
      </w:r>
    </w:p>
    <w:p w14:paraId="51751B0E"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（一）会议召开时间、地点、</w:t>
      </w:r>
      <w:r>
        <w:rPr>
          <w:rFonts w:ascii="宋体" w:hAnsi="宋体" w:cs="Arial" w:hint="eastAsia"/>
          <w:sz w:val="24"/>
        </w:rPr>
        <w:t>方式、召集人</w:t>
      </w:r>
      <w:r>
        <w:rPr>
          <w:rFonts w:ascii="宋体" w:hAnsi="宋体" w:hint="eastAsia"/>
          <w:kern w:val="0"/>
          <w:sz w:val="24"/>
          <w:szCs w:val="24"/>
        </w:rPr>
        <w:t>；</w:t>
      </w:r>
    </w:p>
    <w:p w14:paraId="68BC577F"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（二）会议期限；</w:t>
      </w:r>
    </w:p>
    <w:p w14:paraId="2BB79D77"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（三）会议需要讨论的议题；</w:t>
      </w:r>
    </w:p>
    <w:p w14:paraId="0A47BEB4"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（四）会议联系人及联系方式；</w:t>
      </w:r>
    </w:p>
    <w:p w14:paraId="200EE155"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（五）会议通知的日期。</w:t>
      </w:r>
    </w:p>
    <w:p w14:paraId="1691A67F" w14:textId="77777777" w:rsidR="007C2967" w:rsidRDefault="00472AC0">
      <w:pPr>
        <w:numPr>
          <w:ilvl w:val="0"/>
          <w:numId w:val="17"/>
        </w:numPr>
        <w:tabs>
          <w:tab w:val="left" w:pos="1620"/>
        </w:tabs>
        <w:spacing w:line="360" w:lineRule="auto"/>
        <w:ind w:left="0" w:firstLine="448"/>
        <w:rPr>
          <w:rFonts w:ascii="宋体" w:hAnsi="宋体"/>
          <w:b/>
          <w:kern w:val="0"/>
          <w:sz w:val="24"/>
          <w:szCs w:val="24"/>
        </w:rPr>
      </w:pPr>
      <w:r>
        <w:rPr>
          <w:rFonts w:ascii="宋体" w:hAnsi="宋体"/>
          <w:kern w:val="0"/>
          <w:sz w:val="24"/>
          <w:szCs w:val="24"/>
        </w:rPr>
        <w:t>提名委员会会议可采用专人或邮件送出等方式进行通知。</w:t>
      </w:r>
    </w:p>
    <w:p w14:paraId="4B1DE599" w14:textId="77777777" w:rsidR="007C2967" w:rsidRDefault="00472AC0">
      <w:pPr>
        <w:numPr>
          <w:ilvl w:val="0"/>
          <w:numId w:val="17"/>
        </w:numPr>
        <w:tabs>
          <w:tab w:val="left" w:pos="1620"/>
        </w:tabs>
        <w:spacing w:line="360" w:lineRule="auto"/>
        <w:ind w:left="0" w:firstLine="448"/>
        <w:rPr>
          <w:rFonts w:ascii="宋体" w:hAnsi="宋体"/>
          <w:b/>
          <w:kern w:val="0"/>
          <w:sz w:val="24"/>
          <w:szCs w:val="24"/>
        </w:rPr>
      </w:pPr>
      <w:r>
        <w:rPr>
          <w:rFonts w:ascii="宋体" w:hAnsi="宋体"/>
          <w:kern w:val="0"/>
          <w:sz w:val="24"/>
          <w:szCs w:val="24"/>
        </w:rPr>
        <w:t>提名委员会</w:t>
      </w:r>
      <w:r>
        <w:rPr>
          <w:rFonts w:ascii="宋体" w:hAnsi="宋体" w:hint="eastAsia"/>
          <w:kern w:val="0"/>
          <w:sz w:val="24"/>
          <w:szCs w:val="24"/>
        </w:rPr>
        <w:t>召集人</w:t>
      </w:r>
      <w:r>
        <w:rPr>
          <w:rFonts w:ascii="宋体" w:hAnsi="宋体"/>
          <w:kern w:val="0"/>
          <w:sz w:val="24"/>
          <w:szCs w:val="24"/>
        </w:rPr>
        <w:t>负责召集和主持提名委员会会议，当</w:t>
      </w:r>
      <w:r>
        <w:rPr>
          <w:rFonts w:ascii="宋体" w:hAnsi="宋体" w:hint="eastAsia"/>
          <w:kern w:val="0"/>
          <w:sz w:val="24"/>
          <w:szCs w:val="24"/>
        </w:rPr>
        <w:t>召集人</w:t>
      </w:r>
      <w:r>
        <w:rPr>
          <w:rFonts w:ascii="宋体" w:hAnsi="宋体"/>
          <w:kern w:val="0"/>
          <w:sz w:val="24"/>
          <w:szCs w:val="24"/>
        </w:rPr>
        <w:t>不能或无法履行职责时，由其指定一名其他委员代行其职权；</w:t>
      </w:r>
      <w:r>
        <w:rPr>
          <w:rFonts w:ascii="宋体" w:hAnsi="宋体" w:hint="eastAsia"/>
          <w:kern w:val="0"/>
          <w:sz w:val="24"/>
          <w:szCs w:val="24"/>
        </w:rPr>
        <w:t>召集人</w:t>
      </w:r>
      <w:r>
        <w:rPr>
          <w:rFonts w:ascii="宋体" w:hAnsi="宋体"/>
          <w:kern w:val="0"/>
          <w:sz w:val="24"/>
          <w:szCs w:val="24"/>
        </w:rPr>
        <w:t>既不履行职责，也不指定其他委员代行其职责时，任何一名委员均可将有关情况向公司董事会报告，由公司董事会指定一名委员履行提名委员会召集人职责。</w:t>
      </w:r>
    </w:p>
    <w:p w14:paraId="77EFA685"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w:t>
      </w:r>
      <w:r>
        <w:rPr>
          <w:rFonts w:ascii="宋体" w:hAnsi="宋体" w:hint="eastAsia"/>
          <w:kern w:val="0"/>
          <w:sz w:val="24"/>
          <w:szCs w:val="24"/>
        </w:rPr>
        <w:t>会议须有三</w:t>
      </w:r>
      <w:r>
        <w:rPr>
          <w:rFonts w:ascii="宋体" w:hAnsi="宋体"/>
          <w:kern w:val="0"/>
          <w:sz w:val="24"/>
          <w:szCs w:val="24"/>
        </w:rPr>
        <w:t>分之</w:t>
      </w:r>
      <w:r>
        <w:rPr>
          <w:rFonts w:ascii="宋体" w:hAnsi="宋体" w:hint="eastAsia"/>
          <w:kern w:val="0"/>
          <w:sz w:val="24"/>
          <w:szCs w:val="24"/>
        </w:rPr>
        <w:t>二</w:t>
      </w:r>
      <w:r>
        <w:rPr>
          <w:rFonts w:ascii="宋体" w:hAnsi="宋体"/>
          <w:kern w:val="0"/>
          <w:sz w:val="24"/>
          <w:szCs w:val="24"/>
        </w:rPr>
        <w:t>以上委员出席方可举行。提名委员会委员</w:t>
      </w:r>
      <w:r>
        <w:rPr>
          <w:rFonts w:ascii="宋体" w:hAnsi="宋体" w:hint="eastAsia"/>
          <w:kern w:val="0"/>
          <w:sz w:val="24"/>
          <w:szCs w:val="24"/>
        </w:rPr>
        <w:t>应当</w:t>
      </w:r>
      <w:r>
        <w:rPr>
          <w:rFonts w:ascii="宋体" w:hAnsi="宋体"/>
          <w:kern w:val="0"/>
          <w:sz w:val="24"/>
          <w:szCs w:val="24"/>
        </w:rPr>
        <w:t>亲自出席会议，</w:t>
      </w:r>
      <w:r>
        <w:rPr>
          <w:rFonts w:ascii="宋体" w:hAnsi="宋体" w:cs="Arial"/>
          <w:kern w:val="0"/>
          <w:sz w:val="24"/>
          <w:szCs w:val="24"/>
        </w:rPr>
        <w:t>因故不能亲自出席会议的，应当事先审阅会议材料，形成明确的意见，</w:t>
      </w:r>
      <w:r>
        <w:rPr>
          <w:rFonts w:ascii="宋体" w:hAnsi="宋体" w:hint="eastAsia"/>
          <w:kern w:val="0"/>
          <w:sz w:val="24"/>
          <w:szCs w:val="24"/>
        </w:rPr>
        <w:t>并</w:t>
      </w:r>
      <w:r>
        <w:rPr>
          <w:rFonts w:ascii="宋体" w:hAnsi="宋体"/>
          <w:kern w:val="0"/>
          <w:sz w:val="24"/>
          <w:szCs w:val="24"/>
        </w:rPr>
        <w:t>书面委托其他委员代为出席会议。提名委员会委员委托其他委员代为出席会议的，应向召集人提交授权委托书，授权委托书应当载明代理人姓名、代理事项、代理权限和有效期限，并由委托人签名或盖章。授权委托书应不迟于会议表决前提交给会议主持人。</w:t>
      </w:r>
    </w:p>
    <w:p w14:paraId="382A1021"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提名委员会委员既不亲自出席会议，也未委托其他委员代为出席会议的，视为未出席相关会议。委员连续两次不出席会议的，视为不能适当履行职权，公司董事会可以撤销其委员职务。</w:t>
      </w:r>
    </w:p>
    <w:p w14:paraId="111D6F48"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提名委员会如认为必要，可以召集与会议议案有关的其他人员列席会议、介绍情况或发表意见，但非提名委员会委员对议案没有表决权。</w:t>
      </w:r>
    </w:p>
    <w:p w14:paraId="28229BDC"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如有必要，提名委员会可以聘请中介机构为其决策提供专业意见，费用由公司支付。</w:t>
      </w:r>
    </w:p>
    <w:p w14:paraId="3FF45573"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cs="宋体" w:hint="eastAsia"/>
          <w:kern w:val="0"/>
          <w:sz w:val="24"/>
          <w:szCs w:val="24"/>
        </w:rPr>
        <w:t>提名委员会所作决议应经全体委员的过半数通过方为有效。提名委员会委员每人享有一票表决权。</w:t>
      </w:r>
    </w:p>
    <w:p w14:paraId="59D2E823"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出席会议的委员应本着认真负责的态度，对议案进行审议并充分表达个人意见；委员对其个人的投票表决承担责任。</w:t>
      </w:r>
    </w:p>
    <w:p w14:paraId="35D688A0"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提名委员会会议以现场召开为原则。在保证全体</w:t>
      </w:r>
      <w:proofErr w:type="gramStart"/>
      <w:r>
        <w:rPr>
          <w:rFonts w:ascii="宋体" w:hAnsi="宋体"/>
          <w:kern w:val="0"/>
          <w:sz w:val="24"/>
          <w:szCs w:val="24"/>
        </w:rPr>
        <w:t>参会</w:t>
      </w:r>
      <w:r>
        <w:rPr>
          <w:rFonts w:ascii="宋体" w:hAnsi="宋体" w:hint="eastAsia"/>
          <w:kern w:val="0"/>
          <w:sz w:val="24"/>
          <w:szCs w:val="24"/>
        </w:rPr>
        <w:t>委员</w:t>
      </w:r>
      <w:proofErr w:type="gramEnd"/>
      <w:r>
        <w:rPr>
          <w:rFonts w:ascii="宋体" w:hAnsi="宋体"/>
          <w:kern w:val="0"/>
          <w:sz w:val="24"/>
          <w:szCs w:val="24"/>
        </w:rPr>
        <w:t>能够</w:t>
      </w:r>
      <w:r>
        <w:rPr>
          <w:rFonts w:ascii="宋体" w:hAnsi="宋体"/>
          <w:kern w:val="0"/>
          <w:sz w:val="24"/>
          <w:szCs w:val="24"/>
        </w:rPr>
        <w:lastRenderedPageBreak/>
        <w:t>充分沟通并表达意见的前提下，必要时可以采用</w:t>
      </w:r>
      <w:r>
        <w:rPr>
          <w:rFonts w:ascii="宋体" w:hAnsi="宋体" w:hint="eastAsia"/>
          <w:kern w:val="0"/>
          <w:sz w:val="24"/>
          <w:szCs w:val="24"/>
        </w:rPr>
        <w:t>电子通信、</w:t>
      </w:r>
      <w:proofErr w:type="gramStart"/>
      <w:r>
        <w:rPr>
          <w:rFonts w:ascii="宋体" w:hAnsi="宋体" w:hint="eastAsia"/>
          <w:kern w:val="0"/>
          <w:sz w:val="24"/>
          <w:szCs w:val="24"/>
        </w:rPr>
        <w:t>传签等</w:t>
      </w:r>
      <w:proofErr w:type="gramEnd"/>
      <w:r>
        <w:rPr>
          <w:rFonts w:ascii="宋体" w:hAnsi="宋体"/>
          <w:kern w:val="0"/>
          <w:sz w:val="24"/>
          <w:szCs w:val="24"/>
        </w:rPr>
        <w:t>方式召开。</w:t>
      </w:r>
    </w:p>
    <w:p w14:paraId="527BAC76"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为保证提名委员会公平、公正地履行职权，提名委员会审议与董事、高级管理人员人选有关的事项时，委员有下列情形之一的，应被视为有利害关系，其应当提前向提名委员会</w:t>
      </w:r>
      <w:proofErr w:type="gramStart"/>
      <w:r>
        <w:rPr>
          <w:rFonts w:ascii="宋体" w:hAnsi="宋体" w:hint="eastAsia"/>
          <w:kern w:val="0"/>
          <w:sz w:val="24"/>
          <w:szCs w:val="24"/>
        </w:rPr>
        <w:t>作出</w:t>
      </w:r>
      <w:proofErr w:type="gramEnd"/>
      <w:r>
        <w:rPr>
          <w:rFonts w:ascii="宋体" w:hAnsi="宋体" w:hint="eastAsia"/>
          <w:kern w:val="0"/>
          <w:sz w:val="24"/>
          <w:szCs w:val="24"/>
        </w:rPr>
        <w:t>披露，并对相关议案回避表决：</w:t>
      </w:r>
    </w:p>
    <w:p w14:paraId="6C2916F6" w14:textId="77777777" w:rsidR="007C2967" w:rsidRDefault="00472AC0">
      <w:pPr>
        <w:spacing w:line="360" w:lineRule="auto"/>
        <w:ind w:firstLineChars="150" w:firstLine="360"/>
        <w:rPr>
          <w:rFonts w:ascii="宋体" w:hAnsi="宋体"/>
          <w:kern w:val="0"/>
          <w:sz w:val="24"/>
          <w:szCs w:val="24"/>
        </w:rPr>
      </w:pPr>
      <w:r>
        <w:rPr>
          <w:rFonts w:ascii="宋体" w:hAnsi="宋体" w:hint="eastAsia"/>
          <w:kern w:val="0"/>
          <w:sz w:val="24"/>
          <w:szCs w:val="24"/>
        </w:rPr>
        <w:t>（一）委员本人被建议提名的；</w:t>
      </w:r>
    </w:p>
    <w:p w14:paraId="05682CF7" w14:textId="77777777" w:rsidR="007C2967" w:rsidRDefault="00472AC0">
      <w:pPr>
        <w:spacing w:line="360" w:lineRule="auto"/>
        <w:ind w:firstLineChars="150" w:firstLine="360"/>
        <w:rPr>
          <w:rFonts w:ascii="宋体" w:hAnsi="宋体"/>
          <w:kern w:val="0"/>
          <w:sz w:val="24"/>
          <w:szCs w:val="24"/>
        </w:rPr>
      </w:pPr>
      <w:r>
        <w:rPr>
          <w:rFonts w:ascii="宋体" w:hAnsi="宋体" w:hint="eastAsia"/>
          <w:kern w:val="0"/>
          <w:sz w:val="24"/>
          <w:szCs w:val="24"/>
        </w:rPr>
        <w:t>（二）委员的近亲属被建议提名的；</w:t>
      </w:r>
    </w:p>
    <w:p w14:paraId="758222A6" w14:textId="77777777" w:rsidR="007C2967" w:rsidRDefault="00472AC0">
      <w:pPr>
        <w:spacing w:line="360" w:lineRule="auto"/>
        <w:ind w:firstLineChars="150" w:firstLine="360"/>
        <w:rPr>
          <w:rFonts w:ascii="宋体" w:hAnsi="宋体"/>
          <w:kern w:val="0"/>
          <w:sz w:val="24"/>
          <w:szCs w:val="24"/>
        </w:rPr>
      </w:pPr>
      <w:r>
        <w:rPr>
          <w:rFonts w:ascii="宋体" w:hAnsi="宋体" w:hint="eastAsia"/>
          <w:kern w:val="0"/>
          <w:sz w:val="24"/>
          <w:szCs w:val="24"/>
        </w:rPr>
        <w:t>（三）其他可能影响委员</w:t>
      </w:r>
      <w:proofErr w:type="gramStart"/>
      <w:r>
        <w:rPr>
          <w:rFonts w:ascii="宋体" w:hAnsi="宋体" w:hint="eastAsia"/>
          <w:kern w:val="0"/>
          <w:sz w:val="24"/>
          <w:szCs w:val="24"/>
        </w:rPr>
        <w:t>作出</w:t>
      </w:r>
      <w:proofErr w:type="gramEnd"/>
      <w:r>
        <w:rPr>
          <w:rFonts w:ascii="宋体" w:hAnsi="宋体" w:hint="eastAsia"/>
          <w:kern w:val="0"/>
          <w:sz w:val="24"/>
          <w:szCs w:val="24"/>
        </w:rPr>
        <w:t>客</w:t>
      </w:r>
      <w:r>
        <w:rPr>
          <w:rFonts w:ascii="宋体" w:hAnsi="宋体" w:hint="eastAsia"/>
          <w:kern w:val="0"/>
          <w:sz w:val="24"/>
          <w:szCs w:val="24"/>
        </w:rPr>
        <w:t>观公正判断的情形。</w:t>
      </w:r>
    </w:p>
    <w:p w14:paraId="66B90D97"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提名委员会会议通过的议案及表决结果，应</w:t>
      </w:r>
      <w:r>
        <w:rPr>
          <w:rFonts w:ascii="宋体" w:hAnsi="宋体" w:hint="eastAsia"/>
          <w:kern w:val="0"/>
          <w:sz w:val="24"/>
          <w:szCs w:val="24"/>
        </w:rPr>
        <w:t>及时</w:t>
      </w:r>
      <w:r>
        <w:rPr>
          <w:rFonts w:ascii="宋体" w:hAnsi="宋体"/>
          <w:kern w:val="0"/>
          <w:sz w:val="24"/>
          <w:szCs w:val="24"/>
        </w:rPr>
        <w:t>以书面形式报公司董事会。</w:t>
      </w:r>
    </w:p>
    <w:p w14:paraId="53EE7899"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提名委员会会议应当按规定制作会议记录，</w:t>
      </w:r>
      <w:r>
        <w:rPr>
          <w:rFonts w:ascii="宋体" w:hAnsi="宋体" w:hint="eastAsia"/>
          <w:kern w:val="0"/>
          <w:sz w:val="24"/>
          <w:szCs w:val="24"/>
        </w:rPr>
        <w:t>会议记录应当真实、准确、完整，充分反映与会人员对所审议事项提出的意见</w:t>
      </w:r>
      <w:r>
        <w:rPr>
          <w:rFonts w:ascii="宋体" w:hAnsi="宋体"/>
          <w:kern w:val="0"/>
          <w:sz w:val="24"/>
          <w:szCs w:val="24"/>
        </w:rPr>
        <w:t>，出席会议的委员和会议记录人应当在会议记录上签名。出席会议的委员有权要求在记录上对其在会议上的发言做出说明性记载。</w:t>
      </w:r>
      <w:r>
        <w:rPr>
          <w:rFonts w:ascii="宋体" w:hAnsi="宋体" w:hint="eastAsia"/>
          <w:kern w:val="0"/>
          <w:sz w:val="24"/>
          <w:szCs w:val="24"/>
        </w:rPr>
        <w:t>与会委员对会议决议持异议的，应在会议记录或会议纪要上予以注明。</w:t>
      </w:r>
    </w:p>
    <w:p w14:paraId="7DFD405F"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提名委员会会议记录作为公司档案由董事会秘书负责保存，保存期</w:t>
      </w:r>
      <w:r>
        <w:rPr>
          <w:rFonts w:ascii="宋体" w:hAnsi="宋体" w:hint="eastAsia"/>
          <w:kern w:val="0"/>
          <w:sz w:val="24"/>
          <w:szCs w:val="24"/>
        </w:rPr>
        <w:t>不少于</w:t>
      </w:r>
      <w:r>
        <w:rPr>
          <w:rFonts w:ascii="宋体" w:hAnsi="宋体"/>
          <w:kern w:val="0"/>
          <w:sz w:val="24"/>
          <w:szCs w:val="24"/>
        </w:rPr>
        <w:t>十年。</w:t>
      </w:r>
    </w:p>
    <w:p w14:paraId="3542A812"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会议记录应至少包括以下内容：</w:t>
      </w:r>
    </w:p>
    <w:p w14:paraId="741C0F93"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（一）会议召开的日期、地点和召集人姓名</w:t>
      </w:r>
      <w:r>
        <w:rPr>
          <w:rFonts w:ascii="宋体" w:hAnsi="宋体" w:hint="eastAsia"/>
          <w:kern w:val="0"/>
          <w:sz w:val="24"/>
          <w:szCs w:val="24"/>
        </w:rPr>
        <w:t>；</w:t>
      </w:r>
    </w:p>
    <w:p w14:paraId="0A658A93"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（二）出席会议人员的姓名，受他人委托出席会议的应特别注明；</w:t>
      </w:r>
    </w:p>
    <w:p w14:paraId="60549988"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（三）会议议程；</w:t>
      </w:r>
    </w:p>
    <w:p w14:paraId="366DB1DB"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（四）委员发言要点；</w:t>
      </w:r>
    </w:p>
    <w:p w14:paraId="60C559C0"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（五）每一决议事项或议案的表决方式和载明赞成、反对或弃权的票数的表决结果；</w:t>
      </w:r>
    </w:p>
    <w:p w14:paraId="713402CE"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（六）其他应当在会议记录中说明和记载的事项。</w:t>
      </w:r>
    </w:p>
    <w:p w14:paraId="1E477AAE" w14:textId="77777777"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提名委员会委员对于了解到的公司相关信息，在该等信息尚未公开之前，负有保密义务。</w:t>
      </w:r>
    </w:p>
    <w:p w14:paraId="6C963C79" w14:textId="77777777" w:rsidR="007C2967" w:rsidRDefault="007C2967">
      <w:pPr>
        <w:spacing w:line="360" w:lineRule="auto"/>
        <w:rPr>
          <w:rFonts w:ascii="宋体" w:hAnsi="宋体"/>
          <w:kern w:val="0"/>
          <w:sz w:val="24"/>
          <w:szCs w:val="24"/>
        </w:rPr>
      </w:pPr>
    </w:p>
    <w:p w14:paraId="4225A77F"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五</w:t>
      </w:r>
      <w:r>
        <w:rPr>
          <w:rFonts w:ascii="宋体" w:hAnsi="宋体"/>
          <w:b/>
          <w:kern w:val="0"/>
          <w:sz w:val="28"/>
          <w:szCs w:val="28"/>
        </w:rPr>
        <w:t>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b/>
          <w:kern w:val="0"/>
          <w:sz w:val="28"/>
          <w:szCs w:val="28"/>
        </w:rPr>
        <w:t>附</w:t>
      </w:r>
      <w:r>
        <w:rPr>
          <w:rFonts w:ascii="宋体" w:hAnsi="宋体"/>
          <w:b/>
          <w:kern w:val="0"/>
          <w:sz w:val="28"/>
          <w:szCs w:val="28"/>
        </w:rPr>
        <w:t xml:space="preserve"> </w:t>
      </w:r>
      <w:r>
        <w:rPr>
          <w:rFonts w:ascii="宋体" w:hAnsi="宋体"/>
          <w:b/>
          <w:kern w:val="0"/>
          <w:sz w:val="28"/>
          <w:szCs w:val="28"/>
        </w:rPr>
        <w:t>则</w:t>
      </w:r>
    </w:p>
    <w:p w14:paraId="0DCAF041" w14:textId="77777777" w:rsidR="007C2967" w:rsidRDefault="007C2967">
      <w:pPr>
        <w:autoSpaceDE w:val="0"/>
        <w:autoSpaceDN w:val="0"/>
        <w:adjustRightInd w:val="0"/>
        <w:spacing w:line="360" w:lineRule="auto"/>
        <w:jc w:val="center"/>
        <w:rPr>
          <w:rFonts w:ascii="宋体" w:hAnsi="宋体"/>
          <w:b/>
          <w:kern w:val="0"/>
          <w:sz w:val="24"/>
          <w:szCs w:val="24"/>
        </w:rPr>
      </w:pPr>
    </w:p>
    <w:p w14:paraId="747A7AFE" w14:textId="142FE7A9"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lastRenderedPageBreak/>
        <w:t>本</w:t>
      </w:r>
      <w:r>
        <w:rPr>
          <w:rFonts w:ascii="宋体" w:hAnsi="宋体" w:hint="eastAsia"/>
          <w:kern w:val="0"/>
          <w:sz w:val="24"/>
          <w:szCs w:val="24"/>
        </w:rPr>
        <w:t>议事规则</w:t>
      </w:r>
      <w:r>
        <w:rPr>
          <w:rFonts w:ascii="宋体" w:hAnsi="宋体"/>
          <w:kern w:val="0"/>
          <w:sz w:val="24"/>
          <w:szCs w:val="24"/>
        </w:rPr>
        <w:t>未尽事宜，依照国家有关法律、行政法规、部门规章、其他规范性文件及《公司章程》的有关规定执行</w:t>
      </w:r>
      <w:r>
        <w:rPr>
          <w:rFonts w:ascii="宋体" w:hAnsi="宋体" w:hint="eastAsia"/>
          <w:kern w:val="0"/>
          <w:sz w:val="24"/>
          <w:szCs w:val="24"/>
        </w:rPr>
        <w:t>。</w:t>
      </w:r>
    </w:p>
    <w:p w14:paraId="6C8C4EDD" w14:textId="2B889B04"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本</w:t>
      </w:r>
      <w:r>
        <w:rPr>
          <w:rFonts w:ascii="宋体" w:hAnsi="宋体" w:hint="eastAsia"/>
          <w:kern w:val="0"/>
          <w:sz w:val="24"/>
          <w:szCs w:val="24"/>
        </w:rPr>
        <w:t>议事规则</w:t>
      </w:r>
      <w:r>
        <w:rPr>
          <w:rFonts w:ascii="宋体" w:hAnsi="宋体" w:hint="eastAsia"/>
          <w:kern w:val="0"/>
          <w:sz w:val="24"/>
          <w:szCs w:val="24"/>
        </w:rPr>
        <w:t>由</w:t>
      </w:r>
      <w:r>
        <w:rPr>
          <w:rFonts w:ascii="宋体" w:hAnsi="宋体"/>
          <w:kern w:val="0"/>
          <w:sz w:val="24"/>
          <w:szCs w:val="24"/>
        </w:rPr>
        <w:t>董事会</w:t>
      </w:r>
      <w:r>
        <w:rPr>
          <w:rFonts w:ascii="宋体" w:hAnsi="宋体" w:hint="eastAsia"/>
          <w:kern w:val="0"/>
          <w:sz w:val="24"/>
          <w:szCs w:val="24"/>
        </w:rPr>
        <w:t>负责解释</w:t>
      </w:r>
      <w:r>
        <w:rPr>
          <w:rFonts w:ascii="宋体" w:hAnsi="宋体"/>
          <w:kern w:val="0"/>
          <w:sz w:val="24"/>
          <w:szCs w:val="24"/>
        </w:rPr>
        <w:t>。</w:t>
      </w:r>
    </w:p>
    <w:p w14:paraId="5580E05E" w14:textId="183131CA" w:rsidR="007C2967" w:rsidRDefault="00472AC0">
      <w:pPr>
        <w:numPr>
          <w:ilvl w:val="0"/>
          <w:numId w:val="17"/>
        </w:numPr>
        <w:tabs>
          <w:tab w:val="left" w:pos="1620"/>
        </w:tabs>
        <w:spacing w:line="360" w:lineRule="auto"/>
        <w:ind w:left="0" w:firstLine="448"/>
        <w:rPr>
          <w:rFonts w:ascii="宋体" w:hAnsi="宋体"/>
          <w:kern w:val="0"/>
          <w:sz w:val="24"/>
          <w:szCs w:val="24"/>
        </w:rPr>
      </w:pPr>
      <w:r>
        <w:rPr>
          <w:rFonts w:ascii="宋体" w:hAnsi="宋体"/>
          <w:kern w:val="0"/>
          <w:sz w:val="24"/>
          <w:szCs w:val="24"/>
        </w:rPr>
        <w:t>本</w:t>
      </w:r>
      <w:r>
        <w:rPr>
          <w:rFonts w:ascii="宋体" w:hAnsi="宋体" w:hint="eastAsia"/>
          <w:kern w:val="0"/>
          <w:sz w:val="24"/>
          <w:szCs w:val="24"/>
        </w:rPr>
        <w:t>议事</w:t>
      </w:r>
      <w:proofErr w:type="gramStart"/>
      <w:r>
        <w:rPr>
          <w:rFonts w:ascii="宋体" w:hAnsi="宋体" w:hint="eastAsia"/>
          <w:kern w:val="0"/>
          <w:sz w:val="24"/>
          <w:szCs w:val="24"/>
        </w:rPr>
        <w:t>规则</w:t>
      </w:r>
      <w:r>
        <w:rPr>
          <w:rFonts w:ascii="宋体" w:hAnsi="宋体"/>
          <w:kern w:val="0"/>
          <w:sz w:val="24"/>
          <w:szCs w:val="24"/>
        </w:rPr>
        <w:t>经</w:t>
      </w:r>
      <w:proofErr w:type="gramEnd"/>
      <w:r>
        <w:rPr>
          <w:rFonts w:ascii="宋体" w:hAnsi="宋体" w:cs="Arial" w:hint="eastAsia"/>
          <w:sz w:val="24"/>
        </w:rPr>
        <w:t>董事会审议</w:t>
      </w:r>
      <w:r>
        <w:rPr>
          <w:rFonts w:ascii="宋体" w:hAnsi="宋体" w:cs="Arial"/>
          <w:sz w:val="24"/>
        </w:rPr>
        <w:t>通过</w:t>
      </w:r>
      <w:r>
        <w:rPr>
          <w:rFonts w:ascii="宋体" w:hAnsi="宋体" w:cs="Arial" w:hint="eastAsia"/>
          <w:sz w:val="24"/>
        </w:rPr>
        <w:t>之日起生效实施</w:t>
      </w:r>
      <w:r>
        <w:rPr>
          <w:rFonts w:ascii="宋体" w:hAnsi="宋体"/>
          <w:kern w:val="0"/>
          <w:sz w:val="24"/>
          <w:szCs w:val="24"/>
        </w:rPr>
        <w:t>。</w:t>
      </w:r>
    </w:p>
    <w:p w14:paraId="0A94C27C" w14:textId="77777777" w:rsidR="007C2967" w:rsidRDefault="007C2967">
      <w:pPr>
        <w:widowControl/>
        <w:spacing w:after="360" w:line="320" w:lineRule="atLeast"/>
        <w:jc w:val="left"/>
        <w:rPr>
          <w:rFonts w:ascii="Arial" w:eastAsia="楷体_GB2312" w:hAnsi="Arial"/>
          <w:kern w:val="0"/>
          <w:sz w:val="24"/>
        </w:rPr>
      </w:pPr>
    </w:p>
    <w:p w14:paraId="752A9359" w14:textId="77777777" w:rsidR="007C2967" w:rsidRDefault="007C2967">
      <w:pPr>
        <w:widowControl/>
        <w:spacing w:after="360" w:line="320" w:lineRule="atLeast"/>
        <w:jc w:val="left"/>
        <w:rPr>
          <w:rFonts w:ascii="Arial" w:eastAsia="楷体_GB2312" w:hAnsi="Arial"/>
          <w:kern w:val="0"/>
          <w:sz w:val="24"/>
        </w:rPr>
      </w:pPr>
    </w:p>
    <w:p w14:paraId="1DAD07A3" w14:textId="77777777" w:rsidR="007C2967" w:rsidRDefault="007C2967">
      <w:pPr>
        <w:widowControl/>
        <w:spacing w:after="360" w:line="320" w:lineRule="atLeast"/>
        <w:jc w:val="left"/>
        <w:rPr>
          <w:rFonts w:ascii="Arial" w:eastAsia="楷体_GB2312" w:hAnsi="Arial"/>
          <w:kern w:val="0"/>
          <w:sz w:val="24"/>
        </w:rPr>
      </w:pPr>
    </w:p>
    <w:p w14:paraId="17481133" w14:textId="77777777" w:rsidR="007C2967" w:rsidRDefault="007C2967">
      <w:pPr>
        <w:widowControl/>
        <w:spacing w:after="360" w:line="320" w:lineRule="atLeast"/>
        <w:jc w:val="left"/>
        <w:rPr>
          <w:rFonts w:ascii="Arial" w:eastAsia="楷体_GB2312" w:hAnsi="Arial"/>
          <w:kern w:val="0"/>
          <w:sz w:val="24"/>
        </w:rPr>
      </w:pPr>
    </w:p>
    <w:p w14:paraId="35A9ADC1" w14:textId="77777777" w:rsidR="007C2967" w:rsidRDefault="007C2967">
      <w:pPr>
        <w:widowControl/>
        <w:spacing w:after="360" w:line="320" w:lineRule="atLeast"/>
        <w:jc w:val="left"/>
        <w:rPr>
          <w:rFonts w:ascii="Arial" w:eastAsia="楷体_GB2312" w:hAnsi="Arial"/>
          <w:kern w:val="0"/>
          <w:sz w:val="24"/>
        </w:rPr>
      </w:pPr>
    </w:p>
    <w:p w14:paraId="07C80B30" w14:textId="77777777" w:rsidR="007C2967" w:rsidRDefault="007C2967">
      <w:pPr>
        <w:widowControl/>
        <w:spacing w:after="360" w:line="320" w:lineRule="atLeast"/>
        <w:jc w:val="left"/>
        <w:rPr>
          <w:rFonts w:ascii="Arial" w:eastAsia="楷体_GB2312" w:hAnsi="Arial"/>
          <w:kern w:val="0"/>
          <w:sz w:val="24"/>
        </w:rPr>
      </w:pPr>
    </w:p>
    <w:p w14:paraId="7C4E44E6" w14:textId="77777777" w:rsidR="007C2967" w:rsidRDefault="007C2967">
      <w:pPr>
        <w:widowControl/>
        <w:spacing w:after="360" w:line="320" w:lineRule="atLeast"/>
        <w:jc w:val="left"/>
        <w:rPr>
          <w:rFonts w:ascii="Arial" w:eastAsia="楷体_GB2312" w:hAnsi="Arial"/>
          <w:kern w:val="0"/>
          <w:sz w:val="24"/>
        </w:rPr>
      </w:pPr>
    </w:p>
    <w:p w14:paraId="55C81510" w14:textId="77777777" w:rsidR="007C2967" w:rsidRDefault="007C2967">
      <w:pPr>
        <w:widowControl/>
        <w:spacing w:after="360" w:line="320" w:lineRule="atLeast"/>
        <w:jc w:val="left"/>
        <w:rPr>
          <w:rFonts w:ascii="Arial" w:eastAsia="楷体_GB2312" w:hAnsi="Arial"/>
          <w:kern w:val="0"/>
          <w:sz w:val="24"/>
        </w:rPr>
      </w:pPr>
    </w:p>
    <w:p w14:paraId="2309A668" w14:textId="77777777" w:rsidR="007C2967" w:rsidRDefault="007C2967">
      <w:pPr>
        <w:widowControl/>
        <w:spacing w:after="360" w:line="320" w:lineRule="atLeast"/>
        <w:jc w:val="left"/>
        <w:rPr>
          <w:rFonts w:ascii="Arial" w:eastAsia="楷体_GB2312" w:hAnsi="Arial"/>
          <w:kern w:val="0"/>
          <w:sz w:val="24"/>
        </w:rPr>
      </w:pPr>
    </w:p>
    <w:p w14:paraId="2E105E0E" w14:textId="77777777" w:rsidR="007C2967" w:rsidRDefault="007C2967">
      <w:pPr>
        <w:widowControl/>
        <w:spacing w:after="360" w:line="320" w:lineRule="atLeast"/>
        <w:jc w:val="left"/>
        <w:rPr>
          <w:rFonts w:ascii="Arial" w:eastAsia="楷体_GB2312" w:hAnsi="Arial"/>
          <w:kern w:val="0"/>
          <w:sz w:val="24"/>
        </w:rPr>
      </w:pPr>
    </w:p>
    <w:p w14:paraId="65A4BFB6" w14:textId="77777777" w:rsidR="007C2967" w:rsidRDefault="007C2967">
      <w:pPr>
        <w:widowControl/>
        <w:spacing w:after="360" w:line="320" w:lineRule="atLeast"/>
        <w:jc w:val="left"/>
        <w:rPr>
          <w:rFonts w:ascii="Arial" w:eastAsia="楷体_GB2312" w:hAnsi="Arial"/>
          <w:kern w:val="0"/>
          <w:sz w:val="24"/>
        </w:rPr>
      </w:pPr>
    </w:p>
    <w:p w14:paraId="344A1C45" w14:textId="77777777" w:rsidR="007C2967" w:rsidRDefault="007C2967">
      <w:pPr>
        <w:widowControl/>
        <w:spacing w:after="360" w:line="320" w:lineRule="atLeast"/>
        <w:jc w:val="left"/>
        <w:rPr>
          <w:rFonts w:ascii="Arial" w:eastAsia="楷体_GB2312" w:hAnsi="Arial"/>
          <w:kern w:val="0"/>
          <w:sz w:val="24"/>
        </w:rPr>
      </w:pPr>
    </w:p>
    <w:p w14:paraId="61F0559E" w14:textId="77777777" w:rsidR="007C2967" w:rsidRDefault="007C2967">
      <w:pPr>
        <w:widowControl/>
        <w:spacing w:after="360" w:line="320" w:lineRule="atLeast"/>
        <w:jc w:val="left"/>
        <w:rPr>
          <w:rFonts w:ascii="Arial" w:eastAsia="楷体_GB2312" w:hAnsi="Arial"/>
          <w:kern w:val="0"/>
          <w:sz w:val="24"/>
        </w:rPr>
      </w:pPr>
    </w:p>
    <w:p w14:paraId="228948FB" w14:textId="77777777" w:rsidR="007C2967" w:rsidRDefault="007C2967">
      <w:pPr>
        <w:widowControl/>
        <w:spacing w:after="360" w:line="320" w:lineRule="atLeast"/>
        <w:jc w:val="left"/>
        <w:rPr>
          <w:rFonts w:ascii="Arial" w:eastAsia="楷体_GB2312" w:hAnsi="Arial"/>
          <w:kern w:val="0"/>
          <w:sz w:val="24"/>
        </w:rPr>
      </w:pPr>
    </w:p>
    <w:p w14:paraId="44F44F44" w14:textId="77777777" w:rsidR="007C2967" w:rsidRDefault="007C2967">
      <w:pPr>
        <w:widowControl/>
        <w:spacing w:after="360" w:line="320" w:lineRule="atLeast"/>
        <w:jc w:val="left"/>
        <w:rPr>
          <w:rFonts w:ascii="Arial" w:eastAsia="楷体_GB2312" w:hAnsi="Arial"/>
          <w:kern w:val="0"/>
          <w:sz w:val="24"/>
        </w:rPr>
      </w:pPr>
    </w:p>
    <w:p w14:paraId="77AC8A51" w14:textId="77777777" w:rsidR="007C2967" w:rsidRDefault="007C2967">
      <w:pPr>
        <w:widowControl/>
        <w:spacing w:after="360" w:line="320" w:lineRule="atLeast"/>
        <w:jc w:val="left"/>
        <w:rPr>
          <w:rFonts w:ascii="Arial" w:eastAsia="楷体_GB2312" w:hAnsi="Arial"/>
          <w:kern w:val="0"/>
          <w:sz w:val="24"/>
        </w:rPr>
      </w:pPr>
    </w:p>
    <w:p w14:paraId="3B11A797" w14:textId="77777777" w:rsidR="007C2967" w:rsidRDefault="007C2967">
      <w:pPr>
        <w:widowControl/>
        <w:spacing w:after="360" w:line="320" w:lineRule="atLeast"/>
        <w:jc w:val="left"/>
        <w:rPr>
          <w:rFonts w:ascii="Arial" w:eastAsia="楷体_GB2312" w:hAnsi="Arial"/>
          <w:kern w:val="0"/>
          <w:sz w:val="24"/>
        </w:rPr>
      </w:pPr>
    </w:p>
    <w:p w14:paraId="30C5138A" w14:textId="77777777" w:rsidR="007C2967" w:rsidRDefault="007C2967">
      <w:pPr>
        <w:widowControl/>
        <w:spacing w:after="360" w:line="320" w:lineRule="atLeast"/>
        <w:jc w:val="left"/>
        <w:rPr>
          <w:rFonts w:ascii="Arial" w:eastAsia="楷体_GB2312" w:hAnsi="Arial"/>
          <w:kern w:val="0"/>
          <w:sz w:val="24"/>
        </w:rPr>
      </w:pPr>
    </w:p>
    <w:p w14:paraId="0F213A3F" w14:textId="12122F89" w:rsidR="007C2967" w:rsidRDefault="00472AC0">
      <w:pPr>
        <w:adjustRightInd w:val="0"/>
        <w:snapToGrid w:val="0"/>
        <w:spacing w:line="360" w:lineRule="auto"/>
        <w:jc w:val="center"/>
        <w:rPr>
          <w:rFonts w:ascii="宋体" w:hAnsi="宋体"/>
          <w:b/>
          <w:sz w:val="28"/>
          <w:szCs w:val="28"/>
        </w:rPr>
      </w:pPr>
      <w:r>
        <w:rPr>
          <w:rFonts w:ascii="宋体" w:hAnsi="宋体" w:hint="eastAsia"/>
          <w:b/>
          <w:sz w:val="28"/>
          <w:szCs w:val="28"/>
        </w:rPr>
        <w:lastRenderedPageBreak/>
        <w:t>董事会薪酬与考核委员会</w:t>
      </w:r>
      <w:r w:rsidRPr="00472AC0">
        <w:rPr>
          <w:rFonts w:ascii="宋体" w:hAnsi="宋体" w:hint="eastAsia"/>
          <w:b/>
          <w:sz w:val="28"/>
          <w:szCs w:val="28"/>
        </w:rPr>
        <w:t>议事规则</w:t>
      </w:r>
    </w:p>
    <w:p w14:paraId="3235D248"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第一章</w:t>
      </w:r>
      <w:r>
        <w:rPr>
          <w:rFonts w:ascii="宋体" w:hAnsi="宋体"/>
          <w:b/>
          <w:kern w:val="0"/>
          <w:sz w:val="28"/>
          <w:szCs w:val="28"/>
        </w:rPr>
        <w:t xml:space="preserve"> </w:t>
      </w:r>
      <w:r>
        <w:rPr>
          <w:rFonts w:ascii="宋体" w:hAnsi="宋体"/>
          <w:b/>
          <w:kern w:val="0"/>
          <w:sz w:val="28"/>
          <w:szCs w:val="28"/>
        </w:rPr>
        <w:t>总</w:t>
      </w:r>
      <w:r>
        <w:rPr>
          <w:rFonts w:ascii="宋体" w:hAnsi="宋体"/>
          <w:b/>
          <w:kern w:val="0"/>
          <w:sz w:val="28"/>
          <w:szCs w:val="28"/>
        </w:rPr>
        <w:t xml:space="preserve"> </w:t>
      </w:r>
      <w:r>
        <w:rPr>
          <w:rFonts w:ascii="宋体" w:hAnsi="宋体"/>
          <w:b/>
          <w:kern w:val="0"/>
          <w:sz w:val="28"/>
          <w:szCs w:val="28"/>
        </w:rPr>
        <w:t>则</w:t>
      </w:r>
    </w:p>
    <w:p w14:paraId="53CCDD66" w14:textId="77777777" w:rsidR="007C2967" w:rsidRDefault="007C2967">
      <w:pPr>
        <w:autoSpaceDE w:val="0"/>
        <w:autoSpaceDN w:val="0"/>
        <w:adjustRightInd w:val="0"/>
        <w:spacing w:line="360" w:lineRule="auto"/>
        <w:rPr>
          <w:rFonts w:ascii="宋体" w:hAnsi="宋体"/>
          <w:b/>
          <w:kern w:val="0"/>
          <w:sz w:val="24"/>
          <w:szCs w:val="24"/>
        </w:rPr>
      </w:pPr>
    </w:p>
    <w:p w14:paraId="3BBFACCD" w14:textId="39049EFE"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为进一步建立</w:t>
      </w:r>
      <w:proofErr w:type="gramStart"/>
      <w:r>
        <w:rPr>
          <w:rFonts w:ascii="宋体" w:hAnsi="宋体"/>
          <w:kern w:val="0"/>
          <w:sz w:val="24"/>
          <w:szCs w:val="24"/>
        </w:rPr>
        <w:t>健全</w:t>
      </w:r>
      <w:r>
        <w:rPr>
          <w:rFonts w:ascii="宋体" w:hAnsi="宋体" w:hint="eastAsia"/>
          <w:kern w:val="0"/>
          <w:sz w:val="24"/>
          <w:szCs w:val="24"/>
        </w:rPr>
        <w:t>华</w:t>
      </w:r>
      <w:proofErr w:type="gramEnd"/>
      <w:r>
        <w:rPr>
          <w:rFonts w:ascii="宋体" w:hAnsi="宋体" w:hint="eastAsia"/>
          <w:kern w:val="0"/>
          <w:sz w:val="24"/>
          <w:szCs w:val="24"/>
        </w:rPr>
        <w:t>孚时尚股份有限公司</w:t>
      </w:r>
      <w:r>
        <w:rPr>
          <w:rFonts w:ascii="宋体" w:hAnsi="宋体"/>
          <w:kern w:val="0"/>
          <w:sz w:val="24"/>
          <w:szCs w:val="24"/>
        </w:rPr>
        <w:t>（以下简称</w:t>
      </w:r>
      <w:r>
        <w:rPr>
          <w:rFonts w:ascii="宋体" w:hAnsi="宋体" w:hint="eastAsia"/>
          <w:kern w:val="0"/>
          <w:sz w:val="24"/>
          <w:szCs w:val="24"/>
        </w:rPr>
        <w:t xml:space="preserve"> </w:t>
      </w:r>
      <w:r>
        <w:rPr>
          <w:rFonts w:ascii="宋体" w:hAnsi="宋体" w:hint="eastAsia"/>
          <w:kern w:val="0"/>
          <w:sz w:val="24"/>
          <w:szCs w:val="24"/>
        </w:rPr>
        <w:t>“</w:t>
      </w:r>
      <w:r>
        <w:rPr>
          <w:rFonts w:ascii="宋体" w:hAnsi="宋体"/>
          <w:kern w:val="0"/>
          <w:sz w:val="24"/>
          <w:szCs w:val="24"/>
        </w:rPr>
        <w:t>公司</w:t>
      </w:r>
      <w:r>
        <w:rPr>
          <w:rFonts w:ascii="宋体" w:hAnsi="宋体" w:hint="eastAsia"/>
          <w:kern w:val="0"/>
          <w:sz w:val="24"/>
          <w:szCs w:val="24"/>
        </w:rPr>
        <w:t>”</w:t>
      </w:r>
      <w:r>
        <w:rPr>
          <w:rFonts w:ascii="宋体" w:hAnsi="宋体"/>
          <w:kern w:val="0"/>
          <w:sz w:val="24"/>
          <w:szCs w:val="24"/>
        </w:rPr>
        <w:t>）董事及高级管理人员的考核和薪酬管理制度，完善公司治理结构，根据《中华人民共和国公司法》（以下简称</w:t>
      </w:r>
      <w:r>
        <w:rPr>
          <w:rFonts w:ascii="宋体" w:hAnsi="宋体" w:hint="eastAsia"/>
          <w:kern w:val="0"/>
          <w:sz w:val="24"/>
          <w:szCs w:val="24"/>
        </w:rPr>
        <w:t>“</w:t>
      </w:r>
      <w:r>
        <w:rPr>
          <w:rFonts w:ascii="宋体" w:hAnsi="宋体"/>
          <w:kern w:val="0"/>
          <w:sz w:val="24"/>
          <w:szCs w:val="24"/>
        </w:rPr>
        <w:t>《公司法》</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w:t>
      </w:r>
      <w:r>
        <w:rPr>
          <w:rFonts w:ascii="宋体" w:hAnsi="宋体" w:cs="Arial" w:hint="eastAsia"/>
          <w:sz w:val="24"/>
        </w:rPr>
        <w:t>《中华人民共和国证券法》《上市公司治理准则》《深圳证券交易所股票上市规则》《深圳证券交易所上市公司自律监管指引第</w:t>
      </w:r>
      <w:r>
        <w:rPr>
          <w:rFonts w:ascii="宋体" w:hAnsi="宋体" w:cs="Arial"/>
          <w:sz w:val="24"/>
        </w:rPr>
        <w:t>1</w:t>
      </w:r>
      <w:r>
        <w:rPr>
          <w:rFonts w:ascii="宋体" w:hAnsi="宋体" w:cs="Arial" w:hint="eastAsia"/>
          <w:sz w:val="24"/>
        </w:rPr>
        <w:t>号——主板上市公司规范运作》</w:t>
      </w:r>
      <w:r>
        <w:rPr>
          <w:rFonts w:ascii="宋体" w:hAnsi="宋体" w:hint="eastAsia"/>
          <w:kern w:val="0"/>
          <w:sz w:val="24"/>
          <w:szCs w:val="24"/>
        </w:rPr>
        <w:t>等有关法律、法规、规章、规范性文件和</w:t>
      </w:r>
      <w:r>
        <w:rPr>
          <w:rFonts w:ascii="宋体" w:hAnsi="宋体"/>
          <w:kern w:val="0"/>
          <w:sz w:val="24"/>
          <w:szCs w:val="24"/>
        </w:rPr>
        <w:t>《</w:t>
      </w:r>
      <w:r>
        <w:rPr>
          <w:rFonts w:ascii="宋体" w:hAnsi="宋体" w:hint="eastAsia"/>
          <w:kern w:val="0"/>
          <w:sz w:val="24"/>
          <w:szCs w:val="24"/>
        </w:rPr>
        <w:t>华孚时尚股份有限公司</w:t>
      </w:r>
      <w:r>
        <w:rPr>
          <w:rFonts w:ascii="宋体" w:hAnsi="宋体"/>
          <w:kern w:val="0"/>
          <w:sz w:val="24"/>
          <w:szCs w:val="24"/>
        </w:rPr>
        <w:t>章程》（以下简称</w:t>
      </w:r>
      <w:r>
        <w:rPr>
          <w:rFonts w:ascii="宋体" w:hAnsi="宋体" w:hint="eastAsia"/>
          <w:kern w:val="0"/>
          <w:sz w:val="24"/>
          <w:szCs w:val="24"/>
        </w:rPr>
        <w:t>“</w:t>
      </w:r>
      <w:r>
        <w:rPr>
          <w:rFonts w:ascii="宋体" w:hAnsi="宋体"/>
          <w:kern w:val="0"/>
          <w:sz w:val="24"/>
          <w:szCs w:val="24"/>
        </w:rPr>
        <w:t>《公司章程》</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的</w:t>
      </w:r>
      <w:r>
        <w:rPr>
          <w:rFonts w:ascii="宋体" w:hAnsi="宋体"/>
          <w:kern w:val="0"/>
          <w:sz w:val="24"/>
          <w:szCs w:val="24"/>
        </w:rPr>
        <w:t>有关规定，公司设立董事会薪酬与考核委员会（以下简称</w:t>
      </w:r>
      <w:r>
        <w:rPr>
          <w:rFonts w:ascii="宋体" w:hAnsi="宋体" w:hint="eastAsia"/>
          <w:kern w:val="0"/>
          <w:sz w:val="24"/>
          <w:szCs w:val="24"/>
        </w:rPr>
        <w:t>“</w:t>
      </w:r>
      <w:r>
        <w:rPr>
          <w:rFonts w:ascii="宋体" w:hAnsi="宋体"/>
          <w:kern w:val="0"/>
          <w:sz w:val="24"/>
          <w:szCs w:val="24"/>
        </w:rPr>
        <w:t>薪酬与考核委员会</w:t>
      </w:r>
      <w:r>
        <w:rPr>
          <w:rFonts w:ascii="宋体" w:hAnsi="宋体" w:hint="eastAsia"/>
          <w:kern w:val="0"/>
          <w:sz w:val="24"/>
          <w:szCs w:val="24"/>
        </w:rPr>
        <w:t>”或“委员会”</w:t>
      </w:r>
      <w:r>
        <w:rPr>
          <w:rFonts w:ascii="宋体" w:hAnsi="宋体"/>
          <w:kern w:val="0"/>
          <w:sz w:val="24"/>
          <w:szCs w:val="24"/>
        </w:rPr>
        <w:t>），并制定本议事规则</w:t>
      </w:r>
      <w:r>
        <w:rPr>
          <w:rFonts w:ascii="宋体" w:hAnsi="宋体"/>
          <w:kern w:val="0"/>
          <w:sz w:val="24"/>
          <w:szCs w:val="24"/>
        </w:rPr>
        <w:t>。</w:t>
      </w:r>
    </w:p>
    <w:p w14:paraId="53762181"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薪酬与考核委员会是董事会下设的负责制定、管理与考核公司董事及高级管理人员薪酬制度的专门机构，向董事会报告工作。</w:t>
      </w:r>
    </w:p>
    <w:p w14:paraId="65BD46CD" w14:textId="77777777" w:rsidR="007C2967" w:rsidRDefault="007C2967">
      <w:pPr>
        <w:autoSpaceDE w:val="0"/>
        <w:autoSpaceDN w:val="0"/>
        <w:adjustRightInd w:val="0"/>
        <w:spacing w:line="360" w:lineRule="auto"/>
        <w:ind w:firstLineChars="200" w:firstLine="480"/>
        <w:jc w:val="left"/>
        <w:rPr>
          <w:rFonts w:ascii="宋体" w:hAnsi="宋体"/>
          <w:kern w:val="0"/>
          <w:sz w:val="24"/>
          <w:szCs w:val="24"/>
        </w:rPr>
      </w:pPr>
    </w:p>
    <w:p w14:paraId="64FD1F19"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第二章</w:t>
      </w:r>
      <w:r>
        <w:rPr>
          <w:rFonts w:ascii="宋体" w:hAnsi="宋体"/>
          <w:b/>
          <w:kern w:val="0"/>
          <w:sz w:val="28"/>
          <w:szCs w:val="28"/>
        </w:rPr>
        <w:t xml:space="preserve"> </w:t>
      </w:r>
      <w:r>
        <w:rPr>
          <w:rFonts w:ascii="宋体" w:hAnsi="宋体"/>
          <w:b/>
          <w:kern w:val="0"/>
          <w:sz w:val="28"/>
          <w:szCs w:val="28"/>
        </w:rPr>
        <w:t>人员构成</w:t>
      </w:r>
    </w:p>
    <w:p w14:paraId="00952F35" w14:textId="77777777" w:rsidR="007C2967" w:rsidRDefault="007C2967">
      <w:pPr>
        <w:autoSpaceDE w:val="0"/>
        <w:autoSpaceDN w:val="0"/>
        <w:adjustRightInd w:val="0"/>
        <w:spacing w:line="360" w:lineRule="auto"/>
        <w:jc w:val="center"/>
        <w:rPr>
          <w:rFonts w:ascii="宋体" w:hAnsi="宋体"/>
          <w:b/>
          <w:kern w:val="0"/>
          <w:sz w:val="24"/>
          <w:szCs w:val="24"/>
        </w:rPr>
      </w:pPr>
    </w:p>
    <w:p w14:paraId="28E448EF"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薪酬与考核委员会由三名董事组成，其中</w:t>
      </w:r>
      <w:r>
        <w:rPr>
          <w:rFonts w:ascii="宋体" w:hAnsi="宋体" w:hint="eastAsia"/>
          <w:kern w:val="0"/>
          <w:sz w:val="24"/>
          <w:szCs w:val="24"/>
        </w:rPr>
        <w:t>包括两名</w:t>
      </w:r>
      <w:r>
        <w:rPr>
          <w:rFonts w:ascii="宋体" w:hAnsi="宋体"/>
          <w:kern w:val="0"/>
          <w:sz w:val="24"/>
          <w:szCs w:val="24"/>
        </w:rPr>
        <w:t>独立董事</w:t>
      </w:r>
      <w:r>
        <w:rPr>
          <w:rFonts w:ascii="宋体" w:hAnsi="宋体" w:hint="eastAsia"/>
          <w:kern w:val="0"/>
          <w:sz w:val="24"/>
          <w:szCs w:val="24"/>
        </w:rPr>
        <w:t>。</w:t>
      </w:r>
      <w:r>
        <w:rPr>
          <w:rFonts w:ascii="宋体" w:hAnsi="宋体"/>
          <w:kern w:val="0"/>
          <w:sz w:val="24"/>
          <w:szCs w:val="24"/>
        </w:rPr>
        <w:t>薪酬与考核</w:t>
      </w:r>
      <w:r>
        <w:rPr>
          <w:rFonts w:ascii="宋体" w:hAnsi="宋体" w:hint="eastAsia"/>
          <w:kern w:val="0"/>
          <w:sz w:val="24"/>
          <w:szCs w:val="24"/>
        </w:rPr>
        <w:t>委员会</w:t>
      </w:r>
      <w:r>
        <w:rPr>
          <w:rFonts w:ascii="宋体" w:hAnsi="宋体"/>
          <w:kern w:val="0"/>
          <w:sz w:val="24"/>
          <w:szCs w:val="24"/>
        </w:rPr>
        <w:t>委员由</w:t>
      </w:r>
      <w:r>
        <w:rPr>
          <w:rFonts w:ascii="宋体" w:hAnsi="宋体" w:hint="eastAsia"/>
          <w:kern w:val="0"/>
          <w:sz w:val="24"/>
          <w:szCs w:val="24"/>
        </w:rPr>
        <w:t>董事长、</w:t>
      </w:r>
      <w:r>
        <w:rPr>
          <w:rFonts w:hint="eastAsia"/>
          <w:sz w:val="24"/>
        </w:rPr>
        <w:t>过半数</w:t>
      </w:r>
      <w:r>
        <w:rPr>
          <w:rFonts w:ascii="宋体" w:hAnsi="宋体"/>
          <w:kern w:val="0"/>
          <w:sz w:val="24"/>
          <w:szCs w:val="24"/>
        </w:rPr>
        <w:t>独立董事或全体董事的三分之一提名，并由董事会会议选举产生。</w:t>
      </w:r>
      <w:bookmarkStart w:id="6" w:name="_GoBack"/>
      <w:bookmarkEnd w:id="6"/>
    </w:p>
    <w:p w14:paraId="5B358B7A"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w:t>
      </w:r>
      <w:r>
        <w:rPr>
          <w:rFonts w:ascii="宋体" w:hAnsi="宋体" w:hint="eastAsia"/>
          <w:kern w:val="0"/>
          <w:sz w:val="24"/>
          <w:szCs w:val="24"/>
        </w:rPr>
        <w:t>委员会</w:t>
      </w:r>
      <w:r>
        <w:rPr>
          <w:rFonts w:ascii="宋体" w:hAnsi="宋体"/>
          <w:kern w:val="0"/>
          <w:sz w:val="24"/>
          <w:szCs w:val="24"/>
        </w:rPr>
        <w:t>设</w:t>
      </w:r>
      <w:r>
        <w:rPr>
          <w:rFonts w:ascii="宋体" w:hAnsi="宋体" w:hint="eastAsia"/>
          <w:kern w:val="0"/>
          <w:sz w:val="24"/>
          <w:szCs w:val="24"/>
        </w:rPr>
        <w:t>召集人</w:t>
      </w:r>
      <w:r>
        <w:rPr>
          <w:rFonts w:ascii="宋体" w:hAnsi="宋体"/>
          <w:kern w:val="0"/>
          <w:sz w:val="24"/>
          <w:szCs w:val="24"/>
        </w:rPr>
        <w:t>一名，由独立董事委员担任，</w:t>
      </w:r>
      <w:r>
        <w:rPr>
          <w:rFonts w:ascii="宋体" w:hAnsi="宋体" w:cs="宋体" w:hint="eastAsia"/>
          <w:kern w:val="0"/>
          <w:sz w:val="24"/>
          <w:szCs w:val="24"/>
        </w:rPr>
        <w:t>负责召集和主持提名委员会会议</w:t>
      </w:r>
      <w:r>
        <w:rPr>
          <w:rFonts w:ascii="宋体" w:hAnsi="宋体"/>
          <w:kern w:val="0"/>
          <w:sz w:val="24"/>
          <w:szCs w:val="24"/>
        </w:rPr>
        <w:t>；</w:t>
      </w:r>
      <w:r>
        <w:rPr>
          <w:rFonts w:ascii="宋体" w:hAnsi="宋体" w:hint="eastAsia"/>
          <w:kern w:val="0"/>
          <w:sz w:val="24"/>
          <w:szCs w:val="24"/>
        </w:rPr>
        <w:t>召集人由董事长提名并经董事会审议通过产生</w:t>
      </w:r>
      <w:r>
        <w:rPr>
          <w:rFonts w:ascii="宋体" w:hAnsi="宋体"/>
          <w:kern w:val="0"/>
          <w:sz w:val="24"/>
          <w:szCs w:val="24"/>
        </w:rPr>
        <w:t>。</w:t>
      </w:r>
    </w:p>
    <w:p w14:paraId="7A785697" w14:textId="1240BFEF"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w:t>
      </w:r>
      <w:r>
        <w:rPr>
          <w:rFonts w:ascii="宋体" w:hAnsi="宋体" w:hint="eastAsia"/>
          <w:kern w:val="0"/>
          <w:sz w:val="24"/>
          <w:szCs w:val="24"/>
        </w:rPr>
        <w:t>委员</w:t>
      </w:r>
      <w:r>
        <w:rPr>
          <w:rFonts w:ascii="宋体" w:hAnsi="宋体"/>
          <w:kern w:val="0"/>
          <w:sz w:val="24"/>
          <w:szCs w:val="24"/>
        </w:rPr>
        <w:t>会任期与董事会任期一致，委员任期届满，连选可以连任。在该任期内，如有委员不再担任公司董事职务，自动失去委员资格，并由</w:t>
      </w:r>
      <w:r>
        <w:rPr>
          <w:rFonts w:ascii="宋体" w:hAnsi="宋体" w:hint="eastAsia"/>
          <w:kern w:val="0"/>
          <w:sz w:val="24"/>
          <w:szCs w:val="24"/>
        </w:rPr>
        <w:t>公司</w:t>
      </w:r>
      <w:r>
        <w:rPr>
          <w:rFonts w:ascii="宋体" w:hAnsi="宋体"/>
          <w:kern w:val="0"/>
          <w:sz w:val="24"/>
          <w:szCs w:val="24"/>
        </w:rPr>
        <w:t>根据本议事规则</w:t>
      </w:r>
      <w:r>
        <w:rPr>
          <w:rFonts w:ascii="宋体" w:hAnsi="宋体"/>
          <w:kern w:val="0"/>
          <w:sz w:val="24"/>
          <w:szCs w:val="24"/>
        </w:rPr>
        <w:t>第</w:t>
      </w:r>
      <w:r>
        <w:rPr>
          <w:rFonts w:ascii="宋体" w:hAnsi="宋体" w:hint="eastAsia"/>
          <w:kern w:val="0"/>
          <w:sz w:val="24"/>
          <w:szCs w:val="24"/>
        </w:rPr>
        <w:t>三</w:t>
      </w:r>
      <w:r>
        <w:rPr>
          <w:rFonts w:ascii="宋体" w:hAnsi="宋体"/>
          <w:kern w:val="0"/>
          <w:sz w:val="24"/>
          <w:szCs w:val="24"/>
        </w:rPr>
        <w:t>条</w:t>
      </w:r>
      <w:r>
        <w:rPr>
          <w:rFonts w:ascii="宋体" w:hAnsi="宋体" w:hint="eastAsia"/>
          <w:kern w:val="0"/>
          <w:sz w:val="24"/>
          <w:szCs w:val="24"/>
        </w:rPr>
        <w:t>、</w:t>
      </w:r>
      <w:r>
        <w:rPr>
          <w:rFonts w:ascii="宋体" w:hAnsi="宋体"/>
          <w:kern w:val="0"/>
          <w:sz w:val="24"/>
          <w:szCs w:val="24"/>
        </w:rPr>
        <w:t>第</w:t>
      </w:r>
      <w:r>
        <w:rPr>
          <w:rFonts w:ascii="宋体" w:hAnsi="宋体" w:hint="eastAsia"/>
          <w:kern w:val="0"/>
          <w:sz w:val="24"/>
          <w:szCs w:val="24"/>
        </w:rPr>
        <w:t>四</w:t>
      </w:r>
      <w:r>
        <w:rPr>
          <w:rFonts w:ascii="宋体" w:hAnsi="宋体"/>
          <w:kern w:val="0"/>
          <w:sz w:val="24"/>
          <w:szCs w:val="24"/>
        </w:rPr>
        <w:t>条</w:t>
      </w:r>
      <w:r>
        <w:rPr>
          <w:rFonts w:ascii="宋体" w:hAnsi="宋体" w:hint="eastAsia"/>
          <w:kern w:val="0"/>
          <w:sz w:val="24"/>
          <w:szCs w:val="24"/>
        </w:rPr>
        <w:t>的</w:t>
      </w:r>
      <w:r>
        <w:rPr>
          <w:rFonts w:ascii="宋体" w:hAnsi="宋体"/>
          <w:kern w:val="0"/>
          <w:sz w:val="24"/>
          <w:szCs w:val="24"/>
        </w:rPr>
        <w:t>规定补足委员人数。</w:t>
      </w:r>
    </w:p>
    <w:p w14:paraId="763835C1" w14:textId="77777777" w:rsidR="007C2967" w:rsidRDefault="007C2967">
      <w:pPr>
        <w:spacing w:line="360" w:lineRule="auto"/>
        <w:ind w:left="461"/>
        <w:rPr>
          <w:rFonts w:ascii="宋体" w:hAnsi="宋体"/>
          <w:kern w:val="0"/>
          <w:sz w:val="24"/>
          <w:szCs w:val="24"/>
        </w:rPr>
      </w:pPr>
    </w:p>
    <w:p w14:paraId="0838076A"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第三章</w:t>
      </w:r>
      <w:r>
        <w:rPr>
          <w:rFonts w:ascii="宋体" w:hAnsi="宋体"/>
          <w:b/>
          <w:kern w:val="0"/>
          <w:sz w:val="28"/>
          <w:szCs w:val="28"/>
        </w:rPr>
        <w:t xml:space="preserve"> </w:t>
      </w:r>
      <w:r>
        <w:rPr>
          <w:rFonts w:ascii="宋体" w:hAnsi="宋体"/>
          <w:b/>
          <w:kern w:val="0"/>
          <w:sz w:val="28"/>
          <w:szCs w:val="28"/>
        </w:rPr>
        <w:t>职责权限</w:t>
      </w:r>
    </w:p>
    <w:p w14:paraId="043CE2B3" w14:textId="77777777" w:rsidR="007C2967" w:rsidRDefault="007C2967">
      <w:pPr>
        <w:autoSpaceDE w:val="0"/>
        <w:autoSpaceDN w:val="0"/>
        <w:adjustRightInd w:val="0"/>
        <w:spacing w:line="360" w:lineRule="auto"/>
        <w:jc w:val="center"/>
        <w:rPr>
          <w:rFonts w:ascii="宋体" w:hAnsi="宋体"/>
          <w:b/>
          <w:kern w:val="0"/>
          <w:sz w:val="24"/>
          <w:szCs w:val="24"/>
        </w:rPr>
      </w:pPr>
    </w:p>
    <w:p w14:paraId="7CF37B07"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薪酬与考核委员会负责制定公司董事、高级管理人员的考核标准</w:t>
      </w:r>
      <w:r>
        <w:rPr>
          <w:rFonts w:ascii="宋体" w:hAnsi="宋体" w:hint="eastAsia"/>
          <w:kern w:val="0"/>
          <w:sz w:val="24"/>
          <w:szCs w:val="24"/>
        </w:rPr>
        <w:lastRenderedPageBreak/>
        <w:t>并进行考核，制定、审查董事、高级管理人员的薪酬决定机制、决策流程、支付与止付追索安排等薪酬政策与方案，并就下列事项向董事会提出建议：</w:t>
      </w:r>
    </w:p>
    <w:p w14:paraId="4B366D87"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（一）董事、高级管理人员的薪酬；</w:t>
      </w:r>
    </w:p>
    <w:p w14:paraId="034D7CF8"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（二）制定或者变更股权激励计划、员工持股计划，激励</w:t>
      </w:r>
      <w:proofErr w:type="gramStart"/>
      <w:r>
        <w:rPr>
          <w:rFonts w:ascii="宋体" w:hAnsi="宋体" w:hint="eastAsia"/>
          <w:kern w:val="0"/>
          <w:sz w:val="24"/>
          <w:szCs w:val="24"/>
        </w:rPr>
        <w:t>对象获</w:t>
      </w:r>
      <w:proofErr w:type="gramEnd"/>
      <w:r>
        <w:rPr>
          <w:rFonts w:ascii="宋体" w:hAnsi="宋体" w:hint="eastAsia"/>
          <w:kern w:val="0"/>
          <w:sz w:val="24"/>
          <w:szCs w:val="24"/>
        </w:rPr>
        <w:t>授权益、行使权益条件的成就；</w:t>
      </w:r>
    </w:p>
    <w:p w14:paraId="6FEFAE2A"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（三）董事、高级管理人员在拟分拆所属子公司安排持股计划；</w:t>
      </w:r>
    </w:p>
    <w:p w14:paraId="1A3927EB"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（四）法律、行政法规、中国证监会规定、深圳证券交易所有关规定和《公司章程》规定的其他事项。</w:t>
      </w:r>
    </w:p>
    <w:p w14:paraId="1E4B5F48"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董事会对薪酬与考核委员会的建议未采纳或者未完全采纳的，应当在董事会决议中记载薪酬与考核委员会的意见以及未采纳的具体理由，并进行披露。</w:t>
      </w:r>
    </w:p>
    <w:p w14:paraId="405E540C"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除另有规定外，</w:t>
      </w:r>
      <w:r>
        <w:rPr>
          <w:rFonts w:ascii="宋体" w:hAnsi="宋体"/>
          <w:kern w:val="0"/>
          <w:sz w:val="24"/>
          <w:szCs w:val="24"/>
        </w:rPr>
        <w:t>薪酬与考核委员会</w:t>
      </w:r>
      <w:r>
        <w:rPr>
          <w:rFonts w:ascii="宋体" w:hAnsi="宋体" w:hint="eastAsia"/>
          <w:kern w:val="0"/>
          <w:sz w:val="24"/>
          <w:szCs w:val="24"/>
        </w:rPr>
        <w:t>的提案应当提交董事会审议决定。</w:t>
      </w:r>
    </w:p>
    <w:p w14:paraId="0611E376"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薪酬与考核委员会工作时，公司应提供有关书面材料，包括但不限于：</w:t>
      </w:r>
    </w:p>
    <w:p w14:paraId="4BFE3110"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（一）公司主要财务指标和经营目标完成情况；</w:t>
      </w:r>
    </w:p>
    <w:p w14:paraId="75C5916B"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（二）公司高级管理人员分管工作范围及主要职责履行情况；</w:t>
      </w:r>
    </w:p>
    <w:p w14:paraId="39BB0A91"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w:t>
      </w:r>
      <w:r>
        <w:rPr>
          <w:rFonts w:ascii="宋体" w:hAnsi="宋体"/>
          <w:kern w:val="0"/>
          <w:sz w:val="24"/>
          <w:szCs w:val="24"/>
        </w:rPr>
        <w:t>三）董事及高级管理人员岗位工作业绩考评系统中涉及指标的完成情况；</w:t>
      </w:r>
    </w:p>
    <w:p w14:paraId="5477DAC2"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（四）公司薪酬计划和分配方式的有关测算依据</w:t>
      </w:r>
      <w:r>
        <w:rPr>
          <w:rFonts w:ascii="宋体" w:hAnsi="宋体" w:hint="eastAsia"/>
          <w:kern w:val="0"/>
          <w:sz w:val="24"/>
          <w:szCs w:val="24"/>
        </w:rPr>
        <w:t>。</w:t>
      </w:r>
    </w:p>
    <w:p w14:paraId="34AC5565"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薪酬与考核委员会对董事及高级管理人员的考评程序为：</w:t>
      </w:r>
    </w:p>
    <w:p w14:paraId="530440D9"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（一）公司董事及高级管理人员向薪酬与考核委员会提交述职和自我评价报告；</w:t>
      </w:r>
    </w:p>
    <w:p w14:paraId="4F20967E"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（二）薪酬与考核委员会按绩效评价标准和程序，对董事及高级管理人员进行绩效评价；</w:t>
      </w:r>
    </w:p>
    <w:p w14:paraId="0AEC4203"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（三）评价董事及高级管理人员的创新能力和业务潜能；</w:t>
      </w:r>
    </w:p>
    <w:p w14:paraId="5AFEA070"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（四）根据岗位绩效评价结果及薪酬分配政策提出董事及高级管理人员的报酬数额和奖励方式的建议报告，报公司董事会；</w:t>
      </w:r>
    </w:p>
    <w:p w14:paraId="2BF33F5E" w14:textId="77777777" w:rsidR="007C2967" w:rsidRDefault="00472AC0">
      <w:pPr>
        <w:autoSpaceDE w:val="0"/>
        <w:autoSpaceDN w:val="0"/>
        <w:adjustRightInd w:val="0"/>
        <w:spacing w:line="360" w:lineRule="auto"/>
        <w:ind w:firstLineChars="200" w:firstLine="480"/>
        <w:jc w:val="left"/>
        <w:rPr>
          <w:rFonts w:ascii="宋体" w:hAnsi="宋体"/>
          <w:kern w:val="0"/>
          <w:sz w:val="24"/>
          <w:szCs w:val="24"/>
        </w:rPr>
      </w:pPr>
      <w:r>
        <w:rPr>
          <w:rFonts w:ascii="宋体" w:hAnsi="宋体"/>
          <w:kern w:val="0"/>
          <w:sz w:val="24"/>
          <w:szCs w:val="24"/>
        </w:rPr>
        <w:t>（五）如涉及公司董事会换届和高级管理人员聘任可进行专项考核评价，并在董事会召开前完成。</w:t>
      </w:r>
    </w:p>
    <w:p w14:paraId="782805D6"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薪酬与考核委员会提出的股权激励计划和董事的薪酬计划，须报经董事会同意后，提交股东会批准；公司高级管理人员的薪酬计划须提交董事会</w:t>
      </w:r>
      <w:r>
        <w:rPr>
          <w:rFonts w:ascii="宋体" w:hAnsi="宋体"/>
          <w:kern w:val="0"/>
          <w:sz w:val="24"/>
          <w:szCs w:val="24"/>
        </w:rPr>
        <w:lastRenderedPageBreak/>
        <w:t>批准。</w:t>
      </w:r>
    </w:p>
    <w:p w14:paraId="216EA295" w14:textId="77777777" w:rsidR="007C2967" w:rsidRDefault="007C2967">
      <w:pPr>
        <w:spacing w:line="360" w:lineRule="auto"/>
        <w:rPr>
          <w:rFonts w:ascii="宋体" w:hAnsi="宋体"/>
          <w:kern w:val="0"/>
          <w:sz w:val="24"/>
          <w:szCs w:val="24"/>
        </w:rPr>
      </w:pPr>
    </w:p>
    <w:p w14:paraId="5816CD92"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四</w:t>
      </w:r>
      <w:r>
        <w:rPr>
          <w:rFonts w:ascii="宋体" w:hAnsi="宋体"/>
          <w:b/>
          <w:kern w:val="0"/>
          <w:sz w:val="28"/>
          <w:szCs w:val="28"/>
        </w:rPr>
        <w:t>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hint="eastAsia"/>
          <w:b/>
          <w:kern w:val="0"/>
          <w:sz w:val="28"/>
          <w:szCs w:val="28"/>
        </w:rPr>
        <w:t>议事规</w:t>
      </w:r>
      <w:r>
        <w:rPr>
          <w:rFonts w:ascii="宋体" w:hAnsi="宋体"/>
          <w:b/>
          <w:kern w:val="0"/>
          <w:sz w:val="28"/>
          <w:szCs w:val="28"/>
        </w:rPr>
        <w:t>则</w:t>
      </w:r>
    </w:p>
    <w:p w14:paraId="21BCD7E0" w14:textId="77777777" w:rsidR="007C2967" w:rsidRDefault="007C2967">
      <w:pPr>
        <w:spacing w:line="360" w:lineRule="auto"/>
        <w:rPr>
          <w:rFonts w:ascii="宋体" w:hAnsi="宋体"/>
          <w:kern w:val="0"/>
          <w:sz w:val="24"/>
          <w:szCs w:val="24"/>
        </w:rPr>
      </w:pPr>
    </w:p>
    <w:p w14:paraId="4FF04ECA"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薪酬与考核委员会会议根据工作需要，采用不定期方式召开委员会全体会议。</w:t>
      </w:r>
      <w:r>
        <w:rPr>
          <w:rFonts w:ascii="宋体" w:hAnsi="宋体" w:hint="eastAsia"/>
          <w:kern w:val="0"/>
          <w:sz w:val="24"/>
          <w:szCs w:val="24"/>
        </w:rPr>
        <w:t>薪酬与考核委员会召开</w:t>
      </w:r>
      <w:r>
        <w:rPr>
          <w:rFonts w:ascii="宋体" w:hAnsi="宋体"/>
          <w:kern w:val="0"/>
          <w:sz w:val="24"/>
          <w:szCs w:val="24"/>
        </w:rPr>
        <w:t>会议</w:t>
      </w:r>
      <w:r>
        <w:rPr>
          <w:rFonts w:ascii="宋体" w:hAnsi="宋体" w:hint="eastAsia"/>
          <w:kern w:val="0"/>
          <w:sz w:val="24"/>
          <w:szCs w:val="24"/>
        </w:rPr>
        <w:t>，公司原则上</w:t>
      </w:r>
      <w:r>
        <w:rPr>
          <w:rFonts w:ascii="宋体" w:hAnsi="宋体"/>
          <w:kern w:val="0"/>
          <w:sz w:val="24"/>
          <w:szCs w:val="24"/>
        </w:rPr>
        <w:t>应提前三天通知全体委员</w:t>
      </w:r>
      <w:r>
        <w:rPr>
          <w:rFonts w:ascii="宋体" w:hAnsi="宋体" w:cs="Arial" w:hint="eastAsia"/>
          <w:kern w:val="0"/>
          <w:sz w:val="24"/>
          <w:szCs w:val="24"/>
        </w:rPr>
        <w:t>并</w:t>
      </w:r>
      <w:r>
        <w:rPr>
          <w:rFonts w:ascii="宋体" w:hAnsi="宋体" w:cs="Arial"/>
          <w:kern w:val="0"/>
          <w:sz w:val="24"/>
          <w:szCs w:val="24"/>
        </w:rPr>
        <w:t>提供相关资料和信息</w:t>
      </w:r>
      <w:r>
        <w:rPr>
          <w:rFonts w:ascii="宋体" w:hAnsi="宋体"/>
          <w:kern w:val="0"/>
          <w:sz w:val="24"/>
          <w:szCs w:val="24"/>
        </w:rPr>
        <w:t>。经全体委员一致同意，前述通知期可以豁免。</w:t>
      </w:r>
    </w:p>
    <w:p w14:paraId="39363A1E"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会议通知应包括如下内容：</w:t>
      </w:r>
    </w:p>
    <w:p w14:paraId="4D4B49EC"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（一）会议召开时间、地点、</w:t>
      </w:r>
      <w:r>
        <w:rPr>
          <w:rFonts w:ascii="宋体" w:hAnsi="宋体" w:cs="Arial" w:hint="eastAsia"/>
          <w:sz w:val="24"/>
        </w:rPr>
        <w:t>方式、召集人</w:t>
      </w:r>
      <w:r>
        <w:rPr>
          <w:rFonts w:ascii="宋体" w:hAnsi="宋体" w:hint="eastAsia"/>
          <w:kern w:val="0"/>
          <w:sz w:val="24"/>
          <w:szCs w:val="24"/>
        </w:rPr>
        <w:t>；</w:t>
      </w:r>
    </w:p>
    <w:p w14:paraId="5EB7D7D0"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（二）会议期限；</w:t>
      </w:r>
    </w:p>
    <w:p w14:paraId="63098BE7"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（三）会议需要讨论的议题；</w:t>
      </w:r>
    </w:p>
    <w:p w14:paraId="68EA6E98"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（四）会议联系人及联系方式；</w:t>
      </w:r>
    </w:p>
    <w:p w14:paraId="610ACD0F"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（五）会议通知的日期。</w:t>
      </w:r>
    </w:p>
    <w:p w14:paraId="32922D40"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薪酬与考核委员会会议可采用专人或邮件送出等方式进行通知。</w:t>
      </w:r>
    </w:p>
    <w:p w14:paraId="1C29707C"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w:t>
      </w:r>
      <w:r>
        <w:rPr>
          <w:rFonts w:ascii="宋体" w:hAnsi="宋体" w:hint="eastAsia"/>
          <w:kern w:val="0"/>
          <w:sz w:val="24"/>
          <w:szCs w:val="24"/>
        </w:rPr>
        <w:t>召集人</w:t>
      </w:r>
      <w:r>
        <w:rPr>
          <w:rFonts w:ascii="宋体" w:hAnsi="宋体"/>
          <w:kern w:val="0"/>
          <w:sz w:val="24"/>
          <w:szCs w:val="24"/>
        </w:rPr>
        <w:t>负责召集和主持薪酬与考核委员会会议，当</w:t>
      </w:r>
      <w:r>
        <w:rPr>
          <w:rFonts w:ascii="宋体" w:hAnsi="宋体" w:hint="eastAsia"/>
          <w:kern w:val="0"/>
          <w:sz w:val="24"/>
          <w:szCs w:val="24"/>
        </w:rPr>
        <w:t>召集人</w:t>
      </w:r>
      <w:r>
        <w:rPr>
          <w:rFonts w:ascii="宋体" w:hAnsi="宋体"/>
          <w:kern w:val="0"/>
          <w:sz w:val="24"/>
          <w:szCs w:val="24"/>
        </w:rPr>
        <w:t>不能或无法履行职责时，由其指定一名其他委员代行其职权；</w:t>
      </w:r>
      <w:r>
        <w:rPr>
          <w:rFonts w:ascii="宋体" w:hAnsi="宋体" w:hint="eastAsia"/>
          <w:kern w:val="0"/>
          <w:sz w:val="24"/>
          <w:szCs w:val="24"/>
        </w:rPr>
        <w:t>召集人</w:t>
      </w:r>
      <w:r>
        <w:rPr>
          <w:rFonts w:ascii="宋体" w:hAnsi="宋体"/>
          <w:kern w:val="0"/>
          <w:sz w:val="24"/>
          <w:szCs w:val="24"/>
        </w:rPr>
        <w:t>既不履行职责，也不指定其他委员代行其职责时，任何一名委员均可将有关情况向公司董事会报告，由公司董事会指定一名委员履行薪酬与考核委员会召集人职责。</w:t>
      </w:r>
    </w:p>
    <w:p w14:paraId="7D6F2D05"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w:t>
      </w:r>
      <w:r>
        <w:rPr>
          <w:rFonts w:ascii="宋体" w:hAnsi="宋体" w:hint="eastAsia"/>
          <w:kern w:val="0"/>
          <w:sz w:val="24"/>
          <w:szCs w:val="24"/>
        </w:rPr>
        <w:t>会议须有三</w:t>
      </w:r>
      <w:r>
        <w:rPr>
          <w:rFonts w:ascii="宋体" w:hAnsi="宋体"/>
          <w:kern w:val="0"/>
          <w:sz w:val="24"/>
          <w:szCs w:val="24"/>
        </w:rPr>
        <w:t>分之</w:t>
      </w:r>
      <w:r>
        <w:rPr>
          <w:rFonts w:ascii="宋体" w:hAnsi="宋体" w:hint="eastAsia"/>
          <w:kern w:val="0"/>
          <w:sz w:val="24"/>
          <w:szCs w:val="24"/>
        </w:rPr>
        <w:t>二</w:t>
      </w:r>
      <w:r>
        <w:rPr>
          <w:rFonts w:ascii="宋体" w:hAnsi="宋体"/>
          <w:kern w:val="0"/>
          <w:sz w:val="24"/>
          <w:szCs w:val="24"/>
        </w:rPr>
        <w:t>以上委员出席方可举行。薪酬与考核委员会委员</w:t>
      </w:r>
      <w:r>
        <w:rPr>
          <w:rFonts w:ascii="宋体" w:hAnsi="宋体" w:hint="eastAsia"/>
          <w:kern w:val="0"/>
          <w:sz w:val="24"/>
          <w:szCs w:val="24"/>
        </w:rPr>
        <w:t>应当</w:t>
      </w:r>
      <w:r>
        <w:rPr>
          <w:rFonts w:ascii="宋体" w:hAnsi="宋体"/>
          <w:kern w:val="0"/>
          <w:sz w:val="24"/>
          <w:szCs w:val="24"/>
        </w:rPr>
        <w:t>亲自</w:t>
      </w:r>
      <w:r>
        <w:rPr>
          <w:rFonts w:ascii="宋体" w:hAnsi="宋体"/>
          <w:kern w:val="0"/>
          <w:sz w:val="24"/>
          <w:szCs w:val="24"/>
        </w:rPr>
        <w:t>出席会议，</w:t>
      </w:r>
      <w:r>
        <w:rPr>
          <w:rFonts w:ascii="宋体" w:hAnsi="宋体" w:cs="Arial"/>
          <w:kern w:val="0"/>
          <w:sz w:val="24"/>
          <w:szCs w:val="24"/>
        </w:rPr>
        <w:t>因故不能亲自出席会议的，应当事先审阅会议材料，形成明确的意见，</w:t>
      </w:r>
      <w:r>
        <w:rPr>
          <w:rFonts w:ascii="宋体" w:hAnsi="宋体" w:hint="eastAsia"/>
          <w:kern w:val="0"/>
          <w:sz w:val="24"/>
          <w:szCs w:val="24"/>
        </w:rPr>
        <w:t>并</w:t>
      </w:r>
      <w:r>
        <w:rPr>
          <w:rFonts w:ascii="宋体" w:hAnsi="宋体"/>
          <w:kern w:val="0"/>
          <w:sz w:val="24"/>
          <w:szCs w:val="24"/>
        </w:rPr>
        <w:t>书面委托其他委员代为出席会议。薪酬与考核委员会委员委托其他委员代为出席会议的，应向召集人提交授权委托书，授权委托书应当载明代理人姓名、代理事项、代理权限和有效期限，并由委托人签名或盖章。授权委托书应不迟于会议表决前提交给会议主持人。</w:t>
      </w:r>
    </w:p>
    <w:p w14:paraId="320C4A94"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薪酬与考核委员会委员既不亲自出席会议，也未委托其他委员代为出席会议的，视为未出席相关会议。委员连续两次不出席会议的，视为不能适当履行职权，公司董事会可以撤销其委员职务。</w:t>
      </w:r>
    </w:p>
    <w:p w14:paraId="63E0F60B"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薪酬与考核委员会如认为必要，可以召</w:t>
      </w:r>
      <w:r>
        <w:rPr>
          <w:rFonts w:ascii="宋体" w:hAnsi="宋体"/>
          <w:kern w:val="0"/>
          <w:sz w:val="24"/>
          <w:szCs w:val="24"/>
        </w:rPr>
        <w:t>集与会议议案有关的其他</w:t>
      </w:r>
      <w:r>
        <w:rPr>
          <w:rFonts w:ascii="宋体" w:hAnsi="宋体"/>
          <w:kern w:val="0"/>
          <w:sz w:val="24"/>
          <w:szCs w:val="24"/>
        </w:rPr>
        <w:lastRenderedPageBreak/>
        <w:t>人员列席会议、介绍情况或发表意见，但非薪酬与考核委员会委员对议案没有表决权。</w:t>
      </w:r>
    </w:p>
    <w:p w14:paraId="1079DFE8"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如有必要，薪酬与考核委员会可以聘请中介机构为其决策提供专业意见，费用由公司支付。</w:t>
      </w:r>
    </w:p>
    <w:p w14:paraId="5C84B576"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薪酬与考核委员会所作决议应经全体委员的过半数通过方为有效。薪酬与考核委员会委员每人享有一票表决权。</w:t>
      </w:r>
    </w:p>
    <w:p w14:paraId="3FB17452"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kern w:val="0"/>
          <w:sz w:val="24"/>
          <w:szCs w:val="24"/>
        </w:rPr>
        <w:t>出席会议的委员应本着认真负责的态度，对议案进行审议并充分表达个人意见；委员对其个人的投票表决承担责任。</w:t>
      </w:r>
    </w:p>
    <w:p w14:paraId="204A05A9"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薪酬与考核委员会会议以现场召开为原则。在保证全体</w:t>
      </w:r>
      <w:proofErr w:type="gramStart"/>
      <w:r>
        <w:rPr>
          <w:rFonts w:ascii="宋体" w:hAnsi="宋体"/>
          <w:kern w:val="0"/>
          <w:sz w:val="24"/>
          <w:szCs w:val="24"/>
        </w:rPr>
        <w:t>参会</w:t>
      </w:r>
      <w:r>
        <w:rPr>
          <w:rFonts w:ascii="宋体" w:hAnsi="宋体" w:hint="eastAsia"/>
          <w:kern w:val="0"/>
          <w:sz w:val="24"/>
          <w:szCs w:val="24"/>
        </w:rPr>
        <w:t>委员</w:t>
      </w:r>
      <w:proofErr w:type="gramEnd"/>
      <w:r>
        <w:rPr>
          <w:rFonts w:ascii="宋体" w:hAnsi="宋体"/>
          <w:kern w:val="0"/>
          <w:sz w:val="24"/>
          <w:szCs w:val="24"/>
        </w:rPr>
        <w:t>能够充分沟通并表达意见的前提下，必要时可以采用</w:t>
      </w:r>
      <w:r>
        <w:rPr>
          <w:rFonts w:ascii="宋体" w:hAnsi="宋体" w:hint="eastAsia"/>
          <w:kern w:val="0"/>
          <w:sz w:val="24"/>
          <w:szCs w:val="24"/>
        </w:rPr>
        <w:t>电子通信、</w:t>
      </w:r>
      <w:proofErr w:type="gramStart"/>
      <w:r>
        <w:rPr>
          <w:rFonts w:ascii="宋体" w:hAnsi="宋体" w:hint="eastAsia"/>
          <w:kern w:val="0"/>
          <w:sz w:val="24"/>
          <w:szCs w:val="24"/>
        </w:rPr>
        <w:t>传签等</w:t>
      </w:r>
      <w:proofErr w:type="gramEnd"/>
      <w:r>
        <w:rPr>
          <w:rFonts w:ascii="宋体" w:hAnsi="宋体"/>
          <w:kern w:val="0"/>
          <w:sz w:val="24"/>
          <w:szCs w:val="24"/>
        </w:rPr>
        <w:t>方式召开。</w:t>
      </w:r>
    </w:p>
    <w:p w14:paraId="501A68CF"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薪酬与考核委员会会议讨论有关委员会成员的议题时，当事人应当回避。</w:t>
      </w:r>
    </w:p>
    <w:p w14:paraId="19175DE7"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薪酬与考核委员会委员个人或其近亲属或薪酬与考核委员会委员及其近亲属控制的其他企业与会议所讨论的议题有直接或者间接的利害关系时，该委员应尽快向委员会披露利害关系的性质与程度。</w:t>
      </w:r>
    </w:p>
    <w:p w14:paraId="61B3372D" w14:textId="77777777" w:rsidR="007C2967" w:rsidRDefault="00472AC0">
      <w:pPr>
        <w:tabs>
          <w:tab w:val="left" w:pos="1620"/>
        </w:tabs>
        <w:spacing w:line="360" w:lineRule="auto"/>
        <w:ind w:firstLineChars="250" w:firstLine="600"/>
        <w:rPr>
          <w:rFonts w:ascii="宋体" w:hAnsi="宋体" w:cs="Arial"/>
          <w:kern w:val="0"/>
          <w:sz w:val="24"/>
          <w:szCs w:val="24"/>
        </w:rPr>
      </w:pPr>
      <w:r>
        <w:rPr>
          <w:rFonts w:ascii="宋体" w:hAnsi="宋体" w:cs="Arial"/>
          <w:kern w:val="0"/>
          <w:sz w:val="24"/>
          <w:szCs w:val="24"/>
        </w:rPr>
        <w:t>前款所称</w:t>
      </w:r>
      <w:r>
        <w:rPr>
          <w:rFonts w:ascii="宋体" w:hAnsi="宋体" w:cs="Arial" w:hint="eastAsia"/>
          <w:kern w:val="0"/>
          <w:sz w:val="24"/>
          <w:szCs w:val="24"/>
        </w:rPr>
        <w:t>“</w:t>
      </w:r>
      <w:r>
        <w:rPr>
          <w:rFonts w:ascii="宋体" w:hAnsi="宋体" w:cs="Arial"/>
          <w:kern w:val="0"/>
          <w:sz w:val="24"/>
          <w:szCs w:val="24"/>
        </w:rPr>
        <w:t>近亲属</w:t>
      </w:r>
      <w:r>
        <w:rPr>
          <w:rFonts w:ascii="宋体" w:hAnsi="宋体" w:cs="Arial" w:hint="eastAsia"/>
          <w:kern w:val="0"/>
          <w:sz w:val="24"/>
          <w:szCs w:val="24"/>
        </w:rPr>
        <w:t>”</w:t>
      </w:r>
      <w:r>
        <w:rPr>
          <w:rFonts w:ascii="宋体" w:hAnsi="宋体" w:cs="Arial"/>
          <w:kern w:val="0"/>
          <w:sz w:val="24"/>
          <w:szCs w:val="24"/>
        </w:rPr>
        <w:t>是指配偶、父母及配偶的父母、兄弟姐妹及其配偶、年满</w:t>
      </w:r>
      <w:r>
        <w:rPr>
          <w:rFonts w:ascii="宋体" w:hAnsi="宋体" w:cs="Arial"/>
          <w:kern w:val="0"/>
          <w:sz w:val="24"/>
          <w:szCs w:val="24"/>
        </w:rPr>
        <w:t>18</w:t>
      </w:r>
      <w:r>
        <w:rPr>
          <w:rFonts w:ascii="宋体" w:hAnsi="宋体" w:cs="Arial"/>
          <w:kern w:val="0"/>
          <w:sz w:val="24"/>
          <w:szCs w:val="24"/>
        </w:rPr>
        <w:t>周岁的子女及其配偶、配偶的兄弟姐妹和子女配偶的父母。</w:t>
      </w:r>
    </w:p>
    <w:p w14:paraId="03CF12E9"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薪酬与考核委员会会议通过的议案及表决结果，应</w:t>
      </w:r>
      <w:r>
        <w:rPr>
          <w:rFonts w:ascii="宋体" w:hAnsi="宋体" w:hint="eastAsia"/>
          <w:kern w:val="0"/>
          <w:sz w:val="24"/>
          <w:szCs w:val="24"/>
        </w:rPr>
        <w:t>及时</w:t>
      </w:r>
      <w:r>
        <w:rPr>
          <w:rFonts w:ascii="宋体" w:hAnsi="宋体"/>
          <w:kern w:val="0"/>
          <w:sz w:val="24"/>
          <w:szCs w:val="24"/>
        </w:rPr>
        <w:t>以书面形式报公司董事会。</w:t>
      </w:r>
    </w:p>
    <w:p w14:paraId="21A173E0"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薪酬与考核委员会会议应当按规定制作会议记录，</w:t>
      </w:r>
      <w:r>
        <w:rPr>
          <w:rFonts w:ascii="宋体" w:hAnsi="宋体" w:hint="eastAsia"/>
          <w:kern w:val="0"/>
          <w:sz w:val="24"/>
          <w:szCs w:val="24"/>
        </w:rPr>
        <w:t>会议记录应当真实、准确、完整，充分反映与会人员对所审议事项提出的意见</w:t>
      </w:r>
      <w:r>
        <w:rPr>
          <w:rFonts w:ascii="宋体" w:hAnsi="宋体"/>
          <w:kern w:val="0"/>
          <w:sz w:val="24"/>
          <w:szCs w:val="24"/>
        </w:rPr>
        <w:t>，出席会议的委员和会议记录人应当在会议记录上签名。出席会议的委员有权要求在记录上对其在会议上的发言做出说明性记载。</w:t>
      </w:r>
      <w:r>
        <w:rPr>
          <w:rFonts w:ascii="宋体" w:hAnsi="宋体" w:hint="eastAsia"/>
          <w:kern w:val="0"/>
          <w:sz w:val="24"/>
          <w:szCs w:val="24"/>
        </w:rPr>
        <w:t>与会委员对会议决议持异议的，应在会议记录或会议纪要上予以注明。</w:t>
      </w:r>
    </w:p>
    <w:p w14:paraId="7E13FAEC" w14:textId="77777777" w:rsidR="007C2967" w:rsidRDefault="00472AC0">
      <w:pPr>
        <w:spacing w:line="360" w:lineRule="auto"/>
        <w:ind w:firstLineChars="200" w:firstLine="480"/>
        <w:rPr>
          <w:rFonts w:ascii="宋体" w:hAnsi="宋体"/>
          <w:kern w:val="0"/>
          <w:sz w:val="24"/>
          <w:szCs w:val="24"/>
        </w:rPr>
      </w:pPr>
      <w:r>
        <w:rPr>
          <w:rFonts w:ascii="宋体" w:hAnsi="宋体"/>
          <w:kern w:val="0"/>
          <w:sz w:val="24"/>
          <w:szCs w:val="24"/>
        </w:rPr>
        <w:t>薪酬与考核委员会会议记录作为公司档案由董事会秘书负责保存，保存期</w:t>
      </w:r>
      <w:r>
        <w:rPr>
          <w:rFonts w:ascii="宋体" w:hAnsi="宋体" w:hint="eastAsia"/>
          <w:kern w:val="0"/>
          <w:sz w:val="24"/>
          <w:szCs w:val="24"/>
        </w:rPr>
        <w:t>不少于</w:t>
      </w:r>
      <w:r>
        <w:rPr>
          <w:rFonts w:ascii="宋体" w:hAnsi="宋体"/>
          <w:kern w:val="0"/>
          <w:sz w:val="24"/>
          <w:szCs w:val="24"/>
        </w:rPr>
        <w:t>十年。</w:t>
      </w:r>
    </w:p>
    <w:p w14:paraId="15F81B42"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会议记录应至少包括以下内容：</w:t>
      </w:r>
    </w:p>
    <w:p w14:paraId="6D0820F5"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（一）会议召开的日期、地点和召集人姓名；</w:t>
      </w:r>
    </w:p>
    <w:p w14:paraId="46587F90"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（二）出席会议人员的姓名，受他人委托出席会议的应特别注明；</w:t>
      </w:r>
    </w:p>
    <w:p w14:paraId="6CA0BE20"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（三）会议议程；</w:t>
      </w:r>
    </w:p>
    <w:p w14:paraId="44F089CA"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（四）委员发言要点；</w:t>
      </w:r>
    </w:p>
    <w:p w14:paraId="54723E31"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（五）每一决</w:t>
      </w:r>
      <w:r>
        <w:rPr>
          <w:rFonts w:ascii="宋体" w:hAnsi="宋体" w:hint="eastAsia"/>
          <w:kern w:val="0"/>
          <w:sz w:val="24"/>
          <w:szCs w:val="24"/>
        </w:rPr>
        <w:t>议事项或议案的表决方式和载明赞成、反对或弃权的票数的表决结果；</w:t>
      </w:r>
    </w:p>
    <w:p w14:paraId="22DBDDDC" w14:textId="77777777" w:rsidR="007C2967" w:rsidRDefault="00472AC0">
      <w:pPr>
        <w:spacing w:line="360" w:lineRule="auto"/>
        <w:ind w:firstLineChars="200" w:firstLine="480"/>
        <w:rPr>
          <w:rFonts w:ascii="宋体" w:hAnsi="宋体"/>
          <w:kern w:val="0"/>
          <w:sz w:val="24"/>
          <w:szCs w:val="24"/>
        </w:rPr>
      </w:pPr>
      <w:r>
        <w:rPr>
          <w:rFonts w:ascii="宋体" w:hAnsi="宋体" w:hint="eastAsia"/>
          <w:kern w:val="0"/>
          <w:sz w:val="24"/>
          <w:szCs w:val="24"/>
        </w:rPr>
        <w:t>（六）其他应当在会议记录中说明和记载的事项。</w:t>
      </w:r>
    </w:p>
    <w:p w14:paraId="7DE3E3A4" w14:textId="77777777"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薪酬与考核委员会委员对于了解到的公司相关信息，在该等信息尚未公开之前，负有保密义务。</w:t>
      </w:r>
    </w:p>
    <w:p w14:paraId="7E5CACDE" w14:textId="77777777" w:rsidR="007C2967" w:rsidRDefault="007C2967">
      <w:pPr>
        <w:spacing w:line="360" w:lineRule="auto"/>
        <w:rPr>
          <w:rFonts w:ascii="宋体" w:hAnsi="宋体"/>
          <w:kern w:val="0"/>
          <w:sz w:val="24"/>
          <w:szCs w:val="24"/>
        </w:rPr>
      </w:pPr>
    </w:p>
    <w:p w14:paraId="24940239" w14:textId="77777777" w:rsidR="007C2967" w:rsidRDefault="00472AC0">
      <w:pPr>
        <w:autoSpaceDE w:val="0"/>
        <w:autoSpaceDN w:val="0"/>
        <w:adjustRightInd w:val="0"/>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五</w:t>
      </w:r>
      <w:r>
        <w:rPr>
          <w:rFonts w:ascii="宋体" w:hAnsi="宋体"/>
          <w:b/>
          <w:kern w:val="0"/>
          <w:sz w:val="28"/>
          <w:szCs w:val="28"/>
        </w:rPr>
        <w:t>章</w:t>
      </w:r>
      <w:r>
        <w:rPr>
          <w:rFonts w:ascii="宋体" w:hAnsi="宋体"/>
          <w:b/>
          <w:kern w:val="0"/>
          <w:sz w:val="28"/>
          <w:szCs w:val="28"/>
        </w:rPr>
        <w:t xml:space="preserve"> </w:t>
      </w:r>
      <w:r>
        <w:rPr>
          <w:rFonts w:ascii="宋体" w:hAnsi="宋体" w:hint="eastAsia"/>
          <w:b/>
          <w:kern w:val="0"/>
          <w:sz w:val="28"/>
          <w:szCs w:val="28"/>
        </w:rPr>
        <w:t xml:space="preserve"> </w:t>
      </w:r>
      <w:r>
        <w:rPr>
          <w:rFonts w:ascii="宋体" w:hAnsi="宋体"/>
          <w:b/>
          <w:kern w:val="0"/>
          <w:sz w:val="28"/>
          <w:szCs w:val="28"/>
        </w:rPr>
        <w:t>附</w:t>
      </w:r>
      <w:r>
        <w:rPr>
          <w:rFonts w:ascii="宋体" w:hAnsi="宋体"/>
          <w:b/>
          <w:kern w:val="0"/>
          <w:sz w:val="28"/>
          <w:szCs w:val="28"/>
        </w:rPr>
        <w:t xml:space="preserve"> </w:t>
      </w:r>
      <w:r>
        <w:rPr>
          <w:rFonts w:ascii="宋体" w:hAnsi="宋体"/>
          <w:b/>
          <w:kern w:val="0"/>
          <w:sz w:val="28"/>
          <w:szCs w:val="28"/>
        </w:rPr>
        <w:t>则</w:t>
      </w:r>
    </w:p>
    <w:p w14:paraId="70625AFD" w14:textId="77777777" w:rsidR="007C2967" w:rsidRDefault="007C2967">
      <w:pPr>
        <w:autoSpaceDE w:val="0"/>
        <w:autoSpaceDN w:val="0"/>
        <w:adjustRightInd w:val="0"/>
        <w:spacing w:line="360" w:lineRule="auto"/>
        <w:jc w:val="center"/>
        <w:rPr>
          <w:rFonts w:ascii="宋体" w:hAnsi="宋体"/>
          <w:b/>
          <w:kern w:val="0"/>
          <w:sz w:val="24"/>
          <w:szCs w:val="24"/>
        </w:rPr>
      </w:pPr>
    </w:p>
    <w:p w14:paraId="047C8E2D" w14:textId="52CD1F46"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kern w:val="0"/>
          <w:sz w:val="24"/>
          <w:szCs w:val="24"/>
        </w:rPr>
        <w:t>未尽事宜，依照国家有关法律、行政法规、部门规章、其他规范性文件及《公司章程》的有关规定执行</w:t>
      </w:r>
      <w:r>
        <w:rPr>
          <w:rFonts w:ascii="宋体" w:hAnsi="宋体" w:hint="eastAsia"/>
          <w:kern w:val="0"/>
          <w:sz w:val="24"/>
          <w:szCs w:val="24"/>
        </w:rPr>
        <w:t>。</w:t>
      </w:r>
    </w:p>
    <w:p w14:paraId="53447A88" w14:textId="7CA5C3A9"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议事规则</w:t>
      </w:r>
      <w:r>
        <w:rPr>
          <w:rFonts w:ascii="宋体" w:hAnsi="宋体" w:hint="eastAsia"/>
          <w:kern w:val="0"/>
          <w:sz w:val="24"/>
          <w:szCs w:val="24"/>
        </w:rPr>
        <w:t>由</w:t>
      </w:r>
      <w:r>
        <w:rPr>
          <w:rFonts w:ascii="宋体" w:hAnsi="宋体"/>
          <w:kern w:val="0"/>
          <w:sz w:val="24"/>
          <w:szCs w:val="24"/>
        </w:rPr>
        <w:t>董事会</w:t>
      </w:r>
      <w:r>
        <w:rPr>
          <w:rFonts w:ascii="宋体" w:hAnsi="宋体" w:hint="eastAsia"/>
          <w:kern w:val="0"/>
          <w:sz w:val="24"/>
          <w:szCs w:val="24"/>
        </w:rPr>
        <w:t>负责解释</w:t>
      </w:r>
      <w:r>
        <w:rPr>
          <w:rFonts w:ascii="宋体" w:hAnsi="宋体"/>
          <w:kern w:val="0"/>
          <w:sz w:val="24"/>
          <w:szCs w:val="24"/>
        </w:rPr>
        <w:t>。</w:t>
      </w:r>
    </w:p>
    <w:p w14:paraId="407985C4" w14:textId="610C88F5" w:rsidR="007C2967" w:rsidRDefault="00472AC0" w:rsidP="00472AC0">
      <w:pPr>
        <w:numPr>
          <w:ilvl w:val="0"/>
          <w:numId w:val="18"/>
        </w:numPr>
        <w:tabs>
          <w:tab w:val="left" w:pos="1620"/>
        </w:tabs>
        <w:spacing w:line="360" w:lineRule="auto"/>
        <w:ind w:firstLineChars="192" w:firstLine="461"/>
        <w:rPr>
          <w:rFonts w:ascii="宋体" w:hAnsi="宋体"/>
          <w:kern w:val="0"/>
          <w:sz w:val="24"/>
          <w:szCs w:val="24"/>
        </w:rPr>
      </w:pPr>
      <w:r>
        <w:rPr>
          <w:rFonts w:ascii="宋体" w:hAnsi="宋体" w:hint="eastAsia"/>
          <w:kern w:val="0"/>
          <w:sz w:val="24"/>
          <w:szCs w:val="24"/>
        </w:rPr>
        <w:t xml:space="preserve">  </w:t>
      </w:r>
      <w:r>
        <w:rPr>
          <w:rFonts w:ascii="宋体" w:hAnsi="宋体"/>
          <w:kern w:val="0"/>
          <w:sz w:val="24"/>
          <w:szCs w:val="24"/>
        </w:rPr>
        <w:t>本</w:t>
      </w:r>
      <w:r>
        <w:rPr>
          <w:rFonts w:ascii="宋体" w:hAnsi="宋体" w:hint="eastAsia"/>
          <w:kern w:val="0"/>
          <w:sz w:val="24"/>
          <w:szCs w:val="24"/>
        </w:rPr>
        <w:t>议事</w:t>
      </w:r>
      <w:proofErr w:type="gramStart"/>
      <w:r>
        <w:rPr>
          <w:rFonts w:ascii="宋体" w:hAnsi="宋体" w:hint="eastAsia"/>
          <w:kern w:val="0"/>
          <w:sz w:val="24"/>
          <w:szCs w:val="24"/>
        </w:rPr>
        <w:t>规则</w:t>
      </w:r>
      <w:r>
        <w:rPr>
          <w:rFonts w:ascii="宋体" w:hAnsi="宋体"/>
          <w:kern w:val="0"/>
          <w:sz w:val="24"/>
          <w:szCs w:val="24"/>
        </w:rPr>
        <w:t>经</w:t>
      </w:r>
      <w:proofErr w:type="gramEnd"/>
      <w:r>
        <w:rPr>
          <w:rFonts w:ascii="宋体" w:hAnsi="宋体" w:hint="eastAsia"/>
          <w:kern w:val="0"/>
          <w:sz w:val="24"/>
          <w:szCs w:val="24"/>
        </w:rPr>
        <w:t>董事会</w:t>
      </w:r>
      <w:r>
        <w:rPr>
          <w:rFonts w:ascii="宋体" w:hAnsi="宋体"/>
          <w:kern w:val="0"/>
          <w:sz w:val="24"/>
          <w:szCs w:val="24"/>
        </w:rPr>
        <w:t>审议通过</w:t>
      </w:r>
      <w:r>
        <w:rPr>
          <w:rFonts w:ascii="宋体" w:hAnsi="宋体" w:cs="Arial" w:hint="eastAsia"/>
          <w:sz w:val="24"/>
        </w:rPr>
        <w:t>之日起生效实施</w:t>
      </w:r>
      <w:r>
        <w:rPr>
          <w:rFonts w:ascii="宋体" w:hAnsi="宋体"/>
          <w:kern w:val="0"/>
          <w:sz w:val="24"/>
          <w:szCs w:val="24"/>
        </w:rPr>
        <w:t>。</w:t>
      </w:r>
    </w:p>
    <w:p w14:paraId="4FA159DD" w14:textId="77777777" w:rsidR="007C2967" w:rsidRDefault="007C2967">
      <w:pPr>
        <w:widowControl/>
        <w:spacing w:after="360" w:line="320" w:lineRule="atLeast"/>
        <w:jc w:val="left"/>
        <w:rPr>
          <w:rFonts w:ascii="Arial" w:eastAsia="楷体_GB2312" w:hAnsi="Arial"/>
          <w:kern w:val="0"/>
          <w:sz w:val="24"/>
        </w:rPr>
      </w:pPr>
    </w:p>
    <w:sectPr w:rsidR="007C296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F5987" w14:textId="77777777" w:rsidR="00000000" w:rsidRDefault="00472AC0">
      <w:r>
        <w:separator/>
      </w:r>
    </w:p>
  </w:endnote>
  <w:endnote w:type="continuationSeparator" w:id="0">
    <w:p w14:paraId="50311330" w14:textId="77777777" w:rsidR="00000000" w:rsidRDefault="0047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A72E0" w14:textId="77777777" w:rsidR="007C2967" w:rsidRDefault="00472AC0">
    <w:pPr>
      <w:pStyle w:val="af9"/>
      <w:jc w:val="right"/>
      <w:rPr>
        <w:color w:val="auto"/>
      </w:rPr>
    </w:pPr>
    <w:r>
      <w:rPr>
        <w:color w:val="auto"/>
      </w:rPr>
      <w:fldChar w:fldCharType="begin"/>
    </w:r>
    <w:r>
      <w:rPr>
        <w:color w:val="auto"/>
      </w:rPr>
      <w:instrText xml:space="preserve"> PAGE   \* MERGEFORMAT </w:instrText>
    </w:r>
    <w:r>
      <w:rPr>
        <w:color w:val="auto"/>
      </w:rPr>
      <w:fldChar w:fldCharType="separate"/>
    </w:r>
    <w:r w:rsidRPr="00472AC0">
      <w:rPr>
        <w:noProof/>
        <w:color w:val="auto"/>
        <w:lang w:val="zh-CN"/>
      </w:rPr>
      <w:t>1</w:t>
    </w:r>
    <w:r>
      <w:rPr>
        <w:color w:val="auto"/>
      </w:rPr>
      <w:fldChar w:fldCharType="end"/>
    </w:r>
  </w:p>
  <w:p w14:paraId="79E8DF22" w14:textId="77777777" w:rsidR="007C2967" w:rsidRDefault="007C296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C1562" w14:textId="77777777" w:rsidR="00000000" w:rsidRDefault="00472AC0">
      <w:r>
        <w:separator/>
      </w:r>
    </w:p>
  </w:footnote>
  <w:footnote w:type="continuationSeparator" w:id="0">
    <w:p w14:paraId="13B37AAB" w14:textId="77777777" w:rsidR="00000000" w:rsidRDefault="00472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4">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6">
    <w:nsid w:val="FFFFFF83"/>
    <w:multiLevelType w:val="singleLevel"/>
    <w:tmpl w:val="FFFFFF83"/>
    <w:lvl w:ilvl="0">
      <w:start w:val="1"/>
      <w:numFmt w:val="bullet"/>
      <w:pStyle w:val="2"/>
      <w:lvlText w:val=""/>
      <w:lvlJc w:val="left"/>
      <w:pPr>
        <w:tabs>
          <w:tab w:val="left" w:pos="567"/>
        </w:tabs>
        <w:ind w:left="851" w:hanging="284"/>
      </w:pPr>
      <w:rPr>
        <w:rFonts w:ascii="Symbol" w:hAnsi="Symbol" w:hint="default"/>
      </w:rPr>
    </w:lvl>
  </w:abstractNum>
  <w:abstractNum w:abstractNumId="7">
    <w:nsid w:val="08E2797C"/>
    <w:multiLevelType w:val="multilevel"/>
    <w:tmpl w:val="08E2797C"/>
    <w:lvl w:ilvl="0">
      <w:start w:val="1"/>
      <w:numFmt w:val="decimal"/>
      <w:pStyle w:val="KWListNumber"/>
      <w:lvlText w:val="%1"/>
      <w:lvlJc w:val="left"/>
      <w:pPr>
        <w:tabs>
          <w:tab w:val="left" w:pos="1134"/>
        </w:tabs>
        <w:ind w:left="1134" w:hanging="567"/>
      </w:pPr>
      <w:rPr>
        <w:rFonts w:ascii="Arial" w:eastAsia="楷体_GB2312" w:hAnsi="Arial" w:hint="default"/>
        <w:sz w:val="20"/>
      </w:rPr>
    </w:lvl>
    <w:lvl w:ilvl="1">
      <w:start w:val="1"/>
      <w:numFmt w:val="lowerLetter"/>
      <w:lvlText w:val="%2)"/>
      <w:lvlJc w:val="left"/>
      <w:pPr>
        <w:tabs>
          <w:tab w:val="left" w:pos="1701"/>
        </w:tabs>
        <w:ind w:left="1701" w:hanging="567"/>
      </w:pPr>
      <w:rPr>
        <w:rFonts w:ascii="Arial" w:hAnsi="Arial" w:hint="default"/>
        <w:sz w:val="16"/>
      </w:rPr>
    </w:lvl>
    <w:lvl w:ilvl="2">
      <w:start w:val="1"/>
      <w:numFmt w:val="lowerRoman"/>
      <w:lvlText w:val="%3."/>
      <w:lvlJc w:val="left"/>
      <w:pPr>
        <w:tabs>
          <w:tab w:val="left" w:pos="2268"/>
        </w:tabs>
        <w:ind w:left="2268" w:hanging="567"/>
      </w:pPr>
      <w:rPr>
        <w:rFonts w:ascii="Arial" w:hAnsi="Arial" w:hint="default"/>
        <w:sz w:val="16"/>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8">
    <w:nsid w:val="0B3E73A3"/>
    <w:multiLevelType w:val="multilevel"/>
    <w:tmpl w:val="0B3E73A3"/>
    <w:lvl w:ilvl="0">
      <w:start w:val="1"/>
      <w:numFmt w:val="decimal"/>
      <w:pStyle w:val="KWheading1"/>
      <w:lvlText w:val="%1"/>
      <w:lvlJc w:val="left"/>
      <w:pPr>
        <w:tabs>
          <w:tab w:val="left" w:pos="567"/>
        </w:tabs>
        <w:ind w:left="567" w:hanging="567"/>
      </w:pPr>
      <w:rPr>
        <w:rFonts w:hint="eastAsia"/>
      </w:rPr>
    </w:lvl>
    <w:lvl w:ilvl="1">
      <w:start w:val="1"/>
      <w:numFmt w:val="decimal"/>
      <w:pStyle w:val="KWheading2"/>
      <w:lvlText w:val="%1.%2"/>
      <w:lvlJc w:val="left"/>
      <w:pPr>
        <w:tabs>
          <w:tab w:val="left" w:pos="567"/>
        </w:tabs>
        <w:ind w:left="567" w:hanging="567"/>
      </w:pPr>
      <w:rPr>
        <w:rFonts w:ascii="Arial" w:hAnsi="Arial" w:hint="default"/>
        <w:sz w:val="20"/>
      </w:rPr>
    </w:lvl>
    <w:lvl w:ilvl="2">
      <w:start w:val="1"/>
      <w:numFmt w:val="lowerLetter"/>
      <w:pStyle w:val="KWheading3"/>
      <w:lvlText w:val="(%3)"/>
      <w:lvlJc w:val="left"/>
      <w:pPr>
        <w:tabs>
          <w:tab w:val="left" w:pos="567"/>
        </w:tabs>
        <w:ind w:left="567" w:hanging="567"/>
      </w:pPr>
      <w:rPr>
        <w:rFonts w:ascii="Arial" w:hAnsi="Arial" w:hint="default"/>
        <w:sz w:val="16"/>
      </w:rPr>
    </w:lvl>
    <w:lvl w:ilvl="3">
      <w:start w:val="1"/>
      <w:numFmt w:val="lowerRoman"/>
      <w:pStyle w:val="KWheading4"/>
      <w:lvlText w:val="(%4)"/>
      <w:lvlJc w:val="left"/>
      <w:pPr>
        <w:tabs>
          <w:tab w:val="left" w:pos="1134"/>
        </w:tabs>
        <w:ind w:left="1134" w:hanging="567"/>
      </w:pPr>
      <w:rPr>
        <w:rFonts w:ascii="Arial" w:hAnsi="Arial" w:hint="default"/>
        <w:b w:val="0"/>
        <w:i w:val="0"/>
        <w:sz w:val="16"/>
      </w:rPr>
    </w:lvl>
    <w:lvl w:ilvl="4">
      <w:start w:val="1"/>
      <w:numFmt w:val="upperLetter"/>
      <w:pStyle w:val="KWheading5"/>
      <w:lvlText w:val="(%5)"/>
      <w:lvlJc w:val="left"/>
      <w:pPr>
        <w:tabs>
          <w:tab w:val="left" w:pos="1701"/>
        </w:tabs>
        <w:ind w:left="1701" w:hanging="567"/>
      </w:pPr>
      <w:rPr>
        <w:rFonts w:ascii="Arial" w:hAnsi="Arial" w:hint="default"/>
        <w:sz w:val="16"/>
      </w:rPr>
    </w:lvl>
    <w:lvl w:ilvl="5">
      <w:start w:val="1"/>
      <w:numFmt w:val="none"/>
      <w:lvlText w:val=""/>
      <w:lvlJc w:val="left"/>
      <w:pPr>
        <w:tabs>
          <w:tab w:val="left" w:pos="2268"/>
        </w:tabs>
        <w:ind w:left="2268" w:hanging="2268"/>
      </w:pPr>
      <w:rPr>
        <w:rFonts w:hint="eastAsia"/>
      </w:rPr>
    </w:lvl>
    <w:lvl w:ilvl="6">
      <w:start w:val="1"/>
      <w:numFmt w:val="none"/>
      <w:lvlText w:val=""/>
      <w:lvlJc w:val="left"/>
      <w:pPr>
        <w:tabs>
          <w:tab w:val="left" w:pos="2268"/>
        </w:tabs>
        <w:ind w:left="2268" w:hanging="2268"/>
      </w:pPr>
      <w:rPr>
        <w:rFonts w:hint="eastAsia"/>
      </w:rPr>
    </w:lvl>
    <w:lvl w:ilvl="7">
      <w:start w:val="1"/>
      <w:numFmt w:val="none"/>
      <w:lvlText w:val=""/>
      <w:lvlJc w:val="left"/>
      <w:pPr>
        <w:tabs>
          <w:tab w:val="left" w:pos="2268"/>
        </w:tabs>
        <w:ind w:left="2268" w:hanging="2268"/>
      </w:pPr>
      <w:rPr>
        <w:rFonts w:hint="eastAsia"/>
      </w:rPr>
    </w:lvl>
    <w:lvl w:ilvl="8">
      <w:start w:val="1"/>
      <w:numFmt w:val="none"/>
      <w:lvlText w:val=""/>
      <w:lvlJc w:val="left"/>
      <w:pPr>
        <w:tabs>
          <w:tab w:val="left" w:pos="2268"/>
        </w:tabs>
        <w:ind w:left="2268" w:hanging="2268"/>
      </w:pPr>
      <w:rPr>
        <w:rFonts w:hint="eastAsia"/>
      </w:rPr>
    </w:lvl>
  </w:abstractNum>
  <w:abstractNum w:abstractNumId="9">
    <w:nsid w:val="24840B28"/>
    <w:multiLevelType w:val="multilevel"/>
    <w:tmpl w:val="24840B28"/>
    <w:lvl w:ilvl="0">
      <w:start w:val="1"/>
      <w:numFmt w:val="bullet"/>
      <w:pStyle w:val="a"/>
      <w:lvlText w:val=""/>
      <w:lvlJc w:val="left"/>
      <w:pPr>
        <w:tabs>
          <w:tab w:val="left" w:pos="567"/>
        </w:tabs>
        <w:ind w:left="567" w:hanging="567"/>
      </w:pPr>
      <w:rPr>
        <w:rFonts w:ascii="Wingdings 2" w:hAnsi="Wingdings 2" w:hint="default"/>
      </w:rPr>
    </w:lvl>
    <w:lvl w:ilvl="1">
      <w:start w:val="1"/>
      <w:numFmt w:val="bullet"/>
      <w:lvlText w:val=""/>
      <w:lvlJc w:val="left"/>
      <w:pPr>
        <w:tabs>
          <w:tab w:val="left" w:pos="1134"/>
        </w:tabs>
        <w:ind w:left="1134" w:hanging="567"/>
      </w:pPr>
      <w:rPr>
        <w:rFonts w:ascii="Symbol" w:hAnsi="Symbol" w:hint="default"/>
      </w:rPr>
    </w:lvl>
    <w:lvl w:ilvl="2">
      <w:start w:val="1"/>
      <w:numFmt w:val="none"/>
      <w:lvlText w:val=""/>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
      <w:lvlJc w:val="left"/>
      <w:pPr>
        <w:tabs>
          <w:tab w:val="left" w:pos="3402"/>
        </w:tabs>
        <w:ind w:left="3402" w:hanging="567"/>
      </w:pPr>
      <w:rPr>
        <w:rFonts w:hint="default"/>
      </w:rPr>
    </w:lvl>
    <w:lvl w:ilvl="7">
      <w:start w:val="1"/>
      <w:numFmt w:val="none"/>
      <w:lvlText w:val=""/>
      <w:lvlJc w:val="left"/>
      <w:pPr>
        <w:tabs>
          <w:tab w:val="left" w:pos="3969"/>
        </w:tabs>
        <w:ind w:left="3969" w:hanging="567"/>
      </w:pPr>
      <w:rPr>
        <w:rFonts w:hint="default"/>
      </w:rPr>
    </w:lvl>
    <w:lvl w:ilvl="8">
      <w:start w:val="1"/>
      <w:numFmt w:val="none"/>
      <w:lvlText w:val=""/>
      <w:lvlJc w:val="left"/>
      <w:pPr>
        <w:tabs>
          <w:tab w:val="left" w:pos="5103"/>
        </w:tabs>
        <w:ind w:left="5103" w:hanging="567"/>
      </w:pPr>
      <w:rPr>
        <w:rFonts w:hint="default"/>
      </w:rPr>
    </w:lvl>
  </w:abstractNum>
  <w:abstractNum w:abstractNumId="10">
    <w:nsid w:val="2F9A7347"/>
    <w:multiLevelType w:val="multilevel"/>
    <w:tmpl w:val="2F9A7347"/>
    <w:lvl w:ilvl="0">
      <w:start w:val="1"/>
      <w:numFmt w:val="decimal"/>
      <w:pStyle w:val="a0"/>
      <w:lvlText w:val="%1"/>
      <w:lvlJc w:val="left"/>
      <w:pPr>
        <w:tabs>
          <w:tab w:val="left" w:pos="567"/>
        </w:tabs>
        <w:ind w:left="567" w:hanging="567"/>
      </w:pPr>
      <w:rPr>
        <w:rFonts w:hint="default"/>
      </w:rPr>
    </w:lvl>
    <w:lvl w:ilvl="1">
      <w:start w:val="1"/>
      <w:numFmt w:val="lowerLetter"/>
      <w:lvlText w:val="(%2)"/>
      <w:lvlJc w:val="left"/>
      <w:pPr>
        <w:tabs>
          <w:tab w:val="left" w:pos="1134"/>
        </w:tabs>
        <w:ind w:left="1134" w:hanging="567"/>
      </w:pPr>
      <w:rPr>
        <w:rFonts w:hint="default"/>
      </w:rPr>
    </w:lvl>
    <w:lvl w:ilvl="2">
      <w:start w:val="1"/>
      <w:numFmt w:val="none"/>
      <w:lvlText w:val="%3"/>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7"/>
      <w:lvlJc w:val="left"/>
      <w:pPr>
        <w:tabs>
          <w:tab w:val="left" w:pos="3969"/>
        </w:tabs>
        <w:ind w:left="3969" w:hanging="567"/>
      </w:pPr>
      <w:rPr>
        <w:rFonts w:hint="default"/>
      </w:rPr>
    </w:lvl>
    <w:lvl w:ilvl="7">
      <w:start w:val="1"/>
      <w:numFmt w:val="none"/>
      <w:lvlText w:val="%8"/>
      <w:lvlJc w:val="left"/>
      <w:pPr>
        <w:tabs>
          <w:tab w:val="left" w:pos="4896"/>
        </w:tabs>
        <w:ind w:left="4896" w:hanging="567"/>
      </w:pPr>
      <w:rPr>
        <w:rFonts w:hint="default"/>
      </w:rPr>
    </w:lvl>
    <w:lvl w:ilvl="8">
      <w:start w:val="1"/>
      <w:numFmt w:val="none"/>
      <w:lvlText w:val="%9"/>
      <w:lvlJc w:val="left"/>
      <w:pPr>
        <w:tabs>
          <w:tab w:val="left" w:pos="4536"/>
        </w:tabs>
        <w:ind w:left="4536" w:hanging="567"/>
      </w:pPr>
      <w:rPr>
        <w:rFonts w:hint="default"/>
      </w:rPr>
    </w:lvl>
  </w:abstractNum>
  <w:abstractNum w:abstractNumId="11">
    <w:nsid w:val="3C6E127A"/>
    <w:multiLevelType w:val="multilevel"/>
    <w:tmpl w:val="3C6E127A"/>
    <w:lvl w:ilvl="0">
      <w:start w:val="1"/>
      <w:numFmt w:val="japaneseCounting"/>
      <w:lvlText w:val="第%1条"/>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3CD5447"/>
    <w:multiLevelType w:val="multilevel"/>
    <w:tmpl w:val="43CD5447"/>
    <w:lvl w:ilvl="0">
      <w:start w:val="1"/>
      <w:numFmt w:val="decimal"/>
      <w:pStyle w:val="1"/>
      <w:lvlText w:val="%1"/>
      <w:lvlJc w:val="left"/>
      <w:pPr>
        <w:tabs>
          <w:tab w:val="left" w:pos="567"/>
        </w:tabs>
        <w:ind w:left="567" w:hanging="567"/>
      </w:pPr>
      <w:rPr>
        <w:rFonts w:hint="default"/>
      </w:rPr>
    </w:lvl>
    <w:lvl w:ilvl="1">
      <w:start w:val="1"/>
      <w:numFmt w:val="decimal"/>
      <w:pStyle w:val="20"/>
      <w:lvlText w:val="%1.%2"/>
      <w:lvlJc w:val="left"/>
      <w:pPr>
        <w:tabs>
          <w:tab w:val="left" w:pos="567"/>
        </w:tabs>
        <w:ind w:left="567" w:hanging="567"/>
      </w:pPr>
      <w:rPr>
        <w:rFonts w:hint="default"/>
      </w:rPr>
    </w:lvl>
    <w:lvl w:ilvl="2">
      <w:start w:val="1"/>
      <w:numFmt w:val="lowerLetter"/>
      <w:pStyle w:val="31"/>
      <w:lvlText w:val="(%3)"/>
      <w:lvlJc w:val="left"/>
      <w:pPr>
        <w:tabs>
          <w:tab w:val="left" w:pos="567"/>
        </w:tabs>
        <w:ind w:left="567" w:hanging="567"/>
      </w:pPr>
      <w:rPr>
        <w:rFonts w:hint="default"/>
      </w:rPr>
    </w:lvl>
    <w:lvl w:ilvl="3">
      <w:start w:val="1"/>
      <w:numFmt w:val="lowerRoman"/>
      <w:pStyle w:val="41"/>
      <w:lvlText w:val="(%4)"/>
      <w:lvlJc w:val="left"/>
      <w:pPr>
        <w:tabs>
          <w:tab w:val="left" w:pos="567"/>
        </w:tabs>
        <w:ind w:left="1134" w:hanging="567"/>
      </w:pPr>
      <w:rPr>
        <w:rFonts w:hint="default"/>
      </w:rPr>
    </w:lvl>
    <w:lvl w:ilvl="4">
      <w:start w:val="1"/>
      <w:numFmt w:val="upperLetter"/>
      <w:pStyle w:val="51"/>
      <w:lvlText w:val="(%5)"/>
      <w:lvlJc w:val="left"/>
      <w:pPr>
        <w:tabs>
          <w:tab w:val="left" w:pos="567"/>
        </w:tabs>
        <w:ind w:left="1701" w:hanging="567"/>
      </w:pPr>
      <w:rPr>
        <w:rFonts w:ascii="Arial" w:hAnsi="Arial" w:hint="default"/>
        <w:sz w:val="16"/>
        <w:szCs w:val="16"/>
      </w:rPr>
    </w:lvl>
    <w:lvl w:ilvl="5">
      <w:start w:val="1"/>
      <w:numFmt w:val="none"/>
      <w:lvlRestart w:val="3"/>
      <w:pStyle w:val="6"/>
      <w:lvlText w:val=""/>
      <w:lvlJc w:val="left"/>
      <w:pPr>
        <w:tabs>
          <w:tab w:val="left" w:pos="0"/>
        </w:tabs>
        <w:ind w:left="0" w:firstLine="0"/>
      </w:pPr>
      <w:rPr>
        <w:rFonts w:hint="default"/>
      </w:rPr>
    </w:lvl>
    <w:lvl w:ilvl="6">
      <w:start w:val="1"/>
      <w:numFmt w:val="none"/>
      <w:pStyle w:val="7"/>
      <w:lvlText w:val="%7"/>
      <w:lvlJc w:val="left"/>
      <w:pPr>
        <w:tabs>
          <w:tab w:val="left" w:pos="0"/>
        </w:tabs>
        <w:ind w:left="0" w:firstLine="0"/>
      </w:pPr>
      <w:rPr>
        <w:rFonts w:hint="default"/>
      </w:rPr>
    </w:lvl>
    <w:lvl w:ilvl="7">
      <w:start w:val="1"/>
      <w:numFmt w:val="none"/>
      <w:pStyle w:val="8"/>
      <w:lvlText w:val=""/>
      <w:lvlJc w:val="left"/>
      <w:pPr>
        <w:tabs>
          <w:tab w:val="left" w:pos="0"/>
        </w:tabs>
        <w:ind w:left="0" w:firstLine="0"/>
      </w:pPr>
      <w:rPr>
        <w:rFonts w:hint="default"/>
      </w:rPr>
    </w:lvl>
    <w:lvl w:ilvl="8">
      <w:start w:val="1"/>
      <w:numFmt w:val="none"/>
      <w:pStyle w:val="9"/>
      <w:lvlText w:val=""/>
      <w:lvlJc w:val="left"/>
      <w:pPr>
        <w:tabs>
          <w:tab w:val="left" w:pos="0"/>
        </w:tabs>
        <w:ind w:left="0" w:firstLine="0"/>
      </w:pPr>
      <w:rPr>
        <w:rFonts w:hint="default"/>
      </w:rPr>
    </w:lvl>
  </w:abstractNum>
  <w:abstractNum w:abstractNumId="13">
    <w:nsid w:val="482E533D"/>
    <w:multiLevelType w:val="multilevel"/>
    <w:tmpl w:val="482E533D"/>
    <w:lvl w:ilvl="0">
      <w:start w:val="1"/>
      <w:numFmt w:val="bullet"/>
      <w:pStyle w:val="KWListBullet"/>
      <w:lvlText w:val=""/>
      <w:lvlJc w:val="left"/>
      <w:pPr>
        <w:tabs>
          <w:tab w:val="left" w:pos="1134"/>
        </w:tabs>
        <w:ind w:left="1134" w:hanging="567"/>
      </w:pPr>
      <w:rPr>
        <w:rFonts w:ascii="Wingdings 2" w:hAnsi="Wingdings 2" w:hint="default"/>
      </w:rPr>
    </w:lvl>
    <w:lvl w:ilvl="1">
      <w:start w:val="1"/>
      <w:numFmt w:val="bullet"/>
      <w:lvlText w:val=""/>
      <w:lvlJc w:val="left"/>
      <w:pPr>
        <w:tabs>
          <w:tab w:val="left" w:pos="1701"/>
        </w:tabs>
        <w:ind w:left="1701" w:hanging="567"/>
      </w:pPr>
      <w:rPr>
        <w:rFonts w:ascii="Symbol" w:hAnsi="Symbol" w:hint="default"/>
      </w:rPr>
    </w:lvl>
    <w:lvl w:ilvl="2">
      <w:start w:val="1"/>
      <w:numFmt w:val="none"/>
      <w:lvlText w:val=""/>
      <w:lvlJc w:val="left"/>
      <w:pPr>
        <w:tabs>
          <w:tab w:val="left" w:pos="2268"/>
        </w:tabs>
        <w:ind w:left="2268" w:hanging="567"/>
      </w:pPr>
      <w:rPr>
        <w:rFonts w:hint="eastAsia"/>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14">
    <w:nsid w:val="5ADD1956"/>
    <w:multiLevelType w:val="multilevel"/>
    <w:tmpl w:val="5ADD1956"/>
    <w:lvl w:ilvl="0">
      <w:start w:val="1"/>
      <w:numFmt w:val="japaneseCounting"/>
      <w:lvlText w:val="第%1章"/>
      <w:lvlJc w:val="left"/>
      <w:pPr>
        <w:tabs>
          <w:tab w:val="left" w:pos="780"/>
        </w:tabs>
        <w:ind w:left="780" w:hanging="840"/>
      </w:pPr>
      <w:rPr>
        <w:rFonts w:hint="default"/>
      </w:rPr>
    </w:lvl>
    <w:lvl w:ilvl="1">
      <w:start w:val="1"/>
      <w:numFmt w:val="lowerLetter"/>
      <w:lvlText w:val="%2."/>
      <w:lvlJc w:val="left"/>
      <w:pPr>
        <w:tabs>
          <w:tab w:val="left" w:pos="1020"/>
        </w:tabs>
        <w:ind w:left="1020" w:hanging="360"/>
      </w:pPr>
    </w:lvl>
    <w:lvl w:ilvl="2">
      <w:start w:val="1"/>
      <w:numFmt w:val="lowerRoman"/>
      <w:lvlText w:val="%3."/>
      <w:lvlJc w:val="right"/>
      <w:pPr>
        <w:tabs>
          <w:tab w:val="left" w:pos="1740"/>
        </w:tabs>
        <w:ind w:left="1740" w:hanging="180"/>
      </w:pPr>
    </w:lvl>
    <w:lvl w:ilvl="3">
      <w:start w:val="1"/>
      <w:numFmt w:val="decimal"/>
      <w:lvlText w:val="%4."/>
      <w:lvlJc w:val="left"/>
      <w:pPr>
        <w:tabs>
          <w:tab w:val="left" w:pos="2460"/>
        </w:tabs>
        <w:ind w:left="2460" w:hanging="360"/>
      </w:pPr>
    </w:lvl>
    <w:lvl w:ilvl="4">
      <w:start w:val="1"/>
      <w:numFmt w:val="lowerLetter"/>
      <w:lvlText w:val="%5."/>
      <w:lvlJc w:val="left"/>
      <w:pPr>
        <w:tabs>
          <w:tab w:val="left" w:pos="3180"/>
        </w:tabs>
        <w:ind w:left="3180" w:hanging="360"/>
      </w:pPr>
    </w:lvl>
    <w:lvl w:ilvl="5">
      <w:start w:val="1"/>
      <w:numFmt w:val="lowerRoman"/>
      <w:lvlText w:val="%6."/>
      <w:lvlJc w:val="right"/>
      <w:pPr>
        <w:tabs>
          <w:tab w:val="left" w:pos="3900"/>
        </w:tabs>
        <w:ind w:left="3900" w:hanging="180"/>
      </w:pPr>
    </w:lvl>
    <w:lvl w:ilvl="6">
      <w:start w:val="1"/>
      <w:numFmt w:val="decimal"/>
      <w:lvlText w:val="%7."/>
      <w:lvlJc w:val="left"/>
      <w:pPr>
        <w:tabs>
          <w:tab w:val="left" w:pos="4620"/>
        </w:tabs>
        <w:ind w:left="4620" w:hanging="360"/>
      </w:pPr>
    </w:lvl>
    <w:lvl w:ilvl="7">
      <w:start w:val="1"/>
      <w:numFmt w:val="lowerLetter"/>
      <w:lvlText w:val="%8."/>
      <w:lvlJc w:val="left"/>
      <w:pPr>
        <w:tabs>
          <w:tab w:val="left" w:pos="5340"/>
        </w:tabs>
        <w:ind w:left="5340" w:hanging="360"/>
      </w:pPr>
    </w:lvl>
    <w:lvl w:ilvl="8">
      <w:start w:val="1"/>
      <w:numFmt w:val="lowerRoman"/>
      <w:lvlText w:val="%9."/>
      <w:lvlJc w:val="right"/>
      <w:pPr>
        <w:tabs>
          <w:tab w:val="left" w:pos="6060"/>
        </w:tabs>
        <w:ind w:left="6060" w:hanging="180"/>
      </w:pPr>
    </w:lvl>
  </w:abstractNum>
  <w:abstractNum w:abstractNumId="15">
    <w:nsid w:val="6537321C"/>
    <w:multiLevelType w:val="multilevel"/>
    <w:tmpl w:val="6537321C"/>
    <w:lvl w:ilvl="0">
      <w:start w:val="1"/>
      <w:numFmt w:val="japaneseCounting"/>
      <w:lvlText w:val="第%1条"/>
      <w:lvlJc w:val="left"/>
      <w:pPr>
        <w:tabs>
          <w:tab w:val="left" w:pos="1980"/>
        </w:tabs>
        <w:ind w:left="1980" w:hanging="720"/>
      </w:pPr>
      <w:rPr>
        <w:rFonts w:hint="default"/>
        <w:b/>
        <w:sz w:val="24"/>
        <w:szCs w:val="24"/>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55528AC"/>
    <w:multiLevelType w:val="multilevel"/>
    <w:tmpl w:val="655528AC"/>
    <w:lvl w:ilvl="0">
      <w:start w:val="1"/>
      <w:numFmt w:val="japaneseCounting"/>
      <w:lvlText w:val="第%1条"/>
      <w:lvlJc w:val="left"/>
      <w:pPr>
        <w:tabs>
          <w:tab w:val="left" w:pos="0"/>
        </w:tabs>
        <w:ind w:left="0" w:firstLine="1620"/>
      </w:pPr>
      <w:rPr>
        <w:rFonts w:hint="default"/>
        <w:b/>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DBA4BAB"/>
    <w:multiLevelType w:val="multilevel"/>
    <w:tmpl w:val="6DBA4BAB"/>
    <w:lvl w:ilvl="0">
      <w:start w:val="1"/>
      <w:numFmt w:val="japaneseCounting"/>
      <w:lvlText w:val="第%1条"/>
      <w:lvlJc w:val="left"/>
      <w:pPr>
        <w:tabs>
          <w:tab w:val="left" w:pos="720"/>
        </w:tabs>
        <w:ind w:left="720" w:hanging="720"/>
      </w:pPr>
      <w:rPr>
        <w:rFonts w:hint="default"/>
        <w:b/>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4"/>
  </w:num>
  <w:num w:numId="3">
    <w:abstractNumId w:val="10"/>
  </w:num>
  <w:num w:numId="4">
    <w:abstractNumId w:val="9"/>
  </w:num>
  <w:num w:numId="5">
    <w:abstractNumId w:val="5"/>
  </w:num>
  <w:num w:numId="6">
    <w:abstractNumId w:val="2"/>
  </w:num>
  <w:num w:numId="7">
    <w:abstractNumId w:val="6"/>
  </w:num>
  <w:num w:numId="8">
    <w:abstractNumId w:val="3"/>
  </w:num>
  <w:num w:numId="9">
    <w:abstractNumId w:val="1"/>
  </w:num>
  <w:num w:numId="10">
    <w:abstractNumId w:val="0"/>
  </w:num>
  <w:num w:numId="11">
    <w:abstractNumId w:val="8"/>
  </w:num>
  <w:num w:numId="12">
    <w:abstractNumId w:val="13"/>
  </w:num>
  <w:num w:numId="13">
    <w:abstractNumId w:val="7"/>
  </w:num>
  <w:num w:numId="14">
    <w:abstractNumId w:val="14"/>
  </w:num>
  <w:num w:numId="15">
    <w:abstractNumId w:val="17"/>
  </w:num>
  <w:num w:numId="16">
    <w:abstractNumId w:val="1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jQ5Zjg5MmI1NWNmOGU5NGI1YTc3YTBmZDY0YTkifQ=="/>
  </w:docVars>
  <w:rsids>
    <w:rsidRoot w:val="00A729A4"/>
    <w:rsid w:val="0001414A"/>
    <w:rsid w:val="000318E9"/>
    <w:rsid w:val="00033A2C"/>
    <w:rsid w:val="00035051"/>
    <w:rsid w:val="00040C28"/>
    <w:rsid w:val="000444D2"/>
    <w:rsid w:val="00055C7F"/>
    <w:rsid w:val="00066CC5"/>
    <w:rsid w:val="0008343F"/>
    <w:rsid w:val="00083DF1"/>
    <w:rsid w:val="00085F0F"/>
    <w:rsid w:val="000A0CA2"/>
    <w:rsid w:val="000A2458"/>
    <w:rsid w:val="000D6E73"/>
    <w:rsid w:val="000D7690"/>
    <w:rsid w:val="001160D5"/>
    <w:rsid w:val="00137C06"/>
    <w:rsid w:val="0014151C"/>
    <w:rsid w:val="00151D09"/>
    <w:rsid w:val="00162D66"/>
    <w:rsid w:val="0016454E"/>
    <w:rsid w:val="00164F50"/>
    <w:rsid w:val="00184CB7"/>
    <w:rsid w:val="001B29AC"/>
    <w:rsid w:val="001B4A1F"/>
    <w:rsid w:val="001B6DF7"/>
    <w:rsid w:val="001C7DE2"/>
    <w:rsid w:val="001D44C4"/>
    <w:rsid w:val="001F130B"/>
    <w:rsid w:val="001F1E3C"/>
    <w:rsid w:val="001F3C1B"/>
    <w:rsid w:val="001F69F3"/>
    <w:rsid w:val="002037A1"/>
    <w:rsid w:val="00211F64"/>
    <w:rsid w:val="00212EE2"/>
    <w:rsid w:val="002451D3"/>
    <w:rsid w:val="002613E7"/>
    <w:rsid w:val="002642EB"/>
    <w:rsid w:val="0026752D"/>
    <w:rsid w:val="002A4FE8"/>
    <w:rsid w:val="002B368D"/>
    <w:rsid w:val="002E4710"/>
    <w:rsid w:val="002F3EA9"/>
    <w:rsid w:val="00341F40"/>
    <w:rsid w:val="003426AD"/>
    <w:rsid w:val="00347A2A"/>
    <w:rsid w:val="0035199B"/>
    <w:rsid w:val="003747E8"/>
    <w:rsid w:val="00385907"/>
    <w:rsid w:val="00391CFD"/>
    <w:rsid w:val="0039633F"/>
    <w:rsid w:val="003B4717"/>
    <w:rsid w:val="003F4B69"/>
    <w:rsid w:val="003F6772"/>
    <w:rsid w:val="004428F7"/>
    <w:rsid w:val="00454660"/>
    <w:rsid w:val="00471CD5"/>
    <w:rsid w:val="00472AC0"/>
    <w:rsid w:val="00473582"/>
    <w:rsid w:val="004760A5"/>
    <w:rsid w:val="00492B55"/>
    <w:rsid w:val="00493439"/>
    <w:rsid w:val="004935F3"/>
    <w:rsid w:val="004A6E29"/>
    <w:rsid w:val="004B0913"/>
    <w:rsid w:val="004D05E8"/>
    <w:rsid w:val="004D3197"/>
    <w:rsid w:val="004E2784"/>
    <w:rsid w:val="004F04CD"/>
    <w:rsid w:val="004F3F67"/>
    <w:rsid w:val="00511383"/>
    <w:rsid w:val="00515F8E"/>
    <w:rsid w:val="00520932"/>
    <w:rsid w:val="00527625"/>
    <w:rsid w:val="00534172"/>
    <w:rsid w:val="005350B9"/>
    <w:rsid w:val="00543C49"/>
    <w:rsid w:val="005525FB"/>
    <w:rsid w:val="00565422"/>
    <w:rsid w:val="0059006B"/>
    <w:rsid w:val="005E1287"/>
    <w:rsid w:val="00613E20"/>
    <w:rsid w:val="00624D8A"/>
    <w:rsid w:val="006322ED"/>
    <w:rsid w:val="00635FAF"/>
    <w:rsid w:val="00641980"/>
    <w:rsid w:val="00645C7C"/>
    <w:rsid w:val="00657753"/>
    <w:rsid w:val="006639A0"/>
    <w:rsid w:val="00676A9A"/>
    <w:rsid w:val="00676BC0"/>
    <w:rsid w:val="00680517"/>
    <w:rsid w:val="00684091"/>
    <w:rsid w:val="00685160"/>
    <w:rsid w:val="006C0B00"/>
    <w:rsid w:val="006C1F98"/>
    <w:rsid w:val="006E61C4"/>
    <w:rsid w:val="006E6D7E"/>
    <w:rsid w:val="006F5216"/>
    <w:rsid w:val="007407EB"/>
    <w:rsid w:val="0074766F"/>
    <w:rsid w:val="0075209F"/>
    <w:rsid w:val="00765000"/>
    <w:rsid w:val="00774842"/>
    <w:rsid w:val="00785F55"/>
    <w:rsid w:val="0078625E"/>
    <w:rsid w:val="007B0025"/>
    <w:rsid w:val="007B0BFD"/>
    <w:rsid w:val="007C2967"/>
    <w:rsid w:val="007C4E12"/>
    <w:rsid w:val="007D0EF7"/>
    <w:rsid w:val="007D7335"/>
    <w:rsid w:val="00807D4F"/>
    <w:rsid w:val="00824EEA"/>
    <w:rsid w:val="008267DE"/>
    <w:rsid w:val="00830BF2"/>
    <w:rsid w:val="00853F77"/>
    <w:rsid w:val="00856EBB"/>
    <w:rsid w:val="0088193D"/>
    <w:rsid w:val="0088776B"/>
    <w:rsid w:val="0089438C"/>
    <w:rsid w:val="008A265D"/>
    <w:rsid w:val="008A579E"/>
    <w:rsid w:val="008A7CFF"/>
    <w:rsid w:val="008F2676"/>
    <w:rsid w:val="008F7A88"/>
    <w:rsid w:val="009159EE"/>
    <w:rsid w:val="00943043"/>
    <w:rsid w:val="009567EF"/>
    <w:rsid w:val="009834CD"/>
    <w:rsid w:val="009850B5"/>
    <w:rsid w:val="009863E8"/>
    <w:rsid w:val="009953E9"/>
    <w:rsid w:val="00997C95"/>
    <w:rsid w:val="00A30FC2"/>
    <w:rsid w:val="00A41728"/>
    <w:rsid w:val="00A42815"/>
    <w:rsid w:val="00A729A4"/>
    <w:rsid w:val="00A81F06"/>
    <w:rsid w:val="00AA58CB"/>
    <w:rsid w:val="00AB32C0"/>
    <w:rsid w:val="00AC02B9"/>
    <w:rsid w:val="00AC528D"/>
    <w:rsid w:val="00AD319D"/>
    <w:rsid w:val="00AD514D"/>
    <w:rsid w:val="00AF074F"/>
    <w:rsid w:val="00AF7C02"/>
    <w:rsid w:val="00B0369B"/>
    <w:rsid w:val="00B31A3A"/>
    <w:rsid w:val="00B3312B"/>
    <w:rsid w:val="00B36134"/>
    <w:rsid w:val="00B4273C"/>
    <w:rsid w:val="00B4637E"/>
    <w:rsid w:val="00B479B7"/>
    <w:rsid w:val="00B54BFE"/>
    <w:rsid w:val="00B565A9"/>
    <w:rsid w:val="00B87BC1"/>
    <w:rsid w:val="00BD7EC5"/>
    <w:rsid w:val="00BE24C9"/>
    <w:rsid w:val="00BF4C84"/>
    <w:rsid w:val="00C0509C"/>
    <w:rsid w:val="00C43F54"/>
    <w:rsid w:val="00C6192F"/>
    <w:rsid w:val="00C624B2"/>
    <w:rsid w:val="00C64410"/>
    <w:rsid w:val="00C8034A"/>
    <w:rsid w:val="00C81740"/>
    <w:rsid w:val="00C86B6B"/>
    <w:rsid w:val="00C94186"/>
    <w:rsid w:val="00C977AC"/>
    <w:rsid w:val="00CB1136"/>
    <w:rsid w:val="00CB70E2"/>
    <w:rsid w:val="00CC08D9"/>
    <w:rsid w:val="00CD1A86"/>
    <w:rsid w:val="00D06E2F"/>
    <w:rsid w:val="00D15EF0"/>
    <w:rsid w:val="00D357BD"/>
    <w:rsid w:val="00D42C1F"/>
    <w:rsid w:val="00D57941"/>
    <w:rsid w:val="00D57ED4"/>
    <w:rsid w:val="00D63941"/>
    <w:rsid w:val="00D8760A"/>
    <w:rsid w:val="00DA6F59"/>
    <w:rsid w:val="00DD34A5"/>
    <w:rsid w:val="00DD6F0A"/>
    <w:rsid w:val="00DE7ED1"/>
    <w:rsid w:val="00E24564"/>
    <w:rsid w:val="00E3100A"/>
    <w:rsid w:val="00E34990"/>
    <w:rsid w:val="00E44D8A"/>
    <w:rsid w:val="00E60A18"/>
    <w:rsid w:val="00E70E02"/>
    <w:rsid w:val="00EB0E88"/>
    <w:rsid w:val="00EF3555"/>
    <w:rsid w:val="00F0021F"/>
    <w:rsid w:val="00F1234A"/>
    <w:rsid w:val="00F36B8D"/>
    <w:rsid w:val="00F41F62"/>
    <w:rsid w:val="00F4514C"/>
    <w:rsid w:val="00F74483"/>
    <w:rsid w:val="00FA603E"/>
    <w:rsid w:val="00FC4CC4"/>
    <w:rsid w:val="00FC4E1A"/>
    <w:rsid w:val="00FF0675"/>
    <w:rsid w:val="00FF59AE"/>
    <w:rsid w:val="303D0FE5"/>
    <w:rsid w:val="3B985F4C"/>
    <w:rsid w:val="75A2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2"/>
    <w:qFormat/>
    <w:pPr>
      <w:keepNext/>
      <w:numPr>
        <w:numId w:val="1"/>
      </w:numPr>
      <w:spacing w:after="240"/>
      <w:outlineLvl w:val="0"/>
    </w:pPr>
    <w:rPr>
      <w:rFonts w:ascii="Arial Bold" w:hAnsi="Arial Bold"/>
      <w:b/>
      <w:kern w:val="28"/>
    </w:rPr>
  </w:style>
  <w:style w:type="paragraph" w:styleId="20">
    <w:name w:val="heading 2"/>
    <w:basedOn w:val="a1"/>
    <w:next w:val="a2"/>
    <w:qFormat/>
    <w:pPr>
      <w:keepNext/>
      <w:numPr>
        <w:ilvl w:val="1"/>
        <w:numId w:val="1"/>
      </w:numPr>
      <w:spacing w:after="240"/>
      <w:outlineLvl w:val="1"/>
    </w:pPr>
  </w:style>
  <w:style w:type="paragraph" w:styleId="31">
    <w:name w:val="heading 3"/>
    <w:basedOn w:val="a1"/>
    <w:qFormat/>
    <w:pPr>
      <w:numPr>
        <w:ilvl w:val="2"/>
        <w:numId w:val="1"/>
      </w:numPr>
      <w:spacing w:after="240"/>
      <w:outlineLvl w:val="2"/>
    </w:pPr>
  </w:style>
  <w:style w:type="paragraph" w:styleId="41">
    <w:name w:val="heading 4"/>
    <w:basedOn w:val="a2"/>
    <w:qFormat/>
    <w:pPr>
      <w:numPr>
        <w:ilvl w:val="3"/>
        <w:numId w:val="1"/>
      </w:numPr>
      <w:outlineLvl w:val="3"/>
    </w:pPr>
  </w:style>
  <w:style w:type="paragraph" w:styleId="51">
    <w:name w:val="heading 5"/>
    <w:basedOn w:val="a2"/>
    <w:qFormat/>
    <w:pPr>
      <w:numPr>
        <w:ilvl w:val="4"/>
        <w:numId w:val="1"/>
      </w:numPr>
      <w:outlineLvl w:val="4"/>
    </w:pPr>
  </w:style>
  <w:style w:type="paragraph" w:styleId="6">
    <w:name w:val="heading 6"/>
    <w:basedOn w:val="a2"/>
    <w:next w:val="a2"/>
    <w:qFormat/>
    <w:pPr>
      <w:numPr>
        <w:ilvl w:val="5"/>
        <w:numId w:val="1"/>
      </w:numPr>
      <w:outlineLvl w:val="5"/>
    </w:pPr>
  </w:style>
  <w:style w:type="paragraph" w:styleId="7">
    <w:name w:val="heading 7"/>
    <w:basedOn w:val="a2"/>
    <w:next w:val="a2"/>
    <w:qFormat/>
    <w:pPr>
      <w:numPr>
        <w:ilvl w:val="6"/>
        <w:numId w:val="1"/>
      </w:numPr>
      <w:outlineLvl w:val="6"/>
    </w:pPr>
  </w:style>
  <w:style w:type="paragraph" w:styleId="8">
    <w:name w:val="heading 8"/>
    <w:basedOn w:val="a2"/>
    <w:next w:val="a2"/>
    <w:qFormat/>
    <w:pPr>
      <w:numPr>
        <w:ilvl w:val="7"/>
        <w:numId w:val="1"/>
      </w:numPr>
      <w:spacing w:line="240" w:lineRule="atLeast"/>
      <w:outlineLvl w:val="7"/>
    </w:pPr>
  </w:style>
  <w:style w:type="paragraph" w:styleId="9">
    <w:name w:val="heading 9"/>
    <w:basedOn w:val="a2"/>
    <w:next w:val="a2"/>
    <w:qFormat/>
    <w:pPr>
      <w:numPr>
        <w:ilvl w:val="8"/>
        <w:numId w:val="1"/>
      </w:numPr>
      <w:spacing w:line="240" w:lineRule="atLeas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2">
    <w:name w:val="Body Text"/>
    <w:basedOn w:val="a1"/>
    <w:pPr>
      <w:spacing w:after="240"/>
    </w:pPr>
  </w:style>
  <w:style w:type="paragraph" w:styleId="32">
    <w:name w:val="List 3"/>
    <w:basedOn w:val="a1"/>
    <w:semiHidden/>
    <w:pPr>
      <w:ind w:left="849" w:hanging="283"/>
    </w:pPr>
  </w:style>
  <w:style w:type="paragraph" w:styleId="70">
    <w:name w:val="toc 7"/>
    <w:basedOn w:val="a1"/>
    <w:next w:val="a1"/>
    <w:semiHidden/>
  </w:style>
  <w:style w:type="paragraph" w:styleId="21">
    <w:name w:val="List Number 2"/>
    <w:basedOn w:val="a1"/>
    <w:semiHidden/>
    <w:pPr>
      <w:spacing w:after="240"/>
    </w:pPr>
  </w:style>
  <w:style w:type="paragraph" w:styleId="a7">
    <w:name w:val="table of authorities"/>
    <w:basedOn w:val="a1"/>
    <w:next w:val="a1"/>
    <w:semiHidden/>
    <w:pPr>
      <w:ind w:left="200" w:hanging="200"/>
    </w:pPr>
  </w:style>
  <w:style w:type="paragraph" w:styleId="a8">
    <w:name w:val="Note Heading"/>
    <w:basedOn w:val="a1"/>
    <w:next w:val="a1"/>
    <w:semiHidden/>
  </w:style>
  <w:style w:type="paragraph" w:styleId="40">
    <w:name w:val="List Bullet 4"/>
    <w:basedOn w:val="a1"/>
    <w:semiHidden/>
    <w:pPr>
      <w:numPr>
        <w:numId w:val="2"/>
      </w:numPr>
    </w:pPr>
  </w:style>
  <w:style w:type="paragraph" w:styleId="80">
    <w:name w:val="index 8"/>
    <w:basedOn w:val="a1"/>
    <w:next w:val="a1"/>
    <w:semiHidden/>
    <w:pPr>
      <w:ind w:left="1600" w:hanging="200"/>
    </w:pPr>
  </w:style>
  <w:style w:type="paragraph" w:styleId="a9">
    <w:name w:val="E-mail Signature"/>
    <w:basedOn w:val="a1"/>
    <w:semiHidden/>
  </w:style>
  <w:style w:type="paragraph" w:styleId="a0">
    <w:name w:val="List Number"/>
    <w:basedOn w:val="a2"/>
    <w:pPr>
      <w:numPr>
        <w:numId w:val="3"/>
      </w:numPr>
    </w:pPr>
  </w:style>
  <w:style w:type="paragraph" w:styleId="aa">
    <w:name w:val="Normal Indent"/>
    <w:basedOn w:val="a1"/>
    <w:semiHidden/>
    <w:pPr>
      <w:ind w:left="720"/>
    </w:pPr>
  </w:style>
  <w:style w:type="paragraph" w:styleId="ab">
    <w:name w:val="caption"/>
    <w:basedOn w:val="a1"/>
    <w:next w:val="a1"/>
    <w:qFormat/>
    <w:pPr>
      <w:spacing w:before="120" w:after="120"/>
    </w:pPr>
    <w:rPr>
      <w:b/>
      <w:bCs/>
    </w:rPr>
  </w:style>
  <w:style w:type="paragraph" w:styleId="52">
    <w:name w:val="index 5"/>
    <w:basedOn w:val="a1"/>
    <w:next w:val="a1"/>
    <w:semiHidden/>
    <w:pPr>
      <w:ind w:left="1000" w:hanging="200"/>
    </w:pPr>
  </w:style>
  <w:style w:type="paragraph" w:styleId="a">
    <w:name w:val="List Bullet"/>
    <w:basedOn w:val="a2"/>
    <w:pPr>
      <w:numPr>
        <w:numId w:val="4"/>
      </w:numPr>
    </w:pPr>
  </w:style>
  <w:style w:type="paragraph" w:styleId="ac">
    <w:name w:val="envelope address"/>
    <w:basedOn w:val="a1"/>
    <w:semiHidden/>
    <w:pPr>
      <w:framePr w:w="7920" w:h="1980" w:hRule="exact" w:hSpace="180" w:wrap="auto" w:hAnchor="page" w:xAlign="center" w:yAlign="bottom"/>
      <w:ind w:left="2880"/>
    </w:pPr>
    <w:rPr>
      <w:rFonts w:cs="Arial"/>
      <w:sz w:val="24"/>
      <w:szCs w:val="24"/>
    </w:rPr>
  </w:style>
  <w:style w:type="paragraph" w:styleId="ad">
    <w:name w:val="Document Map"/>
    <w:basedOn w:val="a1"/>
    <w:semiHidden/>
    <w:pPr>
      <w:shd w:val="clear" w:color="auto" w:fill="000080"/>
    </w:pPr>
    <w:rPr>
      <w:rFonts w:ascii="Tahoma" w:hAnsi="Tahoma" w:cs="Tahoma"/>
    </w:rPr>
  </w:style>
  <w:style w:type="paragraph" w:styleId="ae">
    <w:name w:val="toa heading"/>
    <w:basedOn w:val="a1"/>
    <w:next w:val="a1"/>
    <w:semiHidden/>
    <w:pPr>
      <w:spacing w:before="120"/>
    </w:pPr>
    <w:rPr>
      <w:rFonts w:cs="Arial"/>
      <w:b/>
      <w:bCs/>
      <w:sz w:val="24"/>
      <w:szCs w:val="24"/>
    </w:rPr>
  </w:style>
  <w:style w:type="paragraph" w:styleId="af">
    <w:name w:val="annotation text"/>
    <w:basedOn w:val="a1"/>
    <w:semiHidden/>
  </w:style>
  <w:style w:type="paragraph" w:styleId="60">
    <w:name w:val="index 6"/>
    <w:basedOn w:val="a1"/>
    <w:next w:val="a1"/>
    <w:semiHidden/>
    <w:pPr>
      <w:ind w:left="1200" w:hanging="200"/>
    </w:pPr>
  </w:style>
  <w:style w:type="paragraph" w:styleId="af0">
    <w:name w:val="Salutation"/>
    <w:basedOn w:val="a1"/>
    <w:next w:val="a1"/>
    <w:semiHidden/>
  </w:style>
  <w:style w:type="paragraph" w:styleId="33">
    <w:name w:val="Body Text 3"/>
    <w:basedOn w:val="a1"/>
    <w:semiHidden/>
    <w:pPr>
      <w:spacing w:after="120"/>
    </w:pPr>
    <w:rPr>
      <w:sz w:val="16"/>
      <w:szCs w:val="16"/>
    </w:rPr>
  </w:style>
  <w:style w:type="paragraph" w:styleId="af1">
    <w:name w:val="Closing"/>
    <w:basedOn w:val="a1"/>
    <w:semiHidden/>
    <w:pPr>
      <w:ind w:left="4252"/>
    </w:pPr>
  </w:style>
  <w:style w:type="paragraph" w:styleId="30">
    <w:name w:val="List Bullet 3"/>
    <w:basedOn w:val="a1"/>
    <w:semiHidden/>
    <w:pPr>
      <w:numPr>
        <w:numId w:val="5"/>
      </w:numPr>
    </w:pPr>
  </w:style>
  <w:style w:type="paragraph" w:styleId="af2">
    <w:name w:val="Body Text Indent"/>
    <w:basedOn w:val="a1"/>
    <w:semiHidden/>
    <w:pPr>
      <w:spacing w:after="120"/>
      <w:ind w:left="283"/>
    </w:pPr>
  </w:style>
  <w:style w:type="paragraph" w:styleId="3">
    <w:name w:val="List Number 3"/>
    <w:basedOn w:val="a1"/>
    <w:semiHidden/>
    <w:pPr>
      <w:numPr>
        <w:numId w:val="6"/>
      </w:numPr>
    </w:pPr>
  </w:style>
  <w:style w:type="paragraph" w:styleId="22">
    <w:name w:val="List 2"/>
    <w:basedOn w:val="a1"/>
    <w:semiHidden/>
    <w:pPr>
      <w:ind w:left="566" w:hanging="283"/>
    </w:pPr>
  </w:style>
  <w:style w:type="paragraph" w:styleId="af3">
    <w:name w:val="List Continue"/>
    <w:basedOn w:val="a1"/>
    <w:semiHidden/>
    <w:pPr>
      <w:spacing w:after="120"/>
      <w:ind w:left="283"/>
    </w:pPr>
  </w:style>
  <w:style w:type="paragraph" w:styleId="af4">
    <w:name w:val="Block Text"/>
    <w:basedOn w:val="a1"/>
    <w:next w:val="a2"/>
    <w:semiHidden/>
    <w:pPr>
      <w:spacing w:after="120" w:line="240" w:lineRule="atLeast"/>
      <w:ind w:left="1134"/>
    </w:pPr>
  </w:style>
  <w:style w:type="paragraph" w:styleId="2">
    <w:name w:val="List Bullet 2"/>
    <w:basedOn w:val="a2"/>
    <w:semiHidden/>
    <w:pPr>
      <w:numPr>
        <w:numId w:val="7"/>
      </w:numPr>
    </w:pPr>
  </w:style>
  <w:style w:type="paragraph" w:styleId="HTML">
    <w:name w:val="HTML Address"/>
    <w:basedOn w:val="a1"/>
    <w:semiHidden/>
    <w:rPr>
      <w:i/>
      <w:iCs/>
    </w:rPr>
  </w:style>
  <w:style w:type="paragraph" w:styleId="42">
    <w:name w:val="index 4"/>
    <w:basedOn w:val="a1"/>
    <w:next w:val="a1"/>
    <w:semiHidden/>
    <w:pPr>
      <w:ind w:left="800" w:hanging="200"/>
    </w:pPr>
  </w:style>
  <w:style w:type="paragraph" w:styleId="53">
    <w:name w:val="toc 5"/>
    <w:basedOn w:val="43"/>
    <w:pPr>
      <w:ind w:left="3969"/>
    </w:pPr>
  </w:style>
  <w:style w:type="paragraph" w:styleId="43">
    <w:name w:val="toc 4"/>
    <w:basedOn w:val="34"/>
    <w:pPr>
      <w:ind w:left="3402"/>
    </w:pPr>
  </w:style>
  <w:style w:type="paragraph" w:styleId="34">
    <w:name w:val="toc 3"/>
    <w:basedOn w:val="23"/>
    <w:pPr>
      <w:ind w:left="2835"/>
    </w:pPr>
  </w:style>
  <w:style w:type="paragraph" w:styleId="23">
    <w:name w:val="toc 2"/>
    <w:basedOn w:val="10"/>
    <w:pPr>
      <w:ind w:left="2268"/>
    </w:pPr>
  </w:style>
  <w:style w:type="paragraph" w:styleId="10">
    <w:name w:val="toc 1"/>
    <w:basedOn w:val="KWNormal"/>
    <w:next w:val="KWNormal"/>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5">
    <w:name w:val="Plain Text"/>
    <w:basedOn w:val="a1"/>
    <w:semiHidden/>
    <w:rPr>
      <w:rFonts w:ascii="Courier New" w:hAnsi="Courier New" w:cs="Courier New"/>
    </w:rPr>
  </w:style>
  <w:style w:type="paragraph" w:styleId="50">
    <w:name w:val="List Bullet 5"/>
    <w:basedOn w:val="a1"/>
    <w:semiHidden/>
    <w:pPr>
      <w:numPr>
        <w:numId w:val="8"/>
      </w:numPr>
    </w:pPr>
  </w:style>
  <w:style w:type="paragraph" w:styleId="4">
    <w:name w:val="List Number 4"/>
    <w:basedOn w:val="a1"/>
    <w:semiHidden/>
    <w:pPr>
      <w:numPr>
        <w:numId w:val="9"/>
      </w:numPr>
    </w:pPr>
  </w:style>
  <w:style w:type="paragraph" w:styleId="81">
    <w:name w:val="toc 8"/>
    <w:basedOn w:val="a1"/>
    <w:next w:val="a1"/>
    <w:semiHidden/>
  </w:style>
  <w:style w:type="paragraph" w:styleId="35">
    <w:name w:val="index 3"/>
    <w:basedOn w:val="a1"/>
    <w:next w:val="a1"/>
    <w:semiHidden/>
    <w:pPr>
      <w:ind w:left="600" w:hanging="200"/>
    </w:pPr>
  </w:style>
  <w:style w:type="paragraph" w:styleId="af6">
    <w:name w:val="Date"/>
    <w:basedOn w:val="a1"/>
    <w:next w:val="a1"/>
    <w:semiHidden/>
  </w:style>
  <w:style w:type="paragraph" w:styleId="24">
    <w:name w:val="Body Text Indent 2"/>
    <w:basedOn w:val="a1"/>
    <w:semiHidden/>
    <w:pPr>
      <w:spacing w:after="120" w:line="480" w:lineRule="auto"/>
      <w:ind w:left="283"/>
    </w:pPr>
  </w:style>
  <w:style w:type="paragraph" w:styleId="af7">
    <w:name w:val="endnote text"/>
    <w:basedOn w:val="KWNormal"/>
    <w:pPr>
      <w:spacing w:afterLines="50" w:after="50" w:line="240" w:lineRule="auto"/>
      <w:ind w:left="85" w:hanging="85"/>
      <w:jc w:val="left"/>
    </w:pPr>
    <w:rPr>
      <w:color w:val="auto"/>
      <w:sz w:val="18"/>
    </w:rPr>
  </w:style>
  <w:style w:type="paragraph" w:styleId="54">
    <w:name w:val="List Continue 5"/>
    <w:basedOn w:val="a1"/>
    <w:semiHidden/>
    <w:pPr>
      <w:spacing w:after="120"/>
      <w:ind w:left="1415"/>
    </w:pPr>
  </w:style>
  <w:style w:type="paragraph" w:styleId="af8">
    <w:name w:val="Balloon Text"/>
    <w:basedOn w:val="KWNormal"/>
    <w:pPr>
      <w:spacing w:after="0" w:line="240" w:lineRule="auto"/>
      <w:jc w:val="left"/>
    </w:pPr>
    <w:rPr>
      <w:rFonts w:cs="Tahoma"/>
      <w:sz w:val="22"/>
      <w:szCs w:val="16"/>
    </w:rPr>
  </w:style>
  <w:style w:type="paragraph" w:styleId="af9">
    <w:name w:val="footer"/>
    <w:basedOn w:val="a1"/>
    <w:link w:val="Char"/>
    <w:uiPriority w:val="99"/>
    <w:pPr>
      <w:snapToGrid w:val="0"/>
    </w:pPr>
    <w:rPr>
      <w:color w:val="999999"/>
      <w:sz w:val="18"/>
      <w:szCs w:val="18"/>
    </w:rPr>
  </w:style>
  <w:style w:type="paragraph" w:styleId="afa">
    <w:name w:val="envelope return"/>
    <w:basedOn w:val="a1"/>
    <w:semiHidden/>
    <w:rPr>
      <w:rFonts w:cs="Arial"/>
    </w:rPr>
  </w:style>
  <w:style w:type="paragraph" w:styleId="afb">
    <w:name w:val="header"/>
    <w:basedOn w:val="a1"/>
  </w:style>
  <w:style w:type="paragraph" w:styleId="afc">
    <w:name w:val="Signature"/>
    <w:basedOn w:val="a1"/>
    <w:semiHidden/>
    <w:pPr>
      <w:ind w:left="4252"/>
    </w:pPr>
  </w:style>
  <w:style w:type="paragraph" w:styleId="44">
    <w:name w:val="List Continue 4"/>
    <w:basedOn w:val="a1"/>
    <w:semiHidden/>
    <w:pPr>
      <w:spacing w:after="120"/>
      <w:ind w:left="1132"/>
    </w:pPr>
  </w:style>
  <w:style w:type="paragraph" w:styleId="afd">
    <w:name w:val="index heading"/>
    <w:basedOn w:val="a1"/>
    <w:next w:val="11"/>
    <w:semiHidden/>
    <w:rPr>
      <w:rFonts w:cs="Arial"/>
      <w:b/>
      <w:bCs/>
    </w:rPr>
  </w:style>
  <w:style w:type="paragraph" w:styleId="11">
    <w:name w:val="index 1"/>
    <w:basedOn w:val="a1"/>
    <w:next w:val="a1"/>
    <w:semiHidden/>
    <w:pPr>
      <w:ind w:left="200" w:hanging="200"/>
    </w:pPr>
  </w:style>
  <w:style w:type="paragraph" w:styleId="afe">
    <w:name w:val="Subtitle"/>
    <w:basedOn w:val="a1"/>
    <w:qFormat/>
    <w:pPr>
      <w:spacing w:after="60"/>
      <w:jc w:val="center"/>
      <w:outlineLvl w:val="1"/>
    </w:pPr>
    <w:rPr>
      <w:rFonts w:cs="Arial"/>
      <w:sz w:val="24"/>
      <w:szCs w:val="24"/>
    </w:rPr>
  </w:style>
  <w:style w:type="paragraph" w:styleId="5">
    <w:name w:val="List Number 5"/>
    <w:basedOn w:val="a1"/>
    <w:semiHidden/>
    <w:pPr>
      <w:numPr>
        <w:numId w:val="10"/>
      </w:numPr>
    </w:pPr>
  </w:style>
  <w:style w:type="paragraph" w:styleId="aff">
    <w:name w:val="List"/>
    <w:basedOn w:val="a1"/>
    <w:semiHidden/>
    <w:pPr>
      <w:ind w:left="283" w:hanging="283"/>
    </w:pPr>
  </w:style>
  <w:style w:type="paragraph" w:styleId="aff0">
    <w:name w:val="footnote text"/>
    <w:basedOn w:val="KWNormal"/>
    <w:pPr>
      <w:spacing w:afterLines="50" w:after="50" w:line="240" w:lineRule="auto"/>
      <w:ind w:left="85" w:hanging="85"/>
      <w:jc w:val="left"/>
    </w:pPr>
    <w:rPr>
      <w:color w:val="auto"/>
      <w:sz w:val="18"/>
      <w:szCs w:val="16"/>
    </w:rPr>
  </w:style>
  <w:style w:type="paragraph" w:styleId="61">
    <w:name w:val="toc 6"/>
    <w:basedOn w:val="a1"/>
    <w:next w:val="a1"/>
    <w:semiHidden/>
  </w:style>
  <w:style w:type="paragraph" w:styleId="55">
    <w:name w:val="List 5"/>
    <w:basedOn w:val="a1"/>
    <w:semiHidden/>
    <w:pPr>
      <w:ind w:left="1415" w:hanging="283"/>
    </w:pPr>
  </w:style>
  <w:style w:type="paragraph" w:styleId="36">
    <w:name w:val="Body Text Indent 3"/>
    <w:basedOn w:val="a1"/>
    <w:semiHidden/>
    <w:pPr>
      <w:spacing w:after="120"/>
      <w:ind w:left="283"/>
    </w:pPr>
    <w:rPr>
      <w:sz w:val="16"/>
      <w:szCs w:val="16"/>
    </w:rPr>
  </w:style>
  <w:style w:type="paragraph" w:styleId="71">
    <w:name w:val="index 7"/>
    <w:basedOn w:val="a1"/>
    <w:next w:val="a1"/>
    <w:semiHidden/>
    <w:pPr>
      <w:ind w:left="1400" w:hanging="200"/>
    </w:pPr>
  </w:style>
  <w:style w:type="paragraph" w:styleId="90">
    <w:name w:val="index 9"/>
    <w:basedOn w:val="a1"/>
    <w:next w:val="a1"/>
    <w:semiHidden/>
    <w:pPr>
      <w:ind w:left="1800" w:hanging="200"/>
    </w:pPr>
  </w:style>
  <w:style w:type="paragraph" w:styleId="aff1">
    <w:name w:val="table of figures"/>
    <w:basedOn w:val="a1"/>
    <w:next w:val="a1"/>
    <w:semiHidden/>
    <w:pPr>
      <w:ind w:left="400" w:hanging="400"/>
    </w:pPr>
  </w:style>
  <w:style w:type="paragraph" w:styleId="91">
    <w:name w:val="toc 9"/>
    <w:basedOn w:val="a1"/>
    <w:next w:val="a1"/>
    <w:semiHidden/>
  </w:style>
  <w:style w:type="paragraph" w:styleId="25">
    <w:name w:val="Body Text 2"/>
    <w:basedOn w:val="a1"/>
    <w:semiHidden/>
    <w:pPr>
      <w:spacing w:after="120" w:line="480" w:lineRule="auto"/>
    </w:pPr>
  </w:style>
  <w:style w:type="paragraph" w:styleId="45">
    <w:name w:val="List 4"/>
    <w:basedOn w:val="a1"/>
    <w:semiHidden/>
    <w:pPr>
      <w:ind w:left="1132" w:hanging="283"/>
    </w:pPr>
  </w:style>
  <w:style w:type="paragraph" w:styleId="26">
    <w:name w:val="List Continue 2"/>
    <w:basedOn w:val="a1"/>
    <w:semiHidden/>
    <w:pPr>
      <w:spacing w:after="120"/>
      <w:ind w:left="566"/>
    </w:pPr>
  </w:style>
  <w:style w:type="paragraph" w:styleId="af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1"/>
    <w:semiHidden/>
    <w:rPr>
      <w:rFonts w:ascii="Courier New" w:hAnsi="Courier New" w:cs="Courier New"/>
    </w:rPr>
  </w:style>
  <w:style w:type="paragraph" w:styleId="aff3">
    <w:name w:val="Normal (Web)"/>
    <w:basedOn w:val="a1"/>
    <w:semiHidden/>
    <w:rPr>
      <w:szCs w:val="24"/>
    </w:rPr>
  </w:style>
  <w:style w:type="paragraph" w:styleId="37">
    <w:name w:val="List Continue 3"/>
    <w:basedOn w:val="a1"/>
    <w:semiHidden/>
    <w:pPr>
      <w:spacing w:after="120"/>
      <w:ind w:left="849"/>
    </w:pPr>
  </w:style>
  <w:style w:type="paragraph" w:styleId="27">
    <w:name w:val="index 2"/>
    <w:basedOn w:val="a1"/>
    <w:next w:val="a1"/>
    <w:semiHidden/>
    <w:pPr>
      <w:ind w:left="400" w:hanging="200"/>
    </w:pPr>
  </w:style>
  <w:style w:type="paragraph" w:styleId="aff4">
    <w:name w:val="Title"/>
    <w:basedOn w:val="a1"/>
    <w:qFormat/>
    <w:pPr>
      <w:spacing w:before="240" w:after="60"/>
      <w:jc w:val="center"/>
      <w:outlineLvl w:val="0"/>
    </w:pPr>
    <w:rPr>
      <w:rFonts w:cs="Arial"/>
      <w:b/>
      <w:bCs/>
      <w:kern w:val="28"/>
      <w:sz w:val="32"/>
      <w:szCs w:val="32"/>
    </w:rPr>
  </w:style>
  <w:style w:type="paragraph" w:styleId="aff5">
    <w:name w:val="annotation subject"/>
    <w:basedOn w:val="af"/>
    <w:next w:val="af"/>
    <w:semiHidden/>
    <w:rPr>
      <w:b/>
      <w:bCs/>
    </w:rPr>
  </w:style>
  <w:style w:type="paragraph" w:styleId="aff6">
    <w:name w:val="Body Text First Indent"/>
    <w:basedOn w:val="a2"/>
    <w:semiHidden/>
    <w:pPr>
      <w:spacing w:after="120"/>
      <w:ind w:firstLine="210"/>
    </w:pPr>
  </w:style>
  <w:style w:type="paragraph" w:styleId="28">
    <w:name w:val="Body Text First Indent 2"/>
    <w:basedOn w:val="af2"/>
    <w:semiHidden/>
    <w:pPr>
      <w:ind w:firstLine="210"/>
    </w:pPr>
  </w:style>
  <w:style w:type="table" w:styleId="aff7">
    <w:name w:val="Table Grid"/>
    <w:basedOn w:val="a4"/>
    <w:pPr>
      <w:spacing w:before="120" w:after="120" w:line="240" w:lineRule="atLeast"/>
    </w:pPr>
    <w:rPr>
      <w:rFonts w:ascii="Arial" w:hAnsi="Arial"/>
    </w:rPr>
    <w:tblPr>
      <w:tblInd w:w="0" w:type="dxa"/>
      <w:tblCellMar>
        <w:top w:w="0" w:type="dxa"/>
        <w:left w:w="108" w:type="dxa"/>
        <w:bottom w:w="0" w:type="dxa"/>
        <w:right w:w="108" w:type="dxa"/>
      </w:tblCellMar>
    </w:tblPr>
  </w:style>
  <w:style w:type="table" w:styleId="aff8">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9">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4"/>
    <w:semiHidden/>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a">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b">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rFonts w:ascii="Arial" w:hAnsi="Arial"/>
      <w:b/>
      <w:bCs/>
      <w:sz w:val="20"/>
    </w:rPr>
  </w:style>
  <w:style w:type="character" w:styleId="affd">
    <w:name w:val="endnote reference"/>
    <w:semiHidden/>
    <w:rPr>
      <w:vertAlign w:val="superscript"/>
    </w:rPr>
  </w:style>
  <w:style w:type="character" w:styleId="affe">
    <w:name w:val="page number"/>
    <w:rPr>
      <w:rFonts w:ascii="Arial" w:hAnsi="Arial"/>
      <w:color w:val="333333"/>
      <w:sz w:val="18"/>
    </w:rPr>
  </w:style>
  <w:style w:type="character" w:styleId="afff">
    <w:name w:val="FollowedHyperlink"/>
    <w:semiHidden/>
    <w:rPr>
      <w:color w:val="800080"/>
      <w:u w:val="single"/>
    </w:rPr>
  </w:style>
  <w:style w:type="character" w:styleId="afff0">
    <w:name w:val="Emphasis"/>
    <w:qFormat/>
    <w:rPr>
      <w:i/>
      <w:iCs/>
    </w:rPr>
  </w:style>
  <w:style w:type="character" w:styleId="afff1">
    <w:name w:val="line number"/>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semiHidden/>
  </w:style>
  <w:style w:type="character" w:styleId="HTML4">
    <w:name w:val="HTML Variable"/>
    <w:semiHidden/>
    <w:rPr>
      <w:i/>
      <w:iCs/>
    </w:rPr>
  </w:style>
  <w:style w:type="character" w:styleId="afff2">
    <w:name w:val="Hyperlink"/>
    <w:semiHidden/>
    <w:rPr>
      <w:color w:val="0000FF"/>
      <w:u w:val="single"/>
    </w:rPr>
  </w:style>
  <w:style w:type="character" w:styleId="HTML5">
    <w:name w:val="HTML Code"/>
    <w:semiHidden/>
    <w:rPr>
      <w:rFonts w:ascii="Courier New" w:hAnsi="Courier New" w:cs="Courier New"/>
      <w:sz w:val="20"/>
      <w:szCs w:val="20"/>
    </w:rPr>
  </w:style>
  <w:style w:type="character" w:styleId="afff3">
    <w:name w:val="annotation reference"/>
    <w:semiHidden/>
    <w:rPr>
      <w:sz w:val="16"/>
      <w:szCs w:val="16"/>
    </w:rPr>
  </w:style>
  <w:style w:type="character" w:styleId="HTML6">
    <w:name w:val="HTML Cite"/>
    <w:semiHidden/>
    <w:rPr>
      <w:i/>
      <w:iCs/>
    </w:rPr>
  </w:style>
  <w:style w:type="character" w:styleId="afff4">
    <w:name w:val="footnote reference"/>
    <w:rPr>
      <w:rFonts w:ascii="Arial" w:hAnsi="Arial"/>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Char">
    <w:name w:val="页脚 Char"/>
    <w:link w:val="af9"/>
    <w:uiPriority w:val="99"/>
    <w:rPr>
      <w:color w:val="999999"/>
      <w:kern w:val="2"/>
      <w:sz w:val="18"/>
      <w:szCs w:val="18"/>
    </w:rPr>
  </w:style>
  <w:style w:type="paragraph" w:customStyle="1" w:styleId="Body">
    <w:name w:val="Body"/>
    <w:basedOn w:val="a1"/>
    <w:semiHidden/>
    <w:pPr>
      <w:spacing w:after="240"/>
    </w:pPr>
  </w:style>
  <w:style w:type="paragraph" w:customStyle="1" w:styleId="BodyTextNoIndent">
    <w:name w:val="Body Text No Indent"/>
    <w:basedOn w:val="a2"/>
  </w:style>
  <w:style w:type="character" w:customStyle="1" w:styleId="KW">
    <w:name w:val="K&amp;W"/>
    <w:semiHidden/>
    <w:rPr>
      <w:rFonts w:ascii="Arial" w:hAnsi="Arial" w:cs="Arial"/>
      <w:color w:val="004473"/>
      <w:sz w:val="18"/>
      <w:szCs w:val="18"/>
    </w:rPr>
  </w:style>
  <w:style w:type="paragraph" w:customStyle="1" w:styleId="KWBodytext">
    <w:name w:val="K&amp;W Body text"/>
    <w:basedOn w:val="KWNormal"/>
    <w:rPr>
      <w:color w:val="auto"/>
    </w:rPr>
  </w:style>
  <w:style w:type="paragraph" w:customStyle="1" w:styleId="KWheading1">
    <w:name w:val="K&amp;W heading 1"/>
    <w:basedOn w:val="KWNormal"/>
    <w:next w:val="KWBodytext"/>
    <w:pPr>
      <w:keepNext/>
      <w:widowControl w:val="0"/>
      <w:numPr>
        <w:numId w:val="11"/>
      </w:numPr>
      <w:spacing w:line="280" w:lineRule="exact"/>
      <w:outlineLvl w:val="0"/>
    </w:pPr>
    <w:rPr>
      <w:b/>
      <w:color w:val="auto"/>
      <w:sz w:val="24"/>
    </w:rPr>
  </w:style>
  <w:style w:type="paragraph" w:customStyle="1" w:styleId="KWHeading">
    <w:name w:val="K&amp;W Heading"/>
    <w:basedOn w:val="KWheading1"/>
    <w:next w:val="KWBodytext"/>
    <w:pPr>
      <w:numPr>
        <w:numId w:val="0"/>
      </w:numPr>
      <w:tabs>
        <w:tab w:val="clear" w:pos="567"/>
      </w:tabs>
    </w:pPr>
  </w:style>
  <w:style w:type="paragraph" w:customStyle="1" w:styleId="KWheading2">
    <w:name w:val="K&amp;W heading 2"/>
    <w:basedOn w:val="KWNormal"/>
    <w:next w:val="KWBodytext"/>
    <w:pPr>
      <w:keepNext/>
      <w:widowControl w:val="0"/>
      <w:numPr>
        <w:ilvl w:val="1"/>
        <w:numId w:val="11"/>
      </w:numPr>
      <w:spacing w:line="280" w:lineRule="exact"/>
      <w:outlineLvl w:val="1"/>
    </w:pPr>
    <w:rPr>
      <w:color w:val="auto"/>
    </w:rPr>
  </w:style>
  <w:style w:type="paragraph" w:customStyle="1" w:styleId="KWheading3">
    <w:name w:val="K&amp;W heading 3"/>
    <w:basedOn w:val="KWNormal"/>
    <w:pPr>
      <w:numPr>
        <w:ilvl w:val="2"/>
        <w:numId w:val="11"/>
      </w:numPr>
      <w:spacing w:line="280" w:lineRule="exact"/>
      <w:outlineLvl w:val="2"/>
    </w:pPr>
    <w:rPr>
      <w:color w:val="auto"/>
    </w:rPr>
  </w:style>
  <w:style w:type="paragraph" w:customStyle="1" w:styleId="KWheading4">
    <w:name w:val="K&amp;W heading 4"/>
    <w:basedOn w:val="KWNormal"/>
    <w:pPr>
      <w:numPr>
        <w:ilvl w:val="3"/>
        <w:numId w:val="11"/>
      </w:numPr>
      <w:spacing w:line="280" w:lineRule="exact"/>
      <w:outlineLvl w:val="3"/>
    </w:pPr>
    <w:rPr>
      <w:color w:val="auto"/>
    </w:rPr>
  </w:style>
  <w:style w:type="paragraph" w:customStyle="1" w:styleId="KWheading5">
    <w:name w:val="K&amp;W heading 5"/>
    <w:basedOn w:val="KWNormal"/>
    <w:pPr>
      <w:numPr>
        <w:ilvl w:val="4"/>
        <w:numId w:val="11"/>
      </w:numPr>
      <w:spacing w:line="280" w:lineRule="exact"/>
      <w:outlineLvl w:val="4"/>
    </w:pPr>
    <w:rPr>
      <w:color w:val="auto"/>
    </w:rPr>
  </w:style>
  <w:style w:type="paragraph" w:customStyle="1" w:styleId="KWListBullet">
    <w:name w:val="K&amp;W List Bullet"/>
    <w:basedOn w:val="KWNormal"/>
    <w:pPr>
      <w:numPr>
        <w:numId w:val="12"/>
      </w:numPr>
      <w:spacing w:after="240"/>
    </w:pPr>
  </w:style>
  <w:style w:type="paragraph" w:customStyle="1" w:styleId="KWListNumber">
    <w:name w:val="K&amp;W List Number"/>
    <w:basedOn w:val="KWNormal"/>
    <w:pPr>
      <w:numPr>
        <w:numId w:val="13"/>
      </w:numPr>
      <w:spacing w:after="240"/>
    </w:pPr>
  </w:style>
  <w:style w:type="paragraph" w:customStyle="1" w:styleId="KWSubheading">
    <w:name w:val="K&amp;W Subheading"/>
    <w:basedOn w:val="KWheading2"/>
    <w:next w:val="KWBodytext"/>
    <w:pPr>
      <w:numPr>
        <w:ilvl w:val="0"/>
        <w:numId w:val="0"/>
      </w:numPr>
      <w:tabs>
        <w:tab w:val="clear" w:pos="567"/>
      </w:tabs>
    </w:pPr>
    <w:rPr>
      <w:kern w:val="28"/>
    </w:rPr>
  </w:style>
  <w:style w:type="table" w:customStyle="1" w:styleId="KWTable">
    <w:name w:val="K&amp;W Table"/>
    <w:basedOn w:val="aff7"/>
    <w:pPr>
      <w:spacing w:before="60" w:after="60" w:line="240" w:lineRule="auto"/>
      <w:contextualSpacing/>
    </w:pPr>
    <w:rPr>
      <w:rFonts w:eastAsia="楷体_GB2312"/>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Bold" w:hAnsi="Arial Bold"/>
        <w:b/>
        <w:sz w:val="20"/>
      </w:rPr>
      <w:tblPr/>
      <w:tcPr>
        <w:shd w:val="clear" w:color="auto" w:fill="E0E0E0"/>
      </w:tcPr>
    </w:tblStylePr>
  </w:style>
  <w:style w:type="paragraph" w:customStyle="1" w:styleId="Table">
    <w:name w:val="Table"/>
    <w:basedOn w:val="a1"/>
    <w:pPr>
      <w:spacing w:before="120" w:after="120" w:line="240" w:lineRule="atLeast"/>
    </w:pPr>
  </w:style>
  <w:style w:type="paragraph" w:customStyle="1" w:styleId="afff5">
    <w:basedOn w:val="1"/>
    <w:next w:val="a1"/>
    <w:uiPriority w:val="39"/>
    <w:qFormat/>
    <w:pPr>
      <w:keepLines/>
      <w:numPr>
        <w:numId w:val="0"/>
      </w:numPr>
      <w:tabs>
        <w:tab w:val="clear" w:pos="567"/>
      </w:tabs>
      <w:spacing w:before="340" w:after="330" w:line="578" w:lineRule="auto"/>
      <w:outlineLvl w:val="9"/>
    </w:pPr>
    <w:rPr>
      <w:rFonts w:ascii="Times New Roman" w:hAnsi="Times New Roman"/>
      <w:bCs/>
      <w:kern w:val="44"/>
      <w:sz w:val="44"/>
      <w:szCs w:val="44"/>
    </w:rPr>
  </w:style>
  <w:style w:type="paragraph" w:styleId="afff6">
    <w:name w:val="List Paragraph"/>
    <w:basedOn w:val="a1"/>
    <w:uiPriority w:val="34"/>
    <w:qFormat/>
    <w:pPr>
      <w:ind w:firstLineChars="200" w:firstLine="420"/>
    </w:pPr>
  </w:style>
  <w:style w:type="paragraph" w:styleId="afff7">
    <w:name w:val="Intense Quote"/>
    <w:basedOn w:val="a1"/>
    <w:next w:val="a1"/>
    <w:link w:val="Char0"/>
    <w:uiPriority w:val="30"/>
    <w:qFormat/>
    <w:pPr>
      <w:pBdr>
        <w:bottom w:val="single" w:sz="4" w:space="4" w:color="4F81BD"/>
      </w:pBdr>
      <w:spacing w:before="200" w:after="280"/>
      <w:ind w:left="936" w:right="936"/>
    </w:pPr>
    <w:rPr>
      <w:b/>
      <w:bCs/>
      <w:i/>
      <w:iCs/>
      <w:color w:val="4F81BD"/>
    </w:rPr>
  </w:style>
  <w:style w:type="character" w:customStyle="1" w:styleId="Char0">
    <w:name w:val="明显引用 Char"/>
    <w:link w:val="afff7"/>
    <w:uiPriority w:val="30"/>
    <w:rPr>
      <w:b/>
      <w:bCs/>
      <w:i/>
      <w:iCs/>
      <w:color w:val="4F81BD"/>
      <w:kern w:val="2"/>
      <w:sz w:val="21"/>
    </w:rPr>
  </w:style>
  <w:style w:type="paragraph" w:customStyle="1" w:styleId="afff8">
    <w:basedOn w:val="a1"/>
    <w:next w:val="a1"/>
    <w:uiPriority w:val="37"/>
    <w:unhideWhenUsed/>
  </w:style>
  <w:style w:type="paragraph" w:styleId="afff9">
    <w:name w:val="No Spacing"/>
    <w:uiPriority w:val="1"/>
    <w:qFormat/>
    <w:pPr>
      <w:widowControl w:val="0"/>
      <w:jc w:val="both"/>
    </w:pPr>
    <w:rPr>
      <w:kern w:val="2"/>
      <w:sz w:val="21"/>
    </w:rPr>
  </w:style>
  <w:style w:type="paragraph" w:styleId="afffa">
    <w:name w:val="Quote"/>
    <w:basedOn w:val="a1"/>
    <w:next w:val="a1"/>
    <w:link w:val="Char1"/>
    <w:uiPriority w:val="29"/>
    <w:qFormat/>
    <w:rPr>
      <w:i/>
      <w:iCs/>
      <w:color w:val="000000"/>
    </w:rPr>
  </w:style>
  <w:style w:type="character" w:customStyle="1" w:styleId="Char1">
    <w:name w:val="引用 Char"/>
    <w:link w:val="afffa"/>
    <w:uiPriority w:val="29"/>
    <w:rPr>
      <w:i/>
      <w:iCs/>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semiHidden="1"/>
    <w:lsdException w:name="annotation text" w:semiHidden="1"/>
    <w:lsdException w:name="footer" w:uiPriority="99"/>
    <w:lsdException w:name="index heading" w:semiHidden="1"/>
    <w:lsdException w:name="caption"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Theme"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2"/>
    <w:qFormat/>
    <w:pPr>
      <w:keepNext/>
      <w:numPr>
        <w:numId w:val="1"/>
      </w:numPr>
      <w:spacing w:after="240"/>
      <w:outlineLvl w:val="0"/>
    </w:pPr>
    <w:rPr>
      <w:rFonts w:ascii="Arial Bold" w:hAnsi="Arial Bold"/>
      <w:b/>
      <w:kern w:val="28"/>
    </w:rPr>
  </w:style>
  <w:style w:type="paragraph" w:styleId="20">
    <w:name w:val="heading 2"/>
    <w:basedOn w:val="a1"/>
    <w:next w:val="a2"/>
    <w:qFormat/>
    <w:pPr>
      <w:keepNext/>
      <w:numPr>
        <w:ilvl w:val="1"/>
        <w:numId w:val="1"/>
      </w:numPr>
      <w:spacing w:after="240"/>
      <w:outlineLvl w:val="1"/>
    </w:pPr>
  </w:style>
  <w:style w:type="paragraph" w:styleId="31">
    <w:name w:val="heading 3"/>
    <w:basedOn w:val="a1"/>
    <w:qFormat/>
    <w:pPr>
      <w:numPr>
        <w:ilvl w:val="2"/>
        <w:numId w:val="1"/>
      </w:numPr>
      <w:spacing w:after="240"/>
      <w:outlineLvl w:val="2"/>
    </w:pPr>
  </w:style>
  <w:style w:type="paragraph" w:styleId="41">
    <w:name w:val="heading 4"/>
    <w:basedOn w:val="a2"/>
    <w:qFormat/>
    <w:pPr>
      <w:numPr>
        <w:ilvl w:val="3"/>
        <w:numId w:val="1"/>
      </w:numPr>
      <w:outlineLvl w:val="3"/>
    </w:pPr>
  </w:style>
  <w:style w:type="paragraph" w:styleId="51">
    <w:name w:val="heading 5"/>
    <w:basedOn w:val="a2"/>
    <w:qFormat/>
    <w:pPr>
      <w:numPr>
        <w:ilvl w:val="4"/>
        <w:numId w:val="1"/>
      </w:numPr>
      <w:outlineLvl w:val="4"/>
    </w:pPr>
  </w:style>
  <w:style w:type="paragraph" w:styleId="6">
    <w:name w:val="heading 6"/>
    <w:basedOn w:val="a2"/>
    <w:next w:val="a2"/>
    <w:qFormat/>
    <w:pPr>
      <w:numPr>
        <w:ilvl w:val="5"/>
        <w:numId w:val="1"/>
      </w:numPr>
      <w:outlineLvl w:val="5"/>
    </w:pPr>
  </w:style>
  <w:style w:type="paragraph" w:styleId="7">
    <w:name w:val="heading 7"/>
    <w:basedOn w:val="a2"/>
    <w:next w:val="a2"/>
    <w:qFormat/>
    <w:pPr>
      <w:numPr>
        <w:ilvl w:val="6"/>
        <w:numId w:val="1"/>
      </w:numPr>
      <w:outlineLvl w:val="6"/>
    </w:pPr>
  </w:style>
  <w:style w:type="paragraph" w:styleId="8">
    <w:name w:val="heading 8"/>
    <w:basedOn w:val="a2"/>
    <w:next w:val="a2"/>
    <w:qFormat/>
    <w:pPr>
      <w:numPr>
        <w:ilvl w:val="7"/>
        <w:numId w:val="1"/>
      </w:numPr>
      <w:spacing w:line="240" w:lineRule="atLeast"/>
      <w:outlineLvl w:val="7"/>
    </w:pPr>
  </w:style>
  <w:style w:type="paragraph" w:styleId="9">
    <w:name w:val="heading 9"/>
    <w:basedOn w:val="a2"/>
    <w:next w:val="a2"/>
    <w:qFormat/>
    <w:pPr>
      <w:numPr>
        <w:ilvl w:val="8"/>
        <w:numId w:val="1"/>
      </w:numPr>
      <w:spacing w:line="240" w:lineRule="atLeas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2">
    <w:name w:val="Body Text"/>
    <w:basedOn w:val="a1"/>
    <w:pPr>
      <w:spacing w:after="240"/>
    </w:pPr>
  </w:style>
  <w:style w:type="paragraph" w:styleId="32">
    <w:name w:val="List 3"/>
    <w:basedOn w:val="a1"/>
    <w:semiHidden/>
    <w:pPr>
      <w:ind w:left="849" w:hanging="283"/>
    </w:pPr>
  </w:style>
  <w:style w:type="paragraph" w:styleId="70">
    <w:name w:val="toc 7"/>
    <w:basedOn w:val="a1"/>
    <w:next w:val="a1"/>
    <w:semiHidden/>
  </w:style>
  <w:style w:type="paragraph" w:styleId="21">
    <w:name w:val="List Number 2"/>
    <w:basedOn w:val="a1"/>
    <w:semiHidden/>
    <w:pPr>
      <w:spacing w:after="240"/>
    </w:pPr>
  </w:style>
  <w:style w:type="paragraph" w:styleId="a7">
    <w:name w:val="table of authorities"/>
    <w:basedOn w:val="a1"/>
    <w:next w:val="a1"/>
    <w:semiHidden/>
    <w:pPr>
      <w:ind w:left="200" w:hanging="200"/>
    </w:pPr>
  </w:style>
  <w:style w:type="paragraph" w:styleId="a8">
    <w:name w:val="Note Heading"/>
    <w:basedOn w:val="a1"/>
    <w:next w:val="a1"/>
    <w:semiHidden/>
  </w:style>
  <w:style w:type="paragraph" w:styleId="40">
    <w:name w:val="List Bullet 4"/>
    <w:basedOn w:val="a1"/>
    <w:semiHidden/>
    <w:pPr>
      <w:numPr>
        <w:numId w:val="2"/>
      </w:numPr>
    </w:pPr>
  </w:style>
  <w:style w:type="paragraph" w:styleId="80">
    <w:name w:val="index 8"/>
    <w:basedOn w:val="a1"/>
    <w:next w:val="a1"/>
    <w:semiHidden/>
    <w:pPr>
      <w:ind w:left="1600" w:hanging="200"/>
    </w:pPr>
  </w:style>
  <w:style w:type="paragraph" w:styleId="a9">
    <w:name w:val="E-mail Signature"/>
    <w:basedOn w:val="a1"/>
    <w:semiHidden/>
  </w:style>
  <w:style w:type="paragraph" w:styleId="a0">
    <w:name w:val="List Number"/>
    <w:basedOn w:val="a2"/>
    <w:pPr>
      <w:numPr>
        <w:numId w:val="3"/>
      </w:numPr>
    </w:pPr>
  </w:style>
  <w:style w:type="paragraph" w:styleId="aa">
    <w:name w:val="Normal Indent"/>
    <w:basedOn w:val="a1"/>
    <w:semiHidden/>
    <w:pPr>
      <w:ind w:left="720"/>
    </w:pPr>
  </w:style>
  <w:style w:type="paragraph" w:styleId="ab">
    <w:name w:val="caption"/>
    <w:basedOn w:val="a1"/>
    <w:next w:val="a1"/>
    <w:qFormat/>
    <w:pPr>
      <w:spacing w:before="120" w:after="120"/>
    </w:pPr>
    <w:rPr>
      <w:b/>
      <w:bCs/>
    </w:rPr>
  </w:style>
  <w:style w:type="paragraph" w:styleId="52">
    <w:name w:val="index 5"/>
    <w:basedOn w:val="a1"/>
    <w:next w:val="a1"/>
    <w:semiHidden/>
    <w:pPr>
      <w:ind w:left="1000" w:hanging="200"/>
    </w:pPr>
  </w:style>
  <w:style w:type="paragraph" w:styleId="a">
    <w:name w:val="List Bullet"/>
    <w:basedOn w:val="a2"/>
    <w:pPr>
      <w:numPr>
        <w:numId w:val="4"/>
      </w:numPr>
    </w:pPr>
  </w:style>
  <w:style w:type="paragraph" w:styleId="ac">
    <w:name w:val="envelope address"/>
    <w:basedOn w:val="a1"/>
    <w:semiHidden/>
    <w:pPr>
      <w:framePr w:w="7920" w:h="1980" w:hRule="exact" w:hSpace="180" w:wrap="auto" w:hAnchor="page" w:xAlign="center" w:yAlign="bottom"/>
      <w:ind w:left="2880"/>
    </w:pPr>
    <w:rPr>
      <w:rFonts w:cs="Arial"/>
      <w:sz w:val="24"/>
      <w:szCs w:val="24"/>
    </w:rPr>
  </w:style>
  <w:style w:type="paragraph" w:styleId="ad">
    <w:name w:val="Document Map"/>
    <w:basedOn w:val="a1"/>
    <w:semiHidden/>
    <w:pPr>
      <w:shd w:val="clear" w:color="auto" w:fill="000080"/>
    </w:pPr>
    <w:rPr>
      <w:rFonts w:ascii="Tahoma" w:hAnsi="Tahoma" w:cs="Tahoma"/>
    </w:rPr>
  </w:style>
  <w:style w:type="paragraph" w:styleId="ae">
    <w:name w:val="toa heading"/>
    <w:basedOn w:val="a1"/>
    <w:next w:val="a1"/>
    <w:semiHidden/>
    <w:pPr>
      <w:spacing w:before="120"/>
    </w:pPr>
    <w:rPr>
      <w:rFonts w:cs="Arial"/>
      <w:b/>
      <w:bCs/>
      <w:sz w:val="24"/>
      <w:szCs w:val="24"/>
    </w:rPr>
  </w:style>
  <w:style w:type="paragraph" w:styleId="af">
    <w:name w:val="annotation text"/>
    <w:basedOn w:val="a1"/>
    <w:semiHidden/>
  </w:style>
  <w:style w:type="paragraph" w:styleId="60">
    <w:name w:val="index 6"/>
    <w:basedOn w:val="a1"/>
    <w:next w:val="a1"/>
    <w:semiHidden/>
    <w:pPr>
      <w:ind w:left="1200" w:hanging="200"/>
    </w:pPr>
  </w:style>
  <w:style w:type="paragraph" w:styleId="af0">
    <w:name w:val="Salutation"/>
    <w:basedOn w:val="a1"/>
    <w:next w:val="a1"/>
    <w:semiHidden/>
  </w:style>
  <w:style w:type="paragraph" w:styleId="33">
    <w:name w:val="Body Text 3"/>
    <w:basedOn w:val="a1"/>
    <w:semiHidden/>
    <w:pPr>
      <w:spacing w:after="120"/>
    </w:pPr>
    <w:rPr>
      <w:sz w:val="16"/>
      <w:szCs w:val="16"/>
    </w:rPr>
  </w:style>
  <w:style w:type="paragraph" w:styleId="af1">
    <w:name w:val="Closing"/>
    <w:basedOn w:val="a1"/>
    <w:semiHidden/>
    <w:pPr>
      <w:ind w:left="4252"/>
    </w:pPr>
  </w:style>
  <w:style w:type="paragraph" w:styleId="30">
    <w:name w:val="List Bullet 3"/>
    <w:basedOn w:val="a1"/>
    <w:semiHidden/>
    <w:pPr>
      <w:numPr>
        <w:numId w:val="5"/>
      </w:numPr>
    </w:pPr>
  </w:style>
  <w:style w:type="paragraph" w:styleId="af2">
    <w:name w:val="Body Text Indent"/>
    <w:basedOn w:val="a1"/>
    <w:semiHidden/>
    <w:pPr>
      <w:spacing w:after="120"/>
      <w:ind w:left="283"/>
    </w:pPr>
  </w:style>
  <w:style w:type="paragraph" w:styleId="3">
    <w:name w:val="List Number 3"/>
    <w:basedOn w:val="a1"/>
    <w:semiHidden/>
    <w:pPr>
      <w:numPr>
        <w:numId w:val="6"/>
      </w:numPr>
    </w:pPr>
  </w:style>
  <w:style w:type="paragraph" w:styleId="22">
    <w:name w:val="List 2"/>
    <w:basedOn w:val="a1"/>
    <w:semiHidden/>
    <w:pPr>
      <w:ind w:left="566" w:hanging="283"/>
    </w:pPr>
  </w:style>
  <w:style w:type="paragraph" w:styleId="af3">
    <w:name w:val="List Continue"/>
    <w:basedOn w:val="a1"/>
    <w:semiHidden/>
    <w:pPr>
      <w:spacing w:after="120"/>
      <w:ind w:left="283"/>
    </w:pPr>
  </w:style>
  <w:style w:type="paragraph" w:styleId="af4">
    <w:name w:val="Block Text"/>
    <w:basedOn w:val="a1"/>
    <w:next w:val="a2"/>
    <w:semiHidden/>
    <w:pPr>
      <w:spacing w:after="120" w:line="240" w:lineRule="atLeast"/>
      <w:ind w:left="1134"/>
    </w:pPr>
  </w:style>
  <w:style w:type="paragraph" w:styleId="2">
    <w:name w:val="List Bullet 2"/>
    <w:basedOn w:val="a2"/>
    <w:semiHidden/>
    <w:pPr>
      <w:numPr>
        <w:numId w:val="7"/>
      </w:numPr>
    </w:pPr>
  </w:style>
  <w:style w:type="paragraph" w:styleId="HTML">
    <w:name w:val="HTML Address"/>
    <w:basedOn w:val="a1"/>
    <w:semiHidden/>
    <w:rPr>
      <w:i/>
      <w:iCs/>
    </w:rPr>
  </w:style>
  <w:style w:type="paragraph" w:styleId="42">
    <w:name w:val="index 4"/>
    <w:basedOn w:val="a1"/>
    <w:next w:val="a1"/>
    <w:semiHidden/>
    <w:pPr>
      <w:ind w:left="800" w:hanging="200"/>
    </w:pPr>
  </w:style>
  <w:style w:type="paragraph" w:styleId="53">
    <w:name w:val="toc 5"/>
    <w:basedOn w:val="43"/>
    <w:pPr>
      <w:ind w:left="3969"/>
    </w:pPr>
  </w:style>
  <w:style w:type="paragraph" w:styleId="43">
    <w:name w:val="toc 4"/>
    <w:basedOn w:val="34"/>
    <w:pPr>
      <w:ind w:left="3402"/>
    </w:pPr>
  </w:style>
  <w:style w:type="paragraph" w:styleId="34">
    <w:name w:val="toc 3"/>
    <w:basedOn w:val="23"/>
    <w:pPr>
      <w:ind w:left="2835"/>
    </w:pPr>
  </w:style>
  <w:style w:type="paragraph" w:styleId="23">
    <w:name w:val="toc 2"/>
    <w:basedOn w:val="10"/>
    <w:pPr>
      <w:ind w:left="2268"/>
    </w:pPr>
  </w:style>
  <w:style w:type="paragraph" w:styleId="10">
    <w:name w:val="toc 1"/>
    <w:basedOn w:val="KWNormal"/>
    <w:next w:val="KWNormal"/>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5">
    <w:name w:val="Plain Text"/>
    <w:basedOn w:val="a1"/>
    <w:semiHidden/>
    <w:rPr>
      <w:rFonts w:ascii="Courier New" w:hAnsi="Courier New" w:cs="Courier New"/>
    </w:rPr>
  </w:style>
  <w:style w:type="paragraph" w:styleId="50">
    <w:name w:val="List Bullet 5"/>
    <w:basedOn w:val="a1"/>
    <w:semiHidden/>
    <w:pPr>
      <w:numPr>
        <w:numId w:val="8"/>
      </w:numPr>
    </w:pPr>
  </w:style>
  <w:style w:type="paragraph" w:styleId="4">
    <w:name w:val="List Number 4"/>
    <w:basedOn w:val="a1"/>
    <w:semiHidden/>
    <w:pPr>
      <w:numPr>
        <w:numId w:val="9"/>
      </w:numPr>
    </w:pPr>
  </w:style>
  <w:style w:type="paragraph" w:styleId="81">
    <w:name w:val="toc 8"/>
    <w:basedOn w:val="a1"/>
    <w:next w:val="a1"/>
    <w:semiHidden/>
  </w:style>
  <w:style w:type="paragraph" w:styleId="35">
    <w:name w:val="index 3"/>
    <w:basedOn w:val="a1"/>
    <w:next w:val="a1"/>
    <w:semiHidden/>
    <w:pPr>
      <w:ind w:left="600" w:hanging="200"/>
    </w:pPr>
  </w:style>
  <w:style w:type="paragraph" w:styleId="af6">
    <w:name w:val="Date"/>
    <w:basedOn w:val="a1"/>
    <w:next w:val="a1"/>
    <w:semiHidden/>
  </w:style>
  <w:style w:type="paragraph" w:styleId="24">
    <w:name w:val="Body Text Indent 2"/>
    <w:basedOn w:val="a1"/>
    <w:semiHidden/>
    <w:pPr>
      <w:spacing w:after="120" w:line="480" w:lineRule="auto"/>
      <w:ind w:left="283"/>
    </w:pPr>
  </w:style>
  <w:style w:type="paragraph" w:styleId="af7">
    <w:name w:val="endnote text"/>
    <w:basedOn w:val="KWNormal"/>
    <w:pPr>
      <w:spacing w:afterLines="50" w:after="50" w:line="240" w:lineRule="auto"/>
      <w:ind w:left="85" w:hanging="85"/>
      <w:jc w:val="left"/>
    </w:pPr>
    <w:rPr>
      <w:color w:val="auto"/>
      <w:sz w:val="18"/>
    </w:rPr>
  </w:style>
  <w:style w:type="paragraph" w:styleId="54">
    <w:name w:val="List Continue 5"/>
    <w:basedOn w:val="a1"/>
    <w:semiHidden/>
    <w:pPr>
      <w:spacing w:after="120"/>
      <w:ind w:left="1415"/>
    </w:pPr>
  </w:style>
  <w:style w:type="paragraph" w:styleId="af8">
    <w:name w:val="Balloon Text"/>
    <w:basedOn w:val="KWNormal"/>
    <w:pPr>
      <w:spacing w:after="0" w:line="240" w:lineRule="auto"/>
      <w:jc w:val="left"/>
    </w:pPr>
    <w:rPr>
      <w:rFonts w:cs="Tahoma"/>
      <w:sz w:val="22"/>
      <w:szCs w:val="16"/>
    </w:rPr>
  </w:style>
  <w:style w:type="paragraph" w:styleId="af9">
    <w:name w:val="footer"/>
    <w:basedOn w:val="a1"/>
    <w:link w:val="Char"/>
    <w:uiPriority w:val="99"/>
    <w:pPr>
      <w:snapToGrid w:val="0"/>
    </w:pPr>
    <w:rPr>
      <w:color w:val="999999"/>
      <w:sz w:val="18"/>
      <w:szCs w:val="18"/>
    </w:rPr>
  </w:style>
  <w:style w:type="paragraph" w:styleId="afa">
    <w:name w:val="envelope return"/>
    <w:basedOn w:val="a1"/>
    <w:semiHidden/>
    <w:rPr>
      <w:rFonts w:cs="Arial"/>
    </w:rPr>
  </w:style>
  <w:style w:type="paragraph" w:styleId="afb">
    <w:name w:val="header"/>
    <w:basedOn w:val="a1"/>
  </w:style>
  <w:style w:type="paragraph" w:styleId="afc">
    <w:name w:val="Signature"/>
    <w:basedOn w:val="a1"/>
    <w:semiHidden/>
    <w:pPr>
      <w:ind w:left="4252"/>
    </w:pPr>
  </w:style>
  <w:style w:type="paragraph" w:styleId="44">
    <w:name w:val="List Continue 4"/>
    <w:basedOn w:val="a1"/>
    <w:semiHidden/>
    <w:pPr>
      <w:spacing w:after="120"/>
      <w:ind w:left="1132"/>
    </w:pPr>
  </w:style>
  <w:style w:type="paragraph" w:styleId="afd">
    <w:name w:val="index heading"/>
    <w:basedOn w:val="a1"/>
    <w:next w:val="11"/>
    <w:semiHidden/>
    <w:rPr>
      <w:rFonts w:cs="Arial"/>
      <w:b/>
      <w:bCs/>
    </w:rPr>
  </w:style>
  <w:style w:type="paragraph" w:styleId="11">
    <w:name w:val="index 1"/>
    <w:basedOn w:val="a1"/>
    <w:next w:val="a1"/>
    <w:semiHidden/>
    <w:pPr>
      <w:ind w:left="200" w:hanging="200"/>
    </w:pPr>
  </w:style>
  <w:style w:type="paragraph" w:styleId="afe">
    <w:name w:val="Subtitle"/>
    <w:basedOn w:val="a1"/>
    <w:qFormat/>
    <w:pPr>
      <w:spacing w:after="60"/>
      <w:jc w:val="center"/>
      <w:outlineLvl w:val="1"/>
    </w:pPr>
    <w:rPr>
      <w:rFonts w:cs="Arial"/>
      <w:sz w:val="24"/>
      <w:szCs w:val="24"/>
    </w:rPr>
  </w:style>
  <w:style w:type="paragraph" w:styleId="5">
    <w:name w:val="List Number 5"/>
    <w:basedOn w:val="a1"/>
    <w:semiHidden/>
    <w:pPr>
      <w:numPr>
        <w:numId w:val="10"/>
      </w:numPr>
    </w:pPr>
  </w:style>
  <w:style w:type="paragraph" w:styleId="aff">
    <w:name w:val="List"/>
    <w:basedOn w:val="a1"/>
    <w:semiHidden/>
    <w:pPr>
      <w:ind w:left="283" w:hanging="283"/>
    </w:pPr>
  </w:style>
  <w:style w:type="paragraph" w:styleId="aff0">
    <w:name w:val="footnote text"/>
    <w:basedOn w:val="KWNormal"/>
    <w:pPr>
      <w:spacing w:afterLines="50" w:after="50" w:line="240" w:lineRule="auto"/>
      <w:ind w:left="85" w:hanging="85"/>
      <w:jc w:val="left"/>
    </w:pPr>
    <w:rPr>
      <w:color w:val="auto"/>
      <w:sz w:val="18"/>
      <w:szCs w:val="16"/>
    </w:rPr>
  </w:style>
  <w:style w:type="paragraph" w:styleId="61">
    <w:name w:val="toc 6"/>
    <w:basedOn w:val="a1"/>
    <w:next w:val="a1"/>
    <w:semiHidden/>
  </w:style>
  <w:style w:type="paragraph" w:styleId="55">
    <w:name w:val="List 5"/>
    <w:basedOn w:val="a1"/>
    <w:semiHidden/>
    <w:pPr>
      <w:ind w:left="1415" w:hanging="283"/>
    </w:pPr>
  </w:style>
  <w:style w:type="paragraph" w:styleId="36">
    <w:name w:val="Body Text Indent 3"/>
    <w:basedOn w:val="a1"/>
    <w:semiHidden/>
    <w:pPr>
      <w:spacing w:after="120"/>
      <w:ind w:left="283"/>
    </w:pPr>
    <w:rPr>
      <w:sz w:val="16"/>
      <w:szCs w:val="16"/>
    </w:rPr>
  </w:style>
  <w:style w:type="paragraph" w:styleId="71">
    <w:name w:val="index 7"/>
    <w:basedOn w:val="a1"/>
    <w:next w:val="a1"/>
    <w:semiHidden/>
    <w:pPr>
      <w:ind w:left="1400" w:hanging="200"/>
    </w:pPr>
  </w:style>
  <w:style w:type="paragraph" w:styleId="90">
    <w:name w:val="index 9"/>
    <w:basedOn w:val="a1"/>
    <w:next w:val="a1"/>
    <w:semiHidden/>
    <w:pPr>
      <w:ind w:left="1800" w:hanging="200"/>
    </w:pPr>
  </w:style>
  <w:style w:type="paragraph" w:styleId="aff1">
    <w:name w:val="table of figures"/>
    <w:basedOn w:val="a1"/>
    <w:next w:val="a1"/>
    <w:semiHidden/>
    <w:pPr>
      <w:ind w:left="400" w:hanging="400"/>
    </w:pPr>
  </w:style>
  <w:style w:type="paragraph" w:styleId="91">
    <w:name w:val="toc 9"/>
    <w:basedOn w:val="a1"/>
    <w:next w:val="a1"/>
    <w:semiHidden/>
  </w:style>
  <w:style w:type="paragraph" w:styleId="25">
    <w:name w:val="Body Text 2"/>
    <w:basedOn w:val="a1"/>
    <w:semiHidden/>
    <w:pPr>
      <w:spacing w:after="120" w:line="480" w:lineRule="auto"/>
    </w:pPr>
  </w:style>
  <w:style w:type="paragraph" w:styleId="45">
    <w:name w:val="List 4"/>
    <w:basedOn w:val="a1"/>
    <w:semiHidden/>
    <w:pPr>
      <w:ind w:left="1132" w:hanging="283"/>
    </w:pPr>
  </w:style>
  <w:style w:type="paragraph" w:styleId="26">
    <w:name w:val="List Continue 2"/>
    <w:basedOn w:val="a1"/>
    <w:semiHidden/>
    <w:pPr>
      <w:spacing w:after="120"/>
      <w:ind w:left="566"/>
    </w:pPr>
  </w:style>
  <w:style w:type="paragraph" w:styleId="af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1"/>
    <w:semiHidden/>
    <w:rPr>
      <w:rFonts w:ascii="Courier New" w:hAnsi="Courier New" w:cs="Courier New"/>
    </w:rPr>
  </w:style>
  <w:style w:type="paragraph" w:styleId="aff3">
    <w:name w:val="Normal (Web)"/>
    <w:basedOn w:val="a1"/>
    <w:semiHidden/>
    <w:rPr>
      <w:szCs w:val="24"/>
    </w:rPr>
  </w:style>
  <w:style w:type="paragraph" w:styleId="37">
    <w:name w:val="List Continue 3"/>
    <w:basedOn w:val="a1"/>
    <w:semiHidden/>
    <w:pPr>
      <w:spacing w:after="120"/>
      <w:ind w:left="849"/>
    </w:pPr>
  </w:style>
  <w:style w:type="paragraph" w:styleId="27">
    <w:name w:val="index 2"/>
    <w:basedOn w:val="a1"/>
    <w:next w:val="a1"/>
    <w:semiHidden/>
    <w:pPr>
      <w:ind w:left="400" w:hanging="200"/>
    </w:pPr>
  </w:style>
  <w:style w:type="paragraph" w:styleId="aff4">
    <w:name w:val="Title"/>
    <w:basedOn w:val="a1"/>
    <w:qFormat/>
    <w:pPr>
      <w:spacing w:before="240" w:after="60"/>
      <w:jc w:val="center"/>
      <w:outlineLvl w:val="0"/>
    </w:pPr>
    <w:rPr>
      <w:rFonts w:cs="Arial"/>
      <w:b/>
      <w:bCs/>
      <w:kern w:val="28"/>
      <w:sz w:val="32"/>
      <w:szCs w:val="32"/>
    </w:rPr>
  </w:style>
  <w:style w:type="paragraph" w:styleId="aff5">
    <w:name w:val="annotation subject"/>
    <w:basedOn w:val="af"/>
    <w:next w:val="af"/>
    <w:semiHidden/>
    <w:rPr>
      <w:b/>
      <w:bCs/>
    </w:rPr>
  </w:style>
  <w:style w:type="paragraph" w:styleId="aff6">
    <w:name w:val="Body Text First Indent"/>
    <w:basedOn w:val="a2"/>
    <w:semiHidden/>
    <w:pPr>
      <w:spacing w:after="120"/>
      <w:ind w:firstLine="210"/>
    </w:pPr>
  </w:style>
  <w:style w:type="paragraph" w:styleId="28">
    <w:name w:val="Body Text First Indent 2"/>
    <w:basedOn w:val="af2"/>
    <w:semiHidden/>
    <w:pPr>
      <w:ind w:firstLine="210"/>
    </w:pPr>
  </w:style>
  <w:style w:type="table" w:styleId="aff7">
    <w:name w:val="Table Grid"/>
    <w:basedOn w:val="a4"/>
    <w:pPr>
      <w:spacing w:before="120" w:after="120" w:line="240" w:lineRule="atLeast"/>
    </w:pPr>
    <w:rPr>
      <w:rFonts w:ascii="Arial" w:hAnsi="Arial"/>
    </w:rPr>
    <w:tblPr>
      <w:tblInd w:w="0" w:type="dxa"/>
      <w:tblCellMar>
        <w:top w:w="0" w:type="dxa"/>
        <w:left w:w="108" w:type="dxa"/>
        <w:bottom w:w="0" w:type="dxa"/>
        <w:right w:w="108" w:type="dxa"/>
      </w:tblCellMar>
    </w:tblPr>
  </w:style>
  <w:style w:type="table" w:styleId="aff8">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9">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4"/>
    <w:semiHidden/>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a">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b">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rFonts w:ascii="Arial" w:hAnsi="Arial"/>
      <w:b/>
      <w:bCs/>
      <w:sz w:val="20"/>
    </w:rPr>
  </w:style>
  <w:style w:type="character" w:styleId="affd">
    <w:name w:val="endnote reference"/>
    <w:semiHidden/>
    <w:rPr>
      <w:vertAlign w:val="superscript"/>
    </w:rPr>
  </w:style>
  <w:style w:type="character" w:styleId="affe">
    <w:name w:val="page number"/>
    <w:rPr>
      <w:rFonts w:ascii="Arial" w:hAnsi="Arial"/>
      <w:color w:val="333333"/>
      <w:sz w:val="18"/>
    </w:rPr>
  </w:style>
  <w:style w:type="character" w:styleId="afff">
    <w:name w:val="FollowedHyperlink"/>
    <w:semiHidden/>
    <w:rPr>
      <w:color w:val="800080"/>
      <w:u w:val="single"/>
    </w:rPr>
  </w:style>
  <w:style w:type="character" w:styleId="afff0">
    <w:name w:val="Emphasis"/>
    <w:qFormat/>
    <w:rPr>
      <w:i/>
      <w:iCs/>
    </w:rPr>
  </w:style>
  <w:style w:type="character" w:styleId="afff1">
    <w:name w:val="line number"/>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semiHidden/>
  </w:style>
  <w:style w:type="character" w:styleId="HTML4">
    <w:name w:val="HTML Variable"/>
    <w:semiHidden/>
    <w:rPr>
      <w:i/>
      <w:iCs/>
    </w:rPr>
  </w:style>
  <w:style w:type="character" w:styleId="afff2">
    <w:name w:val="Hyperlink"/>
    <w:semiHidden/>
    <w:rPr>
      <w:color w:val="0000FF"/>
      <w:u w:val="single"/>
    </w:rPr>
  </w:style>
  <w:style w:type="character" w:styleId="HTML5">
    <w:name w:val="HTML Code"/>
    <w:semiHidden/>
    <w:rPr>
      <w:rFonts w:ascii="Courier New" w:hAnsi="Courier New" w:cs="Courier New"/>
      <w:sz w:val="20"/>
      <w:szCs w:val="20"/>
    </w:rPr>
  </w:style>
  <w:style w:type="character" w:styleId="afff3">
    <w:name w:val="annotation reference"/>
    <w:semiHidden/>
    <w:rPr>
      <w:sz w:val="16"/>
      <w:szCs w:val="16"/>
    </w:rPr>
  </w:style>
  <w:style w:type="character" w:styleId="HTML6">
    <w:name w:val="HTML Cite"/>
    <w:semiHidden/>
    <w:rPr>
      <w:i/>
      <w:iCs/>
    </w:rPr>
  </w:style>
  <w:style w:type="character" w:styleId="afff4">
    <w:name w:val="footnote reference"/>
    <w:rPr>
      <w:rFonts w:ascii="Arial" w:hAnsi="Arial"/>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Char">
    <w:name w:val="页脚 Char"/>
    <w:link w:val="af9"/>
    <w:uiPriority w:val="99"/>
    <w:rPr>
      <w:color w:val="999999"/>
      <w:kern w:val="2"/>
      <w:sz w:val="18"/>
      <w:szCs w:val="18"/>
    </w:rPr>
  </w:style>
  <w:style w:type="paragraph" w:customStyle="1" w:styleId="Body">
    <w:name w:val="Body"/>
    <w:basedOn w:val="a1"/>
    <w:semiHidden/>
    <w:pPr>
      <w:spacing w:after="240"/>
    </w:pPr>
  </w:style>
  <w:style w:type="paragraph" w:customStyle="1" w:styleId="BodyTextNoIndent">
    <w:name w:val="Body Text No Indent"/>
    <w:basedOn w:val="a2"/>
  </w:style>
  <w:style w:type="character" w:customStyle="1" w:styleId="KW">
    <w:name w:val="K&amp;W"/>
    <w:semiHidden/>
    <w:rPr>
      <w:rFonts w:ascii="Arial" w:hAnsi="Arial" w:cs="Arial"/>
      <w:color w:val="004473"/>
      <w:sz w:val="18"/>
      <w:szCs w:val="18"/>
    </w:rPr>
  </w:style>
  <w:style w:type="paragraph" w:customStyle="1" w:styleId="KWBodytext">
    <w:name w:val="K&amp;W Body text"/>
    <w:basedOn w:val="KWNormal"/>
    <w:rPr>
      <w:color w:val="auto"/>
    </w:rPr>
  </w:style>
  <w:style w:type="paragraph" w:customStyle="1" w:styleId="KWheading1">
    <w:name w:val="K&amp;W heading 1"/>
    <w:basedOn w:val="KWNormal"/>
    <w:next w:val="KWBodytext"/>
    <w:pPr>
      <w:keepNext/>
      <w:widowControl w:val="0"/>
      <w:numPr>
        <w:numId w:val="11"/>
      </w:numPr>
      <w:spacing w:line="280" w:lineRule="exact"/>
      <w:outlineLvl w:val="0"/>
    </w:pPr>
    <w:rPr>
      <w:b/>
      <w:color w:val="auto"/>
      <w:sz w:val="24"/>
    </w:rPr>
  </w:style>
  <w:style w:type="paragraph" w:customStyle="1" w:styleId="KWHeading">
    <w:name w:val="K&amp;W Heading"/>
    <w:basedOn w:val="KWheading1"/>
    <w:next w:val="KWBodytext"/>
    <w:pPr>
      <w:numPr>
        <w:numId w:val="0"/>
      </w:numPr>
      <w:tabs>
        <w:tab w:val="clear" w:pos="567"/>
      </w:tabs>
    </w:pPr>
  </w:style>
  <w:style w:type="paragraph" w:customStyle="1" w:styleId="KWheading2">
    <w:name w:val="K&amp;W heading 2"/>
    <w:basedOn w:val="KWNormal"/>
    <w:next w:val="KWBodytext"/>
    <w:pPr>
      <w:keepNext/>
      <w:widowControl w:val="0"/>
      <w:numPr>
        <w:ilvl w:val="1"/>
        <w:numId w:val="11"/>
      </w:numPr>
      <w:spacing w:line="280" w:lineRule="exact"/>
      <w:outlineLvl w:val="1"/>
    </w:pPr>
    <w:rPr>
      <w:color w:val="auto"/>
    </w:rPr>
  </w:style>
  <w:style w:type="paragraph" w:customStyle="1" w:styleId="KWheading3">
    <w:name w:val="K&amp;W heading 3"/>
    <w:basedOn w:val="KWNormal"/>
    <w:pPr>
      <w:numPr>
        <w:ilvl w:val="2"/>
        <w:numId w:val="11"/>
      </w:numPr>
      <w:spacing w:line="280" w:lineRule="exact"/>
      <w:outlineLvl w:val="2"/>
    </w:pPr>
    <w:rPr>
      <w:color w:val="auto"/>
    </w:rPr>
  </w:style>
  <w:style w:type="paragraph" w:customStyle="1" w:styleId="KWheading4">
    <w:name w:val="K&amp;W heading 4"/>
    <w:basedOn w:val="KWNormal"/>
    <w:pPr>
      <w:numPr>
        <w:ilvl w:val="3"/>
        <w:numId w:val="11"/>
      </w:numPr>
      <w:spacing w:line="280" w:lineRule="exact"/>
      <w:outlineLvl w:val="3"/>
    </w:pPr>
    <w:rPr>
      <w:color w:val="auto"/>
    </w:rPr>
  </w:style>
  <w:style w:type="paragraph" w:customStyle="1" w:styleId="KWheading5">
    <w:name w:val="K&amp;W heading 5"/>
    <w:basedOn w:val="KWNormal"/>
    <w:pPr>
      <w:numPr>
        <w:ilvl w:val="4"/>
        <w:numId w:val="11"/>
      </w:numPr>
      <w:spacing w:line="280" w:lineRule="exact"/>
      <w:outlineLvl w:val="4"/>
    </w:pPr>
    <w:rPr>
      <w:color w:val="auto"/>
    </w:rPr>
  </w:style>
  <w:style w:type="paragraph" w:customStyle="1" w:styleId="KWListBullet">
    <w:name w:val="K&amp;W List Bullet"/>
    <w:basedOn w:val="KWNormal"/>
    <w:pPr>
      <w:numPr>
        <w:numId w:val="12"/>
      </w:numPr>
      <w:spacing w:after="240"/>
    </w:pPr>
  </w:style>
  <w:style w:type="paragraph" w:customStyle="1" w:styleId="KWListNumber">
    <w:name w:val="K&amp;W List Number"/>
    <w:basedOn w:val="KWNormal"/>
    <w:pPr>
      <w:numPr>
        <w:numId w:val="13"/>
      </w:numPr>
      <w:spacing w:after="240"/>
    </w:pPr>
  </w:style>
  <w:style w:type="paragraph" w:customStyle="1" w:styleId="KWSubheading">
    <w:name w:val="K&amp;W Subheading"/>
    <w:basedOn w:val="KWheading2"/>
    <w:next w:val="KWBodytext"/>
    <w:pPr>
      <w:numPr>
        <w:ilvl w:val="0"/>
        <w:numId w:val="0"/>
      </w:numPr>
      <w:tabs>
        <w:tab w:val="clear" w:pos="567"/>
      </w:tabs>
    </w:pPr>
    <w:rPr>
      <w:kern w:val="28"/>
    </w:rPr>
  </w:style>
  <w:style w:type="table" w:customStyle="1" w:styleId="KWTable">
    <w:name w:val="K&amp;W Table"/>
    <w:basedOn w:val="aff7"/>
    <w:pPr>
      <w:spacing w:before="60" w:after="60" w:line="240" w:lineRule="auto"/>
      <w:contextualSpacing/>
    </w:pPr>
    <w:rPr>
      <w:rFonts w:eastAsia="楷体_GB2312"/>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Bold" w:hAnsi="Arial Bold"/>
        <w:b/>
        <w:sz w:val="20"/>
      </w:rPr>
      <w:tblPr/>
      <w:tcPr>
        <w:shd w:val="clear" w:color="auto" w:fill="E0E0E0"/>
      </w:tcPr>
    </w:tblStylePr>
  </w:style>
  <w:style w:type="paragraph" w:customStyle="1" w:styleId="Table">
    <w:name w:val="Table"/>
    <w:basedOn w:val="a1"/>
    <w:pPr>
      <w:spacing w:before="120" w:after="120" w:line="240" w:lineRule="atLeast"/>
    </w:pPr>
  </w:style>
  <w:style w:type="paragraph" w:customStyle="1" w:styleId="afff5">
    <w:basedOn w:val="1"/>
    <w:next w:val="a1"/>
    <w:uiPriority w:val="39"/>
    <w:qFormat/>
    <w:pPr>
      <w:keepLines/>
      <w:numPr>
        <w:numId w:val="0"/>
      </w:numPr>
      <w:tabs>
        <w:tab w:val="clear" w:pos="567"/>
      </w:tabs>
      <w:spacing w:before="340" w:after="330" w:line="578" w:lineRule="auto"/>
      <w:outlineLvl w:val="9"/>
    </w:pPr>
    <w:rPr>
      <w:rFonts w:ascii="Times New Roman" w:hAnsi="Times New Roman"/>
      <w:bCs/>
      <w:kern w:val="44"/>
      <w:sz w:val="44"/>
      <w:szCs w:val="44"/>
    </w:rPr>
  </w:style>
  <w:style w:type="paragraph" w:styleId="afff6">
    <w:name w:val="List Paragraph"/>
    <w:basedOn w:val="a1"/>
    <w:uiPriority w:val="34"/>
    <w:qFormat/>
    <w:pPr>
      <w:ind w:firstLineChars="200" w:firstLine="420"/>
    </w:pPr>
  </w:style>
  <w:style w:type="paragraph" w:styleId="afff7">
    <w:name w:val="Intense Quote"/>
    <w:basedOn w:val="a1"/>
    <w:next w:val="a1"/>
    <w:link w:val="Char0"/>
    <w:uiPriority w:val="30"/>
    <w:qFormat/>
    <w:pPr>
      <w:pBdr>
        <w:bottom w:val="single" w:sz="4" w:space="4" w:color="4F81BD"/>
      </w:pBdr>
      <w:spacing w:before="200" w:after="280"/>
      <w:ind w:left="936" w:right="936"/>
    </w:pPr>
    <w:rPr>
      <w:b/>
      <w:bCs/>
      <w:i/>
      <w:iCs/>
      <w:color w:val="4F81BD"/>
    </w:rPr>
  </w:style>
  <w:style w:type="character" w:customStyle="1" w:styleId="Char0">
    <w:name w:val="明显引用 Char"/>
    <w:link w:val="afff7"/>
    <w:uiPriority w:val="30"/>
    <w:rPr>
      <w:b/>
      <w:bCs/>
      <w:i/>
      <w:iCs/>
      <w:color w:val="4F81BD"/>
      <w:kern w:val="2"/>
      <w:sz w:val="21"/>
    </w:rPr>
  </w:style>
  <w:style w:type="paragraph" w:customStyle="1" w:styleId="afff8">
    <w:basedOn w:val="a1"/>
    <w:next w:val="a1"/>
    <w:uiPriority w:val="37"/>
    <w:unhideWhenUsed/>
  </w:style>
  <w:style w:type="paragraph" w:styleId="afff9">
    <w:name w:val="No Spacing"/>
    <w:uiPriority w:val="1"/>
    <w:qFormat/>
    <w:pPr>
      <w:widowControl w:val="0"/>
      <w:jc w:val="both"/>
    </w:pPr>
    <w:rPr>
      <w:kern w:val="2"/>
      <w:sz w:val="21"/>
    </w:rPr>
  </w:style>
  <w:style w:type="paragraph" w:styleId="afffa">
    <w:name w:val="Quote"/>
    <w:basedOn w:val="a1"/>
    <w:next w:val="a1"/>
    <w:link w:val="Char1"/>
    <w:uiPriority w:val="29"/>
    <w:qFormat/>
    <w:rPr>
      <w:i/>
      <w:iCs/>
      <w:color w:val="000000"/>
    </w:rPr>
  </w:style>
  <w:style w:type="character" w:customStyle="1" w:styleId="Char1">
    <w:name w:val="引用 Char"/>
    <w:link w:val="afffa"/>
    <w:uiPriority w:val="29"/>
    <w:rPr>
      <w:i/>
      <w:iC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11809</Words>
  <Characters>-36</Characters>
  <Application>Microsoft Office Word</Application>
  <DocSecurity>0</DocSecurity>
  <Lines>1</Lines>
  <Paragraphs>23</Paragraphs>
  <ScaleCrop>false</ScaleCrop>
  <Company>Microsoft</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kingandwood</dc:creator>
  <cp:lastModifiedBy>孙献</cp:lastModifiedBy>
  <cp:revision>8</cp:revision>
  <dcterms:created xsi:type="dcterms:W3CDTF">2025-07-17T03:53:00Z</dcterms:created>
  <dcterms:modified xsi:type="dcterms:W3CDTF">2025-07-23T08:51:00Z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2742D3C383CA44E7A0C9209B20B7FA08_13</vt:lpwstr>
  </property>
</Properties>
</file>