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E698">
      <w:pPr>
        <w:spacing w:before="156" w:beforeLines="50" w:after="156" w:afterLines="50" w:line="360" w:lineRule="auto"/>
        <w:jc w:val="center"/>
        <w:rPr>
          <w:rFonts w:ascii="Times New Roman" w:hAnsi="Times New Roman"/>
          <w:b/>
          <w:sz w:val="32"/>
        </w:rPr>
      </w:pPr>
      <w:bookmarkStart w:id="0" w:name="_GoBack"/>
      <w:bookmarkEnd w:id="0"/>
      <w:r>
        <w:rPr>
          <w:rFonts w:ascii="Times New Roman" w:hAnsi="Times New Roman"/>
          <w:b/>
          <w:sz w:val="32"/>
        </w:rPr>
        <w:t>华泰联合证券有限责任公司</w:t>
      </w:r>
    </w:p>
    <w:p w14:paraId="3B8E6C85">
      <w:pPr>
        <w:spacing w:before="156" w:beforeLines="50" w:after="156" w:afterLines="50" w:line="360" w:lineRule="auto"/>
        <w:jc w:val="center"/>
        <w:rPr>
          <w:rFonts w:ascii="Times New Roman" w:hAnsi="Times New Roman"/>
          <w:b/>
          <w:sz w:val="32"/>
        </w:rPr>
      </w:pPr>
      <w:r>
        <w:rPr>
          <w:rFonts w:ascii="Times New Roman" w:hAnsi="Times New Roman"/>
          <w:b/>
          <w:sz w:val="32"/>
        </w:rPr>
        <w:t>关于华孚时尚股份有限公司</w:t>
      </w:r>
    </w:p>
    <w:p w14:paraId="7149D28F">
      <w:pPr>
        <w:spacing w:before="156" w:beforeLines="50" w:after="156" w:afterLines="50" w:line="360" w:lineRule="auto"/>
        <w:jc w:val="center"/>
        <w:rPr>
          <w:rFonts w:ascii="Times New Roman" w:hAnsi="Times New Roman"/>
          <w:b/>
          <w:sz w:val="32"/>
        </w:rPr>
      </w:pPr>
      <w:r>
        <w:rPr>
          <w:rFonts w:ascii="Times New Roman" w:hAnsi="Times New Roman"/>
          <w:b/>
          <w:sz w:val="32"/>
        </w:rPr>
        <w:t>2024年度募集资金存放和使用情况的核查意见</w:t>
      </w:r>
    </w:p>
    <w:p w14:paraId="691A3EE4">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华泰联合证券有限责任公司</w:t>
      </w:r>
      <w:r>
        <w:rPr>
          <w:rFonts w:ascii="宋体" w:hAnsi="宋体"/>
          <w:sz w:val="24"/>
        </w:rPr>
        <w:t>（以下简称“华泰联合证券”、“保荐机构”）作为华孚时尚股份有限公司（以下简称“华孚时尚”、“上市公司”、“公司”）</w:t>
      </w:r>
      <w:r>
        <w:rPr>
          <w:rFonts w:ascii="Times New Roman" w:hAnsi="Times New Roman"/>
          <w:sz w:val="24"/>
        </w:rPr>
        <w:t>非公开发行股票的保荐机构，根据《证券发行上市保荐业务管理办法》《上市公司监管指引第2号——上市公司募集资金管理和使用的监管要求》《深圳证券交易所股票上市规则》《深圳证券交易所上市公司自律监管指引第1号——主板上市公司规范运作》及《深圳证券交易所上市公司自律监管指引第13号——保荐业务》等法律法规的规定，对华孚时尚2024年度募集资金存放和使用情况事项进行了核查，并出具本核查意见如下：</w:t>
      </w:r>
    </w:p>
    <w:p w14:paraId="58792D06">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一、募集资金基本情况</w:t>
      </w:r>
    </w:p>
    <w:p w14:paraId="032404E9">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经中国证券监督管理委员会（以下简称“中国证监会”）（证监许可[2020]2582号）《关于核准华孚时尚股份有限公司非公开发行股票的批复》核准，公司于2021年9月14日以非公开发行方式发行人民币普通股（A股）274,278,835股，发行价格为每股4.16元，募集资金总额1,140,999,953.60元，扣除承销费和保荐费10,660,000.00元后的募集资金为人民币1,130,339,953.60元，已由华泰联合证券于2021年9月14日存入公司开立在浙商银行绍兴上虞支行账号为3371020210120100198791和建设银行深圳罗湖支行账号为44250100002809999888的人民币账户；减除其他发行费用人民币3,964,568.82元后，募集资金净额为人民币1,126,375,384.78元。上述资金到位情况业经大华会计师事务所（特殊普通合伙）验证，并由其出具“大华验字[2021]000637号”验资报告。公司对募集资金采取了专户存储制度。</w:t>
      </w:r>
    </w:p>
    <w:p w14:paraId="0A14C060">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截止2024年12月31日，公司对募集资金项目累计投入人民币1,136,856,824.39元，本期</w:t>
      </w:r>
      <w:r>
        <w:rPr>
          <w:rFonts w:hint="eastAsia" w:ascii="Times New Roman" w:hAnsi="Times New Roman"/>
          <w:sz w:val="24"/>
        </w:rPr>
        <w:t>投入人民币</w:t>
      </w:r>
      <w:r>
        <w:rPr>
          <w:rFonts w:ascii="Times New Roman" w:hAnsi="Times New Roman"/>
          <w:sz w:val="24"/>
        </w:rPr>
        <w:t>1,649,165.89</w:t>
      </w:r>
      <w:r>
        <w:rPr>
          <w:rFonts w:hint="eastAsia" w:ascii="Times New Roman" w:hAnsi="Times New Roman"/>
          <w:sz w:val="24"/>
        </w:rPr>
        <w:t>元，</w:t>
      </w:r>
      <w:r>
        <w:rPr>
          <w:rFonts w:ascii="Times New Roman" w:hAnsi="Times New Roman"/>
          <w:sz w:val="24"/>
        </w:rPr>
        <w:t>其中：募集资金项目</w:t>
      </w:r>
      <w:r>
        <w:rPr>
          <w:rFonts w:hint="eastAsia" w:ascii="Times New Roman" w:hAnsi="Times New Roman"/>
          <w:sz w:val="24"/>
        </w:rPr>
        <w:t>“淮北30万锭智能纺纱产业园项目”</w:t>
      </w:r>
      <w:r>
        <w:rPr>
          <w:rFonts w:ascii="Times New Roman" w:hAnsi="Times New Roman"/>
          <w:sz w:val="24"/>
        </w:rPr>
        <w:t>实际投入人民币58,279,165.89元</w:t>
      </w:r>
      <w:r>
        <w:rPr>
          <w:rFonts w:hint="eastAsia" w:ascii="Times New Roman" w:hAnsi="Times New Roman"/>
          <w:sz w:val="24"/>
        </w:rPr>
        <w:t>，归还用于临时补充流动资金的募集资金人民币</w:t>
      </w:r>
      <w:r>
        <w:rPr>
          <w:rFonts w:ascii="Times New Roman" w:hAnsi="Times New Roman"/>
          <w:sz w:val="24"/>
        </w:rPr>
        <w:t>56,630,000.00</w:t>
      </w:r>
      <w:r>
        <w:rPr>
          <w:rFonts w:hint="eastAsia" w:ascii="Times New Roman" w:hAnsi="Times New Roman"/>
          <w:sz w:val="24"/>
        </w:rPr>
        <w:t>元</w:t>
      </w:r>
      <w:r>
        <w:rPr>
          <w:rFonts w:ascii="Times New Roman" w:hAnsi="Times New Roman"/>
          <w:sz w:val="24"/>
        </w:rPr>
        <w:t>。截止2024年12月31日，募集资金余额为人民币1,947.01元。</w:t>
      </w:r>
    </w:p>
    <w:p w14:paraId="0F9201C4">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二、募集资金存放和管理情况</w:t>
      </w:r>
    </w:p>
    <w:p w14:paraId="102EE39F">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1、募集资金管理情况</w:t>
      </w:r>
    </w:p>
    <w:p w14:paraId="5C2EDAD8">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为了规范募集资金的管理和使用，保护投资者权益，公司依照《中华人民共和国公司法》《中华人民共和国证券法》《深圳证券交易所股票上市规则》《深圳证券交易所上市公司自律监管指引第1号——主板上市公司规范运作》等法律法规，结合公司实际情况，制定了《华孚时尚股份有限公司募集资金管理制度》（以下简称“《管理制度》”），该《管理制度》经公司2020年第二次临时股东大会决议审议通过。</w:t>
      </w:r>
    </w:p>
    <w:p w14:paraId="24A55915">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根据《管理制度》的要求，并结合公司经营需要，公司在中国建设银行股份有限公司深圳罗湖支行、浙商银行股份有限公司绍兴上虞支行开设募集资金专项账户，其中中国建设银行股份有限公司深圳罗湖支行、浙商银行股份有限公司绍兴上虞支行两个账户均是用于华孚（越南）50万锭新型纱线项项目（一期），因该项目建设地在越南，投入该项目的募集资金在汇入公司越南账户前存在中国境内的中国建设银行股份有限公司深圳罗湖支行，并于2021年9月15日与保荐机构、存放募集资金的商业银行签署了募集资金三方监管协议，明确了各方权利和义务。2022年1月7日因变更募投项目公司与保荐机构、存放募集资金的商业银行签署了募集资金三方监管协议补充协议。公司严格按照内部制定的《管理制度》对募集资金的使用实行严格的审批手续，以保证专款专用；授权保荐代表人可以随时到开设募集资金专户的银行查询募集资金专户资料，并要求保荐代表人每半年度对募集资金管理和使用情况至少进行现场检查一次。</w:t>
      </w:r>
    </w:p>
    <w:p w14:paraId="23476446">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2、募集资金专户存储情况</w:t>
      </w:r>
    </w:p>
    <w:p w14:paraId="24CA99CB">
      <w:pPr>
        <w:spacing w:before="156" w:beforeLines="50" w:after="156" w:afterLines="50" w:line="360" w:lineRule="auto"/>
        <w:ind w:firstLine="480" w:firstLineChars="200"/>
        <w:rPr>
          <w:rFonts w:ascii="Times New Roman" w:hAnsi="Times New Roman"/>
          <w:szCs w:val="21"/>
        </w:rPr>
      </w:pPr>
      <w:r>
        <w:rPr>
          <w:rFonts w:ascii="Times New Roman" w:hAnsi="Times New Roman"/>
          <w:sz w:val="24"/>
        </w:rPr>
        <w:t>截至2024年12月31日止，募集资金的存储情况列示如下：</w:t>
      </w:r>
    </w:p>
    <w:p w14:paraId="09588143">
      <w:pPr>
        <w:snapToGrid w:val="0"/>
        <w:ind w:firstLine="6195" w:firstLineChars="2950"/>
        <w:jc w:val="right"/>
        <w:rPr>
          <w:rFonts w:ascii="Times New Roman" w:hAnsi="Times New Roman"/>
          <w:szCs w:val="21"/>
        </w:rPr>
      </w:pPr>
      <w:r>
        <w:rPr>
          <w:rFonts w:ascii="Times New Roman" w:hAnsi="Times New Roman"/>
          <w:szCs w:val="21"/>
        </w:rPr>
        <w:t>单位：元</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2835"/>
        <w:gridCol w:w="1700"/>
        <w:gridCol w:w="1509"/>
        <w:gridCol w:w="814"/>
      </w:tblGrid>
      <w:tr w14:paraId="03F2F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397" w:hRule="atLeast"/>
          <w:tblHeader/>
        </w:trPr>
        <w:tc>
          <w:tcPr>
            <w:tcW w:w="979" w:type="pct"/>
            <w:shd w:val="clear" w:color="auto" w:fill="D9D9D9"/>
            <w:noWrap w:val="0"/>
            <w:vAlign w:val="center"/>
          </w:tcPr>
          <w:p w14:paraId="63E80497">
            <w:pPr>
              <w:jc w:val="center"/>
              <w:rPr>
                <w:rFonts w:ascii="Times New Roman" w:hAnsi="Times New Roman"/>
                <w:b/>
                <w:bCs/>
                <w:kern w:val="0"/>
                <w:szCs w:val="21"/>
              </w:rPr>
            </w:pPr>
            <w:r>
              <w:rPr>
                <w:rFonts w:ascii="Times New Roman" w:hAnsi="Times New Roman"/>
                <w:b/>
                <w:bCs/>
                <w:kern w:val="0"/>
                <w:szCs w:val="21"/>
              </w:rPr>
              <w:t>银行名称</w:t>
            </w:r>
          </w:p>
        </w:tc>
        <w:tc>
          <w:tcPr>
            <w:tcW w:w="1662" w:type="pct"/>
            <w:shd w:val="clear" w:color="auto" w:fill="D9D9D9"/>
            <w:noWrap w:val="0"/>
            <w:vAlign w:val="center"/>
          </w:tcPr>
          <w:p w14:paraId="20386E81">
            <w:pPr>
              <w:jc w:val="center"/>
              <w:rPr>
                <w:rFonts w:ascii="Times New Roman" w:hAnsi="Times New Roman"/>
                <w:b/>
                <w:bCs/>
                <w:kern w:val="0"/>
                <w:szCs w:val="21"/>
              </w:rPr>
            </w:pPr>
            <w:r>
              <w:rPr>
                <w:rFonts w:ascii="Times New Roman" w:hAnsi="Times New Roman"/>
                <w:b/>
                <w:bCs/>
                <w:kern w:val="0"/>
                <w:szCs w:val="21"/>
              </w:rPr>
              <w:t>账号</w:t>
            </w:r>
          </w:p>
        </w:tc>
        <w:tc>
          <w:tcPr>
            <w:tcW w:w="997" w:type="pct"/>
            <w:shd w:val="clear" w:color="auto" w:fill="D9D9D9"/>
            <w:noWrap w:val="0"/>
            <w:vAlign w:val="center"/>
          </w:tcPr>
          <w:p w14:paraId="003FA488">
            <w:pPr>
              <w:jc w:val="center"/>
              <w:rPr>
                <w:rFonts w:ascii="Times New Roman" w:hAnsi="Times New Roman"/>
                <w:b/>
                <w:bCs/>
                <w:kern w:val="0"/>
                <w:szCs w:val="21"/>
              </w:rPr>
            </w:pPr>
            <w:r>
              <w:rPr>
                <w:rFonts w:ascii="Times New Roman" w:hAnsi="Times New Roman"/>
                <w:b/>
                <w:bCs/>
                <w:kern w:val="0"/>
                <w:szCs w:val="21"/>
              </w:rPr>
              <w:t>初始存放金额</w:t>
            </w:r>
          </w:p>
        </w:tc>
        <w:tc>
          <w:tcPr>
            <w:tcW w:w="885" w:type="pct"/>
            <w:shd w:val="clear" w:color="auto" w:fill="D9D9D9"/>
            <w:noWrap w:val="0"/>
            <w:vAlign w:val="center"/>
          </w:tcPr>
          <w:p w14:paraId="6195742C">
            <w:pPr>
              <w:jc w:val="center"/>
              <w:rPr>
                <w:rFonts w:ascii="Times New Roman" w:hAnsi="Times New Roman"/>
                <w:b/>
                <w:bCs/>
                <w:kern w:val="0"/>
                <w:szCs w:val="21"/>
              </w:rPr>
            </w:pPr>
            <w:r>
              <w:rPr>
                <w:rFonts w:ascii="Times New Roman" w:hAnsi="Times New Roman"/>
                <w:b/>
                <w:bCs/>
                <w:kern w:val="0"/>
                <w:szCs w:val="21"/>
              </w:rPr>
              <w:t>截止日余额</w:t>
            </w:r>
          </w:p>
        </w:tc>
        <w:tc>
          <w:tcPr>
            <w:tcW w:w="477" w:type="pct"/>
            <w:shd w:val="clear" w:color="auto" w:fill="D9D9D9"/>
            <w:noWrap w:val="0"/>
            <w:vAlign w:val="center"/>
          </w:tcPr>
          <w:p w14:paraId="5A34F8D0">
            <w:pPr>
              <w:jc w:val="center"/>
              <w:rPr>
                <w:rFonts w:ascii="Times New Roman" w:hAnsi="Times New Roman"/>
                <w:b/>
                <w:bCs/>
                <w:kern w:val="0"/>
                <w:szCs w:val="21"/>
              </w:rPr>
            </w:pPr>
            <w:r>
              <w:rPr>
                <w:rFonts w:ascii="Times New Roman" w:hAnsi="Times New Roman"/>
                <w:b/>
                <w:bCs/>
                <w:kern w:val="0"/>
                <w:szCs w:val="21"/>
              </w:rPr>
              <w:t>存储方式</w:t>
            </w:r>
          </w:p>
        </w:tc>
      </w:tr>
      <w:tr w14:paraId="12468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397" w:hRule="atLeast"/>
        </w:trPr>
        <w:tc>
          <w:tcPr>
            <w:tcW w:w="979" w:type="pct"/>
            <w:shd w:val="clear" w:color="auto" w:fill="auto"/>
            <w:noWrap w:val="0"/>
            <w:vAlign w:val="center"/>
          </w:tcPr>
          <w:p w14:paraId="1605CD47">
            <w:pPr>
              <w:rPr>
                <w:rFonts w:ascii="Times New Roman" w:hAnsi="Times New Roman"/>
                <w:kern w:val="0"/>
                <w:szCs w:val="21"/>
              </w:rPr>
            </w:pPr>
            <w:r>
              <w:rPr>
                <w:rFonts w:ascii="Times New Roman" w:hAnsi="Times New Roman"/>
                <w:kern w:val="0"/>
                <w:szCs w:val="21"/>
              </w:rPr>
              <w:t>浙商银行股份有限公司绍兴上虞支行</w:t>
            </w:r>
          </w:p>
        </w:tc>
        <w:tc>
          <w:tcPr>
            <w:tcW w:w="1662" w:type="pct"/>
            <w:shd w:val="clear" w:color="auto" w:fill="auto"/>
            <w:noWrap w:val="0"/>
            <w:vAlign w:val="center"/>
          </w:tcPr>
          <w:p w14:paraId="3F11D226">
            <w:pPr>
              <w:jc w:val="center"/>
              <w:rPr>
                <w:rFonts w:ascii="Times New Roman" w:hAnsi="Times New Roman"/>
                <w:kern w:val="0"/>
                <w:szCs w:val="21"/>
              </w:rPr>
            </w:pPr>
            <w:r>
              <w:rPr>
                <w:rFonts w:ascii="Times New Roman" w:hAnsi="Times New Roman"/>
                <w:kern w:val="0"/>
                <w:szCs w:val="21"/>
              </w:rPr>
              <w:t>3371020210120100198791</w:t>
            </w:r>
          </w:p>
        </w:tc>
        <w:tc>
          <w:tcPr>
            <w:tcW w:w="997" w:type="pct"/>
            <w:shd w:val="clear" w:color="auto" w:fill="auto"/>
            <w:noWrap w:val="0"/>
            <w:vAlign w:val="center"/>
          </w:tcPr>
          <w:p w14:paraId="6CB9B9A0">
            <w:pPr>
              <w:jc w:val="right"/>
              <w:rPr>
                <w:rFonts w:ascii="Times New Roman" w:hAnsi="Times New Roman"/>
                <w:kern w:val="0"/>
                <w:szCs w:val="21"/>
              </w:rPr>
            </w:pPr>
            <w:r>
              <w:rPr>
                <w:rFonts w:ascii="Times New Roman" w:hAnsi="Times New Roman"/>
                <w:kern w:val="0"/>
                <w:szCs w:val="21"/>
              </w:rPr>
              <w:t>565,169,976.80</w:t>
            </w:r>
          </w:p>
        </w:tc>
        <w:tc>
          <w:tcPr>
            <w:tcW w:w="885" w:type="pct"/>
            <w:shd w:val="clear" w:color="auto" w:fill="auto"/>
            <w:noWrap w:val="0"/>
            <w:vAlign w:val="center"/>
          </w:tcPr>
          <w:p w14:paraId="6631E62F">
            <w:pPr>
              <w:jc w:val="right"/>
              <w:rPr>
                <w:rFonts w:ascii="Times New Roman" w:hAnsi="Times New Roman"/>
                <w:kern w:val="0"/>
                <w:szCs w:val="21"/>
              </w:rPr>
            </w:pPr>
            <w:r>
              <w:rPr>
                <w:rFonts w:ascii="Times New Roman" w:hAnsi="Times New Roman"/>
                <w:kern w:val="0"/>
                <w:szCs w:val="21"/>
              </w:rPr>
              <w:t>180.45</w:t>
            </w:r>
          </w:p>
        </w:tc>
        <w:tc>
          <w:tcPr>
            <w:tcW w:w="477" w:type="pct"/>
            <w:shd w:val="clear" w:color="auto" w:fill="auto"/>
            <w:noWrap w:val="0"/>
            <w:vAlign w:val="center"/>
          </w:tcPr>
          <w:p w14:paraId="5C1A730D">
            <w:pPr>
              <w:jc w:val="center"/>
              <w:rPr>
                <w:rFonts w:ascii="Times New Roman" w:hAnsi="Times New Roman"/>
                <w:kern w:val="0"/>
                <w:szCs w:val="21"/>
              </w:rPr>
            </w:pPr>
            <w:r>
              <w:rPr>
                <w:rFonts w:ascii="Times New Roman" w:hAnsi="Times New Roman"/>
                <w:kern w:val="0"/>
                <w:szCs w:val="21"/>
              </w:rPr>
              <w:t>活期</w:t>
            </w:r>
          </w:p>
        </w:tc>
      </w:tr>
      <w:tr w14:paraId="6E2A8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397" w:hRule="atLeast"/>
        </w:trPr>
        <w:tc>
          <w:tcPr>
            <w:tcW w:w="979" w:type="pct"/>
            <w:shd w:val="clear" w:color="auto" w:fill="auto"/>
            <w:noWrap w:val="0"/>
            <w:vAlign w:val="center"/>
          </w:tcPr>
          <w:p w14:paraId="43D54742">
            <w:pPr>
              <w:rPr>
                <w:rFonts w:ascii="Times New Roman" w:hAnsi="Times New Roman"/>
                <w:kern w:val="0"/>
                <w:szCs w:val="21"/>
              </w:rPr>
            </w:pPr>
            <w:r>
              <w:rPr>
                <w:rFonts w:ascii="Times New Roman" w:hAnsi="Times New Roman"/>
                <w:kern w:val="0"/>
                <w:szCs w:val="21"/>
              </w:rPr>
              <w:t>中国建设银行股份有限公司深圳罗湖支行</w:t>
            </w:r>
          </w:p>
        </w:tc>
        <w:tc>
          <w:tcPr>
            <w:tcW w:w="1662" w:type="pct"/>
            <w:shd w:val="clear" w:color="auto" w:fill="auto"/>
            <w:noWrap w:val="0"/>
            <w:vAlign w:val="center"/>
          </w:tcPr>
          <w:p w14:paraId="6F3F4578">
            <w:pPr>
              <w:jc w:val="center"/>
              <w:rPr>
                <w:rFonts w:ascii="Times New Roman" w:hAnsi="Times New Roman"/>
                <w:kern w:val="0"/>
                <w:szCs w:val="21"/>
              </w:rPr>
            </w:pPr>
            <w:r>
              <w:rPr>
                <w:rFonts w:ascii="Times New Roman" w:hAnsi="Times New Roman"/>
                <w:kern w:val="0"/>
                <w:szCs w:val="21"/>
              </w:rPr>
              <w:t>44250100002809999888</w:t>
            </w:r>
          </w:p>
        </w:tc>
        <w:tc>
          <w:tcPr>
            <w:tcW w:w="997" w:type="pct"/>
            <w:shd w:val="clear" w:color="auto" w:fill="auto"/>
            <w:noWrap w:val="0"/>
            <w:vAlign w:val="center"/>
          </w:tcPr>
          <w:p w14:paraId="7998365E">
            <w:pPr>
              <w:jc w:val="right"/>
              <w:rPr>
                <w:rFonts w:ascii="Times New Roman" w:hAnsi="Times New Roman"/>
                <w:kern w:val="0"/>
                <w:szCs w:val="21"/>
              </w:rPr>
            </w:pPr>
            <w:r>
              <w:rPr>
                <w:rFonts w:ascii="Times New Roman" w:hAnsi="Times New Roman"/>
                <w:kern w:val="0"/>
                <w:szCs w:val="21"/>
              </w:rPr>
              <w:t>565,169,976.80</w:t>
            </w:r>
          </w:p>
        </w:tc>
        <w:tc>
          <w:tcPr>
            <w:tcW w:w="885" w:type="pct"/>
            <w:shd w:val="clear" w:color="auto" w:fill="auto"/>
            <w:noWrap w:val="0"/>
            <w:vAlign w:val="center"/>
          </w:tcPr>
          <w:p w14:paraId="0FCB2061">
            <w:pPr>
              <w:jc w:val="right"/>
              <w:rPr>
                <w:rFonts w:ascii="Times New Roman" w:hAnsi="Times New Roman"/>
                <w:kern w:val="0"/>
                <w:szCs w:val="21"/>
              </w:rPr>
            </w:pPr>
            <w:r>
              <w:rPr>
                <w:rFonts w:ascii="Times New Roman" w:hAnsi="Times New Roman"/>
                <w:kern w:val="0"/>
                <w:szCs w:val="21"/>
              </w:rPr>
              <w:t>1,766.56</w:t>
            </w:r>
          </w:p>
        </w:tc>
        <w:tc>
          <w:tcPr>
            <w:tcW w:w="477" w:type="pct"/>
            <w:shd w:val="clear" w:color="auto" w:fill="auto"/>
            <w:noWrap w:val="0"/>
            <w:vAlign w:val="center"/>
          </w:tcPr>
          <w:p w14:paraId="22D7280A">
            <w:pPr>
              <w:jc w:val="center"/>
              <w:rPr>
                <w:rFonts w:ascii="Times New Roman" w:hAnsi="Times New Roman"/>
                <w:kern w:val="0"/>
                <w:szCs w:val="21"/>
              </w:rPr>
            </w:pPr>
            <w:r>
              <w:rPr>
                <w:rFonts w:ascii="Times New Roman" w:hAnsi="Times New Roman"/>
                <w:kern w:val="0"/>
                <w:szCs w:val="21"/>
              </w:rPr>
              <w:t>活期</w:t>
            </w:r>
          </w:p>
        </w:tc>
      </w:tr>
      <w:tr w14:paraId="7F9A0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397" w:hRule="atLeast"/>
        </w:trPr>
        <w:tc>
          <w:tcPr>
            <w:tcW w:w="979" w:type="pct"/>
            <w:shd w:val="clear" w:color="auto" w:fill="auto"/>
            <w:noWrap w:val="0"/>
            <w:vAlign w:val="center"/>
          </w:tcPr>
          <w:p w14:paraId="53B7AF71">
            <w:pPr>
              <w:jc w:val="center"/>
              <w:rPr>
                <w:rFonts w:ascii="Times New Roman" w:hAnsi="Times New Roman"/>
                <w:b/>
                <w:bCs/>
                <w:kern w:val="0"/>
                <w:szCs w:val="21"/>
              </w:rPr>
            </w:pPr>
            <w:r>
              <w:rPr>
                <w:rFonts w:ascii="Times New Roman" w:hAnsi="Times New Roman"/>
                <w:b/>
                <w:bCs/>
                <w:kern w:val="0"/>
                <w:szCs w:val="21"/>
              </w:rPr>
              <w:t>合计</w:t>
            </w:r>
          </w:p>
        </w:tc>
        <w:tc>
          <w:tcPr>
            <w:tcW w:w="1662" w:type="pct"/>
            <w:shd w:val="clear" w:color="auto" w:fill="auto"/>
            <w:noWrap w:val="0"/>
            <w:vAlign w:val="center"/>
          </w:tcPr>
          <w:p w14:paraId="49E16908">
            <w:pPr>
              <w:jc w:val="center"/>
              <w:rPr>
                <w:rFonts w:ascii="Times New Roman" w:hAnsi="Times New Roman"/>
                <w:b/>
                <w:bCs/>
                <w:kern w:val="0"/>
                <w:szCs w:val="21"/>
              </w:rPr>
            </w:pPr>
            <w:r>
              <w:rPr>
                <w:rFonts w:ascii="Times New Roman" w:hAnsi="Times New Roman"/>
                <w:b/>
                <w:bCs/>
                <w:kern w:val="0"/>
                <w:szCs w:val="21"/>
              </w:rPr>
              <w:t>-</w:t>
            </w:r>
          </w:p>
        </w:tc>
        <w:tc>
          <w:tcPr>
            <w:tcW w:w="997" w:type="pct"/>
            <w:shd w:val="clear" w:color="auto" w:fill="auto"/>
            <w:noWrap w:val="0"/>
            <w:vAlign w:val="center"/>
          </w:tcPr>
          <w:p w14:paraId="2D1831BB">
            <w:pPr>
              <w:jc w:val="right"/>
              <w:rPr>
                <w:rFonts w:ascii="Times New Roman" w:hAnsi="Times New Roman"/>
                <w:b/>
                <w:bCs/>
                <w:kern w:val="0"/>
                <w:szCs w:val="21"/>
              </w:rPr>
            </w:pPr>
            <w:r>
              <w:rPr>
                <w:rFonts w:ascii="Times New Roman" w:hAnsi="Times New Roman"/>
                <w:b/>
                <w:bCs/>
                <w:kern w:val="0"/>
                <w:szCs w:val="21"/>
              </w:rPr>
              <w:t>1,130,339,953.60</w:t>
            </w:r>
          </w:p>
        </w:tc>
        <w:tc>
          <w:tcPr>
            <w:tcW w:w="885" w:type="pct"/>
            <w:shd w:val="clear" w:color="auto" w:fill="auto"/>
            <w:noWrap w:val="0"/>
            <w:vAlign w:val="center"/>
          </w:tcPr>
          <w:p w14:paraId="12145951">
            <w:pPr>
              <w:jc w:val="right"/>
              <w:rPr>
                <w:rFonts w:ascii="Times New Roman" w:hAnsi="Times New Roman"/>
                <w:b/>
                <w:bCs/>
                <w:kern w:val="0"/>
                <w:szCs w:val="21"/>
              </w:rPr>
            </w:pPr>
            <w:r>
              <w:rPr>
                <w:rFonts w:ascii="Times New Roman" w:hAnsi="Times New Roman"/>
                <w:b/>
                <w:bCs/>
                <w:kern w:val="0"/>
                <w:szCs w:val="21"/>
              </w:rPr>
              <w:t>1,947.01</w:t>
            </w:r>
          </w:p>
        </w:tc>
        <w:tc>
          <w:tcPr>
            <w:tcW w:w="477" w:type="pct"/>
            <w:shd w:val="clear" w:color="auto" w:fill="auto"/>
            <w:noWrap w:val="0"/>
            <w:vAlign w:val="center"/>
          </w:tcPr>
          <w:p w14:paraId="71033A63">
            <w:pPr>
              <w:jc w:val="center"/>
              <w:rPr>
                <w:rFonts w:ascii="Times New Roman" w:hAnsi="Times New Roman"/>
                <w:b/>
                <w:kern w:val="0"/>
                <w:szCs w:val="21"/>
              </w:rPr>
            </w:pPr>
            <w:r>
              <w:rPr>
                <w:rFonts w:ascii="Times New Roman" w:hAnsi="Times New Roman"/>
                <w:b/>
                <w:kern w:val="0"/>
                <w:szCs w:val="21"/>
              </w:rPr>
              <w:t>-</w:t>
            </w:r>
          </w:p>
        </w:tc>
      </w:tr>
    </w:tbl>
    <w:p w14:paraId="28740B30">
      <w:pPr>
        <w:spacing w:before="156" w:beforeLines="50" w:after="156" w:afterLines="50" w:line="360" w:lineRule="auto"/>
        <w:ind w:firstLine="480" w:firstLineChars="200"/>
        <w:rPr>
          <w:rFonts w:ascii="Times New Roman" w:hAnsi="Times New Roman"/>
          <w:bCs/>
          <w:sz w:val="24"/>
        </w:rPr>
      </w:pPr>
      <w:r>
        <w:rPr>
          <w:rFonts w:ascii="Times New Roman" w:hAnsi="Times New Roman"/>
          <w:bCs/>
          <w:sz w:val="24"/>
        </w:rPr>
        <w:t>截至本核查意见出具日，上述用于存放募集资金的浙商银行股份有限公司绍兴上虞支行、中国建设银行股份有限公司深圳罗湖支行专户</w:t>
      </w:r>
      <w:r>
        <w:rPr>
          <w:rFonts w:hint="eastAsia" w:ascii="Times New Roman" w:hAnsi="Times New Roman"/>
          <w:bCs/>
          <w:sz w:val="24"/>
        </w:rPr>
        <w:t>在</w:t>
      </w:r>
      <w:r>
        <w:rPr>
          <w:rFonts w:ascii="Times New Roman" w:hAnsi="Times New Roman"/>
          <w:bCs/>
          <w:sz w:val="24"/>
        </w:rPr>
        <w:t>扣除手续费后已销户。至此，公司2021年非公开发行股票募集资金已全部使用完毕，募集资金专户已全部注销。</w:t>
      </w:r>
    </w:p>
    <w:p w14:paraId="602CBE28">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三、本年度募集资金的实际使用情况</w:t>
      </w:r>
    </w:p>
    <w:p w14:paraId="13429103">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1、募集情况使用情况</w:t>
      </w:r>
    </w:p>
    <w:p w14:paraId="4CCE9608">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2024年度，公司募投项目的资金使用情况详见附表1《募集资金使用情况对照表》。</w:t>
      </w:r>
    </w:p>
    <w:p w14:paraId="565CF2B5">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2、募集资金投资项目的实施地点、实施方式变更情况</w:t>
      </w:r>
    </w:p>
    <w:p w14:paraId="14A2EBC3">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2024年度，公司不存在募集资金投资项目实施地点、实施方式变更的情况。</w:t>
      </w:r>
    </w:p>
    <w:p w14:paraId="72CC1FFC">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3、募集资金投资项目先期投入及置换情况</w:t>
      </w:r>
    </w:p>
    <w:p w14:paraId="53BE897A">
      <w:pPr>
        <w:spacing w:before="156" w:beforeLines="50" w:after="156" w:afterLines="50" w:line="360" w:lineRule="auto"/>
        <w:ind w:firstLine="480" w:firstLineChars="200"/>
        <w:rPr>
          <w:rFonts w:ascii="Times New Roman" w:hAnsi="Times New Roman"/>
          <w:bCs/>
          <w:sz w:val="24"/>
        </w:rPr>
      </w:pPr>
      <w:r>
        <w:rPr>
          <w:rFonts w:ascii="Times New Roman" w:hAnsi="Times New Roman"/>
          <w:bCs/>
          <w:sz w:val="24"/>
        </w:rPr>
        <w:t>2024年度，公司不存在募集资金投资项目先期投入及置换情况。</w:t>
      </w:r>
    </w:p>
    <w:p w14:paraId="12E3FA96">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4、用闲置募集资金暂时补充流动资金情况</w:t>
      </w:r>
    </w:p>
    <w:p w14:paraId="0845AE74">
      <w:pPr>
        <w:spacing w:before="156" w:beforeLines="50" w:after="156" w:afterLines="50" w:line="360" w:lineRule="auto"/>
        <w:ind w:firstLine="480" w:firstLineChars="200"/>
        <w:rPr>
          <w:rFonts w:ascii="Times New Roman" w:hAnsi="Times New Roman"/>
          <w:bCs/>
          <w:sz w:val="24"/>
        </w:rPr>
      </w:pPr>
      <w:r>
        <w:rPr>
          <w:rFonts w:hint="eastAsia" w:ascii="Times New Roman" w:hAnsi="Times New Roman"/>
          <w:bCs/>
          <w:sz w:val="24"/>
        </w:rPr>
        <w:t>公司于2023年9月19日召开第八届董事会2023年第三次临时会议、第八届监事会第十五次会议，审议通过了《关于使用部分闲置募集资金暂时补充流动资金的议案》，同意公司使用不超过1.8亿元人民币的闲置募集资金暂时补充流动资金，使用期限自董事会审议通过之日起不超过十二个月。在使用期间内，公司实际使用闲置募集资金1.7亿元人民币临时补充流动资全，2024年度公司归还5,663.00万元。截至2024年8月28日，公司已将上述用于临时补充流动资金的募集资金全部归还至募集资金专户，使用期限未超过12个月。</w:t>
      </w:r>
    </w:p>
    <w:p w14:paraId="6D1708B9">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5、节余募集资金使用情况</w:t>
      </w:r>
    </w:p>
    <w:p w14:paraId="7B4E819B">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2024年度，公司不存在节余募集资金使用的情况。</w:t>
      </w:r>
    </w:p>
    <w:p w14:paraId="0492714F">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6、超募资金使用情况</w:t>
      </w:r>
    </w:p>
    <w:p w14:paraId="7A02B5DB">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2024年度，公司不存在超募资金使用的情况。</w:t>
      </w:r>
    </w:p>
    <w:p w14:paraId="3B257F93">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7、尚未使用的募集资金用途及去向</w:t>
      </w:r>
    </w:p>
    <w:p w14:paraId="089D5AF5">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2024年度，公司尚未使用募集资金1,947.01元在期后扣除销户手续费后已转至公司基本户。</w:t>
      </w:r>
    </w:p>
    <w:p w14:paraId="5AC5350C">
      <w:pPr>
        <w:spacing w:before="156" w:beforeLines="50" w:after="156" w:afterLines="50" w:line="360" w:lineRule="auto"/>
        <w:ind w:firstLine="480" w:firstLineChars="200"/>
        <w:rPr>
          <w:rFonts w:ascii="Times New Roman" w:hAnsi="Times New Roman"/>
          <w:b/>
          <w:sz w:val="24"/>
        </w:rPr>
      </w:pPr>
      <w:r>
        <w:rPr>
          <w:rFonts w:ascii="Times New Roman" w:hAnsi="Times New Roman"/>
          <w:b/>
          <w:sz w:val="24"/>
        </w:rPr>
        <w:t>8、募集资金使用的其他情况</w:t>
      </w:r>
    </w:p>
    <w:p w14:paraId="1914873B">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2024年度，公司不存在募集资金使用的其他情况。</w:t>
      </w:r>
    </w:p>
    <w:p w14:paraId="1FBC4266">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四、变更募集资金投资项目的资金使用情况</w:t>
      </w:r>
    </w:p>
    <w:p w14:paraId="63D18982">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公司于2021年12月24日召开第八届董事会2021年第一次临时会议，2022年1月10日召开公司2022年第一次临时股东大会，审议通过《关于变更部分募集资金投资项目的议案》，同意将公司2021年非公开发行股票募集资金投资项目华孚（越南）50万锭新型纱线项目（一期）变更为30万锭智能纺纱产业园项目（项目实施地在安徽省淮北市）。变更募集资金投资项目的资金使用情况详见附表2《变更募集资金投资项目情况表》。</w:t>
      </w:r>
    </w:p>
    <w:p w14:paraId="17744B57">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五、募集资金使用及披露中存在的问题</w:t>
      </w:r>
    </w:p>
    <w:p w14:paraId="4A182008">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2024年度，公司已按《深圳证券交易所上市公司自律监管指引第1号——主板上市公司规范运作》等相关法律法规的规定及时、真实、准确、完整披露募集资金的使用与存放情况，不存在募集资金管理违规的情况。公司对募集资金的投向和进展情况均如实履行了披露义务，公司募集资金使用及披露不存在重大问题。</w:t>
      </w:r>
    </w:p>
    <w:p w14:paraId="29053353">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六、会计师事务所对公司年度募集资金存放与使用情况出具的鉴证报告的结论性意见</w:t>
      </w:r>
    </w:p>
    <w:p w14:paraId="7F99FE2A">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政旦志远（深圳）会计师事务所（特殊普通合伙）认为，华孚时尚募集资金专项报告在所有重大方面按照中国证监会《上市公司监管指引第2号——上市公司募集资金管理和使用的监管要求》、深圳证券交易所发布的《深圳证券交易所上市公司自律监管指引第1号——主板上市公司规范运作》及相关格式指引编制，在所有重大方面公允反映了华孚时尚2024年度募集资金存放与使用情况。</w:t>
      </w:r>
    </w:p>
    <w:p w14:paraId="2C1A2FA6">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七、保荐机构核查意见</w:t>
      </w:r>
    </w:p>
    <w:p w14:paraId="08B61521">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经核查，华孚时尚2024年度募集资金存放与使用情况符合相关法律法规和制度文件的规定，对募集资金进行了专户存储和专项使用，并及时履行了相关信息披露义务，募集资金具体使用情况与公司已披露情况一致，不存在变相改变募集资金用途和损害股东利益的情况，不存在违规使用募集资金的情形。保荐机构对华孚时尚在2024年度募集资金存放与使用情况无异议。</w:t>
      </w:r>
    </w:p>
    <w:p w14:paraId="52C7364D">
      <w:pPr>
        <w:spacing w:before="156" w:beforeLines="50" w:after="156" w:afterLines="50" w:line="360" w:lineRule="auto"/>
        <w:ind w:firstLine="480" w:firstLineChars="200"/>
        <w:rPr>
          <w:rFonts w:ascii="Times New Roman" w:hAnsi="Times New Roman"/>
          <w:sz w:val="24"/>
        </w:rPr>
      </w:pPr>
    </w:p>
    <w:p w14:paraId="2E09A08D">
      <w:pPr>
        <w:widowControl/>
        <w:jc w:val="left"/>
        <w:rPr>
          <w:rFonts w:ascii="Times New Roman" w:hAnsi="Times New Roman"/>
          <w:sz w:val="24"/>
        </w:rPr>
        <w:sectPr>
          <w:footerReference r:id="rId3" w:type="default"/>
          <w:pgSz w:w="11906" w:h="16838"/>
          <w:pgMar w:top="1440" w:right="1797" w:bottom="1440" w:left="1797" w:header="851" w:footer="992" w:gutter="0"/>
          <w:cols w:space="425" w:num="1"/>
          <w:docGrid w:type="linesAndChars" w:linePitch="312" w:charSpace="0"/>
        </w:sectPr>
      </w:pPr>
    </w:p>
    <w:p w14:paraId="7863BAD6">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附表1：</w:t>
      </w:r>
    </w:p>
    <w:p w14:paraId="6CCA2EB0">
      <w:pPr>
        <w:snapToGrid w:val="0"/>
        <w:spacing w:before="156" w:beforeLines="50" w:after="156" w:afterLines="50" w:line="360" w:lineRule="auto"/>
        <w:jc w:val="center"/>
        <w:rPr>
          <w:rFonts w:ascii="Times New Roman" w:hAnsi="Times New Roman"/>
          <w:b/>
          <w:kern w:val="0"/>
          <w:sz w:val="28"/>
          <w:szCs w:val="21"/>
        </w:rPr>
      </w:pPr>
      <w:r>
        <w:rPr>
          <w:rFonts w:ascii="Times New Roman" w:hAnsi="Times New Roman"/>
          <w:b/>
          <w:kern w:val="0"/>
          <w:sz w:val="28"/>
          <w:szCs w:val="21"/>
        </w:rPr>
        <w:t>募集资金使用情况对照表</w:t>
      </w:r>
    </w:p>
    <w:p w14:paraId="45D57436">
      <w:pPr>
        <w:snapToGrid w:val="0"/>
        <w:jc w:val="right"/>
        <w:rPr>
          <w:rFonts w:ascii="Times New Roman" w:hAnsi="Times New Roman"/>
          <w:b/>
          <w:sz w:val="18"/>
          <w:szCs w:val="18"/>
        </w:rPr>
      </w:pPr>
      <w:r>
        <w:rPr>
          <w:rFonts w:ascii="Times New Roman" w:hAnsi="Times New Roman"/>
          <w:sz w:val="18"/>
          <w:szCs w:val="18"/>
        </w:rPr>
        <w:t>单位：元</w:t>
      </w:r>
    </w:p>
    <w:tbl>
      <w:tblPr>
        <w:tblStyle w:val="7"/>
        <w:tblW w:w="1406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28" w:type="dxa"/>
          <w:bottom w:w="0" w:type="dxa"/>
          <w:right w:w="28" w:type="dxa"/>
        </w:tblCellMar>
      </w:tblPr>
      <w:tblGrid>
        <w:gridCol w:w="2644"/>
        <w:gridCol w:w="857"/>
        <w:gridCol w:w="1476"/>
        <w:gridCol w:w="1476"/>
        <w:gridCol w:w="1311"/>
        <w:gridCol w:w="1476"/>
        <w:gridCol w:w="1103"/>
        <w:gridCol w:w="69"/>
        <w:gridCol w:w="884"/>
        <w:gridCol w:w="1251"/>
        <w:gridCol w:w="606"/>
        <w:gridCol w:w="907"/>
      </w:tblGrid>
      <w:tr w14:paraId="2E393A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wBefore w:w="0" w:type="dxa"/>
          <w:trHeight w:val="454" w:hRule="atLeast"/>
        </w:trPr>
        <w:tc>
          <w:tcPr>
            <w:tcW w:w="3686" w:type="dxa"/>
            <w:gridSpan w:val="2"/>
            <w:noWrap w:val="0"/>
            <w:vAlign w:val="center"/>
          </w:tcPr>
          <w:p w14:paraId="769456C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募集资金总额</w:t>
            </w:r>
          </w:p>
        </w:tc>
        <w:tc>
          <w:tcPr>
            <w:tcW w:w="4111" w:type="dxa"/>
            <w:gridSpan w:val="3"/>
            <w:noWrap w:val="0"/>
            <w:vAlign w:val="center"/>
          </w:tcPr>
          <w:p w14:paraId="51FE1543">
            <w:pPr>
              <w:widowControl/>
              <w:snapToGrid w:val="0"/>
              <w:spacing w:line="276" w:lineRule="auto"/>
              <w:ind w:right="210" w:rightChars="100"/>
              <w:jc w:val="right"/>
              <w:rPr>
                <w:rFonts w:ascii="Times New Roman" w:hAnsi="Times New Roman"/>
                <w:color w:val="000000"/>
                <w:kern w:val="0"/>
                <w:sz w:val="18"/>
                <w:szCs w:val="18"/>
              </w:rPr>
            </w:pPr>
            <w:r>
              <w:rPr>
                <w:rFonts w:ascii="Times New Roman" w:hAnsi="Times New Roman" w:eastAsia="Arial Narrow"/>
                <w:color w:val="000000"/>
                <w:kern w:val="0"/>
                <w:sz w:val="18"/>
                <w:szCs w:val="18"/>
                <w:lang w:bidi="ar"/>
              </w:rPr>
              <w:t>1,126,375,384.78</w:t>
            </w:r>
          </w:p>
        </w:tc>
        <w:tc>
          <w:tcPr>
            <w:tcW w:w="2608" w:type="dxa"/>
            <w:gridSpan w:val="3"/>
            <w:noWrap w:val="0"/>
            <w:vAlign w:val="center"/>
          </w:tcPr>
          <w:p w14:paraId="74C3253C">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本年度投入募集资金总额</w:t>
            </w:r>
          </w:p>
        </w:tc>
        <w:tc>
          <w:tcPr>
            <w:tcW w:w="3655" w:type="dxa"/>
            <w:gridSpan w:val="4"/>
            <w:noWrap w:val="0"/>
            <w:vAlign w:val="center"/>
          </w:tcPr>
          <w:p w14:paraId="7B1EBCE8">
            <w:pPr>
              <w:widowControl/>
              <w:snapToGrid w:val="0"/>
              <w:spacing w:line="276" w:lineRule="auto"/>
              <w:ind w:right="142" w:rightChars="68"/>
              <w:jc w:val="right"/>
              <w:rPr>
                <w:rFonts w:ascii="Times New Roman" w:hAnsi="Times New Roman" w:eastAsia="等线"/>
                <w:color w:val="000000"/>
                <w:kern w:val="0"/>
                <w:sz w:val="18"/>
                <w:szCs w:val="18"/>
                <w:vertAlign w:val="superscript"/>
                <w:lang w:bidi="ar"/>
              </w:rPr>
            </w:pPr>
            <w:r>
              <w:rPr>
                <w:rFonts w:ascii="Times New Roman" w:hAnsi="Times New Roman" w:eastAsia="Arial Narrow"/>
                <w:color w:val="000000"/>
                <w:kern w:val="0"/>
                <w:sz w:val="18"/>
                <w:szCs w:val="18"/>
                <w:lang w:bidi="ar"/>
              </w:rPr>
              <w:t>1,649,165.89</w:t>
            </w:r>
            <w:r>
              <w:rPr>
                <w:rFonts w:hint="eastAsia" w:ascii="宋体" w:hAnsi="宋体" w:cs="宋体"/>
                <w:color w:val="000000"/>
                <w:kern w:val="0"/>
                <w:szCs w:val="21"/>
                <w:vertAlign w:val="superscript"/>
                <w:lang w:bidi="ar"/>
              </w:rPr>
              <w:t>注</w:t>
            </w:r>
          </w:p>
        </w:tc>
      </w:tr>
      <w:tr w14:paraId="013ABF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wBefore w:w="0" w:type="dxa"/>
          <w:trHeight w:val="454" w:hRule="atLeast"/>
        </w:trPr>
        <w:tc>
          <w:tcPr>
            <w:tcW w:w="3686" w:type="dxa"/>
            <w:gridSpan w:val="2"/>
            <w:noWrap w:val="0"/>
            <w:vAlign w:val="center"/>
          </w:tcPr>
          <w:p w14:paraId="7E76F23F">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报告期内变更用途的募集资金总额</w:t>
            </w:r>
          </w:p>
        </w:tc>
        <w:tc>
          <w:tcPr>
            <w:tcW w:w="4111" w:type="dxa"/>
            <w:gridSpan w:val="3"/>
            <w:noWrap w:val="0"/>
            <w:vAlign w:val="center"/>
          </w:tcPr>
          <w:p w14:paraId="42C2D387">
            <w:pPr>
              <w:widowControl/>
              <w:snapToGrid w:val="0"/>
              <w:spacing w:line="276" w:lineRule="auto"/>
              <w:ind w:right="210" w:rightChars="10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2608" w:type="dxa"/>
            <w:gridSpan w:val="3"/>
            <w:vMerge w:val="restart"/>
            <w:noWrap w:val="0"/>
            <w:vAlign w:val="center"/>
          </w:tcPr>
          <w:p w14:paraId="4F6536C6">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已累计投入募集资金总额</w:t>
            </w:r>
          </w:p>
        </w:tc>
        <w:tc>
          <w:tcPr>
            <w:tcW w:w="3655" w:type="dxa"/>
            <w:gridSpan w:val="4"/>
            <w:vMerge w:val="restart"/>
            <w:noWrap w:val="0"/>
            <w:vAlign w:val="center"/>
          </w:tcPr>
          <w:p w14:paraId="3B5D4C0D">
            <w:pPr>
              <w:widowControl/>
              <w:snapToGrid w:val="0"/>
              <w:spacing w:line="276" w:lineRule="auto"/>
              <w:ind w:right="142" w:rightChars="68"/>
              <w:jc w:val="right"/>
              <w:rPr>
                <w:rFonts w:ascii="Times New Roman" w:hAnsi="Times New Roman" w:eastAsia="等线"/>
                <w:color w:val="000000"/>
                <w:kern w:val="0"/>
                <w:sz w:val="18"/>
                <w:szCs w:val="18"/>
                <w:lang w:bidi="ar"/>
              </w:rPr>
            </w:pPr>
            <w:r>
              <w:rPr>
                <w:rFonts w:ascii="Times New Roman" w:hAnsi="Times New Roman" w:eastAsia="Arial Narrow"/>
                <w:color w:val="000000"/>
                <w:kern w:val="0"/>
                <w:sz w:val="18"/>
                <w:szCs w:val="18"/>
                <w:lang w:bidi="ar"/>
              </w:rPr>
              <w:t>1,136,856,824.39</w:t>
            </w:r>
          </w:p>
        </w:tc>
      </w:tr>
      <w:tr w14:paraId="3E8743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wBefore w:w="0" w:type="dxa"/>
          <w:trHeight w:val="454" w:hRule="atLeast"/>
        </w:trPr>
        <w:tc>
          <w:tcPr>
            <w:tcW w:w="3686" w:type="dxa"/>
            <w:gridSpan w:val="2"/>
            <w:noWrap w:val="0"/>
            <w:vAlign w:val="center"/>
          </w:tcPr>
          <w:p w14:paraId="6216AB62">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累计变更用途的募集资金总额</w:t>
            </w:r>
          </w:p>
        </w:tc>
        <w:tc>
          <w:tcPr>
            <w:tcW w:w="4111" w:type="dxa"/>
            <w:gridSpan w:val="3"/>
            <w:noWrap w:val="0"/>
            <w:vAlign w:val="center"/>
          </w:tcPr>
          <w:p w14:paraId="0D03FCCB">
            <w:pPr>
              <w:widowControl/>
              <w:snapToGrid w:val="0"/>
              <w:spacing w:line="276" w:lineRule="auto"/>
              <w:ind w:right="210" w:rightChars="10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2608" w:type="dxa"/>
            <w:gridSpan w:val="3"/>
            <w:vMerge w:val="continue"/>
            <w:noWrap w:val="0"/>
            <w:vAlign w:val="center"/>
          </w:tcPr>
          <w:p w14:paraId="67305ED7">
            <w:pPr>
              <w:widowControl/>
              <w:snapToGrid w:val="0"/>
              <w:spacing w:line="276" w:lineRule="auto"/>
              <w:jc w:val="left"/>
              <w:rPr>
                <w:rFonts w:ascii="Times New Roman" w:hAnsi="Times New Roman"/>
                <w:color w:val="000000"/>
                <w:kern w:val="0"/>
                <w:sz w:val="18"/>
                <w:szCs w:val="18"/>
              </w:rPr>
            </w:pPr>
          </w:p>
        </w:tc>
        <w:tc>
          <w:tcPr>
            <w:tcW w:w="3655" w:type="dxa"/>
            <w:gridSpan w:val="4"/>
            <w:vMerge w:val="continue"/>
            <w:noWrap w:val="0"/>
            <w:vAlign w:val="center"/>
          </w:tcPr>
          <w:p w14:paraId="37E55700">
            <w:pPr>
              <w:widowControl/>
              <w:snapToGrid w:val="0"/>
              <w:spacing w:line="276" w:lineRule="auto"/>
              <w:ind w:right="210" w:rightChars="100"/>
              <w:jc w:val="right"/>
              <w:rPr>
                <w:rFonts w:ascii="Times New Roman" w:hAnsi="Times New Roman"/>
                <w:color w:val="000000"/>
                <w:kern w:val="0"/>
                <w:sz w:val="18"/>
                <w:szCs w:val="18"/>
              </w:rPr>
            </w:pPr>
          </w:p>
        </w:tc>
      </w:tr>
      <w:tr w14:paraId="7CE822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wBefore w:w="0" w:type="dxa"/>
          <w:trHeight w:val="454" w:hRule="atLeast"/>
        </w:trPr>
        <w:tc>
          <w:tcPr>
            <w:tcW w:w="3686" w:type="dxa"/>
            <w:gridSpan w:val="2"/>
            <w:noWrap w:val="0"/>
            <w:vAlign w:val="center"/>
          </w:tcPr>
          <w:p w14:paraId="015AA4EF">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累计变更用途的募集资金总额比例</w:t>
            </w:r>
          </w:p>
        </w:tc>
        <w:tc>
          <w:tcPr>
            <w:tcW w:w="4111" w:type="dxa"/>
            <w:gridSpan w:val="3"/>
            <w:noWrap w:val="0"/>
            <w:vAlign w:val="center"/>
          </w:tcPr>
          <w:p w14:paraId="5A69848E">
            <w:pPr>
              <w:widowControl/>
              <w:snapToGrid w:val="0"/>
              <w:spacing w:line="276" w:lineRule="auto"/>
              <w:ind w:right="210" w:rightChars="100"/>
              <w:jc w:val="right"/>
              <w:rPr>
                <w:rFonts w:ascii="Times New Roman" w:hAnsi="Times New Roman"/>
                <w:color w:val="000000"/>
                <w:kern w:val="0"/>
                <w:sz w:val="18"/>
                <w:szCs w:val="18"/>
              </w:rPr>
            </w:pPr>
            <w:r>
              <w:rPr>
                <w:rFonts w:ascii="Times New Roman" w:hAnsi="Times New Roman"/>
                <w:color w:val="000000"/>
                <w:kern w:val="0"/>
                <w:sz w:val="18"/>
                <w:szCs w:val="18"/>
              </w:rPr>
              <w:t>70.00%</w:t>
            </w:r>
          </w:p>
        </w:tc>
        <w:tc>
          <w:tcPr>
            <w:tcW w:w="2608" w:type="dxa"/>
            <w:gridSpan w:val="3"/>
            <w:vMerge w:val="continue"/>
            <w:noWrap w:val="0"/>
            <w:vAlign w:val="center"/>
          </w:tcPr>
          <w:p w14:paraId="6B255969">
            <w:pPr>
              <w:widowControl/>
              <w:snapToGrid w:val="0"/>
              <w:spacing w:line="276" w:lineRule="auto"/>
              <w:jc w:val="left"/>
              <w:rPr>
                <w:rFonts w:ascii="Times New Roman" w:hAnsi="Times New Roman"/>
                <w:color w:val="000000"/>
                <w:kern w:val="0"/>
                <w:sz w:val="18"/>
                <w:szCs w:val="18"/>
              </w:rPr>
            </w:pPr>
          </w:p>
        </w:tc>
        <w:tc>
          <w:tcPr>
            <w:tcW w:w="3655" w:type="dxa"/>
            <w:gridSpan w:val="4"/>
            <w:vMerge w:val="continue"/>
            <w:noWrap w:val="0"/>
            <w:vAlign w:val="center"/>
          </w:tcPr>
          <w:p w14:paraId="7EBC274D">
            <w:pPr>
              <w:widowControl/>
              <w:snapToGrid w:val="0"/>
              <w:spacing w:line="276" w:lineRule="auto"/>
              <w:ind w:right="210" w:rightChars="100"/>
              <w:jc w:val="right"/>
              <w:rPr>
                <w:rFonts w:ascii="Times New Roman" w:hAnsi="Times New Roman"/>
                <w:color w:val="000000"/>
                <w:kern w:val="0"/>
                <w:sz w:val="18"/>
                <w:szCs w:val="18"/>
              </w:rPr>
            </w:pPr>
          </w:p>
        </w:tc>
      </w:tr>
      <w:tr w14:paraId="29C6B2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52316207">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承诺投资项目和超募资金投向</w:t>
            </w:r>
          </w:p>
        </w:tc>
        <w:tc>
          <w:tcPr>
            <w:tcW w:w="879" w:type="dxa"/>
            <w:noWrap w:val="0"/>
            <w:vAlign w:val="center"/>
          </w:tcPr>
          <w:p w14:paraId="4D9D8AC1">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是否已变更项目（含部分变更）</w:t>
            </w:r>
          </w:p>
        </w:tc>
        <w:tc>
          <w:tcPr>
            <w:tcW w:w="1417" w:type="dxa"/>
            <w:noWrap w:val="0"/>
            <w:vAlign w:val="center"/>
          </w:tcPr>
          <w:p w14:paraId="2216195A">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募集资金承诺投资总额</w:t>
            </w:r>
          </w:p>
        </w:tc>
        <w:tc>
          <w:tcPr>
            <w:tcW w:w="1418" w:type="dxa"/>
            <w:noWrap w:val="0"/>
            <w:vAlign w:val="center"/>
          </w:tcPr>
          <w:p w14:paraId="10BE3FCF">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调整后投资总额(1)</w:t>
            </w:r>
          </w:p>
        </w:tc>
        <w:tc>
          <w:tcPr>
            <w:tcW w:w="1276" w:type="dxa"/>
            <w:noWrap w:val="0"/>
            <w:vAlign w:val="center"/>
          </w:tcPr>
          <w:p w14:paraId="7D6C15EC">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本年度投入金额</w:t>
            </w:r>
          </w:p>
        </w:tc>
        <w:tc>
          <w:tcPr>
            <w:tcW w:w="1417" w:type="dxa"/>
            <w:noWrap w:val="0"/>
            <w:vAlign w:val="center"/>
          </w:tcPr>
          <w:p w14:paraId="4A20DCDF">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截至期末累计投入金额(2)</w:t>
            </w:r>
          </w:p>
        </w:tc>
        <w:tc>
          <w:tcPr>
            <w:tcW w:w="1134" w:type="dxa"/>
            <w:noWrap w:val="0"/>
            <w:vAlign w:val="center"/>
          </w:tcPr>
          <w:p w14:paraId="699F74DE">
            <w:pPr>
              <w:widowControl/>
              <w:snapToGrid w:val="0"/>
              <w:spacing w:line="276" w:lineRule="auto"/>
              <w:ind w:left="-105" w:leftChars="-50" w:right="-105" w:rightChars="-50"/>
              <w:jc w:val="center"/>
              <w:rPr>
                <w:rFonts w:ascii="Times New Roman" w:hAnsi="Times New Roman"/>
                <w:color w:val="000000"/>
                <w:kern w:val="0"/>
                <w:sz w:val="18"/>
                <w:szCs w:val="18"/>
              </w:rPr>
            </w:pPr>
            <w:r>
              <w:rPr>
                <w:rFonts w:ascii="Times New Roman" w:hAnsi="Times New Roman"/>
                <w:color w:val="000000"/>
                <w:kern w:val="0"/>
                <w:sz w:val="18"/>
                <w:szCs w:val="18"/>
              </w:rPr>
              <w:t>截至期末投资进度（%）(3)＝(2)/(1)</w:t>
            </w:r>
          </w:p>
        </w:tc>
        <w:tc>
          <w:tcPr>
            <w:tcW w:w="942" w:type="dxa"/>
            <w:gridSpan w:val="2"/>
            <w:noWrap w:val="0"/>
            <w:vAlign w:val="center"/>
          </w:tcPr>
          <w:p w14:paraId="1301EC7B">
            <w:pPr>
              <w:widowControl/>
              <w:snapToGrid w:val="0"/>
              <w:spacing w:line="276" w:lineRule="auto"/>
              <w:ind w:right="-86" w:rightChars="-41"/>
              <w:jc w:val="center"/>
              <w:rPr>
                <w:rFonts w:ascii="Times New Roman" w:hAnsi="Times New Roman"/>
                <w:color w:val="000000"/>
                <w:kern w:val="0"/>
                <w:sz w:val="18"/>
                <w:szCs w:val="18"/>
              </w:rPr>
            </w:pPr>
            <w:r>
              <w:rPr>
                <w:rFonts w:ascii="Times New Roman" w:hAnsi="Times New Roman"/>
                <w:color w:val="000000"/>
                <w:kern w:val="0"/>
                <w:sz w:val="18"/>
                <w:szCs w:val="18"/>
              </w:rPr>
              <w:t>项目达到预定可使用状态日期</w:t>
            </w:r>
          </w:p>
        </w:tc>
        <w:tc>
          <w:tcPr>
            <w:tcW w:w="1201" w:type="dxa"/>
            <w:noWrap w:val="0"/>
            <w:vAlign w:val="center"/>
          </w:tcPr>
          <w:p w14:paraId="54BA4BE0">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本年度实现的效益</w:t>
            </w:r>
          </w:p>
        </w:tc>
        <w:tc>
          <w:tcPr>
            <w:tcW w:w="623" w:type="dxa"/>
            <w:noWrap w:val="0"/>
            <w:vAlign w:val="center"/>
          </w:tcPr>
          <w:p w14:paraId="772BA9B0">
            <w:pPr>
              <w:widowControl/>
              <w:snapToGrid w:val="0"/>
              <w:spacing w:line="276" w:lineRule="auto"/>
              <w:ind w:right="-98" w:rightChars="-47"/>
              <w:jc w:val="center"/>
              <w:rPr>
                <w:rFonts w:ascii="Times New Roman" w:hAnsi="Times New Roman"/>
                <w:color w:val="000000"/>
                <w:kern w:val="0"/>
                <w:sz w:val="18"/>
                <w:szCs w:val="18"/>
              </w:rPr>
            </w:pPr>
            <w:r>
              <w:rPr>
                <w:rFonts w:ascii="Times New Roman" w:hAnsi="Times New Roman"/>
                <w:color w:val="000000"/>
                <w:kern w:val="0"/>
                <w:sz w:val="18"/>
                <w:szCs w:val="18"/>
              </w:rPr>
              <w:t>是否达到预计效益</w:t>
            </w:r>
          </w:p>
        </w:tc>
        <w:tc>
          <w:tcPr>
            <w:tcW w:w="946" w:type="dxa"/>
            <w:noWrap w:val="0"/>
            <w:vAlign w:val="center"/>
          </w:tcPr>
          <w:p w14:paraId="3D040AFF">
            <w:pPr>
              <w:widowControl/>
              <w:snapToGrid w:val="0"/>
              <w:spacing w:line="276" w:lineRule="auto"/>
              <w:ind w:right="-75" w:rightChars="-36"/>
              <w:jc w:val="center"/>
              <w:rPr>
                <w:rFonts w:ascii="Times New Roman" w:hAnsi="Times New Roman"/>
                <w:color w:val="000000"/>
                <w:kern w:val="0"/>
                <w:sz w:val="18"/>
                <w:szCs w:val="18"/>
              </w:rPr>
            </w:pPr>
            <w:r>
              <w:rPr>
                <w:rFonts w:ascii="Times New Roman" w:hAnsi="Times New Roman"/>
                <w:color w:val="000000"/>
                <w:kern w:val="0"/>
                <w:sz w:val="18"/>
                <w:szCs w:val="18"/>
              </w:rPr>
              <w:t>项目可行性是否发生重大变化</w:t>
            </w:r>
          </w:p>
        </w:tc>
      </w:tr>
      <w:tr w14:paraId="0EDCC8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46A7E4F8">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承诺投资项目</w:t>
            </w:r>
          </w:p>
        </w:tc>
        <w:tc>
          <w:tcPr>
            <w:tcW w:w="11253" w:type="dxa"/>
            <w:gridSpan w:val="11"/>
            <w:noWrap w:val="0"/>
            <w:vAlign w:val="center"/>
          </w:tcPr>
          <w:p w14:paraId="2BF41FC7">
            <w:pPr>
              <w:widowControl/>
              <w:snapToGrid w:val="0"/>
              <w:spacing w:line="276" w:lineRule="auto"/>
              <w:jc w:val="center"/>
              <w:rPr>
                <w:rFonts w:ascii="Times New Roman" w:hAnsi="Times New Roman"/>
                <w:color w:val="000000"/>
                <w:kern w:val="0"/>
                <w:sz w:val="18"/>
                <w:szCs w:val="18"/>
              </w:rPr>
            </w:pPr>
          </w:p>
        </w:tc>
      </w:tr>
      <w:tr w14:paraId="751EF0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6DB60C0C">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1、华孚（越南）50万锭新型纱线项目（一期)</w:t>
            </w:r>
          </w:p>
        </w:tc>
        <w:tc>
          <w:tcPr>
            <w:tcW w:w="879" w:type="dxa"/>
            <w:noWrap w:val="0"/>
            <w:vAlign w:val="center"/>
          </w:tcPr>
          <w:p w14:paraId="6A4D9015">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是</w:t>
            </w:r>
          </w:p>
        </w:tc>
        <w:tc>
          <w:tcPr>
            <w:tcW w:w="1417" w:type="dxa"/>
            <w:noWrap w:val="0"/>
            <w:vAlign w:val="center"/>
          </w:tcPr>
          <w:p w14:paraId="59548543">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1,050,000,000.00</w:t>
            </w:r>
          </w:p>
        </w:tc>
        <w:tc>
          <w:tcPr>
            <w:tcW w:w="1418" w:type="dxa"/>
            <w:noWrap w:val="0"/>
            <w:vAlign w:val="center"/>
          </w:tcPr>
          <w:p w14:paraId="781E169C">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276" w:type="dxa"/>
            <w:noWrap w:val="0"/>
            <w:vAlign w:val="center"/>
          </w:tcPr>
          <w:p w14:paraId="75AA9EF6">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417" w:type="dxa"/>
            <w:noWrap w:val="0"/>
            <w:vAlign w:val="center"/>
          </w:tcPr>
          <w:p w14:paraId="11C65AC6">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134" w:type="dxa"/>
            <w:noWrap w:val="0"/>
            <w:vAlign w:val="center"/>
          </w:tcPr>
          <w:p w14:paraId="05D9E73D">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942" w:type="dxa"/>
            <w:gridSpan w:val="2"/>
            <w:noWrap w:val="0"/>
            <w:vAlign w:val="center"/>
          </w:tcPr>
          <w:p w14:paraId="1CFB518D">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已终止</w:t>
            </w:r>
          </w:p>
        </w:tc>
        <w:tc>
          <w:tcPr>
            <w:tcW w:w="1201" w:type="dxa"/>
            <w:noWrap w:val="0"/>
            <w:vAlign w:val="center"/>
          </w:tcPr>
          <w:p w14:paraId="6B9404A8">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eastAsia="Arial Narrow"/>
                <w:color w:val="000000"/>
                <w:kern w:val="0"/>
                <w:sz w:val="18"/>
                <w:szCs w:val="18"/>
                <w:lang w:bidi="ar"/>
              </w:rPr>
              <w:t>---</w:t>
            </w:r>
          </w:p>
        </w:tc>
        <w:tc>
          <w:tcPr>
            <w:tcW w:w="623" w:type="dxa"/>
            <w:noWrap w:val="0"/>
            <w:vAlign w:val="center"/>
          </w:tcPr>
          <w:p w14:paraId="0753B891">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不适用</w:t>
            </w:r>
          </w:p>
        </w:tc>
        <w:tc>
          <w:tcPr>
            <w:tcW w:w="946" w:type="dxa"/>
            <w:noWrap w:val="0"/>
            <w:vAlign w:val="center"/>
          </w:tcPr>
          <w:p w14:paraId="7169FD53">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是</w:t>
            </w:r>
          </w:p>
        </w:tc>
      </w:tr>
      <w:tr w14:paraId="442209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0327EB47">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2、淮北30万锭智能纺纱产业园项目</w:t>
            </w:r>
          </w:p>
        </w:tc>
        <w:tc>
          <w:tcPr>
            <w:tcW w:w="879" w:type="dxa"/>
            <w:noWrap w:val="0"/>
            <w:vAlign w:val="center"/>
          </w:tcPr>
          <w:p w14:paraId="3B124D7C">
            <w:pPr>
              <w:widowControl/>
              <w:snapToGrid w:val="0"/>
              <w:spacing w:line="276" w:lineRule="auto"/>
              <w:jc w:val="center"/>
              <w:rPr>
                <w:rFonts w:ascii="Times New Roman" w:hAnsi="Times New Roman"/>
                <w:color w:val="000000"/>
                <w:sz w:val="18"/>
                <w:szCs w:val="18"/>
              </w:rPr>
            </w:pPr>
            <w:r>
              <w:rPr>
                <w:rFonts w:ascii="Times New Roman" w:hAnsi="Times New Roman"/>
                <w:color w:val="000000"/>
                <w:sz w:val="18"/>
                <w:szCs w:val="18"/>
              </w:rPr>
              <w:t>是</w:t>
            </w:r>
          </w:p>
        </w:tc>
        <w:tc>
          <w:tcPr>
            <w:tcW w:w="1417" w:type="dxa"/>
            <w:noWrap w:val="0"/>
            <w:vAlign w:val="center"/>
          </w:tcPr>
          <w:p w14:paraId="76BDFCD2">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418" w:type="dxa"/>
            <w:noWrap w:val="0"/>
            <w:vAlign w:val="center"/>
          </w:tcPr>
          <w:p w14:paraId="34B7A692">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788,462,769.35</w:t>
            </w:r>
          </w:p>
        </w:tc>
        <w:tc>
          <w:tcPr>
            <w:tcW w:w="1276" w:type="dxa"/>
            <w:noWrap w:val="0"/>
            <w:vAlign w:val="center"/>
          </w:tcPr>
          <w:p w14:paraId="0BBBB742">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58,279,165.89</w:t>
            </w:r>
          </w:p>
        </w:tc>
        <w:tc>
          <w:tcPr>
            <w:tcW w:w="1417" w:type="dxa"/>
            <w:noWrap w:val="0"/>
            <w:vAlign w:val="center"/>
          </w:tcPr>
          <w:p w14:paraId="0D12D513">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798,944,208.96</w:t>
            </w:r>
          </w:p>
        </w:tc>
        <w:tc>
          <w:tcPr>
            <w:tcW w:w="1134" w:type="dxa"/>
            <w:noWrap w:val="0"/>
            <w:vAlign w:val="center"/>
          </w:tcPr>
          <w:p w14:paraId="697AFBC5">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101.53</w:t>
            </w:r>
          </w:p>
        </w:tc>
        <w:tc>
          <w:tcPr>
            <w:tcW w:w="942" w:type="dxa"/>
            <w:gridSpan w:val="2"/>
            <w:noWrap w:val="0"/>
            <w:vAlign w:val="center"/>
          </w:tcPr>
          <w:p w14:paraId="372140F3">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eastAsia="Arial Narrow"/>
                <w:color w:val="000000"/>
                <w:kern w:val="0"/>
                <w:sz w:val="18"/>
                <w:szCs w:val="18"/>
                <w:lang w:bidi="ar"/>
              </w:rPr>
              <w:t>202</w:t>
            </w:r>
            <w:r>
              <w:rPr>
                <w:rFonts w:ascii="Times New Roman" w:hAnsi="Times New Roman" w:eastAsia="等线"/>
                <w:color w:val="000000"/>
                <w:kern w:val="0"/>
                <w:sz w:val="18"/>
                <w:szCs w:val="18"/>
                <w:lang w:bidi="ar"/>
              </w:rPr>
              <w:t>5</w:t>
            </w:r>
            <w:r>
              <w:rPr>
                <w:rFonts w:ascii="Times New Roman" w:hAnsi="Times New Roman" w:eastAsia="Arial Narrow"/>
                <w:color w:val="000000"/>
                <w:kern w:val="0"/>
                <w:sz w:val="18"/>
                <w:szCs w:val="18"/>
                <w:lang w:bidi="ar"/>
              </w:rPr>
              <w:t>/</w:t>
            </w:r>
            <w:r>
              <w:rPr>
                <w:rFonts w:ascii="Times New Roman" w:hAnsi="Times New Roman"/>
                <w:color w:val="000000"/>
                <w:kern w:val="0"/>
                <w:sz w:val="18"/>
                <w:szCs w:val="18"/>
                <w:lang w:bidi="ar"/>
              </w:rPr>
              <w:t>6</w:t>
            </w:r>
            <w:r>
              <w:rPr>
                <w:rFonts w:ascii="Times New Roman" w:hAnsi="Times New Roman" w:eastAsia="Arial Narrow"/>
                <w:color w:val="000000"/>
                <w:kern w:val="0"/>
                <w:sz w:val="18"/>
                <w:szCs w:val="18"/>
                <w:lang w:bidi="ar"/>
              </w:rPr>
              <w:t>/</w:t>
            </w:r>
            <w:r>
              <w:rPr>
                <w:rFonts w:ascii="Times New Roman" w:hAnsi="Times New Roman"/>
                <w:color w:val="000000"/>
                <w:kern w:val="0"/>
                <w:sz w:val="18"/>
                <w:szCs w:val="18"/>
                <w:lang w:bidi="ar"/>
              </w:rPr>
              <w:t>30</w:t>
            </w:r>
          </w:p>
        </w:tc>
        <w:tc>
          <w:tcPr>
            <w:tcW w:w="1201" w:type="dxa"/>
            <w:noWrap w:val="0"/>
            <w:vAlign w:val="center"/>
          </w:tcPr>
          <w:p w14:paraId="310F94F2">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15,408,632.28</w:t>
            </w:r>
          </w:p>
        </w:tc>
        <w:tc>
          <w:tcPr>
            <w:tcW w:w="623" w:type="dxa"/>
            <w:noWrap w:val="0"/>
            <w:vAlign w:val="center"/>
          </w:tcPr>
          <w:p w14:paraId="13FE6F0D">
            <w:pPr>
              <w:widowControl/>
              <w:snapToGrid w:val="0"/>
              <w:spacing w:line="276"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是</w:t>
            </w:r>
          </w:p>
        </w:tc>
        <w:tc>
          <w:tcPr>
            <w:tcW w:w="946" w:type="dxa"/>
            <w:noWrap w:val="0"/>
            <w:vAlign w:val="center"/>
          </w:tcPr>
          <w:p w14:paraId="41D2FD98">
            <w:pPr>
              <w:widowControl/>
              <w:snapToGrid w:val="0"/>
              <w:spacing w:line="276"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否</w:t>
            </w:r>
          </w:p>
        </w:tc>
      </w:tr>
      <w:tr w14:paraId="67F453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56E2E80C">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3、补充流动资金</w:t>
            </w:r>
          </w:p>
        </w:tc>
        <w:tc>
          <w:tcPr>
            <w:tcW w:w="879" w:type="dxa"/>
            <w:noWrap w:val="0"/>
            <w:vAlign w:val="center"/>
          </w:tcPr>
          <w:p w14:paraId="3AB54B70">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否</w:t>
            </w:r>
          </w:p>
        </w:tc>
        <w:tc>
          <w:tcPr>
            <w:tcW w:w="1417" w:type="dxa"/>
            <w:noWrap w:val="0"/>
            <w:vAlign w:val="center"/>
          </w:tcPr>
          <w:p w14:paraId="295BD74E">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450,000,000.00</w:t>
            </w:r>
          </w:p>
        </w:tc>
        <w:tc>
          <w:tcPr>
            <w:tcW w:w="1418" w:type="dxa"/>
            <w:noWrap w:val="0"/>
            <w:vAlign w:val="center"/>
          </w:tcPr>
          <w:p w14:paraId="62D7D012">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337,912,615.43</w:t>
            </w:r>
          </w:p>
        </w:tc>
        <w:tc>
          <w:tcPr>
            <w:tcW w:w="1276" w:type="dxa"/>
            <w:noWrap w:val="0"/>
            <w:vAlign w:val="center"/>
          </w:tcPr>
          <w:p w14:paraId="3F182988">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1417" w:type="dxa"/>
            <w:noWrap w:val="0"/>
            <w:vAlign w:val="center"/>
          </w:tcPr>
          <w:p w14:paraId="639FED23">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337,912,615.43</w:t>
            </w:r>
          </w:p>
        </w:tc>
        <w:tc>
          <w:tcPr>
            <w:tcW w:w="1134" w:type="dxa"/>
            <w:noWrap w:val="0"/>
            <w:vAlign w:val="center"/>
          </w:tcPr>
          <w:p w14:paraId="41B6249C">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100.00</w:t>
            </w:r>
          </w:p>
        </w:tc>
        <w:tc>
          <w:tcPr>
            <w:tcW w:w="942" w:type="dxa"/>
            <w:gridSpan w:val="2"/>
            <w:noWrap w:val="0"/>
            <w:vAlign w:val="center"/>
          </w:tcPr>
          <w:p w14:paraId="58F9296C">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1201" w:type="dxa"/>
            <w:noWrap w:val="0"/>
            <w:vAlign w:val="center"/>
          </w:tcPr>
          <w:p w14:paraId="004651BA">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623" w:type="dxa"/>
            <w:noWrap w:val="0"/>
            <w:vAlign w:val="center"/>
          </w:tcPr>
          <w:p w14:paraId="412BD7C8">
            <w:pPr>
              <w:widowControl/>
              <w:snapToGrid w:val="0"/>
              <w:spacing w:line="276" w:lineRule="auto"/>
              <w:jc w:val="center"/>
              <w:rPr>
                <w:rFonts w:ascii="Times New Roman" w:hAnsi="Times New Roman"/>
                <w:color w:val="000000"/>
                <w:kern w:val="0"/>
                <w:sz w:val="18"/>
                <w:szCs w:val="18"/>
              </w:rPr>
            </w:pPr>
            <w:r>
              <w:rPr>
                <w:rFonts w:ascii="Times New Roman" w:hAnsi="Times New Roman" w:eastAsia="Arial Narrow"/>
                <w:color w:val="000000"/>
                <w:kern w:val="0"/>
                <w:sz w:val="18"/>
                <w:szCs w:val="18"/>
                <w:lang w:bidi="ar"/>
              </w:rPr>
              <w:t>---</w:t>
            </w:r>
          </w:p>
        </w:tc>
        <w:tc>
          <w:tcPr>
            <w:tcW w:w="946" w:type="dxa"/>
            <w:noWrap w:val="0"/>
            <w:vAlign w:val="center"/>
          </w:tcPr>
          <w:p w14:paraId="7648DB91">
            <w:pPr>
              <w:widowControl/>
              <w:snapToGrid w:val="0"/>
              <w:spacing w:line="276" w:lineRule="auto"/>
              <w:jc w:val="center"/>
              <w:rPr>
                <w:rFonts w:ascii="Times New Roman" w:hAnsi="Times New Roman"/>
                <w:color w:val="000000"/>
                <w:kern w:val="0"/>
                <w:sz w:val="18"/>
                <w:szCs w:val="18"/>
              </w:rPr>
            </w:pPr>
            <w:r>
              <w:rPr>
                <w:rFonts w:ascii="Times New Roman" w:hAnsi="Times New Roman" w:eastAsia="Arial Narrow"/>
                <w:color w:val="000000"/>
                <w:kern w:val="0"/>
                <w:sz w:val="18"/>
                <w:szCs w:val="18"/>
                <w:lang w:bidi="ar"/>
              </w:rPr>
              <w:t>---</w:t>
            </w:r>
          </w:p>
        </w:tc>
      </w:tr>
      <w:tr w14:paraId="11DDFB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1A9E3CB3">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4、临时性补充流动资金</w:t>
            </w:r>
          </w:p>
        </w:tc>
        <w:tc>
          <w:tcPr>
            <w:tcW w:w="879" w:type="dxa"/>
            <w:noWrap w:val="0"/>
            <w:vAlign w:val="center"/>
          </w:tcPr>
          <w:p w14:paraId="4C141981">
            <w:pPr>
              <w:widowControl/>
              <w:snapToGrid w:val="0"/>
              <w:spacing w:line="276" w:lineRule="auto"/>
              <w:jc w:val="center"/>
              <w:rPr>
                <w:rFonts w:ascii="Times New Roman" w:hAnsi="Times New Roman"/>
                <w:color w:val="000000"/>
                <w:sz w:val="18"/>
                <w:szCs w:val="18"/>
              </w:rPr>
            </w:pPr>
            <w:r>
              <w:rPr>
                <w:rFonts w:ascii="Times New Roman" w:hAnsi="Times New Roman"/>
                <w:color w:val="000000"/>
                <w:sz w:val="18"/>
                <w:szCs w:val="18"/>
              </w:rPr>
              <w:t>是</w:t>
            </w:r>
          </w:p>
        </w:tc>
        <w:tc>
          <w:tcPr>
            <w:tcW w:w="1417" w:type="dxa"/>
            <w:noWrap w:val="0"/>
            <w:vAlign w:val="center"/>
          </w:tcPr>
          <w:p w14:paraId="44062718">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418" w:type="dxa"/>
            <w:noWrap w:val="0"/>
            <w:vAlign w:val="center"/>
          </w:tcPr>
          <w:p w14:paraId="29FC19C1">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1276" w:type="dxa"/>
            <w:noWrap w:val="0"/>
            <w:vAlign w:val="center"/>
          </w:tcPr>
          <w:p w14:paraId="6C8FE61E">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-56,630,000.00</w:t>
            </w:r>
          </w:p>
        </w:tc>
        <w:tc>
          <w:tcPr>
            <w:tcW w:w="1417" w:type="dxa"/>
            <w:noWrap w:val="0"/>
            <w:vAlign w:val="center"/>
          </w:tcPr>
          <w:p w14:paraId="3EEF0A4E">
            <w:pPr>
              <w:widowControl/>
              <w:snapToGrid w:val="0"/>
              <w:spacing w:line="276" w:lineRule="auto"/>
              <w:jc w:val="right"/>
              <w:rPr>
                <w:rFonts w:ascii="Times New Roman" w:hAnsi="Times New Roman" w:eastAsia="Arial Narrow"/>
                <w:color w:val="000000"/>
                <w:kern w:val="0"/>
                <w:sz w:val="18"/>
                <w:szCs w:val="18"/>
                <w:lang w:bidi="ar"/>
              </w:rPr>
            </w:pPr>
          </w:p>
        </w:tc>
        <w:tc>
          <w:tcPr>
            <w:tcW w:w="1134" w:type="dxa"/>
            <w:noWrap w:val="0"/>
            <w:vAlign w:val="center"/>
          </w:tcPr>
          <w:p w14:paraId="09055027">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942" w:type="dxa"/>
            <w:gridSpan w:val="2"/>
            <w:noWrap w:val="0"/>
            <w:vAlign w:val="center"/>
          </w:tcPr>
          <w:p w14:paraId="0966A8C9">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1201" w:type="dxa"/>
            <w:noWrap w:val="0"/>
            <w:vAlign w:val="center"/>
          </w:tcPr>
          <w:p w14:paraId="3F88601F">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623" w:type="dxa"/>
            <w:noWrap w:val="0"/>
            <w:vAlign w:val="center"/>
          </w:tcPr>
          <w:p w14:paraId="7E246806">
            <w:pPr>
              <w:widowControl/>
              <w:snapToGrid w:val="0"/>
              <w:spacing w:line="276" w:lineRule="auto"/>
              <w:jc w:val="center"/>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946" w:type="dxa"/>
            <w:noWrap w:val="0"/>
            <w:vAlign w:val="center"/>
          </w:tcPr>
          <w:p w14:paraId="09A6D4BA">
            <w:pPr>
              <w:widowControl/>
              <w:snapToGrid w:val="0"/>
              <w:spacing w:line="276" w:lineRule="auto"/>
              <w:jc w:val="center"/>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r>
      <w:tr w14:paraId="4E1F5C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7A220F92">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承诺投资项目小计</w:t>
            </w:r>
          </w:p>
        </w:tc>
        <w:tc>
          <w:tcPr>
            <w:tcW w:w="879" w:type="dxa"/>
            <w:noWrap w:val="0"/>
            <w:vAlign w:val="center"/>
          </w:tcPr>
          <w:p w14:paraId="08EBC24D">
            <w:pPr>
              <w:widowControl/>
              <w:snapToGrid w:val="0"/>
              <w:spacing w:line="276" w:lineRule="auto"/>
              <w:jc w:val="center"/>
              <w:rPr>
                <w:rFonts w:ascii="Times New Roman" w:hAnsi="Times New Roman"/>
                <w:color w:val="000000"/>
                <w:kern w:val="0"/>
                <w:sz w:val="18"/>
                <w:szCs w:val="18"/>
              </w:rPr>
            </w:pPr>
          </w:p>
        </w:tc>
        <w:tc>
          <w:tcPr>
            <w:tcW w:w="1417" w:type="dxa"/>
            <w:noWrap w:val="0"/>
            <w:vAlign w:val="center"/>
          </w:tcPr>
          <w:p w14:paraId="64CA1D64">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1,500,000,000.00</w:t>
            </w:r>
          </w:p>
        </w:tc>
        <w:tc>
          <w:tcPr>
            <w:tcW w:w="1418" w:type="dxa"/>
            <w:noWrap w:val="0"/>
            <w:vAlign w:val="center"/>
          </w:tcPr>
          <w:p w14:paraId="2D1B17C5">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1,126,375,384.78</w:t>
            </w:r>
          </w:p>
        </w:tc>
        <w:tc>
          <w:tcPr>
            <w:tcW w:w="1276" w:type="dxa"/>
            <w:noWrap w:val="0"/>
            <w:vAlign w:val="center"/>
          </w:tcPr>
          <w:p w14:paraId="4177235C">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1417" w:type="dxa"/>
            <w:noWrap w:val="0"/>
            <w:vAlign w:val="center"/>
          </w:tcPr>
          <w:p w14:paraId="353C37FF">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1,136,856,824.39</w:t>
            </w:r>
          </w:p>
        </w:tc>
        <w:tc>
          <w:tcPr>
            <w:tcW w:w="1134" w:type="dxa"/>
            <w:noWrap w:val="0"/>
            <w:vAlign w:val="center"/>
          </w:tcPr>
          <w:p w14:paraId="50ADACDE">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942" w:type="dxa"/>
            <w:gridSpan w:val="2"/>
            <w:noWrap w:val="0"/>
            <w:vAlign w:val="center"/>
          </w:tcPr>
          <w:p w14:paraId="3E129705">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w:t>
            </w:r>
          </w:p>
        </w:tc>
        <w:tc>
          <w:tcPr>
            <w:tcW w:w="1201" w:type="dxa"/>
            <w:noWrap w:val="0"/>
            <w:vAlign w:val="center"/>
          </w:tcPr>
          <w:p w14:paraId="6C5B66D0">
            <w:pPr>
              <w:widowControl/>
              <w:snapToGrid w:val="0"/>
              <w:spacing w:line="276" w:lineRule="auto"/>
              <w:jc w:val="right"/>
              <w:rPr>
                <w:rFonts w:ascii="Times New Roman" w:hAnsi="Times New Roman" w:eastAsia="Arial Narrow"/>
                <w:color w:val="000000"/>
                <w:kern w:val="0"/>
                <w:sz w:val="18"/>
                <w:szCs w:val="18"/>
                <w:lang w:bidi="ar"/>
              </w:rPr>
            </w:pPr>
            <w:r>
              <w:rPr>
                <w:rFonts w:ascii="Times New Roman" w:hAnsi="Times New Roman" w:eastAsia="Arial Narrow"/>
                <w:color w:val="000000"/>
                <w:kern w:val="0"/>
                <w:sz w:val="18"/>
                <w:szCs w:val="18"/>
                <w:lang w:bidi="ar"/>
              </w:rPr>
              <w:t>15,408,632.28</w:t>
            </w:r>
          </w:p>
        </w:tc>
        <w:tc>
          <w:tcPr>
            <w:tcW w:w="623" w:type="dxa"/>
            <w:noWrap w:val="0"/>
            <w:vAlign w:val="center"/>
          </w:tcPr>
          <w:p w14:paraId="10A9989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w:t>
            </w:r>
          </w:p>
        </w:tc>
        <w:tc>
          <w:tcPr>
            <w:tcW w:w="946" w:type="dxa"/>
            <w:noWrap w:val="0"/>
            <w:vAlign w:val="center"/>
          </w:tcPr>
          <w:p w14:paraId="0162DC06">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w:t>
            </w:r>
          </w:p>
        </w:tc>
      </w:tr>
      <w:tr w14:paraId="7A43D0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04929C6C">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超募资金投向</w:t>
            </w:r>
          </w:p>
        </w:tc>
        <w:tc>
          <w:tcPr>
            <w:tcW w:w="11253" w:type="dxa"/>
            <w:gridSpan w:val="11"/>
            <w:noWrap w:val="0"/>
            <w:vAlign w:val="center"/>
          </w:tcPr>
          <w:p w14:paraId="6A96FB2C">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14:paraId="3F28C8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33C55907">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未达到计划进度或预计收益的情况和原因（分具体募投项目）</w:t>
            </w:r>
          </w:p>
        </w:tc>
        <w:tc>
          <w:tcPr>
            <w:tcW w:w="11253" w:type="dxa"/>
            <w:gridSpan w:val="11"/>
            <w:noWrap w:val="0"/>
            <w:vAlign w:val="center"/>
          </w:tcPr>
          <w:p w14:paraId="218145F4">
            <w:pPr>
              <w:widowControl/>
              <w:snapToGrid w:val="0"/>
              <w:spacing w:line="276" w:lineRule="auto"/>
              <w:rPr>
                <w:rFonts w:hint="eastAsia" w:ascii="Times New Roman" w:hAnsi="Times New Roman"/>
                <w:color w:val="000000"/>
                <w:kern w:val="0"/>
                <w:sz w:val="18"/>
                <w:szCs w:val="18"/>
              </w:rPr>
            </w:pPr>
            <w:r>
              <w:rPr>
                <w:rFonts w:hint="eastAsia" w:ascii="Times New Roman" w:hAnsi="Times New Roman"/>
                <w:color w:val="000000"/>
                <w:kern w:val="0"/>
                <w:sz w:val="18"/>
                <w:szCs w:val="18"/>
              </w:rPr>
              <w:t>公司于2024年10月30日召开第八届董事会第九次会议、第八届监事会第二十四次会议，审议通过了《关于募投项目延期的议案》，公司在募投项目实施主体、实施方式、投资总额不发生变更的情况下，根据实际情况决定对募投项目进行延期。由于宏观环境因素影响，项目整体进度放缓，预计无法在原定计划内完成建设。结合目前募投项目的实施进展以及公司业务发展规划，经审慎研究，公司决定将募投项目达到预定可使用状态的时间由2024年9月30日延长至2025年6月30日。</w:t>
            </w:r>
          </w:p>
        </w:tc>
      </w:tr>
      <w:tr w14:paraId="2E9992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28B8BA99">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项目可行性发生重大变化的情况说明</w:t>
            </w:r>
          </w:p>
        </w:tc>
        <w:tc>
          <w:tcPr>
            <w:tcW w:w="11253" w:type="dxa"/>
            <w:gridSpan w:val="11"/>
            <w:noWrap w:val="0"/>
            <w:vAlign w:val="center"/>
          </w:tcPr>
          <w:p w14:paraId="3A8D0ACA">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因外部市场环境变化及受越南疫情影响，华孚（越南）50万锭新型纱线项目（一期)建设进度有所延缓，实施周期被动拉长，存在投资收益不达预期的风险。因此，经公司于2022年1月10日召开的2022年第一次股东大会审议通过，同意将公司2021年非公开发行股票募集资金投资项目华孚（越南）50万锭新型纱线项目（一期）变更为30万锭智能纺纱产业园项目（项目实施地在安徽省淮北市）。</w:t>
            </w:r>
          </w:p>
        </w:tc>
      </w:tr>
      <w:tr w14:paraId="59FD94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7BC469B3">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超募资金的金额、用途及使用进展情况</w:t>
            </w:r>
          </w:p>
        </w:tc>
        <w:tc>
          <w:tcPr>
            <w:tcW w:w="11253" w:type="dxa"/>
            <w:gridSpan w:val="11"/>
            <w:noWrap w:val="0"/>
            <w:vAlign w:val="center"/>
          </w:tcPr>
          <w:p w14:paraId="2E8168A4">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14:paraId="70A1F0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0DAE9444">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募集资金投资项目实施地点变更情况</w:t>
            </w:r>
          </w:p>
        </w:tc>
        <w:tc>
          <w:tcPr>
            <w:tcW w:w="11253" w:type="dxa"/>
            <w:gridSpan w:val="11"/>
            <w:noWrap w:val="0"/>
            <w:vAlign w:val="center"/>
          </w:tcPr>
          <w:p w14:paraId="0B21EEB5">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14:paraId="43A0FF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7BEF8ED8">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募集资金投资项目实施方式调整情况</w:t>
            </w:r>
          </w:p>
        </w:tc>
        <w:tc>
          <w:tcPr>
            <w:tcW w:w="11253" w:type="dxa"/>
            <w:gridSpan w:val="11"/>
            <w:noWrap w:val="0"/>
            <w:vAlign w:val="center"/>
          </w:tcPr>
          <w:p w14:paraId="2D66067A">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14:paraId="7A82F8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53E7FA8D">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募集资金投资项目先期投入及置换情况</w:t>
            </w:r>
          </w:p>
        </w:tc>
        <w:tc>
          <w:tcPr>
            <w:tcW w:w="11253" w:type="dxa"/>
            <w:gridSpan w:val="11"/>
            <w:noWrap w:val="0"/>
            <w:vAlign w:val="center"/>
          </w:tcPr>
          <w:p w14:paraId="4E6D650C">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2024年度，不存在募集资金投资项目先期投入及置换的情况。</w:t>
            </w:r>
          </w:p>
        </w:tc>
      </w:tr>
      <w:tr w14:paraId="474804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4FE9DE0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用闲置募集资金暂时补充流动资金情况</w:t>
            </w:r>
          </w:p>
        </w:tc>
        <w:tc>
          <w:tcPr>
            <w:tcW w:w="11253" w:type="dxa"/>
            <w:gridSpan w:val="11"/>
            <w:noWrap w:val="0"/>
            <w:vAlign w:val="center"/>
          </w:tcPr>
          <w:p w14:paraId="3D9330F1">
            <w:pPr>
              <w:widowControl/>
              <w:snapToGrid w:val="0"/>
              <w:spacing w:line="276" w:lineRule="auto"/>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公司于2023年9月19日召开第八届董事会2023年第三次临时会议、第八届监事会第十五次会议，审议通过了《关于使用部分闲置募集资金暂时补充流动资金的议案》，同意公司使用不超过1.8亿元人民币的闲置募集资金暂时补充流动资金，使用期限自董事会审议通过之日起不超过十二个月。在使用期间内，公司实际使用闲置募集资金1.7亿元人民币临时补充流动资全，2024年度公司归还5,663.00万元。截至2024年8月28日，公司已将上述用于临时补充流动资金的募集资金全部归还至募集资金专户，使用期限未超过12个月。</w:t>
            </w:r>
          </w:p>
        </w:tc>
      </w:tr>
      <w:tr w14:paraId="14455C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23A4641D">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用闲置募集资金进行现金管理情况</w:t>
            </w:r>
          </w:p>
        </w:tc>
        <w:tc>
          <w:tcPr>
            <w:tcW w:w="11253" w:type="dxa"/>
            <w:gridSpan w:val="11"/>
            <w:noWrap w:val="0"/>
            <w:vAlign w:val="center"/>
          </w:tcPr>
          <w:p w14:paraId="70787D26">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14:paraId="768BA0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3E73A8D1">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项目实施出现募集资金结余的金额及原因</w:t>
            </w:r>
          </w:p>
        </w:tc>
        <w:tc>
          <w:tcPr>
            <w:tcW w:w="11253" w:type="dxa"/>
            <w:gridSpan w:val="11"/>
            <w:noWrap w:val="0"/>
            <w:vAlign w:val="center"/>
          </w:tcPr>
          <w:p w14:paraId="24849A57">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不适用</w:t>
            </w:r>
          </w:p>
        </w:tc>
      </w:tr>
      <w:tr w14:paraId="174347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526FD8D8">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尚未使用的募集资金用途及去向</w:t>
            </w:r>
          </w:p>
        </w:tc>
        <w:tc>
          <w:tcPr>
            <w:tcW w:w="11253" w:type="dxa"/>
            <w:gridSpan w:val="11"/>
            <w:noWrap w:val="0"/>
            <w:vAlign w:val="center"/>
          </w:tcPr>
          <w:p w14:paraId="086CFDAE">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公司尚未使用募集资金1,947.01元在期后扣除销户手续费后已转至公司基本户。</w:t>
            </w:r>
          </w:p>
        </w:tc>
      </w:tr>
      <w:tr w14:paraId="534DD9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2807" w:type="dxa"/>
            <w:noWrap w:val="0"/>
            <w:vAlign w:val="center"/>
          </w:tcPr>
          <w:p w14:paraId="33AFBE8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募集资金使用及披露中存在的问题或其他情况</w:t>
            </w:r>
          </w:p>
        </w:tc>
        <w:tc>
          <w:tcPr>
            <w:tcW w:w="11253" w:type="dxa"/>
            <w:gridSpan w:val="11"/>
            <w:noWrap w:val="0"/>
            <w:vAlign w:val="center"/>
          </w:tcPr>
          <w:p w14:paraId="5BB84F42">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bl>
    <w:p w14:paraId="6C352328">
      <w:pPr>
        <w:widowControl/>
        <w:jc w:val="left"/>
        <w:rPr>
          <w:rFonts w:ascii="Times New Roman" w:hAnsi="Times New Roman"/>
          <w:sz w:val="18"/>
          <w:szCs w:val="18"/>
        </w:rPr>
      </w:pPr>
      <w:r>
        <w:rPr>
          <w:rFonts w:hint="eastAsia" w:ascii="Times New Roman" w:hAnsi="Times New Roman"/>
          <w:sz w:val="18"/>
          <w:szCs w:val="18"/>
        </w:rPr>
        <w:t>注：本年度投入募集资金总额系为本年度投入募集资金项目“淮北30万锭智能纺纱产业园项目”的58,279,165.89元与归还临时补充流动资金的募集资金56,630,000.00元的差额。</w:t>
      </w:r>
    </w:p>
    <w:p w14:paraId="233FB53E">
      <w:pPr>
        <w:widowControl/>
        <w:jc w:val="left"/>
        <w:rPr>
          <w:rFonts w:ascii="Times New Roman" w:hAnsi="Times New Roman"/>
          <w:sz w:val="24"/>
        </w:rPr>
      </w:pPr>
      <w:r>
        <w:rPr>
          <w:rFonts w:ascii="Times New Roman" w:hAnsi="Times New Roman"/>
          <w:sz w:val="24"/>
        </w:rPr>
        <w:br w:type="page"/>
      </w:r>
    </w:p>
    <w:p w14:paraId="4198B8EA">
      <w:pPr>
        <w:spacing w:before="156" w:beforeLines="50" w:after="156" w:afterLines="50" w:line="360" w:lineRule="auto"/>
        <w:ind w:firstLine="480" w:firstLineChars="200"/>
        <w:outlineLvl w:val="0"/>
        <w:rPr>
          <w:rFonts w:ascii="Times New Roman" w:hAnsi="Times New Roman"/>
          <w:b/>
          <w:sz w:val="24"/>
        </w:rPr>
      </w:pPr>
      <w:r>
        <w:rPr>
          <w:rFonts w:ascii="Times New Roman" w:hAnsi="Times New Roman"/>
          <w:b/>
          <w:sz w:val="24"/>
        </w:rPr>
        <w:t>附表2：</w:t>
      </w:r>
    </w:p>
    <w:p w14:paraId="4F69761F">
      <w:pPr>
        <w:snapToGrid w:val="0"/>
        <w:spacing w:line="360" w:lineRule="auto"/>
        <w:jc w:val="center"/>
        <w:rPr>
          <w:rFonts w:ascii="Times New Roman" w:hAnsi="Times New Roman"/>
          <w:b/>
          <w:sz w:val="30"/>
          <w:szCs w:val="30"/>
        </w:rPr>
      </w:pPr>
      <w:r>
        <w:rPr>
          <w:rFonts w:ascii="Times New Roman" w:hAnsi="Times New Roman"/>
          <w:b/>
          <w:sz w:val="30"/>
          <w:szCs w:val="30"/>
        </w:rPr>
        <w:t>变更募集资金投资项目情况表</w:t>
      </w:r>
    </w:p>
    <w:p w14:paraId="5D8BFCB5">
      <w:pPr>
        <w:snapToGrid w:val="0"/>
        <w:spacing w:line="360" w:lineRule="auto"/>
        <w:ind w:right="-72"/>
        <w:jc w:val="right"/>
        <w:rPr>
          <w:rFonts w:ascii="Times New Roman" w:hAnsi="Times New Roman"/>
          <w:sz w:val="18"/>
          <w:szCs w:val="18"/>
        </w:rPr>
      </w:pPr>
      <w:r>
        <w:rPr>
          <w:rFonts w:ascii="Times New Roman" w:hAnsi="Times New Roman"/>
          <w:sz w:val="18"/>
          <w:szCs w:val="18"/>
        </w:rPr>
        <w:t>单位：元</w:t>
      </w:r>
    </w:p>
    <w:tbl>
      <w:tblPr>
        <w:tblStyle w:val="7"/>
        <w:tblW w:w="1422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560"/>
        <w:gridCol w:w="1559"/>
        <w:gridCol w:w="1559"/>
        <w:gridCol w:w="1559"/>
        <w:gridCol w:w="1560"/>
        <w:gridCol w:w="1531"/>
        <w:gridCol w:w="1234"/>
        <w:gridCol w:w="1487"/>
        <w:gridCol w:w="823"/>
        <w:gridCol w:w="1348"/>
      </w:tblGrid>
      <w:tr w14:paraId="1329C0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blHeader/>
        </w:trPr>
        <w:tc>
          <w:tcPr>
            <w:tcW w:w="1560" w:type="dxa"/>
            <w:noWrap w:val="0"/>
            <w:vAlign w:val="center"/>
          </w:tcPr>
          <w:p w14:paraId="1BCA2257">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变更后的项目</w:t>
            </w:r>
          </w:p>
        </w:tc>
        <w:tc>
          <w:tcPr>
            <w:tcW w:w="1559" w:type="dxa"/>
            <w:noWrap w:val="0"/>
            <w:vAlign w:val="center"/>
          </w:tcPr>
          <w:p w14:paraId="066DFC6C">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对应的原承诺项目</w:t>
            </w:r>
          </w:p>
        </w:tc>
        <w:tc>
          <w:tcPr>
            <w:tcW w:w="1559" w:type="dxa"/>
            <w:noWrap w:val="0"/>
            <w:vAlign w:val="center"/>
          </w:tcPr>
          <w:p w14:paraId="1C3AFAC9">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变更后项目拟投入募集资金总额（1）</w:t>
            </w:r>
          </w:p>
        </w:tc>
        <w:tc>
          <w:tcPr>
            <w:tcW w:w="1559" w:type="dxa"/>
            <w:noWrap w:val="0"/>
            <w:vAlign w:val="center"/>
          </w:tcPr>
          <w:p w14:paraId="7EB33BB1">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本年度实际投入金额</w:t>
            </w:r>
          </w:p>
        </w:tc>
        <w:tc>
          <w:tcPr>
            <w:tcW w:w="1560" w:type="dxa"/>
            <w:noWrap w:val="0"/>
            <w:vAlign w:val="center"/>
          </w:tcPr>
          <w:p w14:paraId="3B487D4E">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截至期末实际累计投入金额(2)</w:t>
            </w:r>
          </w:p>
        </w:tc>
        <w:tc>
          <w:tcPr>
            <w:tcW w:w="1531" w:type="dxa"/>
            <w:noWrap w:val="0"/>
            <w:vAlign w:val="center"/>
          </w:tcPr>
          <w:p w14:paraId="57065E60">
            <w:pPr>
              <w:widowControl/>
              <w:snapToGrid w:val="0"/>
              <w:ind w:right="-100" w:rightChars="-48"/>
              <w:jc w:val="center"/>
              <w:rPr>
                <w:rFonts w:ascii="Times New Roman" w:hAnsi="Times New Roman"/>
                <w:color w:val="000000"/>
                <w:kern w:val="0"/>
                <w:sz w:val="18"/>
                <w:szCs w:val="18"/>
              </w:rPr>
            </w:pPr>
            <w:r>
              <w:rPr>
                <w:rFonts w:ascii="Times New Roman" w:hAnsi="Times New Roman"/>
                <w:color w:val="000000"/>
                <w:kern w:val="0"/>
                <w:sz w:val="18"/>
                <w:szCs w:val="18"/>
              </w:rPr>
              <w:t>截至期末投资进度（%）(3)=(2)/(1)</w:t>
            </w:r>
          </w:p>
        </w:tc>
        <w:tc>
          <w:tcPr>
            <w:tcW w:w="1234" w:type="dxa"/>
            <w:noWrap w:val="0"/>
            <w:vAlign w:val="center"/>
          </w:tcPr>
          <w:p w14:paraId="4BBB9FF5">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项目达到预定可使用状态日期</w:t>
            </w:r>
          </w:p>
        </w:tc>
        <w:tc>
          <w:tcPr>
            <w:tcW w:w="1487" w:type="dxa"/>
            <w:noWrap w:val="0"/>
            <w:vAlign w:val="center"/>
          </w:tcPr>
          <w:p w14:paraId="0D2295A5">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本年度实现的效益</w:t>
            </w:r>
          </w:p>
        </w:tc>
        <w:tc>
          <w:tcPr>
            <w:tcW w:w="823" w:type="dxa"/>
            <w:noWrap w:val="0"/>
            <w:vAlign w:val="center"/>
          </w:tcPr>
          <w:p w14:paraId="52F0949C">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是否达到预计效益</w:t>
            </w:r>
          </w:p>
        </w:tc>
        <w:tc>
          <w:tcPr>
            <w:tcW w:w="1348" w:type="dxa"/>
            <w:noWrap w:val="0"/>
            <w:vAlign w:val="center"/>
          </w:tcPr>
          <w:p w14:paraId="448689E4">
            <w:pPr>
              <w:widowControl/>
              <w:snapToGrid w:val="0"/>
              <w:ind w:right="-2" w:rightChars="-1"/>
              <w:jc w:val="center"/>
              <w:rPr>
                <w:rFonts w:ascii="Times New Roman" w:hAnsi="Times New Roman"/>
                <w:color w:val="000000"/>
                <w:kern w:val="0"/>
                <w:sz w:val="18"/>
                <w:szCs w:val="18"/>
              </w:rPr>
            </w:pPr>
            <w:r>
              <w:rPr>
                <w:rFonts w:ascii="Times New Roman" w:hAnsi="Times New Roman"/>
                <w:color w:val="000000"/>
                <w:kern w:val="0"/>
                <w:sz w:val="18"/>
                <w:szCs w:val="18"/>
              </w:rPr>
              <w:t>变更后的项目可行性是否发生重大变化</w:t>
            </w:r>
          </w:p>
        </w:tc>
      </w:tr>
      <w:tr w14:paraId="72A928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1560" w:type="dxa"/>
            <w:noWrap w:val="0"/>
            <w:vAlign w:val="center"/>
          </w:tcPr>
          <w:p w14:paraId="184EE652">
            <w:pPr>
              <w:widowControl/>
              <w:snapToGrid w:val="0"/>
              <w:jc w:val="left"/>
              <w:rPr>
                <w:rFonts w:ascii="Times New Roman" w:hAnsi="Times New Roman"/>
                <w:color w:val="000000"/>
                <w:kern w:val="0"/>
                <w:sz w:val="18"/>
                <w:szCs w:val="18"/>
              </w:rPr>
            </w:pPr>
            <w:r>
              <w:rPr>
                <w:rFonts w:ascii="Times New Roman" w:hAnsi="Times New Roman"/>
                <w:color w:val="000000"/>
                <w:kern w:val="0"/>
                <w:sz w:val="18"/>
                <w:szCs w:val="18"/>
              </w:rPr>
              <w:t>淮北30万锭智能纺纱产业园项目</w:t>
            </w:r>
          </w:p>
        </w:tc>
        <w:tc>
          <w:tcPr>
            <w:tcW w:w="1559" w:type="dxa"/>
            <w:noWrap w:val="0"/>
            <w:vAlign w:val="center"/>
          </w:tcPr>
          <w:p w14:paraId="6C7143A2">
            <w:pPr>
              <w:widowControl/>
              <w:snapToGrid w:val="0"/>
              <w:jc w:val="left"/>
              <w:rPr>
                <w:rFonts w:ascii="Times New Roman" w:hAnsi="Times New Roman"/>
                <w:color w:val="000000"/>
                <w:kern w:val="0"/>
                <w:sz w:val="18"/>
                <w:szCs w:val="18"/>
              </w:rPr>
            </w:pPr>
            <w:r>
              <w:rPr>
                <w:rFonts w:ascii="Times New Roman" w:hAnsi="Times New Roman"/>
                <w:color w:val="000000"/>
                <w:kern w:val="0"/>
                <w:sz w:val="18"/>
                <w:szCs w:val="18"/>
              </w:rPr>
              <w:t>华孚（越南）50万锭新型纱线项目（一期)</w:t>
            </w:r>
          </w:p>
        </w:tc>
        <w:tc>
          <w:tcPr>
            <w:tcW w:w="1559" w:type="dxa"/>
            <w:noWrap w:val="0"/>
            <w:vAlign w:val="center"/>
          </w:tcPr>
          <w:p w14:paraId="4D72C497">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1559" w:type="dxa"/>
            <w:noWrap w:val="0"/>
            <w:vAlign w:val="center"/>
          </w:tcPr>
          <w:p w14:paraId="3418DAFE">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58,279,165.89</w:t>
            </w:r>
          </w:p>
        </w:tc>
        <w:tc>
          <w:tcPr>
            <w:tcW w:w="1560" w:type="dxa"/>
            <w:noWrap w:val="0"/>
            <w:vAlign w:val="center"/>
          </w:tcPr>
          <w:p w14:paraId="27779BE1">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798,944,208.96</w:t>
            </w:r>
          </w:p>
        </w:tc>
        <w:tc>
          <w:tcPr>
            <w:tcW w:w="1531" w:type="dxa"/>
            <w:noWrap w:val="0"/>
            <w:vAlign w:val="center"/>
          </w:tcPr>
          <w:p w14:paraId="54A5F177">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101.53</w:t>
            </w:r>
          </w:p>
        </w:tc>
        <w:tc>
          <w:tcPr>
            <w:tcW w:w="1234" w:type="dxa"/>
            <w:noWrap w:val="0"/>
            <w:vAlign w:val="center"/>
          </w:tcPr>
          <w:p w14:paraId="5ED1D4A2">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2025/6/30</w:t>
            </w:r>
          </w:p>
        </w:tc>
        <w:tc>
          <w:tcPr>
            <w:tcW w:w="1487" w:type="dxa"/>
            <w:noWrap w:val="0"/>
            <w:vAlign w:val="center"/>
          </w:tcPr>
          <w:p w14:paraId="7337B9CA">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15,408,632.28</w:t>
            </w:r>
          </w:p>
        </w:tc>
        <w:tc>
          <w:tcPr>
            <w:tcW w:w="823" w:type="dxa"/>
            <w:noWrap w:val="0"/>
            <w:vAlign w:val="center"/>
          </w:tcPr>
          <w:p w14:paraId="68D1300F">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是</w:t>
            </w:r>
          </w:p>
        </w:tc>
        <w:tc>
          <w:tcPr>
            <w:tcW w:w="1348" w:type="dxa"/>
            <w:noWrap w:val="0"/>
            <w:vAlign w:val="center"/>
          </w:tcPr>
          <w:p w14:paraId="4A25A27F">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否</w:t>
            </w:r>
          </w:p>
        </w:tc>
      </w:tr>
      <w:tr w14:paraId="50B7D7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1560" w:type="dxa"/>
            <w:noWrap w:val="0"/>
            <w:vAlign w:val="center"/>
          </w:tcPr>
          <w:p w14:paraId="7BA08D82">
            <w:pPr>
              <w:widowControl/>
              <w:snapToGrid w:val="0"/>
              <w:jc w:val="left"/>
              <w:rPr>
                <w:rFonts w:ascii="Times New Roman" w:hAnsi="Times New Roman"/>
                <w:color w:val="000000"/>
                <w:kern w:val="0"/>
                <w:sz w:val="18"/>
                <w:szCs w:val="18"/>
              </w:rPr>
            </w:pPr>
            <w:r>
              <w:rPr>
                <w:rFonts w:ascii="Times New Roman" w:hAnsi="Times New Roman"/>
                <w:color w:val="000000"/>
                <w:kern w:val="0"/>
                <w:sz w:val="18"/>
                <w:szCs w:val="18"/>
              </w:rPr>
              <w:t>临时性补充流动资金</w:t>
            </w:r>
          </w:p>
        </w:tc>
        <w:tc>
          <w:tcPr>
            <w:tcW w:w="1559" w:type="dxa"/>
            <w:noWrap w:val="0"/>
            <w:vAlign w:val="center"/>
          </w:tcPr>
          <w:p w14:paraId="7C3B5FFA">
            <w:pPr>
              <w:widowControl/>
              <w:snapToGrid w:val="0"/>
              <w:jc w:val="left"/>
              <w:rPr>
                <w:rFonts w:ascii="Times New Roman" w:hAnsi="Times New Roman"/>
                <w:color w:val="000000"/>
                <w:kern w:val="0"/>
                <w:sz w:val="18"/>
                <w:szCs w:val="18"/>
              </w:rPr>
            </w:pPr>
          </w:p>
        </w:tc>
        <w:tc>
          <w:tcPr>
            <w:tcW w:w="1559" w:type="dxa"/>
            <w:noWrap w:val="0"/>
            <w:vAlign w:val="center"/>
          </w:tcPr>
          <w:p w14:paraId="460D9D0F">
            <w:pPr>
              <w:widowControl/>
              <w:snapToGrid w:val="0"/>
              <w:jc w:val="right"/>
              <w:rPr>
                <w:rFonts w:ascii="Times New Roman" w:hAnsi="Times New Roman"/>
                <w:color w:val="000000"/>
                <w:kern w:val="0"/>
                <w:sz w:val="18"/>
                <w:szCs w:val="18"/>
              </w:rPr>
            </w:pPr>
          </w:p>
        </w:tc>
        <w:tc>
          <w:tcPr>
            <w:tcW w:w="1559" w:type="dxa"/>
            <w:noWrap w:val="0"/>
            <w:vAlign w:val="center"/>
          </w:tcPr>
          <w:p w14:paraId="5C3E582C">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-56,630,000.00</w:t>
            </w:r>
          </w:p>
        </w:tc>
        <w:tc>
          <w:tcPr>
            <w:tcW w:w="1560" w:type="dxa"/>
            <w:noWrap w:val="0"/>
            <w:vAlign w:val="center"/>
          </w:tcPr>
          <w:p w14:paraId="7B05A195">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531" w:type="dxa"/>
            <w:noWrap w:val="0"/>
            <w:vAlign w:val="center"/>
          </w:tcPr>
          <w:p w14:paraId="67DAC016">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234" w:type="dxa"/>
            <w:noWrap w:val="0"/>
            <w:vAlign w:val="center"/>
          </w:tcPr>
          <w:p w14:paraId="48729E72">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487" w:type="dxa"/>
            <w:noWrap w:val="0"/>
            <w:vAlign w:val="center"/>
          </w:tcPr>
          <w:p w14:paraId="3457D59E">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823" w:type="dxa"/>
            <w:noWrap w:val="0"/>
            <w:vAlign w:val="center"/>
          </w:tcPr>
          <w:p w14:paraId="1560A309">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348" w:type="dxa"/>
            <w:noWrap w:val="0"/>
            <w:vAlign w:val="center"/>
          </w:tcPr>
          <w:p w14:paraId="77F80100">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14:paraId="2B64EF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1560" w:type="dxa"/>
            <w:noWrap w:val="0"/>
            <w:vAlign w:val="center"/>
          </w:tcPr>
          <w:p w14:paraId="7328E516">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1559" w:type="dxa"/>
            <w:noWrap w:val="0"/>
            <w:vAlign w:val="center"/>
          </w:tcPr>
          <w:p w14:paraId="55B0D714">
            <w:pPr>
              <w:widowControl/>
              <w:snapToGrid w:val="0"/>
              <w:jc w:val="center"/>
              <w:rPr>
                <w:rFonts w:ascii="Times New Roman" w:hAnsi="Times New Roman"/>
                <w:color w:val="000000"/>
                <w:kern w:val="0"/>
                <w:sz w:val="18"/>
                <w:szCs w:val="18"/>
              </w:rPr>
            </w:pPr>
          </w:p>
        </w:tc>
        <w:tc>
          <w:tcPr>
            <w:tcW w:w="1559" w:type="dxa"/>
            <w:noWrap w:val="0"/>
            <w:vAlign w:val="center"/>
          </w:tcPr>
          <w:p w14:paraId="77A2EBB4">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1559" w:type="dxa"/>
            <w:noWrap w:val="0"/>
            <w:vAlign w:val="center"/>
          </w:tcPr>
          <w:p w14:paraId="3E94C8A2">
            <w:pPr>
              <w:widowControl/>
              <w:snapToGrid w:val="0"/>
              <w:jc w:val="right"/>
              <w:rPr>
                <w:rFonts w:ascii="Times New Roman" w:hAnsi="Times New Roman"/>
                <w:color w:val="000000"/>
                <w:kern w:val="0"/>
                <w:sz w:val="18"/>
                <w:szCs w:val="18"/>
              </w:rPr>
            </w:pPr>
            <w:r>
              <w:rPr>
                <w:rFonts w:ascii="Times New Roman" w:hAnsi="Times New Roman" w:eastAsia="Arial Narrow"/>
                <w:color w:val="000000"/>
                <w:kern w:val="0"/>
                <w:sz w:val="18"/>
                <w:szCs w:val="18"/>
                <w:lang w:bidi="ar"/>
              </w:rPr>
              <w:t>---</w:t>
            </w:r>
          </w:p>
        </w:tc>
        <w:tc>
          <w:tcPr>
            <w:tcW w:w="1560" w:type="dxa"/>
            <w:noWrap w:val="0"/>
            <w:vAlign w:val="center"/>
          </w:tcPr>
          <w:p w14:paraId="600D3756">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798,944,208.96</w:t>
            </w:r>
          </w:p>
        </w:tc>
        <w:tc>
          <w:tcPr>
            <w:tcW w:w="1531" w:type="dxa"/>
            <w:noWrap w:val="0"/>
            <w:vAlign w:val="center"/>
          </w:tcPr>
          <w:p w14:paraId="79807B21">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234" w:type="dxa"/>
            <w:noWrap w:val="0"/>
            <w:vAlign w:val="center"/>
          </w:tcPr>
          <w:p w14:paraId="277FA50D">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487" w:type="dxa"/>
            <w:noWrap w:val="0"/>
            <w:vAlign w:val="center"/>
          </w:tcPr>
          <w:p w14:paraId="419EEAD3">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15,408,632.28</w:t>
            </w:r>
          </w:p>
        </w:tc>
        <w:tc>
          <w:tcPr>
            <w:tcW w:w="823" w:type="dxa"/>
            <w:noWrap w:val="0"/>
            <w:vAlign w:val="center"/>
          </w:tcPr>
          <w:p w14:paraId="0245FB04">
            <w:pPr>
              <w:widowControl/>
              <w:snapToGrid w:val="0"/>
              <w:jc w:val="center"/>
              <w:rPr>
                <w:rFonts w:ascii="Times New Roman" w:hAnsi="Times New Roman"/>
                <w:color w:val="000000"/>
                <w:kern w:val="0"/>
                <w:sz w:val="18"/>
                <w:szCs w:val="18"/>
              </w:rPr>
            </w:pPr>
          </w:p>
        </w:tc>
        <w:tc>
          <w:tcPr>
            <w:tcW w:w="1348" w:type="dxa"/>
            <w:noWrap w:val="0"/>
            <w:vAlign w:val="center"/>
          </w:tcPr>
          <w:p w14:paraId="70A755DE">
            <w:pPr>
              <w:widowControl/>
              <w:snapToGrid w:val="0"/>
              <w:jc w:val="center"/>
              <w:rPr>
                <w:rFonts w:ascii="Times New Roman" w:hAnsi="Times New Roman"/>
                <w:color w:val="000000"/>
                <w:kern w:val="0"/>
                <w:sz w:val="18"/>
                <w:szCs w:val="18"/>
              </w:rPr>
            </w:pPr>
          </w:p>
        </w:tc>
      </w:tr>
      <w:tr w14:paraId="7B2A2C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4678" w:type="dxa"/>
            <w:gridSpan w:val="3"/>
            <w:noWrap w:val="0"/>
            <w:vAlign w:val="center"/>
          </w:tcPr>
          <w:p w14:paraId="1B727D11">
            <w:pPr>
              <w:widowControl/>
              <w:snapToGrid w:val="0"/>
              <w:rPr>
                <w:rFonts w:ascii="Times New Roman" w:hAnsi="Times New Roman"/>
                <w:color w:val="000000"/>
                <w:kern w:val="0"/>
                <w:sz w:val="18"/>
                <w:szCs w:val="18"/>
              </w:rPr>
            </w:pPr>
            <w:r>
              <w:rPr>
                <w:rFonts w:ascii="Times New Roman" w:hAnsi="Times New Roman"/>
                <w:color w:val="000000"/>
                <w:kern w:val="0"/>
                <w:sz w:val="18"/>
                <w:szCs w:val="18"/>
              </w:rPr>
              <w:t>变更原因、决策程序及信息披露情况说明（分具体募投项目）</w:t>
            </w:r>
          </w:p>
        </w:tc>
        <w:tc>
          <w:tcPr>
            <w:tcW w:w="9542" w:type="dxa"/>
            <w:gridSpan w:val="7"/>
            <w:noWrap w:val="0"/>
            <w:vAlign w:val="center"/>
          </w:tcPr>
          <w:p w14:paraId="53906B29">
            <w:pPr>
              <w:snapToGrid w:val="0"/>
              <w:jc w:val="left"/>
              <w:rPr>
                <w:rFonts w:ascii="Times New Roman" w:hAnsi="Times New Roman"/>
                <w:color w:val="000000"/>
                <w:kern w:val="0"/>
                <w:sz w:val="18"/>
                <w:szCs w:val="18"/>
              </w:rPr>
            </w:pPr>
            <w:r>
              <w:rPr>
                <w:rFonts w:ascii="Times New Roman" w:hAnsi="Times New Roman"/>
                <w:color w:val="000000"/>
                <w:kern w:val="0"/>
                <w:sz w:val="18"/>
                <w:szCs w:val="18"/>
              </w:rPr>
              <w:t>因外部市场环境变化及受越南疫情影响，原项目建设进度有所延缓，实施周期被动拉长，存在投资收益不达预期的风险。因此，经公司于 2022年1 月10日召开的2022年第一次股东大会审议通过，同意将公司2021年非公开发行股票募集资金投资项目华孚（越南）50万锭新型纱线项目（一期）变更为30万锭智能纺纱产业园项目（项目实施地在安徽省淮北市）。</w:t>
            </w:r>
          </w:p>
        </w:tc>
      </w:tr>
      <w:tr w14:paraId="058BCF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4678" w:type="dxa"/>
            <w:gridSpan w:val="3"/>
            <w:noWrap w:val="0"/>
            <w:vAlign w:val="center"/>
          </w:tcPr>
          <w:p w14:paraId="2AF0005B">
            <w:pPr>
              <w:widowControl/>
              <w:snapToGrid w:val="0"/>
              <w:rPr>
                <w:rFonts w:ascii="Times New Roman" w:hAnsi="Times New Roman"/>
                <w:color w:val="000000"/>
                <w:kern w:val="0"/>
                <w:sz w:val="18"/>
                <w:szCs w:val="18"/>
              </w:rPr>
            </w:pPr>
            <w:r>
              <w:rPr>
                <w:rFonts w:ascii="Times New Roman" w:hAnsi="Times New Roman"/>
                <w:color w:val="000000"/>
                <w:kern w:val="0"/>
                <w:sz w:val="18"/>
                <w:szCs w:val="18"/>
              </w:rPr>
              <w:t>未达到计划进度或预计收益的情况和原因（分具体募投项目）</w:t>
            </w:r>
          </w:p>
        </w:tc>
        <w:tc>
          <w:tcPr>
            <w:tcW w:w="9542" w:type="dxa"/>
            <w:gridSpan w:val="7"/>
            <w:noWrap w:val="0"/>
            <w:vAlign w:val="center"/>
          </w:tcPr>
          <w:p w14:paraId="1A875847">
            <w:pPr>
              <w:snapToGrid w:val="0"/>
              <w:jc w:val="left"/>
              <w:rPr>
                <w:rFonts w:ascii="Times New Roman" w:hAnsi="Times New Roman"/>
                <w:color w:val="000000"/>
                <w:kern w:val="0"/>
                <w:sz w:val="18"/>
                <w:szCs w:val="18"/>
              </w:rPr>
            </w:pPr>
            <w:r>
              <w:rPr>
                <w:rFonts w:ascii="Times New Roman" w:hAnsi="Times New Roman"/>
                <w:color w:val="000000"/>
                <w:kern w:val="0"/>
                <w:sz w:val="18"/>
                <w:szCs w:val="18"/>
              </w:rPr>
              <w:t>公司于2024年10月30日召开第八届董事会第九次会议、第八届监事会第二十四次会议，审议通过了《关于募投项目延期的议案》，公司在募投项目实施主体、实施方式、投资总额不发生变更的情况下，根据实际情况决定对募投项目进行延期。由于宏观环境因素影响，项目整体进度放缓，预计无法在原定计划内完成建设。结合目前募投项目的实施进展以及公司业务发展规划，经审慎研究，公司决定将募投项目达到预定可使用状态的时间延长至2025年6月30日。</w:t>
            </w:r>
          </w:p>
        </w:tc>
      </w:tr>
      <w:tr w14:paraId="54757F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wBefore w:w="0" w:type="dxa"/>
          <w:trHeight w:val="454" w:hRule="atLeast"/>
        </w:trPr>
        <w:tc>
          <w:tcPr>
            <w:tcW w:w="4678" w:type="dxa"/>
            <w:gridSpan w:val="3"/>
            <w:noWrap w:val="0"/>
            <w:vAlign w:val="center"/>
          </w:tcPr>
          <w:p w14:paraId="2CA7D0E7">
            <w:pPr>
              <w:widowControl/>
              <w:snapToGrid w:val="0"/>
              <w:rPr>
                <w:rFonts w:ascii="Times New Roman" w:hAnsi="Times New Roman"/>
                <w:color w:val="000000"/>
                <w:kern w:val="0"/>
                <w:sz w:val="18"/>
                <w:szCs w:val="18"/>
              </w:rPr>
            </w:pPr>
            <w:r>
              <w:rPr>
                <w:rFonts w:ascii="Times New Roman" w:hAnsi="Times New Roman"/>
                <w:color w:val="000000"/>
                <w:kern w:val="0"/>
                <w:sz w:val="18"/>
                <w:szCs w:val="18"/>
              </w:rPr>
              <w:t>变更后的项目可行性发生重大变化的情况说明</w:t>
            </w:r>
          </w:p>
        </w:tc>
        <w:tc>
          <w:tcPr>
            <w:tcW w:w="9542" w:type="dxa"/>
            <w:gridSpan w:val="7"/>
            <w:noWrap w:val="0"/>
            <w:vAlign w:val="center"/>
          </w:tcPr>
          <w:p w14:paraId="7FF93637">
            <w:pPr>
              <w:snapToGrid w:val="0"/>
              <w:jc w:val="left"/>
              <w:rPr>
                <w:rFonts w:ascii="Times New Roman" w:hAnsi="Times New Roman"/>
                <w:color w:val="000000"/>
                <w:kern w:val="0"/>
                <w:sz w:val="18"/>
                <w:szCs w:val="18"/>
              </w:rPr>
            </w:pPr>
            <w:r>
              <w:rPr>
                <w:rFonts w:ascii="Times New Roman" w:hAnsi="Times New Roman"/>
                <w:color w:val="000000"/>
                <w:kern w:val="0"/>
                <w:sz w:val="18"/>
                <w:szCs w:val="18"/>
              </w:rPr>
              <w:t>不适用</w:t>
            </w:r>
          </w:p>
        </w:tc>
      </w:tr>
    </w:tbl>
    <w:p w14:paraId="1FEE6E99">
      <w:pPr>
        <w:spacing w:before="156" w:beforeLines="50" w:after="156" w:afterLines="50" w:line="360" w:lineRule="auto"/>
        <w:rPr>
          <w:rFonts w:ascii="Times New Roman" w:hAnsi="Times New Roman"/>
          <w:sz w:val="24"/>
        </w:rPr>
      </w:pPr>
    </w:p>
    <w:p w14:paraId="69781318">
      <w:pPr>
        <w:widowControl/>
        <w:jc w:val="left"/>
        <w:rPr>
          <w:rFonts w:ascii="Times New Roman" w:hAnsi="Times New Roman"/>
          <w:sz w:val="24"/>
        </w:rPr>
        <w:sectPr>
          <w:pgSz w:w="16838" w:h="11906" w:orient="landscape"/>
          <w:pgMar w:top="1797" w:right="1440" w:bottom="1797" w:left="1440" w:header="851" w:footer="992" w:gutter="0"/>
          <w:cols w:space="425" w:num="1"/>
          <w:docGrid w:type="linesAndChars" w:linePitch="312" w:charSpace="0"/>
        </w:sectPr>
      </w:pPr>
    </w:p>
    <w:p w14:paraId="6D0DB5E7">
      <w:pPr>
        <w:widowControl/>
        <w:jc w:val="left"/>
        <w:rPr>
          <w:rFonts w:ascii="Times New Roman" w:hAnsi="Times New Roman"/>
          <w:sz w:val="24"/>
        </w:rPr>
      </w:pPr>
    </w:p>
    <w:p w14:paraId="16792C79">
      <w:pPr>
        <w:spacing w:before="156" w:beforeLines="50" w:after="156" w:afterLines="50" w:line="360" w:lineRule="auto"/>
        <w:ind w:firstLine="480" w:firstLineChars="200"/>
        <w:rPr>
          <w:rFonts w:ascii="Times New Roman" w:hAnsi="Times New Roman"/>
          <w:sz w:val="24"/>
        </w:rPr>
      </w:pPr>
      <w:r>
        <w:rPr>
          <w:rFonts w:ascii="Times New Roman" w:hAnsi="Times New Roman"/>
          <w:sz w:val="24"/>
        </w:rPr>
        <w:t>（本页无正文，为《华泰联合证券有限责任公司关于华孚时尚股份有限公司202</w:t>
      </w:r>
      <w:r>
        <w:rPr>
          <w:rFonts w:hint="eastAsia" w:ascii="Times New Roman" w:hAnsi="Times New Roman"/>
          <w:sz w:val="24"/>
        </w:rPr>
        <w:t>4</w:t>
      </w:r>
      <w:r>
        <w:rPr>
          <w:rFonts w:ascii="Times New Roman" w:hAnsi="Times New Roman"/>
          <w:sz w:val="24"/>
        </w:rPr>
        <w:t>年度募集资金存放和使用情况的核查意见》之签字盖章页）</w:t>
      </w:r>
    </w:p>
    <w:p w14:paraId="46A2DDDE">
      <w:pPr>
        <w:spacing w:before="156" w:beforeLines="50" w:after="156" w:afterLines="50" w:line="360" w:lineRule="auto"/>
        <w:ind w:firstLine="480" w:firstLineChars="200"/>
        <w:rPr>
          <w:rFonts w:ascii="Times New Roman" w:hAnsi="Times New Roman"/>
          <w:sz w:val="24"/>
        </w:rPr>
      </w:pPr>
    </w:p>
    <w:p w14:paraId="5D125F4F">
      <w:pPr>
        <w:spacing w:before="156" w:beforeLines="50" w:after="156" w:afterLines="50" w:line="360" w:lineRule="auto"/>
        <w:ind w:firstLine="480" w:firstLineChars="200"/>
        <w:rPr>
          <w:rFonts w:ascii="Times New Roman" w:hAnsi="Times New Roman"/>
          <w:sz w:val="24"/>
        </w:rPr>
      </w:pPr>
    </w:p>
    <w:p w14:paraId="2FCA54BB">
      <w:pPr>
        <w:spacing w:before="156" w:beforeLines="50" w:after="156" w:afterLines="50" w:line="360" w:lineRule="auto"/>
        <w:ind w:firstLine="480" w:firstLineChars="200"/>
        <w:rPr>
          <w:rFonts w:ascii="Times New Roman" w:hAnsi="Times New Roman"/>
          <w:sz w:val="24"/>
        </w:rPr>
      </w:pPr>
    </w:p>
    <w:p w14:paraId="0F21D997">
      <w:pPr>
        <w:spacing w:before="156" w:beforeLines="50" w:after="156" w:afterLines="50" w:line="360" w:lineRule="auto"/>
        <w:ind w:firstLine="480" w:firstLineChars="200"/>
        <w:rPr>
          <w:rFonts w:ascii="Times New Roman" w:hAnsi="Times New Roman"/>
          <w:sz w:val="24"/>
        </w:rPr>
      </w:pPr>
    </w:p>
    <w:p w14:paraId="653722C5">
      <w:pPr>
        <w:spacing w:before="156" w:beforeLines="50" w:after="156" w:afterLines="50" w:line="360" w:lineRule="auto"/>
        <w:ind w:firstLine="480" w:firstLineChars="200"/>
        <w:rPr>
          <w:rFonts w:ascii="Times New Roman" w:hAnsi="Times New Roman"/>
          <w:sz w:val="24"/>
        </w:rPr>
      </w:pPr>
    </w:p>
    <w:tbl>
      <w:tblPr>
        <w:tblStyle w:val="7"/>
        <w:tblW w:w="8014" w:type="dxa"/>
        <w:tblInd w:w="137" w:type="dxa"/>
        <w:tblLayout w:type="autofit"/>
        <w:tblCellMar>
          <w:top w:w="0" w:type="dxa"/>
          <w:left w:w="57" w:type="dxa"/>
          <w:bottom w:w="0" w:type="dxa"/>
          <w:right w:w="57" w:type="dxa"/>
        </w:tblCellMar>
      </w:tblPr>
      <w:tblGrid>
        <w:gridCol w:w="2041"/>
        <w:gridCol w:w="134"/>
        <w:gridCol w:w="2381"/>
        <w:gridCol w:w="283"/>
        <w:gridCol w:w="2381"/>
        <w:gridCol w:w="794"/>
      </w:tblGrid>
      <w:tr w14:paraId="4D310B02">
        <w:tblPrEx>
          <w:tblCellMar>
            <w:top w:w="0" w:type="dxa"/>
            <w:left w:w="57" w:type="dxa"/>
            <w:bottom w:w="0" w:type="dxa"/>
            <w:right w:w="57" w:type="dxa"/>
          </w:tblCellMar>
        </w:tblPrEx>
        <w:trPr>
          <w:wBefore w:w="0" w:type="dxa"/>
          <w:trHeight w:val="907" w:hRule="atLeast"/>
        </w:trPr>
        <w:tc>
          <w:tcPr>
            <w:tcW w:w="2041" w:type="dxa"/>
            <w:shd w:val="clear" w:color="auto" w:fill="auto"/>
            <w:noWrap w:val="0"/>
            <w:vAlign w:val="center"/>
          </w:tcPr>
          <w:p w14:paraId="27FFB4D2">
            <w:pPr>
              <w:spacing w:before="62" w:beforeLines="20" w:after="62" w:afterLines="20"/>
              <w:jc w:val="left"/>
              <w:rPr>
                <w:rFonts w:ascii="Times New Roman" w:hAnsi="Times New Roman"/>
                <w:sz w:val="24"/>
              </w:rPr>
            </w:pPr>
            <w:r>
              <w:rPr>
                <w:rFonts w:ascii="Times New Roman" w:hAnsi="Times New Roman"/>
                <w:sz w:val="24"/>
              </w:rPr>
              <w:t>保荐代表人：</w:t>
            </w:r>
          </w:p>
        </w:tc>
        <w:tc>
          <w:tcPr>
            <w:tcW w:w="134" w:type="dxa"/>
            <w:shd w:val="clear" w:color="auto" w:fill="auto"/>
            <w:noWrap w:val="0"/>
            <w:vAlign w:val="center"/>
          </w:tcPr>
          <w:p w14:paraId="71FB92FA">
            <w:pPr>
              <w:spacing w:before="62" w:beforeLines="20" w:after="62" w:afterLines="20"/>
              <w:jc w:val="center"/>
              <w:rPr>
                <w:rFonts w:ascii="Times New Roman" w:hAnsi="Times New Roman"/>
                <w:sz w:val="24"/>
              </w:rPr>
            </w:pPr>
          </w:p>
        </w:tc>
        <w:tc>
          <w:tcPr>
            <w:tcW w:w="2381" w:type="dxa"/>
            <w:tcBorders>
              <w:bottom w:val="single" w:color="auto" w:sz="4" w:space="0"/>
            </w:tcBorders>
            <w:shd w:val="clear" w:color="auto" w:fill="auto"/>
            <w:noWrap w:val="0"/>
            <w:vAlign w:val="center"/>
          </w:tcPr>
          <w:p w14:paraId="505520F0">
            <w:pPr>
              <w:spacing w:before="62" w:beforeLines="20" w:after="62" w:afterLines="20"/>
              <w:jc w:val="center"/>
              <w:rPr>
                <w:rFonts w:ascii="Times New Roman" w:hAnsi="Times New Roman"/>
                <w:sz w:val="24"/>
              </w:rPr>
            </w:pPr>
          </w:p>
        </w:tc>
        <w:tc>
          <w:tcPr>
            <w:tcW w:w="283" w:type="dxa"/>
            <w:shd w:val="clear" w:color="auto" w:fill="auto"/>
            <w:noWrap w:val="0"/>
            <w:vAlign w:val="center"/>
          </w:tcPr>
          <w:p w14:paraId="31F7A2E7">
            <w:pPr>
              <w:spacing w:before="62" w:beforeLines="20" w:after="62" w:afterLines="20"/>
              <w:jc w:val="center"/>
              <w:rPr>
                <w:rFonts w:ascii="Times New Roman" w:hAnsi="Times New Roman"/>
                <w:sz w:val="24"/>
              </w:rPr>
            </w:pPr>
          </w:p>
        </w:tc>
        <w:tc>
          <w:tcPr>
            <w:tcW w:w="2381" w:type="dxa"/>
            <w:tcBorders>
              <w:bottom w:val="single" w:color="auto" w:sz="4" w:space="0"/>
            </w:tcBorders>
            <w:shd w:val="clear" w:color="auto" w:fill="auto"/>
            <w:noWrap w:val="0"/>
            <w:vAlign w:val="center"/>
          </w:tcPr>
          <w:p w14:paraId="0E413444">
            <w:pPr>
              <w:spacing w:before="62" w:beforeLines="20" w:after="62" w:afterLines="20"/>
              <w:jc w:val="center"/>
              <w:rPr>
                <w:rFonts w:ascii="Times New Roman" w:hAnsi="Times New Roman"/>
                <w:sz w:val="24"/>
              </w:rPr>
            </w:pPr>
          </w:p>
        </w:tc>
        <w:tc>
          <w:tcPr>
            <w:tcW w:w="794" w:type="dxa"/>
            <w:shd w:val="clear" w:color="auto" w:fill="auto"/>
            <w:noWrap w:val="0"/>
            <w:vAlign w:val="center"/>
          </w:tcPr>
          <w:p w14:paraId="1EDFD5C2">
            <w:pPr>
              <w:spacing w:before="62" w:beforeLines="20" w:after="62" w:afterLines="20"/>
              <w:jc w:val="center"/>
              <w:rPr>
                <w:rFonts w:ascii="Times New Roman" w:hAnsi="Times New Roman"/>
                <w:sz w:val="24"/>
              </w:rPr>
            </w:pPr>
          </w:p>
        </w:tc>
      </w:tr>
      <w:tr w14:paraId="584ED7B5">
        <w:tblPrEx>
          <w:tblCellMar>
            <w:top w:w="0" w:type="dxa"/>
            <w:left w:w="57" w:type="dxa"/>
            <w:bottom w:w="0" w:type="dxa"/>
            <w:right w:w="57" w:type="dxa"/>
          </w:tblCellMar>
        </w:tblPrEx>
        <w:trPr>
          <w:wBefore w:w="0" w:type="dxa"/>
          <w:trHeight w:val="624" w:hRule="atLeast"/>
        </w:trPr>
        <w:tc>
          <w:tcPr>
            <w:tcW w:w="2041" w:type="dxa"/>
            <w:shd w:val="clear" w:color="auto" w:fill="auto"/>
            <w:noWrap w:val="0"/>
            <w:vAlign w:val="center"/>
          </w:tcPr>
          <w:p w14:paraId="33FD914D">
            <w:pPr>
              <w:spacing w:before="62" w:beforeLines="20" w:after="62" w:afterLines="20"/>
              <w:jc w:val="left"/>
              <w:rPr>
                <w:rFonts w:ascii="Times New Roman" w:hAnsi="Times New Roman"/>
                <w:sz w:val="24"/>
              </w:rPr>
            </w:pPr>
          </w:p>
        </w:tc>
        <w:tc>
          <w:tcPr>
            <w:tcW w:w="134" w:type="dxa"/>
            <w:shd w:val="clear" w:color="auto" w:fill="auto"/>
            <w:noWrap w:val="0"/>
            <w:vAlign w:val="center"/>
          </w:tcPr>
          <w:p w14:paraId="338E0592">
            <w:pPr>
              <w:spacing w:before="62" w:beforeLines="20" w:after="62" w:afterLines="20"/>
              <w:jc w:val="center"/>
              <w:rPr>
                <w:rFonts w:ascii="Times New Roman" w:hAnsi="Times New Roman"/>
                <w:sz w:val="24"/>
              </w:rPr>
            </w:pPr>
          </w:p>
        </w:tc>
        <w:tc>
          <w:tcPr>
            <w:tcW w:w="2381" w:type="dxa"/>
            <w:tcBorders>
              <w:top w:val="single" w:color="auto" w:sz="4" w:space="0"/>
            </w:tcBorders>
            <w:shd w:val="clear" w:color="auto" w:fill="auto"/>
            <w:noWrap w:val="0"/>
            <w:vAlign w:val="center"/>
          </w:tcPr>
          <w:p w14:paraId="659E1C2C">
            <w:pPr>
              <w:spacing w:before="62" w:beforeLines="20" w:after="62" w:afterLines="20"/>
              <w:jc w:val="center"/>
              <w:rPr>
                <w:rFonts w:ascii="Times New Roman" w:hAnsi="Times New Roman"/>
                <w:sz w:val="24"/>
              </w:rPr>
            </w:pPr>
            <w:r>
              <w:rPr>
                <w:rFonts w:ascii="Times New Roman" w:hAnsi="Times New Roman"/>
                <w:sz w:val="24"/>
              </w:rPr>
              <w:t>牟晶</w:t>
            </w:r>
          </w:p>
        </w:tc>
        <w:tc>
          <w:tcPr>
            <w:tcW w:w="283" w:type="dxa"/>
            <w:shd w:val="clear" w:color="auto" w:fill="auto"/>
            <w:noWrap w:val="0"/>
            <w:vAlign w:val="center"/>
          </w:tcPr>
          <w:p w14:paraId="3207AC90">
            <w:pPr>
              <w:spacing w:before="62" w:beforeLines="20" w:after="62" w:afterLines="20"/>
              <w:jc w:val="center"/>
              <w:rPr>
                <w:rFonts w:ascii="Times New Roman" w:hAnsi="Times New Roman"/>
                <w:sz w:val="24"/>
              </w:rPr>
            </w:pPr>
          </w:p>
        </w:tc>
        <w:tc>
          <w:tcPr>
            <w:tcW w:w="2381" w:type="dxa"/>
            <w:tcBorders>
              <w:top w:val="single" w:color="auto" w:sz="4" w:space="0"/>
            </w:tcBorders>
            <w:shd w:val="clear" w:color="auto" w:fill="auto"/>
            <w:noWrap w:val="0"/>
            <w:vAlign w:val="center"/>
          </w:tcPr>
          <w:p w14:paraId="4B4723BA">
            <w:pPr>
              <w:spacing w:before="62" w:beforeLines="20" w:after="62" w:afterLines="20"/>
              <w:jc w:val="center"/>
              <w:rPr>
                <w:rFonts w:ascii="Times New Roman" w:hAnsi="Times New Roman"/>
                <w:sz w:val="24"/>
              </w:rPr>
            </w:pPr>
            <w:r>
              <w:rPr>
                <w:rFonts w:ascii="Times New Roman" w:hAnsi="Times New Roman"/>
                <w:sz w:val="24"/>
              </w:rPr>
              <w:t>於桑琦</w:t>
            </w:r>
          </w:p>
        </w:tc>
        <w:tc>
          <w:tcPr>
            <w:tcW w:w="794" w:type="dxa"/>
            <w:shd w:val="clear" w:color="auto" w:fill="auto"/>
            <w:noWrap w:val="0"/>
            <w:vAlign w:val="center"/>
          </w:tcPr>
          <w:p w14:paraId="294A4077">
            <w:pPr>
              <w:spacing w:before="62" w:beforeLines="20" w:after="62" w:afterLines="20"/>
              <w:jc w:val="center"/>
              <w:rPr>
                <w:rFonts w:ascii="Times New Roman" w:hAnsi="Times New Roman"/>
                <w:sz w:val="24"/>
              </w:rPr>
            </w:pPr>
          </w:p>
        </w:tc>
      </w:tr>
      <w:tr w14:paraId="5FBB935E">
        <w:tblPrEx>
          <w:tblCellMar>
            <w:top w:w="0" w:type="dxa"/>
            <w:left w:w="57" w:type="dxa"/>
            <w:bottom w:w="0" w:type="dxa"/>
            <w:right w:w="57" w:type="dxa"/>
          </w:tblCellMar>
        </w:tblPrEx>
        <w:trPr>
          <w:wBefore w:w="0" w:type="dxa"/>
          <w:trHeight w:val="624" w:hRule="atLeast"/>
        </w:trPr>
        <w:tc>
          <w:tcPr>
            <w:tcW w:w="2041" w:type="dxa"/>
            <w:shd w:val="clear" w:color="auto" w:fill="auto"/>
            <w:noWrap w:val="0"/>
            <w:vAlign w:val="center"/>
          </w:tcPr>
          <w:p w14:paraId="2CE7B79A">
            <w:pPr>
              <w:spacing w:before="62" w:beforeLines="20" w:after="62" w:afterLines="20"/>
              <w:jc w:val="left"/>
              <w:rPr>
                <w:rFonts w:ascii="Times New Roman" w:hAnsi="Times New Roman"/>
                <w:sz w:val="24"/>
              </w:rPr>
            </w:pPr>
          </w:p>
        </w:tc>
        <w:tc>
          <w:tcPr>
            <w:tcW w:w="134" w:type="dxa"/>
            <w:shd w:val="clear" w:color="auto" w:fill="auto"/>
            <w:noWrap w:val="0"/>
            <w:vAlign w:val="center"/>
          </w:tcPr>
          <w:p w14:paraId="44E7CD0B">
            <w:pPr>
              <w:spacing w:before="62" w:beforeLines="20" w:after="62" w:afterLines="20"/>
              <w:jc w:val="center"/>
              <w:rPr>
                <w:rFonts w:ascii="Times New Roman" w:hAnsi="Times New Roman"/>
                <w:sz w:val="24"/>
              </w:rPr>
            </w:pPr>
          </w:p>
        </w:tc>
        <w:tc>
          <w:tcPr>
            <w:tcW w:w="2381" w:type="dxa"/>
            <w:shd w:val="clear" w:color="auto" w:fill="auto"/>
            <w:noWrap w:val="0"/>
            <w:vAlign w:val="center"/>
          </w:tcPr>
          <w:p w14:paraId="341F6A91">
            <w:pPr>
              <w:spacing w:before="62" w:beforeLines="20" w:after="62" w:afterLines="20"/>
              <w:jc w:val="center"/>
              <w:rPr>
                <w:rFonts w:ascii="Times New Roman" w:hAnsi="Times New Roman"/>
                <w:sz w:val="24"/>
              </w:rPr>
            </w:pPr>
          </w:p>
        </w:tc>
        <w:tc>
          <w:tcPr>
            <w:tcW w:w="283" w:type="dxa"/>
            <w:shd w:val="clear" w:color="auto" w:fill="auto"/>
            <w:noWrap w:val="0"/>
            <w:vAlign w:val="center"/>
          </w:tcPr>
          <w:p w14:paraId="453BA574">
            <w:pPr>
              <w:spacing w:before="62" w:beforeLines="20" w:after="62" w:afterLines="20"/>
              <w:jc w:val="center"/>
              <w:rPr>
                <w:rFonts w:ascii="Times New Roman" w:hAnsi="Times New Roman"/>
                <w:sz w:val="24"/>
              </w:rPr>
            </w:pPr>
          </w:p>
        </w:tc>
        <w:tc>
          <w:tcPr>
            <w:tcW w:w="2381" w:type="dxa"/>
            <w:shd w:val="clear" w:color="auto" w:fill="auto"/>
            <w:noWrap w:val="0"/>
            <w:vAlign w:val="center"/>
          </w:tcPr>
          <w:p w14:paraId="2CCEFF2C">
            <w:pPr>
              <w:spacing w:before="62" w:beforeLines="20" w:after="62" w:afterLines="20"/>
              <w:jc w:val="center"/>
              <w:rPr>
                <w:rFonts w:ascii="Times New Roman" w:hAnsi="Times New Roman"/>
                <w:sz w:val="24"/>
              </w:rPr>
            </w:pPr>
          </w:p>
        </w:tc>
        <w:tc>
          <w:tcPr>
            <w:tcW w:w="794" w:type="dxa"/>
            <w:shd w:val="clear" w:color="auto" w:fill="auto"/>
            <w:noWrap w:val="0"/>
            <w:vAlign w:val="center"/>
          </w:tcPr>
          <w:p w14:paraId="0672B2FD">
            <w:pPr>
              <w:spacing w:before="62" w:beforeLines="20" w:after="62" w:afterLines="20"/>
              <w:jc w:val="center"/>
              <w:rPr>
                <w:rFonts w:ascii="Times New Roman" w:hAnsi="Times New Roman"/>
                <w:sz w:val="24"/>
              </w:rPr>
            </w:pPr>
          </w:p>
        </w:tc>
      </w:tr>
    </w:tbl>
    <w:p w14:paraId="70AD916D">
      <w:pPr>
        <w:spacing w:before="156" w:beforeLines="50" w:after="156" w:afterLines="50" w:line="360" w:lineRule="auto"/>
        <w:ind w:firstLine="480" w:firstLineChars="200"/>
        <w:rPr>
          <w:rFonts w:ascii="Times New Roman" w:hAnsi="Times New Roman"/>
          <w:sz w:val="24"/>
        </w:rPr>
      </w:pPr>
    </w:p>
    <w:p w14:paraId="6100C59C">
      <w:pPr>
        <w:spacing w:before="156" w:beforeLines="50" w:after="156" w:afterLines="50" w:line="360" w:lineRule="auto"/>
        <w:ind w:firstLine="480" w:firstLineChars="200"/>
        <w:rPr>
          <w:rFonts w:ascii="Times New Roman" w:hAnsi="Times New Roman"/>
          <w:sz w:val="24"/>
        </w:rPr>
      </w:pPr>
    </w:p>
    <w:p w14:paraId="29A73152">
      <w:pPr>
        <w:spacing w:before="156" w:beforeLines="50" w:after="156" w:afterLines="50" w:line="360" w:lineRule="auto"/>
        <w:ind w:firstLine="480" w:firstLineChars="200"/>
        <w:rPr>
          <w:rFonts w:ascii="Times New Roman" w:hAnsi="Times New Roman"/>
          <w:sz w:val="24"/>
        </w:rPr>
      </w:pPr>
    </w:p>
    <w:p w14:paraId="4B6781E9">
      <w:pPr>
        <w:spacing w:before="156" w:beforeLines="50" w:after="156" w:afterLines="50" w:line="360" w:lineRule="auto"/>
        <w:ind w:firstLine="480" w:firstLineChars="200"/>
        <w:rPr>
          <w:rFonts w:ascii="Times New Roman" w:hAnsi="Times New Roman"/>
          <w:sz w:val="24"/>
        </w:rPr>
      </w:pPr>
    </w:p>
    <w:p w14:paraId="3DFCDE85">
      <w:pPr>
        <w:spacing w:before="156" w:beforeLines="50" w:after="156" w:afterLines="50" w:line="360" w:lineRule="auto"/>
        <w:ind w:firstLine="480" w:firstLineChars="200"/>
        <w:rPr>
          <w:rFonts w:ascii="Times New Roman" w:hAnsi="Times New Roman"/>
          <w:sz w:val="24"/>
        </w:rPr>
      </w:pPr>
    </w:p>
    <w:p w14:paraId="7F292494">
      <w:pPr>
        <w:spacing w:before="156" w:beforeLines="50" w:after="156" w:afterLines="50" w:line="360" w:lineRule="auto"/>
        <w:ind w:firstLine="480" w:firstLineChars="200"/>
        <w:rPr>
          <w:rFonts w:ascii="Times New Roman" w:hAnsi="Times New Roman"/>
          <w:sz w:val="24"/>
        </w:rPr>
      </w:pPr>
    </w:p>
    <w:p w14:paraId="60690B9E">
      <w:pPr>
        <w:spacing w:before="156" w:beforeLines="50" w:after="156" w:afterLines="50" w:line="360" w:lineRule="auto"/>
        <w:ind w:firstLine="480" w:firstLineChars="200"/>
        <w:rPr>
          <w:rFonts w:ascii="Times New Roman" w:hAnsi="Times New Roman"/>
          <w:sz w:val="24"/>
        </w:rPr>
      </w:pPr>
    </w:p>
    <w:p w14:paraId="0A7D15E7">
      <w:pPr>
        <w:spacing w:before="156" w:beforeLines="50" w:after="156" w:afterLines="50" w:line="360" w:lineRule="auto"/>
        <w:ind w:firstLine="480" w:firstLineChars="200"/>
        <w:jc w:val="right"/>
        <w:rPr>
          <w:rFonts w:ascii="Times New Roman" w:hAnsi="Times New Roman"/>
          <w:sz w:val="24"/>
        </w:rPr>
      </w:pPr>
      <w:r>
        <w:rPr>
          <w:rFonts w:ascii="Times New Roman" w:hAnsi="Times New Roman"/>
          <w:sz w:val="24"/>
        </w:rPr>
        <w:t>华泰联合证券有限责任公司</w:t>
      </w:r>
    </w:p>
    <w:p w14:paraId="2FDD78C0">
      <w:pPr>
        <w:spacing w:before="156" w:beforeLines="50" w:after="156" w:afterLines="50" w:line="360" w:lineRule="auto"/>
        <w:ind w:firstLine="480" w:firstLineChars="200"/>
        <w:jc w:val="right"/>
        <w:rPr>
          <w:rFonts w:ascii="Times New Roman" w:hAnsi="Times New Roman"/>
          <w:sz w:val="24"/>
        </w:rPr>
      </w:pPr>
    </w:p>
    <w:p w14:paraId="49A49DF6">
      <w:pPr>
        <w:spacing w:before="156" w:beforeLines="50" w:after="156" w:afterLines="50" w:line="360" w:lineRule="auto"/>
        <w:ind w:firstLine="480" w:firstLineChars="200"/>
        <w:jc w:val="right"/>
        <w:rPr>
          <w:rFonts w:ascii="Times New Roman" w:hAnsi="Times New Roman"/>
          <w:sz w:val="24"/>
        </w:rPr>
      </w:pPr>
      <w:r>
        <w:rPr>
          <w:rFonts w:ascii="Times New Roman" w:hAnsi="Times New Roman"/>
          <w:sz w:val="24"/>
        </w:rPr>
        <w:t>年  月  日</w:t>
      </w:r>
    </w:p>
    <w:p w14:paraId="45ADFE08">
      <w:pPr>
        <w:spacing w:before="156" w:beforeLines="50" w:after="156" w:afterLines="50" w:line="360" w:lineRule="auto"/>
        <w:rPr>
          <w:rFonts w:ascii="Times New Roman" w:hAnsi="Times New Roman"/>
          <w:sz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7647">
    <w:pPr>
      <w:pStyle w:val="4"/>
      <w:jc w:val="center"/>
    </w:pPr>
    <w:r>
      <w:fldChar w:fldCharType="begin"/>
    </w:r>
    <w:r>
      <w:instrText xml:space="preserve">PAGE   \* MERGEFORMAT</w:instrText>
    </w:r>
    <w:r>
      <w:fldChar w:fldCharType="separate"/>
    </w:r>
    <w:r>
      <w:rPr>
        <w:lang w:val="zh-CN"/>
      </w:rPr>
      <w:t>2</w:t>
    </w:r>
    <w:r>
      <w:fldChar w:fldCharType="end"/>
    </w:r>
  </w:p>
  <w:p w14:paraId="3D98C7F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BE"/>
    <w:rsid w:val="00012B70"/>
    <w:rsid w:val="000158ED"/>
    <w:rsid w:val="000308C4"/>
    <w:rsid w:val="00032E6A"/>
    <w:rsid w:val="00046ACD"/>
    <w:rsid w:val="0005678D"/>
    <w:rsid w:val="00080024"/>
    <w:rsid w:val="00081E70"/>
    <w:rsid w:val="00085FEA"/>
    <w:rsid w:val="00086CFD"/>
    <w:rsid w:val="000979A8"/>
    <w:rsid w:val="000C22FC"/>
    <w:rsid w:val="000C5B7E"/>
    <w:rsid w:val="000D298D"/>
    <w:rsid w:val="000D4CAA"/>
    <w:rsid w:val="000E657E"/>
    <w:rsid w:val="000F14B6"/>
    <w:rsid w:val="000F1952"/>
    <w:rsid w:val="00100D64"/>
    <w:rsid w:val="001028C9"/>
    <w:rsid w:val="00105F3A"/>
    <w:rsid w:val="00120EB9"/>
    <w:rsid w:val="00155894"/>
    <w:rsid w:val="00185C6C"/>
    <w:rsid w:val="001942B3"/>
    <w:rsid w:val="0019449E"/>
    <w:rsid w:val="001A59C7"/>
    <w:rsid w:val="001E241E"/>
    <w:rsid w:val="00204200"/>
    <w:rsid w:val="0020750D"/>
    <w:rsid w:val="00215EBE"/>
    <w:rsid w:val="00220120"/>
    <w:rsid w:val="002251C1"/>
    <w:rsid w:val="00225C5F"/>
    <w:rsid w:val="00240979"/>
    <w:rsid w:val="0024772D"/>
    <w:rsid w:val="00267CA7"/>
    <w:rsid w:val="002743A1"/>
    <w:rsid w:val="00282F8F"/>
    <w:rsid w:val="0028459F"/>
    <w:rsid w:val="00293096"/>
    <w:rsid w:val="002A541D"/>
    <w:rsid w:val="00300079"/>
    <w:rsid w:val="0033503A"/>
    <w:rsid w:val="0033688C"/>
    <w:rsid w:val="00360EDF"/>
    <w:rsid w:val="00377B85"/>
    <w:rsid w:val="00393FBC"/>
    <w:rsid w:val="003C3F48"/>
    <w:rsid w:val="003C5454"/>
    <w:rsid w:val="003C7050"/>
    <w:rsid w:val="003D40C2"/>
    <w:rsid w:val="003E0FBC"/>
    <w:rsid w:val="003E7353"/>
    <w:rsid w:val="003F53AD"/>
    <w:rsid w:val="003F6417"/>
    <w:rsid w:val="00400E97"/>
    <w:rsid w:val="00422FA6"/>
    <w:rsid w:val="00430BC2"/>
    <w:rsid w:val="00454FFB"/>
    <w:rsid w:val="004578D8"/>
    <w:rsid w:val="00476B46"/>
    <w:rsid w:val="004A3602"/>
    <w:rsid w:val="004B0189"/>
    <w:rsid w:val="004B7C03"/>
    <w:rsid w:val="004C2DD7"/>
    <w:rsid w:val="004E655A"/>
    <w:rsid w:val="005026B5"/>
    <w:rsid w:val="00511963"/>
    <w:rsid w:val="00526183"/>
    <w:rsid w:val="00540A43"/>
    <w:rsid w:val="0056534B"/>
    <w:rsid w:val="00567859"/>
    <w:rsid w:val="00584318"/>
    <w:rsid w:val="005B40A8"/>
    <w:rsid w:val="005D0BBD"/>
    <w:rsid w:val="005D2B78"/>
    <w:rsid w:val="005F5ED0"/>
    <w:rsid w:val="005F7D70"/>
    <w:rsid w:val="00610962"/>
    <w:rsid w:val="00612120"/>
    <w:rsid w:val="00615FAF"/>
    <w:rsid w:val="00616DB0"/>
    <w:rsid w:val="00627317"/>
    <w:rsid w:val="0066089D"/>
    <w:rsid w:val="0069385E"/>
    <w:rsid w:val="00694A68"/>
    <w:rsid w:val="006A312F"/>
    <w:rsid w:val="006C5B13"/>
    <w:rsid w:val="006D3F6A"/>
    <w:rsid w:val="006E590E"/>
    <w:rsid w:val="0071299F"/>
    <w:rsid w:val="00720405"/>
    <w:rsid w:val="00732A32"/>
    <w:rsid w:val="00746DB7"/>
    <w:rsid w:val="00754982"/>
    <w:rsid w:val="007553FF"/>
    <w:rsid w:val="007632D0"/>
    <w:rsid w:val="0076522F"/>
    <w:rsid w:val="00765432"/>
    <w:rsid w:val="007800B2"/>
    <w:rsid w:val="007931B6"/>
    <w:rsid w:val="007A25BA"/>
    <w:rsid w:val="007B2908"/>
    <w:rsid w:val="007E70A9"/>
    <w:rsid w:val="00816282"/>
    <w:rsid w:val="008416E4"/>
    <w:rsid w:val="00862DAD"/>
    <w:rsid w:val="00876B60"/>
    <w:rsid w:val="008867AE"/>
    <w:rsid w:val="008A67D2"/>
    <w:rsid w:val="008E1482"/>
    <w:rsid w:val="008E62E4"/>
    <w:rsid w:val="008F6A2A"/>
    <w:rsid w:val="00901993"/>
    <w:rsid w:val="00910A14"/>
    <w:rsid w:val="009212D1"/>
    <w:rsid w:val="009244F8"/>
    <w:rsid w:val="00932B17"/>
    <w:rsid w:val="0093746B"/>
    <w:rsid w:val="00937BC7"/>
    <w:rsid w:val="009425F4"/>
    <w:rsid w:val="009A10D4"/>
    <w:rsid w:val="009D4250"/>
    <w:rsid w:val="009E6264"/>
    <w:rsid w:val="00A04E25"/>
    <w:rsid w:val="00A06F20"/>
    <w:rsid w:val="00A27572"/>
    <w:rsid w:val="00A35BFC"/>
    <w:rsid w:val="00A45394"/>
    <w:rsid w:val="00A60A05"/>
    <w:rsid w:val="00A61795"/>
    <w:rsid w:val="00AA2429"/>
    <w:rsid w:val="00AA4860"/>
    <w:rsid w:val="00AB60B0"/>
    <w:rsid w:val="00AF2006"/>
    <w:rsid w:val="00AF3924"/>
    <w:rsid w:val="00AF4004"/>
    <w:rsid w:val="00B03DA5"/>
    <w:rsid w:val="00B5258C"/>
    <w:rsid w:val="00B5712D"/>
    <w:rsid w:val="00B62A0E"/>
    <w:rsid w:val="00B63BDA"/>
    <w:rsid w:val="00B8258E"/>
    <w:rsid w:val="00BA565C"/>
    <w:rsid w:val="00BC3D20"/>
    <w:rsid w:val="00BC7DA2"/>
    <w:rsid w:val="00BE0DC8"/>
    <w:rsid w:val="00BE5D58"/>
    <w:rsid w:val="00BF28A4"/>
    <w:rsid w:val="00BF64A6"/>
    <w:rsid w:val="00C3274A"/>
    <w:rsid w:val="00C33C63"/>
    <w:rsid w:val="00C43041"/>
    <w:rsid w:val="00C465B4"/>
    <w:rsid w:val="00C471A1"/>
    <w:rsid w:val="00C8085C"/>
    <w:rsid w:val="00C951C2"/>
    <w:rsid w:val="00CA5B89"/>
    <w:rsid w:val="00CB25C3"/>
    <w:rsid w:val="00CC410E"/>
    <w:rsid w:val="00CC6E7C"/>
    <w:rsid w:val="00CD11C6"/>
    <w:rsid w:val="00CD19EF"/>
    <w:rsid w:val="00CE058C"/>
    <w:rsid w:val="00CE38C1"/>
    <w:rsid w:val="00CE7C84"/>
    <w:rsid w:val="00CF1824"/>
    <w:rsid w:val="00D009D9"/>
    <w:rsid w:val="00D01391"/>
    <w:rsid w:val="00D25B7F"/>
    <w:rsid w:val="00D31419"/>
    <w:rsid w:val="00D44C12"/>
    <w:rsid w:val="00D5251C"/>
    <w:rsid w:val="00D53E15"/>
    <w:rsid w:val="00D64EF3"/>
    <w:rsid w:val="00D97F09"/>
    <w:rsid w:val="00DD2231"/>
    <w:rsid w:val="00E22381"/>
    <w:rsid w:val="00E2678F"/>
    <w:rsid w:val="00E267C4"/>
    <w:rsid w:val="00E27D01"/>
    <w:rsid w:val="00E30C36"/>
    <w:rsid w:val="00E405ED"/>
    <w:rsid w:val="00E409CA"/>
    <w:rsid w:val="00E56B38"/>
    <w:rsid w:val="00E60909"/>
    <w:rsid w:val="00E66137"/>
    <w:rsid w:val="00EA324D"/>
    <w:rsid w:val="00EB3617"/>
    <w:rsid w:val="00EB4DF2"/>
    <w:rsid w:val="00EC4B9F"/>
    <w:rsid w:val="00ED4826"/>
    <w:rsid w:val="00EE0D55"/>
    <w:rsid w:val="00EE6ECA"/>
    <w:rsid w:val="00EF47B2"/>
    <w:rsid w:val="00EF65AB"/>
    <w:rsid w:val="00F05B11"/>
    <w:rsid w:val="00F072B6"/>
    <w:rsid w:val="00F12A1E"/>
    <w:rsid w:val="00F14AC7"/>
    <w:rsid w:val="00F15BDE"/>
    <w:rsid w:val="00F24276"/>
    <w:rsid w:val="00F32674"/>
    <w:rsid w:val="00F40901"/>
    <w:rsid w:val="00F41C0B"/>
    <w:rsid w:val="00F444F6"/>
    <w:rsid w:val="00F462B1"/>
    <w:rsid w:val="00F54BB8"/>
    <w:rsid w:val="00F76525"/>
    <w:rsid w:val="00F803DA"/>
    <w:rsid w:val="00F863F0"/>
    <w:rsid w:val="00F9418F"/>
    <w:rsid w:val="00FA1071"/>
    <w:rsid w:val="00FA225A"/>
    <w:rsid w:val="00FB312E"/>
    <w:rsid w:val="00FB6B67"/>
    <w:rsid w:val="00FD18C7"/>
    <w:rsid w:val="00FE3EAE"/>
    <w:rsid w:val="6FEB18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annotation text"/>
    <w:basedOn w:val="1"/>
    <w:link w:val="11"/>
    <w:unhideWhenUsed/>
    <w:qFormat/>
    <w:uiPriority w:val="0"/>
    <w:pPr>
      <w:jc w:val="left"/>
    </w:p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character" w:styleId="9">
    <w:name w:val="annotation reference"/>
    <w:unhideWhenUsed/>
    <w:qFormat/>
    <w:uiPriority w:val="0"/>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8"/>
    <w:link w:val="2"/>
    <w:qFormat/>
    <w:uiPriority w:val="0"/>
  </w:style>
  <w:style w:type="character" w:customStyle="1" w:styleId="12">
    <w:name w:val="批注主题 字符"/>
    <w:link w:val="6"/>
    <w:semiHidden/>
    <w:uiPriority w:val="99"/>
    <w:rPr>
      <w:b/>
      <w:bCs/>
    </w:rPr>
  </w:style>
  <w:style w:type="character" w:customStyle="1" w:styleId="13">
    <w:name w:val="批注框文本 字符"/>
    <w:link w:val="3"/>
    <w:semiHidden/>
    <w:uiPriority w:val="99"/>
    <w:rPr>
      <w:sz w:val="18"/>
      <w:szCs w:val="18"/>
    </w:rPr>
  </w:style>
  <w:style w:type="character" w:customStyle="1" w:styleId="14">
    <w:name w:val="页眉 字符"/>
    <w:link w:val="5"/>
    <w:uiPriority w:val="99"/>
    <w:rPr>
      <w:sz w:val="18"/>
      <w:szCs w:val="18"/>
    </w:rPr>
  </w:style>
  <w:style w:type="character" w:customStyle="1" w:styleId="15">
    <w:name w:val="页脚 字符"/>
    <w:link w:val="4"/>
    <w:uiPriority w:val="99"/>
    <w:rPr>
      <w:sz w:val="18"/>
      <w:szCs w:val="18"/>
    </w:rPr>
  </w:style>
  <w:style w:type="paragraph" w:customStyle="1" w:styleId="16">
    <w:name w:val="立信附注正文 [2级]"/>
    <w:link w:val="17"/>
    <w:uiPriority w:val="0"/>
    <w:pPr>
      <w:widowControl w:val="0"/>
      <w:tabs>
        <w:tab w:val="left" w:pos="0"/>
      </w:tabs>
      <w:adjustRightInd w:val="0"/>
      <w:snapToGrid w:val="0"/>
      <w:spacing w:line="400" w:lineRule="atLeast"/>
      <w:ind w:left="714"/>
      <w:jc w:val="both"/>
    </w:pPr>
    <w:rPr>
      <w:rFonts w:ascii="Times New Roman" w:hAnsi="Times New Roman"/>
      <w:color w:val="000000"/>
      <w:kern w:val="2"/>
      <w:sz w:val="21"/>
      <w:szCs w:val="24"/>
      <w:lang w:val="en-US" w:eastAsia="zh-CN" w:bidi="ar-SA"/>
    </w:rPr>
  </w:style>
  <w:style w:type="character" w:customStyle="1" w:styleId="17">
    <w:name w:val="立信附注正文 [2级] Char"/>
    <w:link w:val="16"/>
    <w:uiPriority w:val="0"/>
    <w:rPr>
      <w:rFonts w:ascii="Times New Roman" w:hAnsi="Times New Roman" w:eastAsia="宋体" w:cs="Times New Roman"/>
      <w:color w:val="000000"/>
      <w:szCs w:val="24"/>
    </w:rPr>
  </w:style>
  <w:style w:type="paragraph" w:customStyle="1" w:styleId="18">
    <w:name w:val="立信附注正文 [3级]"/>
    <w:link w:val="19"/>
    <w:uiPriority w:val="0"/>
    <w:pPr>
      <w:widowControl w:val="0"/>
      <w:tabs>
        <w:tab w:val="left" w:pos="0"/>
      </w:tabs>
      <w:adjustRightInd w:val="0"/>
      <w:snapToGrid w:val="0"/>
      <w:spacing w:line="400" w:lineRule="atLeast"/>
      <w:ind w:left="1276"/>
      <w:jc w:val="both"/>
    </w:pPr>
    <w:rPr>
      <w:rFonts w:ascii="Times New Roman" w:hAnsi="Times New Roman"/>
      <w:color w:val="000000"/>
      <w:kern w:val="2"/>
      <w:sz w:val="21"/>
      <w:szCs w:val="24"/>
      <w:lang w:val="en-US" w:eastAsia="zh-CN" w:bidi="ar-SA"/>
    </w:rPr>
  </w:style>
  <w:style w:type="character" w:customStyle="1" w:styleId="19">
    <w:name w:val="立信附注正文 [3级] Char"/>
    <w:link w:val="18"/>
    <w:uiPriority w:val="0"/>
    <w:rPr>
      <w:rFonts w:ascii="Times New Roman" w:hAnsi="Times New Roman" w:eastAsia="宋体" w:cs="Times New Roman"/>
      <w:color w:val="000000"/>
      <w:szCs w:val="24"/>
    </w:rPr>
  </w:style>
  <w:style w:type="character" w:customStyle="1" w:styleId="20">
    <w:name w:val="批注文字 Char"/>
    <w:uiPriority w:val="0"/>
    <w:rPr>
      <w:kern w:val="2"/>
      <w:sz w:val="21"/>
      <w:szCs w:val="24"/>
    </w:rPr>
  </w:style>
  <w:style w:type="paragraph" w:styleId="21">
    <w:name w:val=""/>
    <w:hidden/>
    <w:semiHidden/>
    <w:uiPriority w:val="99"/>
    <w:rPr>
      <w:kern w:val="2"/>
      <w:sz w:val="21"/>
      <w:szCs w:val="22"/>
      <w:lang w:val="en-US" w:eastAsia="zh-CN" w:bidi="ar-SA"/>
    </w:rPr>
  </w:style>
  <w:style w:type="table" w:customStyle="1" w:styleId="22">
    <w:name w:val="#华泰联合"/>
    <w:basedOn w:val="7"/>
    <w:uiPriority w:val="99"/>
    <w:rPr>
      <w:rFonts w:ascii="Times New Roman" w:hAnsi="Times New Roman" w:eastAsia="宋体"/>
      <w:sz w:val="20"/>
    </w:rPr>
    <w:tblPr>
      <w:tblStyle w:val="7"/>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blStylePr w:type="firstRow">
      <w:pPr>
        <w:wordWrap/>
        <w:jc w:val="center"/>
      </w:pPr>
      <w:rPr>
        <w:b/>
        <w:i w:val="0"/>
      </w:rPr>
      <w:tblPr>
        <w:tblStyle w:val="7"/>
      </w:tblPr>
      <w:trPr>
        <w:tblHeader/>
      </w:trPr>
      <w:tcPr>
        <w:shd w:val="clear" w:color="auto" w:fill="D9D9D9"/>
        <w:vAlign w:val="center"/>
      </w:tcPr>
    </w:tblStylePr>
    <w:tblStylePr w:type="lastRow">
      <w:rPr>
        <w:b/>
      </w:r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4271</Words>
  <Characters>5181</Characters>
  <Lines>43</Lines>
  <Paragraphs>12</Paragraphs>
  <TotalTime>0</TotalTime>
  <ScaleCrop>false</ScaleCrop>
  <LinksUpToDate>false</LinksUpToDate>
  <CharactersWithSpaces>5181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2023-04-28T06:28:00Z</dcterms:created>
  <dc:creator>Administrator</dc:creator>
  <cp:lastModifiedBy>WSY</cp:lastModifiedBy>
  <cp:lastPrinted>2025-04-25T05:10:00Z</cp:lastPrinted>
  <dcterms:modified xsi:type="dcterms:W3CDTF">2025-04-25T10:48:12Z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FDA6A76F8BC64D959DCC49A876303F9B_13</vt:lpwstr>
  </property>
</Properties>
</file>