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F74" w:rsidRPr="00831C3C" w:rsidRDefault="006F5F74">
      <w:pPr>
        <w:spacing w:before="2400" w:line="773" w:lineRule="exact"/>
        <w:jc w:val="center"/>
        <w:rPr>
          <w:rFonts w:ascii="宋体" w:eastAsia="宋体" w:hAnsi="宋体" w:cs="宋体"/>
          <w:b/>
          <w:bCs/>
          <w:sz w:val="36"/>
          <w:szCs w:val="36"/>
        </w:rPr>
      </w:pPr>
      <w:r w:rsidRPr="00831C3C">
        <w:rPr>
          <w:rFonts w:ascii="宋体" w:eastAsia="宋体" w:hAnsi="宋体" w:cs="宋体"/>
          <w:b/>
          <w:bCs/>
          <w:noProof/>
          <w:sz w:val="36"/>
          <w:szCs w:val="36"/>
        </w:rPr>
        <w:drawing>
          <wp:inline distT="0" distB="0" distL="0" distR="0" wp14:anchorId="65A2D05F" wp14:editId="3220C200">
            <wp:extent cx="2428875" cy="618906"/>
            <wp:effectExtent l="0" t="0" r="0" b="0"/>
            <wp:docPr id="2" name="图片 2" descr="\\szfs\公司文件\董事会办公室\三会文件\董事会\第8届\定期会议\第八届董事会第7次会议（2023年年度报告）\华孚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zfs\公司文件\董事会办公室\三会文件\董事会\第8届\定期会议\第八届董事会第7次会议（2023年年度报告）\华孚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4212" cy="620266"/>
                    </a:xfrm>
                    <a:prstGeom prst="rect">
                      <a:avLst/>
                    </a:prstGeom>
                    <a:noFill/>
                    <a:ln>
                      <a:noFill/>
                    </a:ln>
                  </pic:spPr>
                </pic:pic>
              </a:graphicData>
            </a:graphic>
          </wp:inline>
        </w:drawing>
      </w:r>
    </w:p>
    <w:p w:rsidR="00E23A97" w:rsidRPr="00831C3C" w:rsidRDefault="00C65FD5" w:rsidP="006F5F74">
      <w:pPr>
        <w:spacing w:before="840" w:line="773" w:lineRule="exact"/>
        <w:jc w:val="center"/>
        <w:rPr>
          <w:rFonts w:ascii="宋体" w:eastAsia="宋体" w:hAnsi="宋体" w:cs="宋体"/>
          <w:b/>
          <w:bCs/>
          <w:sz w:val="36"/>
          <w:szCs w:val="36"/>
        </w:rPr>
      </w:pPr>
      <w:r w:rsidRPr="00831C3C">
        <w:rPr>
          <w:rFonts w:ascii="宋体" w:eastAsia="宋体" w:hAnsi="宋体" w:cs="宋体"/>
          <w:b/>
          <w:bCs/>
          <w:sz w:val="36"/>
          <w:szCs w:val="36"/>
        </w:rPr>
        <w:t>华孚时尚股份有限公司</w:t>
      </w:r>
    </w:p>
    <w:p w:rsidR="00E23A97" w:rsidRPr="00831C3C" w:rsidRDefault="00C65FD5">
      <w:pPr>
        <w:spacing w:before="1000" w:line="240" w:lineRule="exact"/>
        <w:jc w:val="center"/>
        <w:rPr>
          <w:rFonts w:ascii="宋体" w:eastAsia="宋体" w:hAnsi="宋体" w:cs="宋体"/>
          <w:b/>
          <w:bCs/>
          <w:sz w:val="36"/>
          <w:szCs w:val="36"/>
        </w:rPr>
      </w:pPr>
      <w:r w:rsidRPr="00831C3C">
        <w:rPr>
          <w:rFonts w:ascii="宋体" w:eastAsia="宋体" w:hAnsi="宋体" w:cs="宋体"/>
          <w:b/>
          <w:bCs/>
          <w:sz w:val="36"/>
          <w:szCs w:val="36"/>
        </w:rPr>
        <w:t>2024年年度报告</w:t>
      </w:r>
    </w:p>
    <w:p w:rsidR="00E23A97" w:rsidRPr="00831C3C" w:rsidRDefault="00E23A97">
      <w:pPr>
        <w:spacing w:before="1000" w:line="240" w:lineRule="exact"/>
        <w:jc w:val="center"/>
        <w:rPr>
          <w:rFonts w:ascii="宋体" w:eastAsia="宋体" w:hAnsi="宋体" w:cs="宋体"/>
          <w:b/>
          <w:bCs/>
          <w:sz w:val="36"/>
          <w:szCs w:val="36"/>
        </w:rPr>
      </w:pPr>
    </w:p>
    <w:p w:rsidR="00E23A97" w:rsidRPr="00831C3C" w:rsidRDefault="00E23A97">
      <w:pPr>
        <w:spacing w:before="1000" w:after="1000" w:line="0" w:lineRule="atLeast"/>
        <w:jc w:val="center"/>
        <w:rPr>
          <w:rFonts w:ascii="Times New Roman" w:eastAsia="宋体" w:hAnsi="Times New Roman" w:cs="Times New Roman"/>
        </w:rPr>
      </w:pPr>
    </w:p>
    <w:p w:rsidR="00E23A97" w:rsidRPr="00831C3C" w:rsidRDefault="006F5F74" w:rsidP="006F5F74">
      <w:pPr>
        <w:jc w:val="center"/>
        <w:rPr>
          <w:sz w:val="36"/>
          <w:szCs w:val="36"/>
        </w:rPr>
      </w:pPr>
      <w:r w:rsidRPr="00831C3C">
        <w:rPr>
          <w:rFonts w:ascii="宋体" w:eastAsia="宋体" w:hAnsi="宋体" w:cs="宋体" w:hint="eastAsia"/>
          <w:b/>
          <w:bCs/>
          <w:sz w:val="36"/>
          <w:szCs w:val="36"/>
        </w:rPr>
        <w:t>2025年4月</w:t>
      </w:r>
      <w:r w:rsidR="00C65FD5" w:rsidRPr="00831C3C">
        <w:rPr>
          <w:sz w:val="36"/>
          <w:szCs w:val="36"/>
        </w:rPr>
        <w:br w:type="page"/>
      </w:r>
    </w:p>
    <w:p w:rsidR="00E23A97" w:rsidRPr="00831C3C" w:rsidRDefault="00C65FD5">
      <w:pPr>
        <w:spacing w:before="1000" w:after="40" w:line="440" w:lineRule="exact"/>
        <w:jc w:val="center"/>
        <w:rPr>
          <w:rFonts w:ascii="宋体" w:eastAsia="宋体" w:hAnsi="宋体" w:cs="宋体"/>
          <w:b/>
          <w:bCs/>
          <w:sz w:val="44"/>
          <w:szCs w:val="44"/>
        </w:rPr>
      </w:pPr>
      <w:r w:rsidRPr="00831C3C">
        <w:rPr>
          <w:rFonts w:ascii="宋体" w:eastAsia="宋体" w:hAnsi="宋体" w:cs="宋体"/>
          <w:b/>
          <w:bCs/>
          <w:sz w:val="44"/>
          <w:szCs w:val="44"/>
        </w:rPr>
        <w:lastRenderedPageBreak/>
        <w:t>2024年年度报告</w:t>
      </w:r>
    </w:p>
    <w:p w:rsidR="00E23A97" w:rsidRPr="00831C3C" w:rsidRDefault="00C65FD5">
      <w:pPr>
        <w:pStyle w:val="headingh1"/>
        <w:spacing w:before="340" w:after="330" w:line="773" w:lineRule="exact"/>
        <w:jc w:val="center"/>
        <w:rPr>
          <w:rFonts w:ascii="宋体" w:eastAsia="宋体" w:hAnsi="宋体" w:cs="宋体"/>
          <w:b/>
          <w:bCs/>
          <w:sz w:val="32"/>
          <w:szCs w:val="32"/>
        </w:rPr>
      </w:pPr>
      <w:bookmarkStart w:id="0" w:name="_Toc988889"/>
      <w:r w:rsidRPr="00831C3C">
        <w:rPr>
          <w:rFonts w:ascii="宋体" w:eastAsia="宋体" w:hAnsi="宋体" w:cs="宋体"/>
          <w:b/>
          <w:bCs/>
          <w:sz w:val="32"/>
          <w:szCs w:val="32"/>
        </w:rPr>
        <w:t>第一节 重要提示、目录和释义</w:t>
      </w:r>
      <w:bookmarkEnd w:id="0"/>
    </w:p>
    <w:p w:rsidR="00E23A97" w:rsidRPr="00831C3C" w:rsidRDefault="00C65FD5" w:rsidP="001E2174">
      <w:pPr>
        <w:spacing w:before="40" w:after="40" w:line="560" w:lineRule="exact"/>
        <w:ind w:firstLineChars="200" w:firstLine="482"/>
        <w:rPr>
          <w:rFonts w:ascii="宋体" w:eastAsia="宋体" w:hAnsi="宋体" w:cs="宋体"/>
          <w:b/>
          <w:bCs/>
          <w:sz w:val="24"/>
          <w:szCs w:val="24"/>
        </w:rPr>
      </w:pPr>
      <w:r w:rsidRPr="00831C3C">
        <w:rPr>
          <w:rFonts w:ascii="宋体" w:eastAsia="宋体" w:hAnsi="宋体" w:cs="宋体"/>
          <w:b/>
          <w:bCs/>
          <w:sz w:val="24"/>
          <w:szCs w:val="24"/>
        </w:rPr>
        <w:t>公司董事会、监事会及董事、监事、高级管理人员保证年度报告内容的真实、准确、完整，不存在虚假记载、误导性陈述或重大遗漏，并承担个别和连带的法律责任。</w:t>
      </w:r>
    </w:p>
    <w:p w:rsidR="00E23A97" w:rsidRPr="00831C3C" w:rsidRDefault="00C65FD5" w:rsidP="001E2174">
      <w:pPr>
        <w:spacing w:line="560" w:lineRule="exact"/>
        <w:ind w:firstLineChars="200" w:firstLine="482"/>
        <w:rPr>
          <w:rFonts w:ascii="宋体" w:eastAsia="宋体" w:hAnsi="宋体" w:cs="宋体"/>
          <w:b/>
          <w:bCs/>
          <w:sz w:val="24"/>
          <w:szCs w:val="24"/>
        </w:rPr>
      </w:pPr>
      <w:r w:rsidRPr="00831C3C">
        <w:rPr>
          <w:rFonts w:ascii="宋体" w:eastAsia="宋体" w:hAnsi="宋体" w:cs="宋体"/>
          <w:b/>
          <w:bCs/>
          <w:sz w:val="24"/>
          <w:szCs w:val="24"/>
        </w:rPr>
        <w:t>公司负责人孙伟挺、主管会计工作负责人陈玲芬及会计机构负责人（会计主管人员）王国友声明：保证本年度报告中财务报告的真实、准确、完整。</w:t>
      </w:r>
    </w:p>
    <w:p w:rsidR="00E23A97" w:rsidRPr="00831C3C" w:rsidRDefault="00C65FD5">
      <w:pPr>
        <w:spacing w:line="560" w:lineRule="exact"/>
        <w:rPr>
          <w:rFonts w:ascii="宋体" w:eastAsia="宋体" w:hAnsi="宋体" w:cs="宋体"/>
          <w:b/>
          <w:bCs/>
          <w:sz w:val="24"/>
          <w:szCs w:val="24"/>
        </w:rPr>
      </w:pPr>
      <w:r w:rsidRPr="00831C3C">
        <w:rPr>
          <w:rFonts w:ascii="宋体" w:eastAsia="宋体" w:hAnsi="宋体" w:cs="宋体"/>
          <w:b/>
          <w:bCs/>
          <w:sz w:val="24"/>
          <w:szCs w:val="24"/>
        </w:rPr>
        <w:t>所有董事均</w:t>
      </w:r>
      <w:proofErr w:type="gramStart"/>
      <w:r w:rsidRPr="00831C3C">
        <w:rPr>
          <w:rFonts w:ascii="宋体" w:eastAsia="宋体" w:hAnsi="宋体" w:cs="宋体"/>
          <w:b/>
          <w:bCs/>
          <w:sz w:val="24"/>
          <w:szCs w:val="24"/>
        </w:rPr>
        <w:t>已出席</w:t>
      </w:r>
      <w:proofErr w:type="gramEnd"/>
      <w:r w:rsidRPr="00831C3C">
        <w:rPr>
          <w:rFonts w:ascii="宋体" w:eastAsia="宋体" w:hAnsi="宋体" w:cs="宋体"/>
          <w:b/>
          <w:bCs/>
          <w:sz w:val="24"/>
          <w:szCs w:val="24"/>
        </w:rPr>
        <w:t>了审议本报告的董事会会议。</w:t>
      </w:r>
    </w:p>
    <w:p w:rsidR="00C65FD5" w:rsidRPr="00831C3C" w:rsidRDefault="00C65FD5">
      <w:pPr>
        <w:pStyle w:val="a3"/>
        <w:spacing w:beforeAutospacing="0" w:afterAutospacing="0" w:line="560" w:lineRule="atLeast"/>
        <w:ind w:firstLine="648"/>
        <w:divId w:val="1937008937"/>
        <w:rPr>
          <w:b/>
          <w:bCs/>
        </w:rPr>
      </w:pPr>
      <w:r w:rsidRPr="00831C3C">
        <w:rPr>
          <w:rFonts w:hint="eastAsia"/>
          <w:b/>
          <w:bCs/>
        </w:rPr>
        <w:t>公司已在本报告中详细描述了存在的风险事项，敬请投资者查阅本报告“第三节：管理层讨论与分析”，“十一：公司未来发展的展望”中“可能面临的风险”。</w:t>
      </w:r>
    </w:p>
    <w:p w:rsidR="00E23A97" w:rsidRPr="00831C3C" w:rsidRDefault="00C65FD5" w:rsidP="001E2174">
      <w:pPr>
        <w:spacing w:line="560" w:lineRule="exact"/>
        <w:ind w:firstLineChars="200" w:firstLine="482"/>
        <w:rPr>
          <w:rFonts w:ascii="宋体" w:eastAsia="宋体" w:hAnsi="宋体" w:cs="宋体"/>
          <w:b/>
          <w:bCs/>
          <w:sz w:val="24"/>
          <w:szCs w:val="24"/>
        </w:rPr>
      </w:pPr>
      <w:r w:rsidRPr="00831C3C">
        <w:rPr>
          <w:rFonts w:ascii="宋体" w:eastAsia="宋体" w:hAnsi="宋体" w:cs="宋体"/>
          <w:b/>
          <w:bCs/>
          <w:sz w:val="24"/>
          <w:szCs w:val="24"/>
        </w:rPr>
        <w:t>公司计划</w:t>
      </w:r>
      <w:proofErr w:type="gramStart"/>
      <w:r w:rsidRPr="00831C3C">
        <w:rPr>
          <w:rFonts w:ascii="宋体" w:eastAsia="宋体" w:hAnsi="宋体" w:cs="宋体"/>
          <w:b/>
          <w:bCs/>
          <w:sz w:val="24"/>
          <w:szCs w:val="24"/>
        </w:rPr>
        <w:t>不</w:t>
      </w:r>
      <w:proofErr w:type="gramEnd"/>
      <w:r w:rsidRPr="00831C3C">
        <w:rPr>
          <w:rFonts w:ascii="宋体" w:eastAsia="宋体" w:hAnsi="宋体" w:cs="宋体"/>
          <w:b/>
          <w:bCs/>
          <w:sz w:val="24"/>
          <w:szCs w:val="24"/>
        </w:rPr>
        <w:t>派发现金红利，不送红股，不以公积金转增股本。</w:t>
      </w:r>
    </w:p>
    <w:p w:rsidR="00E23A97" w:rsidRPr="00831C3C" w:rsidRDefault="00C65FD5">
      <w:r w:rsidRPr="00831C3C">
        <w:br w:type="page"/>
      </w:r>
    </w:p>
    <w:p w:rsidR="00E23A97" w:rsidRPr="00831C3C" w:rsidRDefault="00C65FD5">
      <w:pPr>
        <w:spacing w:line="720" w:lineRule="exact"/>
        <w:jc w:val="center"/>
        <w:rPr>
          <w:rFonts w:ascii="宋体" w:eastAsia="宋体" w:hAnsi="宋体" w:cs="宋体"/>
          <w:b/>
          <w:bCs/>
          <w:sz w:val="36"/>
          <w:szCs w:val="36"/>
        </w:rPr>
      </w:pPr>
      <w:r w:rsidRPr="00831C3C">
        <w:rPr>
          <w:rFonts w:ascii="宋体" w:eastAsia="宋体" w:hAnsi="宋体" w:cs="宋体"/>
          <w:b/>
          <w:bCs/>
          <w:sz w:val="36"/>
          <w:szCs w:val="36"/>
        </w:rPr>
        <w:lastRenderedPageBreak/>
        <w:t>目录</w:t>
      </w:r>
    </w:p>
    <w:p w:rsidR="00E23A97" w:rsidRPr="00831C3C" w:rsidRDefault="00C65FD5">
      <w:pPr>
        <w:pStyle w:val="1"/>
        <w:tabs>
          <w:tab w:val="left" w:leader="dot" w:pos="9469"/>
        </w:tabs>
        <w:rPr>
          <w:noProof/>
        </w:rPr>
      </w:pPr>
      <w:r w:rsidRPr="00831C3C">
        <w:fldChar w:fldCharType="begin"/>
      </w:r>
      <w:r w:rsidRPr="00831C3C">
        <w:instrText xml:space="preserve"> </w:instrText>
      </w:r>
      <w:r w:rsidRPr="00831C3C">
        <w:rPr>
          <w:rFonts w:ascii="宋体" w:eastAsia="宋体" w:hAnsi="宋体" w:hint="eastAsia"/>
        </w:rPr>
        <w:instrText>TOC \o "1-2" \h \z \u</w:instrText>
      </w:r>
      <w:r w:rsidRPr="00831C3C">
        <w:instrText xml:space="preserve"> </w:instrText>
      </w:r>
      <w:r w:rsidRPr="00831C3C">
        <w:fldChar w:fldCharType="separate"/>
      </w:r>
      <w:hyperlink w:anchor="_Toc988889" w:history="1">
        <w:r w:rsidRPr="00831C3C">
          <w:rPr>
            <w:rFonts w:ascii="宋体" w:eastAsia="宋体" w:hAnsi="宋体" w:hint="eastAsia"/>
            <w:b/>
            <w:bCs/>
            <w:noProof/>
            <w:sz w:val="24"/>
          </w:rPr>
          <w:t>第一节 重要提示、目录和释义</w:t>
        </w:r>
        <w:r w:rsidRPr="00831C3C">
          <w:rPr>
            <w:noProof/>
            <w:webHidden/>
          </w:rPr>
          <w:tab/>
        </w:r>
        <w:r w:rsidRPr="00831C3C">
          <w:rPr>
            <w:noProof/>
            <w:webHidden/>
          </w:rPr>
          <w:fldChar w:fldCharType="begin"/>
        </w:r>
        <w:r w:rsidRPr="00831C3C">
          <w:rPr>
            <w:noProof/>
            <w:webHidden/>
          </w:rPr>
          <w:instrText xml:space="preserve"> PAGEREF _Toc988889 \h </w:instrText>
        </w:r>
        <w:r w:rsidRPr="00831C3C">
          <w:rPr>
            <w:noProof/>
            <w:webHidden/>
          </w:rPr>
        </w:r>
        <w:r w:rsidRPr="00831C3C">
          <w:rPr>
            <w:noProof/>
            <w:webHidden/>
          </w:rPr>
          <w:fldChar w:fldCharType="separate"/>
        </w:r>
        <w:r w:rsidR="006F1E9D" w:rsidRPr="00831C3C">
          <w:rPr>
            <w:noProof/>
            <w:webHidden/>
          </w:rPr>
          <w:t>2</w:t>
        </w:r>
        <w:r w:rsidRPr="00831C3C">
          <w:rPr>
            <w:noProof/>
            <w:webHidden/>
          </w:rPr>
          <w:fldChar w:fldCharType="end"/>
        </w:r>
      </w:hyperlink>
    </w:p>
    <w:p w:rsidR="00E23A97" w:rsidRPr="00831C3C" w:rsidRDefault="00954343">
      <w:pPr>
        <w:pStyle w:val="1"/>
        <w:tabs>
          <w:tab w:val="left" w:leader="dot" w:pos="9469"/>
        </w:tabs>
        <w:rPr>
          <w:noProof/>
        </w:rPr>
      </w:pPr>
      <w:hyperlink w:anchor="_Toc988890" w:history="1">
        <w:r w:rsidR="00C65FD5" w:rsidRPr="00831C3C">
          <w:rPr>
            <w:rFonts w:ascii="宋体" w:eastAsia="宋体" w:hAnsi="宋体" w:hint="eastAsia"/>
            <w:b/>
            <w:bCs/>
            <w:noProof/>
            <w:sz w:val="24"/>
          </w:rPr>
          <w:t>第二节 公司简介和主要财务指标</w:t>
        </w:r>
        <w:r w:rsidR="00C65FD5" w:rsidRPr="00831C3C">
          <w:rPr>
            <w:noProof/>
            <w:webHidden/>
          </w:rPr>
          <w:tab/>
        </w:r>
        <w:r w:rsidR="00C65FD5" w:rsidRPr="00831C3C">
          <w:rPr>
            <w:noProof/>
            <w:webHidden/>
          </w:rPr>
          <w:fldChar w:fldCharType="begin"/>
        </w:r>
        <w:r w:rsidR="00C65FD5" w:rsidRPr="00831C3C">
          <w:rPr>
            <w:noProof/>
            <w:webHidden/>
          </w:rPr>
          <w:instrText xml:space="preserve"> PAGEREF _Toc988890 \h </w:instrText>
        </w:r>
        <w:r w:rsidR="00C65FD5" w:rsidRPr="00831C3C">
          <w:rPr>
            <w:noProof/>
            <w:webHidden/>
          </w:rPr>
        </w:r>
        <w:r w:rsidR="00C65FD5" w:rsidRPr="00831C3C">
          <w:rPr>
            <w:noProof/>
            <w:webHidden/>
          </w:rPr>
          <w:fldChar w:fldCharType="separate"/>
        </w:r>
        <w:r w:rsidR="006F1E9D" w:rsidRPr="00831C3C">
          <w:rPr>
            <w:noProof/>
            <w:webHidden/>
          </w:rPr>
          <w:t>6</w:t>
        </w:r>
        <w:r w:rsidR="00C65FD5" w:rsidRPr="00831C3C">
          <w:rPr>
            <w:noProof/>
            <w:webHidden/>
          </w:rPr>
          <w:fldChar w:fldCharType="end"/>
        </w:r>
      </w:hyperlink>
    </w:p>
    <w:p w:rsidR="00E23A97" w:rsidRPr="00831C3C" w:rsidRDefault="00954343">
      <w:pPr>
        <w:pStyle w:val="1"/>
        <w:tabs>
          <w:tab w:val="left" w:leader="dot" w:pos="9469"/>
        </w:tabs>
        <w:rPr>
          <w:noProof/>
        </w:rPr>
      </w:pPr>
      <w:hyperlink w:anchor="_Toc988902" w:history="1">
        <w:r w:rsidR="00C65FD5" w:rsidRPr="00831C3C">
          <w:rPr>
            <w:rFonts w:ascii="宋体" w:eastAsia="宋体" w:hAnsi="宋体" w:hint="eastAsia"/>
            <w:b/>
            <w:bCs/>
            <w:noProof/>
            <w:sz w:val="24"/>
          </w:rPr>
          <w:t>第三节 管理层讨论与分析</w:t>
        </w:r>
        <w:r w:rsidR="00C65FD5" w:rsidRPr="00831C3C">
          <w:rPr>
            <w:noProof/>
            <w:webHidden/>
          </w:rPr>
          <w:tab/>
        </w:r>
        <w:r w:rsidR="00C65FD5" w:rsidRPr="00831C3C">
          <w:rPr>
            <w:noProof/>
            <w:webHidden/>
          </w:rPr>
          <w:fldChar w:fldCharType="begin"/>
        </w:r>
        <w:r w:rsidR="00C65FD5" w:rsidRPr="00831C3C">
          <w:rPr>
            <w:noProof/>
            <w:webHidden/>
          </w:rPr>
          <w:instrText xml:space="preserve"> PAGEREF _Toc988902 \h </w:instrText>
        </w:r>
        <w:r w:rsidR="00C65FD5" w:rsidRPr="00831C3C">
          <w:rPr>
            <w:noProof/>
            <w:webHidden/>
          </w:rPr>
        </w:r>
        <w:r w:rsidR="00C65FD5" w:rsidRPr="00831C3C">
          <w:rPr>
            <w:noProof/>
            <w:webHidden/>
          </w:rPr>
          <w:fldChar w:fldCharType="separate"/>
        </w:r>
        <w:r w:rsidR="006F1E9D" w:rsidRPr="00831C3C">
          <w:rPr>
            <w:noProof/>
            <w:webHidden/>
          </w:rPr>
          <w:t>10</w:t>
        </w:r>
        <w:r w:rsidR="00C65FD5" w:rsidRPr="00831C3C">
          <w:rPr>
            <w:noProof/>
            <w:webHidden/>
          </w:rPr>
          <w:fldChar w:fldCharType="end"/>
        </w:r>
      </w:hyperlink>
    </w:p>
    <w:p w:rsidR="00E23A97" w:rsidRPr="00831C3C" w:rsidRDefault="00954343">
      <w:pPr>
        <w:pStyle w:val="1"/>
        <w:tabs>
          <w:tab w:val="left" w:leader="dot" w:pos="9469"/>
        </w:tabs>
        <w:rPr>
          <w:noProof/>
        </w:rPr>
      </w:pPr>
      <w:hyperlink w:anchor="_Toc988956" w:history="1">
        <w:r w:rsidR="00C65FD5" w:rsidRPr="00831C3C">
          <w:rPr>
            <w:rFonts w:ascii="宋体" w:eastAsia="宋体" w:hAnsi="宋体" w:hint="eastAsia"/>
            <w:b/>
            <w:bCs/>
            <w:noProof/>
            <w:sz w:val="24"/>
          </w:rPr>
          <w:t>第四节 公司治理</w:t>
        </w:r>
        <w:r w:rsidR="00C65FD5" w:rsidRPr="00831C3C">
          <w:rPr>
            <w:noProof/>
            <w:webHidden/>
          </w:rPr>
          <w:tab/>
        </w:r>
        <w:r w:rsidR="00C65FD5" w:rsidRPr="00831C3C">
          <w:rPr>
            <w:noProof/>
            <w:webHidden/>
          </w:rPr>
          <w:fldChar w:fldCharType="begin"/>
        </w:r>
        <w:r w:rsidR="00C65FD5" w:rsidRPr="00831C3C">
          <w:rPr>
            <w:noProof/>
            <w:webHidden/>
          </w:rPr>
          <w:instrText xml:space="preserve"> PAGEREF _Toc988956 \h </w:instrText>
        </w:r>
        <w:r w:rsidR="00C65FD5" w:rsidRPr="00831C3C">
          <w:rPr>
            <w:noProof/>
            <w:webHidden/>
          </w:rPr>
        </w:r>
        <w:r w:rsidR="00C65FD5" w:rsidRPr="00831C3C">
          <w:rPr>
            <w:noProof/>
            <w:webHidden/>
          </w:rPr>
          <w:fldChar w:fldCharType="separate"/>
        </w:r>
        <w:r w:rsidR="006F1E9D" w:rsidRPr="00831C3C">
          <w:rPr>
            <w:noProof/>
            <w:webHidden/>
          </w:rPr>
          <w:t>34</w:t>
        </w:r>
        <w:r w:rsidR="00C65FD5" w:rsidRPr="00831C3C">
          <w:rPr>
            <w:noProof/>
            <w:webHidden/>
          </w:rPr>
          <w:fldChar w:fldCharType="end"/>
        </w:r>
      </w:hyperlink>
    </w:p>
    <w:p w:rsidR="00E23A97" w:rsidRPr="00831C3C" w:rsidRDefault="00954343">
      <w:pPr>
        <w:pStyle w:val="1"/>
        <w:tabs>
          <w:tab w:val="left" w:leader="dot" w:pos="9469"/>
        </w:tabs>
        <w:rPr>
          <w:noProof/>
        </w:rPr>
      </w:pPr>
      <w:hyperlink w:anchor="_Toc988992" w:history="1">
        <w:r w:rsidR="00C65FD5" w:rsidRPr="00831C3C">
          <w:rPr>
            <w:rFonts w:ascii="宋体" w:eastAsia="宋体" w:hAnsi="宋体" w:hint="eastAsia"/>
            <w:b/>
            <w:bCs/>
            <w:noProof/>
            <w:sz w:val="24"/>
          </w:rPr>
          <w:t>第五节 环境和社会责任</w:t>
        </w:r>
        <w:r w:rsidR="00C65FD5" w:rsidRPr="00831C3C">
          <w:rPr>
            <w:noProof/>
            <w:webHidden/>
          </w:rPr>
          <w:tab/>
        </w:r>
        <w:r w:rsidR="00C65FD5" w:rsidRPr="00831C3C">
          <w:rPr>
            <w:noProof/>
            <w:webHidden/>
          </w:rPr>
          <w:fldChar w:fldCharType="begin"/>
        </w:r>
        <w:r w:rsidR="00C65FD5" w:rsidRPr="00831C3C">
          <w:rPr>
            <w:noProof/>
            <w:webHidden/>
          </w:rPr>
          <w:instrText xml:space="preserve"> PAGEREF _Toc988992 \h </w:instrText>
        </w:r>
        <w:r w:rsidR="00C65FD5" w:rsidRPr="00831C3C">
          <w:rPr>
            <w:noProof/>
            <w:webHidden/>
          </w:rPr>
        </w:r>
        <w:r w:rsidR="00C65FD5" w:rsidRPr="00831C3C">
          <w:rPr>
            <w:noProof/>
            <w:webHidden/>
          </w:rPr>
          <w:fldChar w:fldCharType="separate"/>
        </w:r>
        <w:r w:rsidR="006F1E9D" w:rsidRPr="00831C3C">
          <w:rPr>
            <w:noProof/>
            <w:webHidden/>
          </w:rPr>
          <w:t>48</w:t>
        </w:r>
        <w:r w:rsidR="00C65FD5" w:rsidRPr="00831C3C">
          <w:rPr>
            <w:noProof/>
            <w:webHidden/>
          </w:rPr>
          <w:fldChar w:fldCharType="end"/>
        </w:r>
      </w:hyperlink>
    </w:p>
    <w:p w:rsidR="00E23A97" w:rsidRPr="00831C3C" w:rsidRDefault="00954343">
      <w:pPr>
        <w:pStyle w:val="1"/>
        <w:tabs>
          <w:tab w:val="left" w:leader="dot" w:pos="9469"/>
        </w:tabs>
        <w:rPr>
          <w:noProof/>
        </w:rPr>
      </w:pPr>
      <w:hyperlink w:anchor="_Toc988996" w:history="1">
        <w:r w:rsidR="00C65FD5" w:rsidRPr="00831C3C">
          <w:rPr>
            <w:rFonts w:ascii="宋体" w:eastAsia="宋体" w:hAnsi="宋体" w:hint="eastAsia"/>
            <w:b/>
            <w:bCs/>
            <w:noProof/>
            <w:sz w:val="24"/>
          </w:rPr>
          <w:t>第六节 重要事项</w:t>
        </w:r>
        <w:r w:rsidR="00C65FD5" w:rsidRPr="00831C3C">
          <w:rPr>
            <w:noProof/>
            <w:webHidden/>
          </w:rPr>
          <w:tab/>
        </w:r>
        <w:r w:rsidR="00C65FD5" w:rsidRPr="00831C3C">
          <w:rPr>
            <w:noProof/>
            <w:webHidden/>
          </w:rPr>
          <w:fldChar w:fldCharType="begin"/>
        </w:r>
        <w:r w:rsidR="00C65FD5" w:rsidRPr="00831C3C">
          <w:rPr>
            <w:noProof/>
            <w:webHidden/>
          </w:rPr>
          <w:instrText xml:space="preserve"> PAGEREF _Toc988996 \h </w:instrText>
        </w:r>
        <w:r w:rsidR="00C65FD5" w:rsidRPr="00831C3C">
          <w:rPr>
            <w:noProof/>
            <w:webHidden/>
          </w:rPr>
        </w:r>
        <w:r w:rsidR="00C65FD5" w:rsidRPr="00831C3C">
          <w:rPr>
            <w:noProof/>
            <w:webHidden/>
          </w:rPr>
          <w:fldChar w:fldCharType="separate"/>
        </w:r>
        <w:r w:rsidR="006F1E9D" w:rsidRPr="00831C3C">
          <w:rPr>
            <w:noProof/>
            <w:webHidden/>
          </w:rPr>
          <w:t>50</w:t>
        </w:r>
        <w:r w:rsidR="00C65FD5" w:rsidRPr="00831C3C">
          <w:rPr>
            <w:noProof/>
            <w:webHidden/>
          </w:rPr>
          <w:fldChar w:fldCharType="end"/>
        </w:r>
      </w:hyperlink>
    </w:p>
    <w:p w:rsidR="00E23A97" w:rsidRPr="00831C3C" w:rsidRDefault="00954343">
      <w:pPr>
        <w:pStyle w:val="1"/>
        <w:tabs>
          <w:tab w:val="left" w:leader="dot" w:pos="9469"/>
        </w:tabs>
        <w:rPr>
          <w:noProof/>
        </w:rPr>
      </w:pPr>
      <w:hyperlink w:anchor="_Toc989032" w:history="1">
        <w:r w:rsidR="00C65FD5" w:rsidRPr="00831C3C">
          <w:rPr>
            <w:rFonts w:ascii="宋体" w:eastAsia="宋体" w:hAnsi="宋体" w:hint="eastAsia"/>
            <w:b/>
            <w:bCs/>
            <w:noProof/>
            <w:sz w:val="24"/>
          </w:rPr>
          <w:t>第七节 股份变动及股东情况</w:t>
        </w:r>
        <w:r w:rsidR="00C65FD5" w:rsidRPr="00831C3C">
          <w:rPr>
            <w:noProof/>
            <w:webHidden/>
          </w:rPr>
          <w:tab/>
        </w:r>
        <w:r w:rsidR="00C65FD5" w:rsidRPr="00831C3C">
          <w:rPr>
            <w:noProof/>
            <w:webHidden/>
          </w:rPr>
          <w:fldChar w:fldCharType="begin"/>
        </w:r>
        <w:r w:rsidR="00C65FD5" w:rsidRPr="00831C3C">
          <w:rPr>
            <w:noProof/>
            <w:webHidden/>
          </w:rPr>
          <w:instrText xml:space="preserve"> PAGEREF _Toc989032 \h </w:instrText>
        </w:r>
        <w:r w:rsidR="00C65FD5" w:rsidRPr="00831C3C">
          <w:rPr>
            <w:noProof/>
            <w:webHidden/>
          </w:rPr>
        </w:r>
        <w:r w:rsidR="00C65FD5" w:rsidRPr="00831C3C">
          <w:rPr>
            <w:noProof/>
            <w:webHidden/>
          </w:rPr>
          <w:fldChar w:fldCharType="separate"/>
        </w:r>
        <w:r w:rsidR="006F1E9D" w:rsidRPr="00831C3C">
          <w:rPr>
            <w:noProof/>
            <w:webHidden/>
          </w:rPr>
          <w:t>58</w:t>
        </w:r>
        <w:r w:rsidR="00C65FD5" w:rsidRPr="00831C3C">
          <w:rPr>
            <w:noProof/>
            <w:webHidden/>
          </w:rPr>
          <w:fldChar w:fldCharType="end"/>
        </w:r>
      </w:hyperlink>
    </w:p>
    <w:p w:rsidR="00E23A97" w:rsidRPr="00831C3C" w:rsidRDefault="00954343">
      <w:pPr>
        <w:pStyle w:val="1"/>
        <w:tabs>
          <w:tab w:val="left" w:leader="dot" w:pos="9469"/>
        </w:tabs>
        <w:rPr>
          <w:noProof/>
        </w:rPr>
      </w:pPr>
      <w:hyperlink w:anchor="_Toc989048" w:history="1">
        <w:r w:rsidR="00C65FD5" w:rsidRPr="00831C3C">
          <w:rPr>
            <w:rFonts w:ascii="宋体" w:eastAsia="宋体" w:hAnsi="宋体" w:hint="eastAsia"/>
            <w:b/>
            <w:bCs/>
            <w:noProof/>
            <w:sz w:val="24"/>
          </w:rPr>
          <w:t>第八节 优先股相关情况</w:t>
        </w:r>
        <w:r w:rsidR="00C65FD5" w:rsidRPr="00831C3C">
          <w:rPr>
            <w:noProof/>
            <w:webHidden/>
          </w:rPr>
          <w:tab/>
        </w:r>
        <w:r w:rsidR="00C65FD5" w:rsidRPr="00831C3C">
          <w:rPr>
            <w:noProof/>
            <w:webHidden/>
          </w:rPr>
          <w:fldChar w:fldCharType="begin"/>
        </w:r>
        <w:r w:rsidR="00C65FD5" w:rsidRPr="00831C3C">
          <w:rPr>
            <w:noProof/>
            <w:webHidden/>
          </w:rPr>
          <w:instrText xml:space="preserve"> PAGEREF _Toc989048 \h </w:instrText>
        </w:r>
        <w:r w:rsidR="00C65FD5" w:rsidRPr="00831C3C">
          <w:rPr>
            <w:noProof/>
            <w:webHidden/>
          </w:rPr>
        </w:r>
        <w:r w:rsidR="00C65FD5" w:rsidRPr="00831C3C">
          <w:rPr>
            <w:noProof/>
            <w:webHidden/>
          </w:rPr>
          <w:fldChar w:fldCharType="separate"/>
        </w:r>
        <w:r w:rsidR="006F1E9D" w:rsidRPr="00831C3C">
          <w:rPr>
            <w:noProof/>
            <w:webHidden/>
          </w:rPr>
          <w:t>64</w:t>
        </w:r>
        <w:r w:rsidR="00C65FD5" w:rsidRPr="00831C3C">
          <w:rPr>
            <w:noProof/>
            <w:webHidden/>
          </w:rPr>
          <w:fldChar w:fldCharType="end"/>
        </w:r>
      </w:hyperlink>
    </w:p>
    <w:p w:rsidR="00E23A97" w:rsidRPr="00831C3C" w:rsidRDefault="00954343">
      <w:pPr>
        <w:pStyle w:val="1"/>
        <w:tabs>
          <w:tab w:val="left" w:leader="dot" w:pos="9469"/>
        </w:tabs>
        <w:rPr>
          <w:noProof/>
        </w:rPr>
      </w:pPr>
      <w:hyperlink w:anchor="_Toc989049" w:history="1">
        <w:r w:rsidR="00C65FD5" w:rsidRPr="00831C3C">
          <w:rPr>
            <w:rFonts w:ascii="宋体" w:eastAsia="宋体" w:hAnsi="宋体" w:hint="eastAsia"/>
            <w:b/>
            <w:bCs/>
            <w:noProof/>
            <w:sz w:val="24"/>
          </w:rPr>
          <w:t>第九节 债券相关情况</w:t>
        </w:r>
        <w:r w:rsidR="00C65FD5" w:rsidRPr="00831C3C">
          <w:rPr>
            <w:noProof/>
            <w:webHidden/>
          </w:rPr>
          <w:tab/>
        </w:r>
        <w:r w:rsidR="00C65FD5" w:rsidRPr="00831C3C">
          <w:rPr>
            <w:noProof/>
            <w:webHidden/>
          </w:rPr>
          <w:fldChar w:fldCharType="begin"/>
        </w:r>
        <w:r w:rsidR="00C65FD5" w:rsidRPr="00831C3C">
          <w:rPr>
            <w:noProof/>
            <w:webHidden/>
          </w:rPr>
          <w:instrText xml:space="preserve"> PAGEREF _Toc989049 \h </w:instrText>
        </w:r>
        <w:r w:rsidR="00C65FD5" w:rsidRPr="00831C3C">
          <w:rPr>
            <w:noProof/>
            <w:webHidden/>
          </w:rPr>
        </w:r>
        <w:r w:rsidR="00C65FD5" w:rsidRPr="00831C3C">
          <w:rPr>
            <w:noProof/>
            <w:webHidden/>
          </w:rPr>
          <w:fldChar w:fldCharType="separate"/>
        </w:r>
        <w:r w:rsidR="006F1E9D" w:rsidRPr="00831C3C">
          <w:rPr>
            <w:noProof/>
            <w:webHidden/>
          </w:rPr>
          <w:t>64</w:t>
        </w:r>
        <w:r w:rsidR="00C65FD5" w:rsidRPr="00831C3C">
          <w:rPr>
            <w:noProof/>
            <w:webHidden/>
          </w:rPr>
          <w:fldChar w:fldCharType="end"/>
        </w:r>
      </w:hyperlink>
    </w:p>
    <w:p w:rsidR="00E23A97" w:rsidRPr="00831C3C" w:rsidRDefault="00954343">
      <w:pPr>
        <w:pStyle w:val="1"/>
        <w:tabs>
          <w:tab w:val="left" w:leader="dot" w:pos="9469"/>
        </w:tabs>
        <w:rPr>
          <w:noProof/>
        </w:rPr>
      </w:pPr>
      <w:hyperlink w:anchor="_Toc989050" w:history="1">
        <w:r w:rsidR="00C65FD5" w:rsidRPr="00831C3C">
          <w:rPr>
            <w:rFonts w:ascii="宋体" w:eastAsia="宋体" w:hAnsi="宋体" w:hint="eastAsia"/>
            <w:b/>
            <w:bCs/>
            <w:noProof/>
            <w:sz w:val="24"/>
          </w:rPr>
          <w:t>第十节 财务报告</w:t>
        </w:r>
        <w:r w:rsidR="00C65FD5" w:rsidRPr="00831C3C">
          <w:rPr>
            <w:noProof/>
            <w:webHidden/>
          </w:rPr>
          <w:tab/>
        </w:r>
        <w:r w:rsidR="00C65FD5" w:rsidRPr="00831C3C">
          <w:rPr>
            <w:noProof/>
            <w:webHidden/>
          </w:rPr>
          <w:fldChar w:fldCharType="begin"/>
        </w:r>
        <w:r w:rsidR="00C65FD5" w:rsidRPr="00831C3C">
          <w:rPr>
            <w:noProof/>
            <w:webHidden/>
          </w:rPr>
          <w:instrText xml:space="preserve"> PAGEREF _Toc989050 \h </w:instrText>
        </w:r>
        <w:r w:rsidR="00C65FD5" w:rsidRPr="00831C3C">
          <w:rPr>
            <w:noProof/>
            <w:webHidden/>
          </w:rPr>
        </w:r>
        <w:r w:rsidR="00C65FD5" w:rsidRPr="00831C3C">
          <w:rPr>
            <w:noProof/>
            <w:webHidden/>
          </w:rPr>
          <w:fldChar w:fldCharType="separate"/>
        </w:r>
        <w:r w:rsidR="006F1E9D" w:rsidRPr="00831C3C">
          <w:rPr>
            <w:noProof/>
            <w:webHidden/>
          </w:rPr>
          <w:t>65</w:t>
        </w:r>
        <w:r w:rsidR="00C65FD5" w:rsidRPr="00831C3C">
          <w:rPr>
            <w:noProof/>
            <w:webHidden/>
          </w:rPr>
          <w:fldChar w:fldCharType="end"/>
        </w:r>
      </w:hyperlink>
      <w:r w:rsidR="00C65FD5" w:rsidRPr="00831C3C">
        <w:fldChar w:fldCharType="end"/>
      </w:r>
    </w:p>
    <w:p w:rsidR="00E23A97" w:rsidRPr="00831C3C" w:rsidRDefault="00C65FD5">
      <w:r w:rsidRPr="00831C3C">
        <w:br w:type="page"/>
      </w:r>
    </w:p>
    <w:p w:rsidR="00E23A97" w:rsidRPr="00831C3C" w:rsidRDefault="00C65FD5">
      <w:pPr>
        <w:spacing w:line="640" w:lineRule="exact"/>
        <w:jc w:val="center"/>
        <w:rPr>
          <w:rFonts w:ascii="宋体" w:eastAsia="宋体" w:hAnsi="宋体" w:cs="宋体"/>
          <w:b/>
          <w:bCs/>
          <w:sz w:val="32"/>
          <w:szCs w:val="32"/>
        </w:rPr>
      </w:pPr>
      <w:r w:rsidRPr="00831C3C">
        <w:rPr>
          <w:rFonts w:ascii="宋体" w:eastAsia="宋体" w:hAnsi="宋体" w:cs="宋体"/>
          <w:b/>
          <w:bCs/>
          <w:sz w:val="32"/>
          <w:szCs w:val="32"/>
        </w:rPr>
        <w:lastRenderedPageBreak/>
        <w:t>备查文件目录</w:t>
      </w:r>
    </w:p>
    <w:p w:rsidR="00C65FD5" w:rsidRPr="00831C3C" w:rsidRDefault="00C65FD5" w:rsidP="001E2174">
      <w:pPr>
        <w:pStyle w:val="a3"/>
        <w:ind w:firstLine="408"/>
        <w:divId w:val="2092501605"/>
        <w:rPr>
          <w:sz w:val="18"/>
          <w:szCs w:val="18"/>
        </w:rPr>
      </w:pPr>
      <w:r w:rsidRPr="00831C3C">
        <w:rPr>
          <w:rFonts w:hint="eastAsia"/>
          <w:sz w:val="18"/>
          <w:szCs w:val="18"/>
        </w:rPr>
        <w:t>（一）载有法定代表人、主管会计工作负责人、会计机构负责人签名并盖章的会计报表。</w:t>
      </w:r>
    </w:p>
    <w:p w:rsidR="00C65FD5" w:rsidRPr="00831C3C" w:rsidRDefault="00C65FD5" w:rsidP="001E2174">
      <w:pPr>
        <w:pStyle w:val="a3"/>
        <w:ind w:firstLine="408"/>
        <w:divId w:val="2092501605"/>
        <w:rPr>
          <w:sz w:val="18"/>
          <w:szCs w:val="18"/>
        </w:rPr>
      </w:pPr>
      <w:r w:rsidRPr="00831C3C">
        <w:rPr>
          <w:rFonts w:hint="eastAsia"/>
          <w:sz w:val="18"/>
          <w:szCs w:val="18"/>
        </w:rPr>
        <w:t>（二）载有会计师事务所盖章、注册会计师签名并盖章的审计报告原件。</w:t>
      </w:r>
    </w:p>
    <w:p w:rsidR="00C65FD5" w:rsidRPr="00831C3C" w:rsidRDefault="00C65FD5" w:rsidP="001E2174">
      <w:pPr>
        <w:pStyle w:val="a3"/>
        <w:ind w:firstLine="408"/>
        <w:divId w:val="2092501605"/>
        <w:rPr>
          <w:sz w:val="18"/>
          <w:szCs w:val="18"/>
        </w:rPr>
      </w:pPr>
      <w:r w:rsidRPr="00831C3C">
        <w:rPr>
          <w:rFonts w:hint="eastAsia"/>
          <w:sz w:val="18"/>
          <w:szCs w:val="18"/>
        </w:rPr>
        <w:t>（三）报告期内在中国证监会指定报纸上公开披露过的所有公司文件的正本及公告的原稿。</w:t>
      </w:r>
    </w:p>
    <w:p w:rsidR="00C65FD5" w:rsidRPr="00831C3C" w:rsidRDefault="00C65FD5" w:rsidP="001E2174">
      <w:pPr>
        <w:pStyle w:val="a3"/>
        <w:ind w:firstLine="408"/>
        <w:divId w:val="2092501605"/>
        <w:rPr>
          <w:sz w:val="18"/>
          <w:szCs w:val="18"/>
        </w:rPr>
      </w:pPr>
      <w:r w:rsidRPr="00831C3C">
        <w:rPr>
          <w:rFonts w:hint="eastAsia"/>
          <w:sz w:val="18"/>
          <w:szCs w:val="18"/>
        </w:rPr>
        <w:t>（四）载有董事长孙伟挺先生签字的2024年年度报告文件原件。</w:t>
      </w:r>
    </w:p>
    <w:p w:rsidR="00C65FD5" w:rsidRPr="00831C3C" w:rsidRDefault="00C65FD5" w:rsidP="001E2174">
      <w:pPr>
        <w:pStyle w:val="a3"/>
        <w:ind w:firstLine="408"/>
        <w:divId w:val="2092501605"/>
        <w:rPr>
          <w:sz w:val="18"/>
          <w:szCs w:val="18"/>
        </w:rPr>
      </w:pPr>
      <w:r w:rsidRPr="00831C3C">
        <w:rPr>
          <w:rFonts w:hint="eastAsia"/>
          <w:sz w:val="18"/>
          <w:szCs w:val="18"/>
        </w:rPr>
        <w:t>（五）以上备查文件的备置地点：公司董事会办公室。</w:t>
      </w:r>
    </w:p>
    <w:p w:rsidR="00E23A97" w:rsidRPr="00831C3C" w:rsidRDefault="00C65FD5">
      <w:r w:rsidRPr="00831C3C">
        <w:br w:type="page"/>
      </w:r>
    </w:p>
    <w:p w:rsidR="00E23A97" w:rsidRPr="00831C3C" w:rsidRDefault="00C65FD5">
      <w:pPr>
        <w:spacing w:before="40" w:after="40" w:line="560" w:lineRule="exact"/>
        <w:jc w:val="center"/>
        <w:rPr>
          <w:rFonts w:ascii="宋体" w:eastAsia="宋体" w:hAnsi="宋体" w:cs="宋体"/>
          <w:b/>
          <w:bCs/>
          <w:sz w:val="32"/>
          <w:szCs w:val="32"/>
        </w:rPr>
      </w:pPr>
      <w:r w:rsidRPr="00831C3C">
        <w:rPr>
          <w:rFonts w:ascii="宋体" w:eastAsia="宋体" w:hAnsi="宋体" w:cs="宋体"/>
          <w:b/>
          <w:bCs/>
          <w:sz w:val="32"/>
          <w:szCs w:val="32"/>
        </w:rPr>
        <w:lastRenderedPageBreak/>
        <w:t>释义</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093"/>
        <w:gridCol w:w="1276"/>
        <w:gridCol w:w="6270"/>
      </w:tblGrid>
      <w:tr w:rsidR="00831C3C" w:rsidRPr="00831C3C" w:rsidTr="006F5F74">
        <w:trPr>
          <w:trHeight w:val="240"/>
        </w:trPr>
        <w:tc>
          <w:tcPr>
            <w:tcW w:w="209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释义项</w:t>
            </w:r>
          </w:p>
        </w:tc>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指</w:t>
            </w:r>
          </w:p>
        </w:tc>
        <w:tc>
          <w:tcPr>
            <w:tcW w:w="627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释义内容</w:t>
            </w:r>
          </w:p>
        </w:tc>
      </w:tr>
      <w:tr w:rsidR="00831C3C" w:rsidRPr="00831C3C" w:rsidTr="006F5F74">
        <w:trPr>
          <w:trHeight w:val="240"/>
        </w:trPr>
        <w:tc>
          <w:tcPr>
            <w:tcW w:w="20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公司、本公司</w:t>
            </w:r>
          </w:p>
        </w:tc>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指</w:t>
            </w:r>
          </w:p>
        </w:tc>
        <w:tc>
          <w:tcPr>
            <w:tcW w:w="627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华孚时尚股份有限公司</w:t>
            </w:r>
          </w:p>
        </w:tc>
      </w:tr>
      <w:tr w:rsidR="00831C3C" w:rsidRPr="00831C3C" w:rsidTr="006F5F74">
        <w:trPr>
          <w:trHeight w:val="240"/>
        </w:trPr>
        <w:tc>
          <w:tcPr>
            <w:tcW w:w="20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中国证监会</w:t>
            </w:r>
          </w:p>
        </w:tc>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指</w:t>
            </w:r>
          </w:p>
        </w:tc>
        <w:tc>
          <w:tcPr>
            <w:tcW w:w="627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中国证券监督管理委员会</w:t>
            </w:r>
          </w:p>
        </w:tc>
      </w:tr>
      <w:tr w:rsidR="00831C3C" w:rsidRPr="00831C3C" w:rsidTr="006F5F74">
        <w:trPr>
          <w:trHeight w:val="240"/>
        </w:trPr>
        <w:tc>
          <w:tcPr>
            <w:tcW w:w="20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深交所</w:t>
            </w:r>
          </w:p>
        </w:tc>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指</w:t>
            </w:r>
          </w:p>
        </w:tc>
        <w:tc>
          <w:tcPr>
            <w:tcW w:w="627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深圳证券交易所</w:t>
            </w:r>
          </w:p>
        </w:tc>
      </w:tr>
      <w:tr w:rsidR="00831C3C" w:rsidRPr="00831C3C" w:rsidTr="006F5F74">
        <w:trPr>
          <w:trHeight w:val="240"/>
        </w:trPr>
        <w:tc>
          <w:tcPr>
            <w:tcW w:w="20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《证券法》、《公司法》</w:t>
            </w:r>
          </w:p>
        </w:tc>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指</w:t>
            </w:r>
          </w:p>
        </w:tc>
        <w:tc>
          <w:tcPr>
            <w:tcW w:w="627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《中华人民共和国证券法》、《中华人民共和国公司法》</w:t>
            </w:r>
          </w:p>
        </w:tc>
      </w:tr>
      <w:tr w:rsidR="00831C3C" w:rsidRPr="00831C3C" w:rsidTr="006F5F74">
        <w:trPr>
          <w:trHeight w:val="240"/>
        </w:trPr>
        <w:tc>
          <w:tcPr>
            <w:tcW w:w="20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控股股东、华孚控股</w:t>
            </w:r>
          </w:p>
        </w:tc>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指</w:t>
            </w:r>
          </w:p>
        </w:tc>
        <w:tc>
          <w:tcPr>
            <w:tcW w:w="627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华孚控股有限公司</w:t>
            </w:r>
          </w:p>
        </w:tc>
      </w:tr>
      <w:tr w:rsidR="00831C3C" w:rsidRPr="00831C3C" w:rsidTr="006F5F74">
        <w:trPr>
          <w:trHeight w:val="240"/>
        </w:trPr>
        <w:tc>
          <w:tcPr>
            <w:tcW w:w="20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元、万元</w:t>
            </w:r>
          </w:p>
        </w:tc>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指</w:t>
            </w:r>
          </w:p>
        </w:tc>
        <w:tc>
          <w:tcPr>
            <w:tcW w:w="627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人民币元、万元</w:t>
            </w:r>
          </w:p>
        </w:tc>
      </w:tr>
      <w:tr w:rsidR="00831C3C" w:rsidRPr="00831C3C" w:rsidTr="006F5F74">
        <w:trPr>
          <w:trHeight w:val="240"/>
        </w:trPr>
        <w:tc>
          <w:tcPr>
            <w:tcW w:w="20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网链</w:t>
            </w:r>
            <w:proofErr w:type="gramEnd"/>
          </w:p>
        </w:tc>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指</w:t>
            </w:r>
          </w:p>
        </w:tc>
        <w:tc>
          <w:tcPr>
            <w:tcW w:w="627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公司</w:t>
            </w:r>
            <w:proofErr w:type="gramStart"/>
            <w:r w:rsidRPr="00831C3C">
              <w:rPr>
                <w:rFonts w:ascii="宋体" w:eastAsia="宋体" w:hAnsi="宋体" w:cs="宋体"/>
                <w:sz w:val="18"/>
                <w:szCs w:val="18"/>
              </w:rPr>
              <w:t>网链业务</w:t>
            </w:r>
            <w:proofErr w:type="gramEnd"/>
            <w:r w:rsidRPr="00831C3C">
              <w:rPr>
                <w:rFonts w:ascii="宋体" w:eastAsia="宋体" w:hAnsi="宋体" w:cs="宋体"/>
                <w:sz w:val="18"/>
                <w:szCs w:val="18"/>
              </w:rPr>
              <w:t>是以公司主营纱线为界限，向上游产业和下游产业进行延伸和贯通。</w:t>
            </w:r>
            <w:proofErr w:type="gramStart"/>
            <w:r w:rsidRPr="00831C3C">
              <w:rPr>
                <w:rFonts w:ascii="宋体" w:eastAsia="宋体" w:hAnsi="宋体" w:cs="宋体"/>
                <w:sz w:val="18"/>
                <w:szCs w:val="18"/>
              </w:rPr>
              <w:t>前端网链业务</w:t>
            </w:r>
            <w:proofErr w:type="gramEnd"/>
            <w:r w:rsidRPr="00831C3C">
              <w:rPr>
                <w:rFonts w:ascii="宋体" w:eastAsia="宋体" w:hAnsi="宋体" w:cs="宋体"/>
                <w:sz w:val="18"/>
                <w:szCs w:val="18"/>
              </w:rPr>
              <w:t>包括与产业相关的棉花种植、加工、储运和交易等环节；后端网</w:t>
            </w:r>
            <w:proofErr w:type="gramStart"/>
            <w:r w:rsidRPr="00831C3C">
              <w:rPr>
                <w:rFonts w:ascii="宋体" w:eastAsia="宋体" w:hAnsi="宋体" w:cs="宋体"/>
                <w:sz w:val="18"/>
                <w:szCs w:val="18"/>
              </w:rPr>
              <w:t>链包括</w:t>
            </w:r>
            <w:proofErr w:type="gramEnd"/>
            <w:r w:rsidRPr="00831C3C">
              <w:rPr>
                <w:rFonts w:ascii="宋体" w:eastAsia="宋体" w:hAnsi="宋体" w:cs="宋体"/>
                <w:sz w:val="18"/>
                <w:szCs w:val="18"/>
              </w:rPr>
              <w:t>布料、成衣、品牌和品质等管理。</w:t>
            </w:r>
          </w:p>
        </w:tc>
      </w:tr>
      <w:tr w:rsidR="00831C3C" w:rsidRPr="00831C3C" w:rsidTr="006F5F74">
        <w:trPr>
          <w:trHeight w:val="240"/>
        </w:trPr>
        <w:tc>
          <w:tcPr>
            <w:tcW w:w="20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算力</w:t>
            </w:r>
            <w:proofErr w:type="gramEnd"/>
          </w:p>
        </w:tc>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指</w:t>
            </w:r>
          </w:p>
        </w:tc>
        <w:tc>
          <w:tcPr>
            <w:tcW w:w="627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算力，即计算能力，是指计算机或数据中心处理和输出数据的能力。它通常通过处理器（如CPU、GPU等）的运算速度、效率和并行处理能力来衡量。</w:t>
            </w:r>
          </w:p>
        </w:tc>
      </w:tr>
      <w:tr w:rsidR="00831C3C" w:rsidRPr="00831C3C" w:rsidTr="006F5F74">
        <w:trPr>
          <w:trHeight w:val="240"/>
        </w:trPr>
        <w:tc>
          <w:tcPr>
            <w:tcW w:w="20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AIGC</w:t>
            </w:r>
          </w:p>
        </w:tc>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指</w:t>
            </w:r>
          </w:p>
        </w:tc>
        <w:tc>
          <w:tcPr>
            <w:tcW w:w="627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AIGC是人工智能生成内容（Artificial Intelligence Generated Content）的缩写。它指的是利用人工智能技术，尤其是机器学习和深度学习模型，自动生成各种形式的内容，如文本、图像、音频、视频等。</w:t>
            </w:r>
          </w:p>
        </w:tc>
      </w:tr>
      <w:tr w:rsidR="00831C3C" w:rsidRPr="00831C3C" w:rsidTr="006F5F74">
        <w:trPr>
          <w:trHeight w:val="240"/>
        </w:trPr>
        <w:tc>
          <w:tcPr>
            <w:tcW w:w="20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上虞AIGC</w:t>
            </w:r>
            <w:proofErr w:type="gramStart"/>
            <w:r w:rsidRPr="00831C3C">
              <w:rPr>
                <w:rFonts w:ascii="宋体" w:eastAsia="宋体" w:hAnsi="宋体" w:cs="宋体"/>
                <w:sz w:val="18"/>
                <w:szCs w:val="18"/>
              </w:rPr>
              <w:t>智算中心</w:t>
            </w:r>
            <w:proofErr w:type="gramEnd"/>
            <w:r w:rsidRPr="00831C3C">
              <w:rPr>
                <w:rFonts w:ascii="宋体" w:eastAsia="宋体" w:hAnsi="宋体" w:cs="宋体"/>
                <w:sz w:val="18"/>
                <w:szCs w:val="18"/>
              </w:rPr>
              <w:t>项目</w:t>
            </w:r>
          </w:p>
        </w:tc>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指</w:t>
            </w:r>
          </w:p>
        </w:tc>
        <w:tc>
          <w:tcPr>
            <w:tcW w:w="627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rsidP="00F055B3">
            <w:pPr>
              <w:spacing w:line="240" w:lineRule="exact"/>
              <w:rPr>
                <w:rFonts w:ascii="宋体" w:eastAsia="宋体" w:hAnsi="宋体" w:cs="宋体"/>
                <w:sz w:val="18"/>
                <w:szCs w:val="18"/>
              </w:rPr>
            </w:pPr>
            <w:r w:rsidRPr="00831C3C">
              <w:rPr>
                <w:rFonts w:ascii="宋体" w:eastAsia="宋体" w:hAnsi="宋体" w:cs="宋体"/>
                <w:sz w:val="18"/>
                <w:szCs w:val="18"/>
              </w:rPr>
              <w:t>公司全资子公司浙江华孚色纺有限公司计划投资“上虞华尚数智中心 AIGC 智算中心项目”，项目规划建设规模 3000PFLOPS AI 算力，项目一期</w:t>
            </w:r>
            <w:r w:rsidR="00F055B3" w:rsidRPr="00831C3C">
              <w:rPr>
                <w:rFonts w:ascii="宋体" w:eastAsia="宋体" w:hAnsi="宋体" w:cs="宋体"/>
                <w:sz w:val="18"/>
                <w:szCs w:val="18"/>
              </w:rPr>
              <w:t>已经</w:t>
            </w:r>
            <w:r w:rsidRPr="00831C3C">
              <w:rPr>
                <w:rFonts w:ascii="宋体" w:eastAsia="宋体" w:hAnsi="宋体" w:cs="宋体"/>
                <w:sz w:val="18"/>
                <w:szCs w:val="18"/>
              </w:rPr>
              <w:t>建设</w:t>
            </w:r>
            <w:r w:rsidR="00F055B3" w:rsidRPr="00831C3C">
              <w:rPr>
                <w:rFonts w:ascii="宋体" w:eastAsia="宋体" w:hAnsi="宋体" w:cs="宋体"/>
                <w:sz w:val="18"/>
                <w:szCs w:val="18"/>
              </w:rPr>
              <w:t>完成</w:t>
            </w:r>
          </w:p>
        </w:tc>
      </w:tr>
      <w:tr w:rsidR="00831C3C" w:rsidRPr="00831C3C" w:rsidTr="006F5F74">
        <w:trPr>
          <w:trHeight w:val="240"/>
        </w:trPr>
        <w:tc>
          <w:tcPr>
            <w:tcW w:w="20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新疆阿克苏城市</w:t>
            </w:r>
            <w:proofErr w:type="gramStart"/>
            <w:r w:rsidRPr="00831C3C">
              <w:rPr>
                <w:rFonts w:ascii="宋体" w:eastAsia="宋体" w:hAnsi="宋体" w:cs="宋体"/>
                <w:sz w:val="18"/>
                <w:szCs w:val="18"/>
              </w:rPr>
              <w:t>公共算力平台</w:t>
            </w:r>
            <w:proofErr w:type="gramEnd"/>
            <w:r w:rsidRPr="00831C3C">
              <w:rPr>
                <w:rFonts w:ascii="宋体" w:eastAsia="宋体" w:hAnsi="宋体" w:cs="宋体"/>
                <w:sz w:val="18"/>
                <w:szCs w:val="18"/>
              </w:rPr>
              <w:t>项目</w:t>
            </w:r>
          </w:p>
        </w:tc>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指</w:t>
            </w:r>
          </w:p>
        </w:tc>
        <w:tc>
          <w:tcPr>
            <w:tcW w:w="627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公司全资子公司拟于新疆阿克苏投资</w:t>
            </w:r>
            <w:proofErr w:type="gramStart"/>
            <w:r w:rsidRPr="00831C3C">
              <w:rPr>
                <w:rFonts w:ascii="宋体" w:eastAsia="宋体" w:hAnsi="宋体" w:cs="宋体"/>
                <w:sz w:val="18"/>
                <w:szCs w:val="18"/>
              </w:rPr>
              <w:t>的智算中心</w:t>
            </w:r>
            <w:proofErr w:type="gramEnd"/>
            <w:r w:rsidRPr="00831C3C">
              <w:rPr>
                <w:rFonts w:ascii="宋体" w:eastAsia="宋体" w:hAnsi="宋体" w:cs="宋体"/>
                <w:sz w:val="18"/>
                <w:szCs w:val="18"/>
              </w:rPr>
              <w:t>项目，其中一期为 10000张智能计算卡，构建以国产下一代高性能计算服务器为主的异构</w:t>
            </w:r>
            <w:proofErr w:type="gramStart"/>
            <w:r w:rsidRPr="00831C3C">
              <w:rPr>
                <w:rFonts w:ascii="宋体" w:eastAsia="宋体" w:hAnsi="宋体" w:cs="宋体"/>
                <w:sz w:val="18"/>
                <w:szCs w:val="18"/>
              </w:rPr>
              <w:t>算力集群</w:t>
            </w:r>
            <w:proofErr w:type="gramEnd"/>
            <w:r w:rsidRPr="00831C3C">
              <w:rPr>
                <w:rFonts w:ascii="宋体" w:eastAsia="宋体" w:hAnsi="宋体" w:cs="宋体"/>
                <w:sz w:val="18"/>
                <w:szCs w:val="18"/>
              </w:rPr>
              <w:t>。</w:t>
            </w:r>
          </w:p>
        </w:tc>
      </w:tr>
    </w:tbl>
    <w:p w:rsidR="00E23A97" w:rsidRPr="00831C3C" w:rsidRDefault="00C65FD5">
      <w:r w:rsidRPr="00831C3C">
        <w:br w:type="page"/>
      </w:r>
    </w:p>
    <w:p w:rsidR="00E23A97" w:rsidRPr="00831C3C" w:rsidRDefault="00C65FD5">
      <w:pPr>
        <w:pStyle w:val="headingh1"/>
        <w:spacing w:before="340" w:after="330" w:line="773" w:lineRule="exact"/>
        <w:jc w:val="center"/>
        <w:rPr>
          <w:rFonts w:ascii="宋体" w:eastAsia="宋体" w:hAnsi="宋体" w:cs="宋体"/>
          <w:b/>
          <w:bCs/>
          <w:sz w:val="32"/>
          <w:szCs w:val="32"/>
        </w:rPr>
      </w:pPr>
      <w:bookmarkStart w:id="1" w:name="_Toc988890"/>
      <w:r w:rsidRPr="00831C3C">
        <w:rPr>
          <w:rFonts w:ascii="宋体" w:eastAsia="宋体" w:hAnsi="宋体" w:cs="宋体"/>
          <w:b/>
          <w:bCs/>
          <w:sz w:val="32"/>
          <w:szCs w:val="32"/>
        </w:rPr>
        <w:lastRenderedPageBreak/>
        <w:t>第二节 公司简介和主要财务指标</w:t>
      </w:r>
      <w:bookmarkEnd w:id="1"/>
    </w:p>
    <w:p w:rsidR="00E23A97" w:rsidRPr="00831C3C" w:rsidRDefault="00C65FD5">
      <w:pPr>
        <w:pStyle w:val="2"/>
        <w:spacing w:before="300" w:after="300" w:line="320" w:lineRule="exact"/>
        <w:rPr>
          <w:rFonts w:ascii="宋体" w:eastAsia="宋体" w:hAnsi="宋体" w:cs="宋体"/>
          <w:b/>
          <w:bCs/>
          <w:sz w:val="24"/>
          <w:szCs w:val="24"/>
        </w:rPr>
      </w:pPr>
      <w:bookmarkStart w:id="2" w:name="_Toc988891"/>
      <w:r w:rsidRPr="00831C3C">
        <w:rPr>
          <w:rFonts w:ascii="宋体" w:eastAsia="宋体" w:hAnsi="宋体" w:cs="宋体"/>
          <w:b/>
          <w:bCs/>
          <w:sz w:val="24"/>
          <w:szCs w:val="24"/>
        </w:rPr>
        <w:t>一、公司信息</w:t>
      </w:r>
      <w:bookmarkEnd w:id="2"/>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27"/>
        <w:gridCol w:w="2268"/>
        <w:gridCol w:w="1734"/>
        <w:gridCol w:w="2410"/>
      </w:tblGrid>
      <w:tr w:rsidR="00831C3C" w:rsidRPr="00831C3C" w:rsidTr="006F5F74">
        <w:trPr>
          <w:trHeight w:val="240"/>
        </w:trPr>
        <w:tc>
          <w:tcPr>
            <w:tcW w:w="322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股票简称</w:t>
            </w:r>
          </w:p>
        </w:tc>
        <w:tc>
          <w:tcPr>
            <w:tcW w:w="226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华孚时尚</w:t>
            </w:r>
          </w:p>
        </w:tc>
        <w:tc>
          <w:tcPr>
            <w:tcW w:w="1734"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股票代码</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002042</w:t>
            </w:r>
          </w:p>
        </w:tc>
      </w:tr>
      <w:tr w:rsidR="00831C3C" w:rsidRPr="00831C3C" w:rsidTr="006F5F74">
        <w:trPr>
          <w:trHeight w:val="240"/>
        </w:trPr>
        <w:tc>
          <w:tcPr>
            <w:tcW w:w="322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变更前的股票简称（如有）</w:t>
            </w:r>
          </w:p>
        </w:tc>
        <w:tc>
          <w:tcPr>
            <w:tcW w:w="6412" w:type="dxa"/>
            <w:gridSpan w:val="3"/>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r>
      <w:tr w:rsidR="00831C3C" w:rsidRPr="00831C3C" w:rsidTr="006F5F74">
        <w:trPr>
          <w:trHeight w:val="240"/>
        </w:trPr>
        <w:tc>
          <w:tcPr>
            <w:tcW w:w="322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股票上市证券交易所</w:t>
            </w:r>
          </w:p>
        </w:tc>
        <w:tc>
          <w:tcPr>
            <w:tcW w:w="6412" w:type="dxa"/>
            <w:gridSpan w:val="3"/>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深圳证券交易所</w:t>
            </w:r>
          </w:p>
        </w:tc>
      </w:tr>
      <w:tr w:rsidR="00831C3C" w:rsidRPr="00831C3C" w:rsidTr="006F5F74">
        <w:trPr>
          <w:trHeight w:val="240"/>
        </w:trPr>
        <w:tc>
          <w:tcPr>
            <w:tcW w:w="322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公司的中文名称</w:t>
            </w:r>
          </w:p>
        </w:tc>
        <w:tc>
          <w:tcPr>
            <w:tcW w:w="6412" w:type="dxa"/>
            <w:gridSpan w:val="3"/>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华孚时尚股份有限公司</w:t>
            </w:r>
          </w:p>
        </w:tc>
      </w:tr>
      <w:tr w:rsidR="00831C3C" w:rsidRPr="00831C3C" w:rsidTr="006F5F74">
        <w:trPr>
          <w:trHeight w:val="240"/>
        </w:trPr>
        <w:tc>
          <w:tcPr>
            <w:tcW w:w="322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公司的中文简称</w:t>
            </w:r>
          </w:p>
        </w:tc>
        <w:tc>
          <w:tcPr>
            <w:tcW w:w="6412" w:type="dxa"/>
            <w:gridSpan w:val="3"/>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华孚时尚</w:t>
            </w:r>
          </w:p>
        </w:tc>
      </w:tr>
      <w:tr w:rsidR="00831C3C" w:rsidRPr="00831C3C" w:rsidTr="006F5F74">
        <w:trPr>
          <w:trHeight w:val="240"/>
        </w:trPr>
        <w:tc>
          <w:tcPr>
            <w:tcW w:w="322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公司的外文名称（如有）</w:t>
            </w:r>
          </w:p>
        </w:tc>
        <w:tc>
          <w:tcPr>
            <w:tcW w:w="6412" w:type="dxa"/>
            <w:gridSpan w:val="3"/>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HUAFU FASHION CO., LTD.</w:t>
            </w:r>
          </w:p>
        </w:tc>
      </w:tr>
      <w:tr w:rsidR="00831C3C" w:rsidRPr="00831C3C" w:rsidTr="006F5F74">
        <w:trPr>
          <w:trHeight w:val="240"/>
        </w:trPr>
        <w:tc>
          <w:tcPr>
            <w:tcW w:w="322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公司的外文名称缩写（如有）</w:t>
            </w:r>
          </w:p>
        </w:tc>
        <w:tc>
          <w:tcPr>
            <w:tcW w:w="6412" w:type="dxa"/>
            <w:gridSpan w:val="3"/>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HUAFU</w:t>
            </w:r>
          </w:p>
        </w:tc>
      </w:tr>
      <w:tr w:rsidR="00831C3C" w:rsidRPr="00831C3C" w:rsidTr="006F5F74">
        <w:trPr>
          <w:trHeight w:val="240"/>
        </w:trPr>
        <w:tc>
          <w:tcPr>
            <w:tcW w:w="322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公司的法定代表人</w:t>
            </w:r>
          </w:p>
        </w:tc>
        <w:tc>
          <w:tcPr>
            <w:tcW w:w="6412" w:type="dxa"/>
            <w:gridSpan w:val="3"/>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孙伟挺</w:t>
            </w:r>
          </w:p>
        </w:tc>
      </w:tr>
      <w:tr w:rsidR="00831C3C" w:rsidRPr="00831C3C" w:rsidTr="006F5F74">
        <w:trPr>
          <w:trHeight w:val="240"/>
        </w:trPr>
        <w:tc>
          <w:tcPr>
            <w:tcW w:w="322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注册地址</w:t>
            </w:r>
          </w:p>
        </w:tc>
        <w:tc>
          <w:tcPr>
            <w:tcW w:w="6412" w:type="dxa"/>
            <w:gridSpan w:val="3"/>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安徽省淮北市经济开发区新区石山路6号</w:t>
            </w:r>
          </w:p>
        </w:tc>
      </w:tr>
      <w:tr w:rsidR="00831C3C" w:rsidRPr="00831C3C" w:rsidTr="006F5F74">
        <w:trPr>
          <w:trHeight w:val="240"/>
        </w:trPr>
        <w:tc>
          <w:tcPr>
            <w:tcW w:w="322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注册地址的邮政编码</w:t>
            </w:r>
          </w:p>
        </w:tc>
        <w:tc>
          <w:tcPr>
            <w:tcW w:w="6412" w:type="dxa"/>
            <w:gridSpan w:val="3"/>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235000</w:t>
            </w:r>
          </w:p>
        </w:tc>
      </w:tr>
      <w:tr w:rsidR="00831C3C" w:rsidRPr="00831C3C" w:rsidTr="006F5F74">
        <w:trPr>
          <w:trHeight w:val="240"/>
        </w:trPr>
        <w:tc>
          <w:tcPr>
            <w:tcW w:w="322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公司注册地址历史变更情况</w:t>
            </w:r>
          </w:p>
        </w:tc>
        <w:tc>
          <w:tcPr>
            <w:tcW w:w="6412" w:type="dxa"/>
            <w:gridSpan w:val="3"/>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r>
      <w:tr w:rsidR="00831C3C" w:rsidRPr="00831C3C" w:rsidTr="006F5F74">
        <w:trPr>
          <w:trHeight w:val="240"/>
        </w:trPr>
        <w:tc>
          <w:tcPr>
            <w:tcW w:w="322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办公地址</w:t>
            </w:r>
          </w:p>
        </w:tc>
        <w:tc>
          <w:tcPr>
            <w:tcW w:w="6412" w:type="dxa"/>
            <w:gridSpan w:val="3"/>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广东省深圳市福田区</w:t>
            </w:r>
            <w:proofErr w:type="gramStart"/>
            <w:r w:rsidRPr="00831C3C">
              <w:rPr>
                <w:rFonts w:ascii="宋体" w:eastAsia="宋体" w:hAnsi="宋体" w:cs="宋体"/>
                <w:sz w:val="18"/>
                <w:szCs w:val="18"/>
              </w:rPr>
              <w:t>市花路</w:t>
            </w:r>
            <w:proofErr w:type="gramEnd"/>
            <w:r w:rsidRPr="00831C3C">
              <w:rPr>
                <w:rFonts w:ascii="宋体" w:eastAsia="宋体" w:hAnsi="宋体" w:cs="宋体"/>
                <w:sz w:val="18"/>
                <w:szCs w:val="18"/>
              </w:rPr>
              <w:t>5号</w:t>
            </w:r>
            <w:proofErr w:type="gramStart"/>
            <w:r w:rsidRPr="00831C3C">
              <w:rPr>
                <w:rFonts w:ascii="宋体" w:eastAsia="宋体" w:hAnsi="宋体" w:cs="宋体"/>
                <w:sz w:val="18"/>
                <w:szCs w:val="18"/>
              </w:rPr>
              <w:t>长富金茂</w:t>
            </w:r>
            <w:proofErr w:type="gramEnd"/>
            <w:r w:rsidRPr="00831C3C">
              <w:rPr>
                <w:rFonts w:ascii="宋体" w:eastAsia="宋体" w:hAnsi="宋体" w:cs="宋体"/>
                <w:sz w:val="18"/>
                <w:szCs w:val="18"/>
              </w:rPr>
              <w:t>大厦59楼</w:t>
            </w:r>
          </w:p>
        </w:tc>
      </w:tr>
      <w:tr w:rsidR="00831C3C" w:rsidRPr="00831C3C" w:rsidTr="006F5F74">
        <w:trPr>
          <w:trHeight w:val="240"/>
        </w:trPr>
        <w:tc>
          <w:tcPr>
            <w:tcW w:w="322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办公地址的邮政编码</w:t>
            </w:r>
          </w:p>
        </w:tc>
        <w:tc>
          <w:tcPr>
            <w:tcW w:w="6412" w:type="dxa"/>
            <w:gridSpan w:val="3"/>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518045</w:t>
            </w:r>
          </w:p>
        </w:tc>
      </w:tr>
      <w:tr w:rsidR="00831C3C" w:rsidRPr="00831C3C" w:rsidTr="006F5F74">
        <w:trPr>
          <w:trHeight w:val="240"/>
        </w:trPr>
        <w:tc>
          <w:tcPr>
            <w:tcW w:w="322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公司网址</w:t>
            </w:r>
          </w:p>
        </w:tc>
        <w:tc>
          <w:tcPr>
            <w:tcW w:w="6412" w:type="dxa"/>
            <w:gridSpan w:val="3"/>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http://www.e-huafu.com</w:t>
            </w:r>
          </w:p>
        </w:tc>
      </w:tr>
      <w:tr w:rsidR="00831C3C" w:rsidRPr="00831C3C" w:rsidTr="006F5F74">
        <w:trPr>
          <w:trHeight w:val="240"/>
        </w:trPr>
        <w:tc>
          <w:tcPr>
            <w:tcW w:w="322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电子信箱</w:t>
            </w:r>
          </w:p>
        </w:tc>
        <w:tc>
          <w:tcPr>
            <w:tcW w:w="6412" w:type="dxa"/>
            <w:gridSpan w:val="3"/>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dongban@e-huafu.com</w:t>
            </w:r>
          </w:p>
        </w:tc>
      </w:tr>
    </w:tbl>
    <w:p w:rsidR="00E23A97" w:rsidRPr="00831C3C" w:rsidRDefault="00C65FD5">
      <w:pPr>
        <w:pStyle w:val="2"/>
        <w:spacing w:before="300" w:after="300" w:line="320" w:lineRule="exact"/>
        <w:rPr>
          <w:rFonts w:ascii="宋体" w:eastAsia="宋体" w:hAnsi="宋体" w:cs="宋体"/>
          <w:b/>
          <w:bCs/>
          <w:sz w:val="24"/>
          <w:szCs w:val="24"/>
        </w:rPr>
      </w:pPr>
      <w:bookmarkStart w:id="3" w:name="_Toc988892"/>
      <w:r w:rsidRPr="00831C3C">
        <w:rPr>
          <w:rFonts w:ascii="宋体" w:eastAsia="宋体" w:hAnsi="宋体" w:cs="宋体"/>
          <w:b/>
          <w:bCs/>
          <w:sz w:val="24"/>
          <w:szCs w:val="24"/>
        </w:rPr>
        <w:t>二、联系人和联系方式</w:t>
      </w:r>
      <w:bookmarkEnd w:id="3"/>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董事会秘书</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证券事务代表</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姓名</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张正</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孙献</w:t>
            </w:r>
            <w:proofErr w:type="gramEnd"/>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联系地址</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广东省深圳市福田区</w:t>
            </w:r>
            <w:proofErr w:type="gramStart"/>
            <w:r w:rsidRPr="00831C3C">
              <w:rPr>
                <w:rFonts w:ascii="宋体" w:eastAsia="宋体" w:hAnsi="宋体" w:cs="宋体"/>
                <w:sz w:val="18"/>
                <w:szCs w:val="18"/>
              </w:rPr>
              <w:t>市花路</w:t>
            </w:r>
            <w:proofErr w:type="gramEnd"/>
            <w:r w:rsidRPr="00831C3C">
              <w:rPr>
                <w:rFonts w:ascii="宋体" w:eastAsia="宋体" w:hAnsi="宋体" w:cs="宋体"/>
                <w:sz w:val="18"/>
                <w:szCs w:val="18"/>
              </w:rPr>
              <w:t>5号</w:t>
            </w:r>
            <w:proofErr w:type="gramStart"/>
            <w:r w:rsidRPr="00831C3C">
              <w:rPr>
                <w:rFonts w:ascii="宋体" w:eastAsia="宋体" w:hAnsi="宋体" w:cs="宋体"/>
                <w:sz w:val="18"/>
                <w:szCs w:val="18"/>
              </w:rPr>
              <w:t>长富金茂</w:t>
            </w:r>
            <w:proofErr w:type="gramEnd"/>
            <w:r w:rsidRPr="00831C3C">
              <w:rPr>
                <w:rFonts w:ascii="宋体" w:eastAsia="宋体" w:hAnsi="宋体" w:cs="宋体"/>
                <w:sz w:val="18"/>
                <w:szCs w:val="18"/>
              </w:rPr>
              <w:t>大厦59楼</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广东省深圳市福田区</w:t>
            </w:r>
            <w:proofErr w:type="gramStart"/>
            <w:r w:rsidRPr="00831C3C">
              <w:rPr>
                <w:rFonts w:ascii="宋体" w:eastAsia="宋体" w:hAnsi="宋体" w:cs="宋体"/>
                <w:sz w:val="18"/>
                <w:szCs w:val="18"/>
              </w:rPr>
              <w:t>市花路</w:t>
            </w:r>
            <w:proofErr w:type="gramEnd"/>
            <w:r w:rsidRPr="00831C3C">
              <w:rPr>
                <w:rFonts w:ascii="宋体" w:eastAsia="宋体" w:hAnsi="宋体" w:cs="宋体"/>
                <w:sz w:val="18"/>
                <w:szCs w:val="18"/>
              </w:rPr>
              <w:t>5号</w:t>
            </w:r>
            <w:proofErr w:type="gramStart"/>
            <w:r w:rsidRPr="00831C3C">
              <w:rPr>
                <w:rFonts w:ascii="宋体" w:eastAsia="宋体" w:hAnsi="宋体" w:cs="宋体"/>
                <w:sz w:val="18"/>
                <w:szCs w:val="18"/>
              </w:rPr>
              <w:t>长富金茂</w:t>
            </w:r>
            <w:proofErr w:type="gramEnd"/>
            <w:r w:rsidRPr="00831C3C">
              <w:rPr>
                <w:rFonts w:ascii="宋体" w:eastAsia="宋体" w:hAnsi="宋体" w:cs="宋体"/>
                <w:sz w:val="18"/>
                <w:szCs w:val="18"/>
              </w:rPr>
              <w:t>大厦59楼</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电话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0755-83735593</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0755-83735433</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传真</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0755-83735566</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0755-83735566</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电子信箱</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dongban@e-huafu.com</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sunx@e-huafu.com</w:t>
            </w:r>
          </w:p>
        </w:tc>
      </w:tr>
    </w:tbl>
    <w:p w:rsidR="00E23A97" w:rsidRPr="00831C3C" w:rsidRDefault="00C65FD5">
      <w:pPr>
        <w:pStyle w:val="2"/>
        <w:spacing w:before="300" w:after="300" w:line="320" w:lineRule="exact"/>
        <w:rPr>
          <w:rFonts w:ascii="宋体" w:eastAsia="宋体" w:hAnsi="宋体" w:cs="宋体"/>
          <w:b/>
          <w:bCs/>
          <w:sz w:val="24"/>
          <w:szCs w:val="24"/>
        </w:rPr>
      </w:pPr>
      <w:bookmarkStart w:id="4" w:name="_Toc988893"/>
      <w:r w:rsidRPr="00831C3C">
        <w:rPr>
          <w:rFonts w:ascii="宋体" w:eastAsia="宋体" w:hAnsi="宋体" w:cs="宋体"/>
          <w:b/>
          <w:bCs/>
          <w:sz w:val="24"/>
          <w:szCs w:val="24"/>
        </w:rPr>
        <w:t>三、信息披露及备置地点</w:t>
      </w:r>
      <w:bookmarkEnd w:id="4"/>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4820"/>
        <w:gridCol w:w="4819"/>
      </w:tblGrid>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公司披露年度报告的证券交易所网站</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http://www.szse.cn/</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公司披露年度报告的媒体名称及网址</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《中国证券报》、《证券时报》、巨潮资讯网（http://www.cninfo.com.cn）</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公司年度报告备置地点</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公司董事会办公室</w:t>
            </w:r>
          </w:p>
        </w:tc>
      </w:tr>
    </w:tbl>
    <w:p w:rsidR="00E23A97" w:rsidRPr="00831C3C" w:rsidRDefault="00C65FD5">
      <w:pPr>
        <w:pStyle w:val="2"/>
        <w:spacing w:before="300" w:after="300" w:line="320" w:lineRule="exact"/>
        <w:rPr>
          <w:rFonts w:ascii="宋体" w:eastAsia="宋体" w:hAnsi="宋体" w:cs="宋体"/>
          <w:b/>
          <w:bCs/>
          <w:sz w:val="24"/>
          <w:szCs w:val="24"/>
        </w:rPr>
      </w:pPr>
      <w:bookmarkStart w:id="5" w:name="_Toc988894"/>
      <w:r w:rsidRPr="00831C3C">
        <w:rPr>
          <w:rFonts w:ascii="宋体" w:eastAsia="宋体" w:hAnsi="宋体" w:cs="宋体"/>
          <w:b/>
          <w:bCs/>
          <w:sz w:val="24"/>
          <w:szCs w:val="24"/>
        </w:rPr>
        <w:t>四、注册变更情况</w:t>
      </w:r>
      <w:bookmarkEnd w:id="5"/>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4820"/>
        <w:gridCol w:w="4819"/>
      </w:tblGrid>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统一社会信用代码</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9134060072553187XK</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公司上市以来主营业务的变化情况（如有）</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历次控股股东的变更情况（如有）</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r>
    </w:tbl>
    <w:p w:rsidR="00E23A97" w:rsidRPr="00831C3C" w:rsidRDefault="00C65FD5">
      <w:pPr>
        <w:pStyle w:val="2"/>
        <w:spacing w:before="300" w:after="300" w:line="320" w:lineRule="exact"/>
        <w:rPr>
          <w:rFonts w:ascii="宋体" w:eastAsia="宋体" w:hAnsi="宋体" w:cs="宋体"/>
          <w:b/>
          <w:bCs/>
          <w:sz w:val="24"/>
          <w:szCs w:val="24"/>
        </w:rPr>
      </w:pPr>
      <w:bookmarkStart w:id="6" w:name="_Toc988895"/>
      <w:r w:rsidRPr="00831C3C">
        <w:rPr>
          <w:rFonts w:ascii="宋体" w:eastAsia="宋体" w:hAnsi="宋体" w:cs="宋体"/>
          <w:b/>
          <w:bCs/>
          <w:sz w:val="24"/>
          <w:szCs w:val="24"/>
        </w:rPr>
        <w:lastRenderedPageBreak/>
        <w:t>五、其他有关资料</w:t>
      </w:r>
      <w:bookmarkEnd w:id="6"/>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公司聘请的会计师事务所</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4820"/>
        <w:gridCol w:w="4819"/>
      </w:tblGrid>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会计师事务所名称</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政</w:t>
            </w:r>
            <w:proofErr w:type="gramStart"/>
            <w:r w:rsidRPr="00831C3C">
              <w:rPr>
                <w:rFonts w:ascii="宋体" w:eastAsia="宋体" w:hAnsi="宋体" w:cs="宋体"/>
                <w:sz w:val="18"/>
                <w:szCs w:val="18"/>
              </w:rPr>
              <w:t>旦</w:t>
            </w:r>
            <w:proofErr w:type="gramEnd"/>
            <w:r w:rsidRPr="00831C3C">
              <w:rPr>
                <w:rFonts w:ascii="宋体" w:eastAsia="宋体" w:hAnsi="宋体" w:cs="宋体"/>
                <w:sz w:val="18"/>
                <w:szCs w:val="18"/>
              </w:rPr>
              <w:t>志远（深圳）会计师事务所（特殊普通合伙）</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会计师事务所办公地址</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深圳市福田区莲花街道福新社区鹏程一路9号广电金融中心11F</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签字会计师姓名</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陈磊、张吉宝</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公司聘请的报告期内履行持续督导职责的保荐机构</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 xml:space="preserve">□适用 </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公司聘请的报告期内履行持续督导职责的财务顾问</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 xml:space="preserve">□适用 </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pStyle w:val="2"/>
        <w:spacing w:before="300" w:after="300" w:line="320" w:lineRule="exact"/>
        <w:rPr>
          <w:rFonts w:ascii="宋体" w:eastAsia="宋体" w:hAnsi="宋体" w:cs="宋体"/>
          <w:b/>
          <w:bCs/>
          <w:sz w:val="24"/>
          <w:szCs w:val="24"/>
        </w:rPr>
      </w:pPr>
      <w:bookmarkStart w:id="7" w:name="_Toc988896"/>
      <w:r w:rsidRPr="00831C3C">
        <w:rPr>
          <w:rFonts w:ascii="宋体" w:eastAsia="宋体" w:hAnsi="宋体" w:cs="宋体"/>
          <w:b/>
          <w:bCs/>
          <w:sz w:val="24"/>
          <w:szCs w:val="24"/>
        </w:rPr>
        <w:t>六、主要会计数据和财务指标</w:t>
      </w:r>
      <w:bookmarkEnd w:id="7"/>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公司是否需追溯调整或重述以前年度会计数据</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 xml:space="preserve">□是 </w:t>
      </w:r>
      <w:r w:rsidRPr="00831C3C">
        <w:rPr>
          <w:rFonts w:ascii="宋体" w:eastAsia="宋体" w:hAnsi="宋体" w:cs="宋体"/>
          <w:sz w:val="18"/>
          <w:szCs w:val="18"/>
        </w:rPr>
        <w:sym w:font="Wingdings 2" w:char="F052"/>
      </w:r>
      <w:r w:rsidRPr="00831C3C">
        <w:rPr>
          <w:rFonts w:ascii="宋体" w:eastAsia="宋体" w:hAnsi="宋体" w:cs="宋体"/>
          <w:sz w:val="18"/>
          <w:szCs w:val="18"/>
        </w:rPr>
        <w:t>否</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2024年</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2023年</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本年比上年增减</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2022年</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营业收入（元）</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10,761,951,965.32</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13,663,469,325.68</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-21.24%</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14,459,640,227.88</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归属于上市公司股东的净利润（元）</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-207,764,974.56</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66,782,080.49</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-411.11%</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-350,313,894.56</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归属于上市公司股东的扣除非经常性损益的净利润（元）</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-353,226,880.11</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-249,951,638.68</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-41.32%</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-372,993,668.96</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经营活动产生的现金流量净额（元）</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272,214,435.39</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857,773,221.39</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-68.26%</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892,963,119.78</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基本每股收益（元/股）</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-0.12</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0.04</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-400.00%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-0.21</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稀释每股收益（元/股）</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-0.12</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0.04</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-400.00%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-0.21</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加权平均净资产收益率</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rsidP="007B5415">
            <w:pPr>
              <w:spacing w:line="240" w:lineRule="exact"/>
              <w:jc w:val="right"/>
              <w:rPr>
                <w:rFonts w:ascii="宋体" w:eastAsia="宋体" w:hAnsi="宋体" w:cs="宋体"/>
                <w:sz w:val="18"/>
                <w:szCs w:val="18"/>
              </w:rPr>
            </w:pPr>
            <w:r w:rsidRPr="00831C3C">
              <w:rPr>
                <w:rFonts w:ascii="宋体" w:eastAsia="宋体" w:hAnsi="宋体" w:cs="宋体"/>
                <w:sz w:val="18"/>
                <w:szCs w:val="18"/>
              </w:rPr>
              <w:t>-3.4</w:t>
            </w:r>
            <w:r w:rsidR="007B5415" w:rsidRPr="00831C3C">
              <w:rPr>
                <w:rFonts w:ascii="宋体" w:eastAsia="宋体" w:hAnsi="宋体" w:cs="宋体" w:hint="eastAsia"/>
                <w:sz w:val="18"/>
                <w:szCs w:val="18"/>
              </w:rPr>
              <w:t>8</w:t>
            </w:r>
            <w:r w:rsidRPr="00831C3C">
              <w:rPr>
                <w:rFonts w:ascii="宋体" w:eastAsia="宋体" w:hAnsi="宋体" w:cs="宋体"/>
                <w:sz w:val="18"/>
                <w:szCs w:val="18"/>
              </w:rPr>
              <w:t>%</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1.07%</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rsidP="007B5415">
            <w:pPr>
              <w:spacing w:line="240" w:lineRule="exact"/>
              <w:jc w:val="right"/>
              <w:rPr>
                <w:rFonts w:ascii="宋体" w:eastAsia="宋体" w:hAnsi="宋体" w:cs="宋体"/>
                <w:sz w:val="18"/>
                <w:szCs w:val="18"/>
              </w:rPr>
            </w:pPr>
            <w:r w:rsidRPr="00831C3C">
              <w:rPr>
                <w:rFonts w:ascii="宋体" w:eastAsia="宋体" w:hAnsi="宋体" w:cs="宋体"/>
                <w:sz w:val="18"/>
                <w:szCs w:val="18"/>
              </w:rPr>
              <w:t>-4.5</w:t>
            </w:r>
            <w:r w:rsidR="007B5415" w:rsidRPr="00831C3C">
              <w:rPr>
                <w:rFonts w:ascii="宋体" w:eastAsia="宋体" w:hAnsi="宋体" w:cs="宋体" w:hint="eastAsia"/>
                <w:sz w:val="18"/>
                <w:szCs w:val="18"/>
              </w:rPr>
              <w:t>5</w:t>
            </w:r>
            <w:r w:rsidRPr="00831C3C">
              <w:rPr>
                <w:rFonts w:ascii="宋体" w:eastAsia="宋体" w:hAnsi="宋体" w:cs="宋体"/>
                <w:sz w:val="18"/>
                <w:szCs w:val="18"/>
              </w:rPr>
              <w:t>%</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-5.09%</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2024年末</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2023年末</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本年末比上年末增减</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2022年末</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总资产（元）</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17,179,238,619.93</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17,041,273,022.84</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0.81%</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18,144,000,776.77</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归属于上市公司股东的净资产（元）</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5,782,918,783.22</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6,156,565,539.90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-6.07%</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6,292,682,730.29</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公司最近三个会计年度扣除非经常性损益</w:t>
      </w:r>
      <w:proofErr w:type="gramStart"/>
      <w:r w:rsidRPr="00831C3C">
        <w:rPr>
          <w:rFonts w:ascii="宋体" w:eastAsia="宋体" w:hAnsi="宋体" w:cs="宋体"/>
          <w:sz w:val="18"/>
          <w:szCs w:val="18"/>
        </w:rPr>
        <w:t>前后净</w:t>
      </w:r>
      <w:proofErr w:type="gramEnd"/>
      <w:r w:rsidRPr="00831C3C">
        <w:rPr>
          <w:rFonts w:ascii="宋体" w:eastAsia="宋体" w:hAnsi="宋体" w:cs="宋体"/>
          <w:sz w:val="18"/>
          <w:szCs w:val="18"/>
        </w:rPr>
        <w:t>利润孰低者均为负值，且最近一年审计报告显示公司持续经营能力存在不确定性</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 xml:space="preserve">□是 </w:t>
      </w:r>
      <w:r w:rsidRPr="00831C3C">
        <w:rPr>
          <w:rFonts w:ascii="宋体" w:eastAsia="宋体" w:hAnsi="宋体" w:cs="宋体"/>
          <w:sz w:val="18"/>
          <w:szCs w:val="18"/>
        </w:rPr>
        <w:sym w:font="Wingdings 2" w:char="F052"/>
      </w:r>
      <w:r w:rsidRPr="00831C3C">
        <w:rPr>
          <w:rFonts w:ascii="宋体" w:eastAsia="宋体" w:hAnsi="宋体" w:cs="宋体"/>
          <w:sz w:val="18"/>
          <w:szCs w:val="18"/>
        </w:rPr>
        <w:t>否</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公司最近一个会计年度经审计利润总额、净利润、扣除非经常性损益后的净利润三者孰低为负值</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是 □否</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2024年</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2023年</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备注</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营业收入（元）</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10,761,951,965.32</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13,663,469,325.68</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营业收入</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营业收入扣除金额（元）</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121,259,013.43</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44,032,324.44</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其他业务收入</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营业收入扣除后金额（元）</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10,640,692,951.89</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13,619,437,001.24</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主营收入</w:t>
            </w:r>
          </w:p>
        </w:tc>
      </w:tr>
    </w:tbl>
    <w:p w:rsidR="00E23A97" w:rsidRPr="00831C3C" w:rsidRDefault="00C65FD5">
      <w:pPr>
        <w:pStyle w:val="2"/>
        <w:spacing w:before="300" w:after="300" w:line="320" w:lineRule="exact"/>
        <w:rPr>
          <w:rFonts w:ascii="宋体" w:eastAsia="宋体" w:hAnsi="宋体" w:cs="宋体"/>
          <w:b/>
          <w:bCs/>
          <w:sz w:val="24"/>
          <w:szCs w:val="24"/>
        </w:rPr>
      </w:pPr>
      <w:bookmarkStart w:id="8" w:name="_Toc988897"/>
      <w:r w:rsidRPr="00831C3C">
        <w:rPr>
          <w:rFonts w:ascii="宋体" w:eastAsia="宋体" w:hAnsi="宋体" w:cs="宋体"/>
          <w:b/>
          <w:bCs/>
          <w:sz w:val="24"/>
          <w:szCs w:val="24"/>
        </w:rPr>
        <w:lastRenderedPageBreak/>
        <w:t>七、境内外会计准则下会计数据差异</w:t>
      </w:r>
      <w:bookmarkEnd w:id="8"/>
    </w:p>
    <w:p w:rsidR="00E23A97" w:rsidRPr="00831C3C" w:rsidRDefault="00C65FD5">
      <w:pPr>
        <w:pStyle w:val="3"/>
        <w:spacing w:line="280" w:lineRule="exact"/>
        <w:jc w:val="left"/>
        <w:rPr>
          <w:rFonts w:ascii="宋体" w:hAnsi="宋体" w:cs="宋体"/>
          <w:b/>
          <w:bCs/>
        </w:rPr>
      </w:pPr>
      <w:bookmarkStart w:id="9" w:name="_Toc988898"/>
      <w:r w:rsidRPr="00831C3C">
        <w:rPr>
          <w:rFonts w:ascii="宋体" w:hAnsi="宋体" w:cs="宋体"/>
          <w:b/>
          <w:bCs/>
        </w:rPr>
        <w:t>1、同时按照国际会计准则与按照中国会计准则披露的财务</w:t>
      </w:r>
      <w:proofErr w:type="gramStart"/>
      <w:r w:rsidRPr="00831C3C">
        <w:rPr>
          <w:rFonts w:ascii="宋体" w:hAnsi="宋体" w:cs="宋体"/>
          <w:b/>
          <w:bCs/>
        </w:rPr>
        <w:t>报告中净利润</w:t>
      </w:r>
      <w:proofErr w:type="gramEnd"/>
      <w:r w:rsidRPr="00831C3C">
        <w:rPr>
          <w:rFonts w:ascii="宋体" w:hAnsi="宋体" w:cs="宋体"/>
          <w:b/>
          <w:bCs/>
        </w:rPr>
        <w:t>和净资产差异情况</w:t>
      </w:r>
      <w:bookmarkEnd w:id="9"/>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 xml:space="preserve">□适用 </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公司报告期不存在按照国际会计准则与按照中国会计准则披露的财务</w:t>
      </w:r>
      <w:proofErr w:type="gramStart"/>
      <w:r w:rsidRPr="00831C3C">
        <w:rPr>
          <w:rFonts w:ascii="宋体" w:eastAsia="宋体" w:hAnsi="宋体" w:cs="宋体"/>
          <w:sz w:val="18"/>
          <w:szCs w:val="18"/>
        </w:rPr>
        <w:t>报告中净利润</w:t>
      </w:r>
      <w:proofErr w:type="gramEnd"/>
      <w:r w:rsidRPr="00831C3C">
        <w:rPr>
          <w:rFonts w:ascii="宋体" w:eastAsia="宋体" w:hAnsi="宋体" w:cs="宋体"/>
          <w:sz w:val="18"/>
          <w:szCs w:val="18"/>
        </w:rPr>
        <w:t>和净资产差异情况。</w:t>
      </w:r>
    </w:p>
    <w:p w:rsidR="00E23A97" w:rsidRPr="00831C3C" w:rsidRDefault="00C65FD5">
      <w:pPr>
        <w:pStyle w:val="3"/>
        <w:spacing w:line="280" w:lineRule="exact"/>
        <w:jc w:val="left"/>
        <w:rPr>
          <w:rFonts w:ascii="宋体" w:hAnsi="宋体" w:cs="宋体"/>
          <w:b/>
          <w:bCs/>
        </w:rPr>
      </w:pPr>
      <w:bookmarkStart w:id="10" w:name="_Toc988899"/>
      <w:r w:rsidRPr="00831C3C">
        <w:rPr>
          <w:rFonts w:ascii="宋体" w:hAnsi="宋体" w:cs="宋体"/>
          <w:b/>
          <w:bCs/>
        </w:rPr>
        <w:t>2、同时按照境外会计准则与按照中国会计准则披露的财务</w:t>
      </w:r>
      <w:proofErr w:type="gramStart"/>
      <w:r w:rsidRPr="00831C3C">
        <w:rPr>
          <w:rFonts w:ascii="宋体" w:hAnsi="宋体" w:cs="宋体"/>
          <w:b/>
          <w:bCs/>
        </w:rPr>
        <w:t>报告中净利润</w:t>
      </w:r>
      <w:proofErr w:type="gramEnd"/>
      <w:r w:rsidRPr="00831C3C">
        <w:rPr>
          <w:rFonts w:ascii="宋体" w:hAnsi="宋体" w:cs="宋体"/>
          <w:b/>
          <w:bCs/>
        </w:rPr>
        <w:t>和净资产差异情况</w:t>
      </w:r>
      <w:bookmarkEnd w:id="10"/>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 xml:space="preserve">□适用 </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公司报告期不存在按照境外会计准则与按照中国会计准则披露的财务</w:t>
      </w:r>
      <w:proofErr w:type="gramStart"/>
      <w:r w:rsidRPr="00831C3C">
        <w:rPr>
          <w:rFonts w:ascii="宋体" w:eastAsia="宋体" w:hAnsi="宋体" w:cs="宋体"/>
          <w:sz w:val="18"/>
          <w:szCs w:val="18"/>
        </w:rPr>
        <w:t>报告中净利润</w:t>
      </w:r>
      <w:proofErr w:type="gramEnd"/>
      <w:r w:rsidRPr="00831C3C">
        <w:rPr>
          <w:rFonts w:ascii="宋体" w:eastAsia="宋体" w:hAnsi="宋体" w:cs="宋体"/>
          <w:sz w:val="18"/>
          <w:szCs w:val="18"/>
        </w:rPr>
        <w:t>和净资产差异情况。</w:t>
      </w:r>
    </w:p>
    <w:p w:rsidR="00E23A97" w:rsidRPr="00831C3C" w:rsidRDefault="00C65FD5">
      <w:pPr>
        <w:pStyle w:val="2"/>
        <w:spacing w:before="300" w:after="300" w:line="320" w:lineRule="exact"/>
        <w:rPr>
          <w:rFonts w:ascii="宋体" w:eastAsia="宋体" w:hAnsi="宋体" w:cs="宋体"/>
          <w:b/>
          <w:bCs/>
          <w:sz w:val="24"/>
          <w:szCs w:val="24"/>
        </w:rPr>
      </w:pPr>
      <w:bookmarkStart w:id="11" w:name="_Toc988900"/>
      <w:r w:rsidRPr="00831C3C">
        <w:rPr>
          <w:rFonts w:ascii="宋体" w:eastAsia="宋体" w:hAnsi="宋体" w:cs="宋体"/>
          <w:b/>
          <w:bCs/>
          <w:sz w:val="24"/>
          <w:szCs w:val="24"/>
        </w:rPr>
        <w:t>八、分季度主要财务指标</w:t>
      </w:r>
      <w:bookmarkEnd w:id="11"/>
    </w:p>
    <w:p w:rsidR="00E23A97" w:rsidRPr="00831C3C" w:rsidRDefault="00C65FD5">
      <w:pPr>
        <w:spacing w:before="120" w:after="12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第一季度</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第二季度</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第三季度</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第四季度</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营业收入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3,924,089,988.79</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2,598,782,658.21</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2,804,130,610.67</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1,434,948,707.65</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归属于上市公司股东的净利润</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13,494,498.49</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31,310,122.68</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2,972,206.81</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-255,541,802.53</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归属于上市公司股东的扣除非经常性损益的净利润</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9,357,306.36</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-18,343,049.02</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-51,770,899.69</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-292,470,237.76</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经营活动产生的现金流量净额</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77,586,657.20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1,015,585,557.43</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172,982,355.24</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-993,940,134.48</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上述财务指标或其加总数是否与公司已披露季度报告、半年度报告相关财务指标存在重大差异</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 xml:space="preserve">□是 </w:t>
      </w:r>
      <w:r w:rsidRPr="00831C3C">
        <w:rPr>
          <w:rFonts w:ascii="宋体" w:eastAsia="宋体" w:hAnsi="宋体" w:cs="宋体"/>
          <w:sz w:val="18"/>
          <w:szCs w:val="18"/>
        </w:rPr>
        <w:sym w:font="Wingdings 2" w:char="F052"/>
      </w:r>
      <w:r w:rsidRPr="00831C3C">
        <w:rPr>
          <w:rFonts w:ascii="宋体" w:eastAsia="宋体" w:hAnsi="宋体" w:cs="宋体"/>
          <w:sz w:val="18"/>
          <w:szCs w:val="18"/>
        </w:rPr>
        <w:t>否</w:t>
      </w:r>
    </w:p>
    <w:p w:rsidR="00E23A97" w:rsidRPr="00831C3C" w:rsidRDefault="00C65FD5">
      <w:pPr>
        <w:pStyle w:val="2"/>
        <w:spacing w:before="300" w:after="300" w:line="320" w:lineRule="exact"/>
        <w:rPr>
          <w:rFonts w:ascii="宋体" w:eastAsia="宋体" w:hAnsi="宋体" w:cs="宋体"/>
          <w:b/>
          <w:bCs/>
          <w:sz w:val="24"/>
          <w:szCs w:val="24"/>
        </w:rPr>
      </w:pPr>
      <w:bookmarkStart w:id="12" w:name="_Toc988901"/>
      <w:r w:rsidRPr="00831C3C">
        <w:rPr>
          <w:rFonts w:ascii="宋体" w:eastAsia="宋体" w:hAnsi="宋体" w:cs="宋体"/>
          <w:b/>
          <w:bCs/>
          <w:sz w:val="24"/>
          <w:szCs w:val="24"/>
        </w:rPr>
        <w:t>九、非经常性损益项目及金额</w:t>
      </w:r>
      <w:bookmarkEnd w:id="12"/>
    </w:p>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适用 □不适用</w:t>
      </w:r>
    </w:p>
    <w:p w:rsidR="00E23A97" w:rsidRPr="00831C3C" w:rsidRDefault="00C65FD5">
      <w:pPr>
        <w:spacing w:before="120" w:after="12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4219"/>
        <w:gridCol w:w="1606"/>
        <w:gridCol w:w="1607"/>
        <w:gridCol w:w="1607"/>
        <w:gridCol w:w="600"/>
      </w:tblGrid>
      <w:tr w:rsidR="00831C3C" w:rsidRPr="00831C3C" w:rsidTr="006F5F74">
        <w:trPr>
          <w:trHeight w:val="240"/>
        </w:trPr>
        <w:tc>
          <w:tcPr>
            <w:tcW w:w="421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2024年金额</w:t>
            </w:r>
          </w:p>
        </w:tc>
        <w:tc>
          <w:tcPr>
            <w:tcW w:w="160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2023年金额</w:t>
            </w:r>
          </w:p>
        </w:tc>
        <w:tc>
          <w:tcPr>
            <w:tcW w:w="160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2022年金额</w:t>
            </w:r>
          </w:p>
        </w:tc>
        <w:tc>
          <w:tcPr>
            <w:tcW w:w="60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说明</w:t>
            </w:r>
          </w:p>
        </w:tc>
      </w:tr>
      <w:tr w:rsidR="00831C3C" w:rsidRPr="00831C3C" w:rsidTr="006F5F74">
        <w:trPr>
          <w:trHeight w:val="240"/>
        </w:trPr>
        <w:tc>
          <w:tcPr>
            <w:tcW w:w="421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非流动性资产处置损益（包括已计提资产减值准备的冲销部分）</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40,537,148.81</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174,483,688.35</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134,889,353.12</w:t>
            </w:r>
          </w:p>
        </w:tc>
        <w:tc>
          <w:tcPr>
            <w:tcW w:w="60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rsidTr="006F5F74">
        <w:trPr>
          <w:trHeight w:val="240"/>
        </w:trPr>
        <w:tc>
          <w:tcPr>
            <w:tcW w:w="421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计入当期损益的政府补助（与公司正常经营业务密切相关，符合国家政策规定、按照确定的标准享有、对公司损益产生持续影响的政府补助除外）</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81,152,685.23</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199,259,485.30</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42,787,972.51</w:t>
            </w:r>
          </w:p>
        </w:tc>
        <w:tc>
          <w:tcPr>
            <w:tcW w:w="60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rsidTr="006F5F74">
        <w:trPr>
          <w:trHeight w:val="240"/>
        </w:trPr>
        <w:tc>
          <w:tcPr>
            <w:tcW w:w="421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除同公司正常经营业务相关的有效套期保值业务外，非金融企业持有金融资产和金融负债产生的公允价值变动损益以及处置金融资产和金融负债产生的损益</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207,118.39</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-16,425,097.75</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-169,091,128.50</w:t>
            </w:r>
          </w:p>
        </w:tc>
        <w:tc>
          <w:tcPr>
            <w:tcW w:w="60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rsidTr="006F5F74">
        <w:trPr>
          <w:trHeight w:val="240"/>
        </w:trPr>
        <w:tc>
          <w:tcPr>
            <w:tcW w:w="421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计入当期损益的对非金融企业收取的资金占用费</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3,124,927.78</w:t>
            </w:r>
          </w:p>
        </w:tc>
        <w:tc>
          <w:tcPr>
            <w:tcW w:w="60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rsidTr="006F5F74">
        <w:trPr>
          <w:trHeight w:val="240"/>
        </w:trPr>
        <w:tc>
          <w:tcPr>
            <w:tcW w:w="421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委托他人投资或管理资产的损益</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18,779,634.27</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7,098,457.97</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15,969,679.54</w:t>
            </w:r>
          </w:p>
        </w:tc>
        <w:tc>
          <w:tcPr>
            <w:tcW w:w="60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rsidTr="006F5F74">
        <w:trPr>
          <w:trHeight w:val="240"/>
        </w:trPr>
        <w:tc>
          <w:tcPr>
            <w:tcW w:w="421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单独进行减值测试的应收款项减值准备转回</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626,000.00</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-2,583,115.46</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3,735,796.41</w:t>
            </w:r>
          </w:p>
        </w:tc>
        <w:tc>
          <w:tcPr>
            <w:tcW w:w="60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rsidTr="006F5F74">
        <w:trPr>
          <w:trHeight w:val="240"/>
        </w:trPr>
        <w:tc>
          <w:tcPr>
            <w:tcW w:w="421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与公司正常经营业务无关的或有事项产生的损益</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-25,607,876.65</w:t>
            </w:r>
          </w:p>
        </w:tc>
        <w:tc>
          <w:tcPr>
            <w:tcW w:w="60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rsidTr="006F5F74">
        <w:trPr>
          <w:trHeight w:val="240"/>
        </w:trPr>
        <w:tc>
          <w:tcPr>
            <w:tcW w:w="421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除上述各项之外的其他营业外收入和支出</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7,417,141.35</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11,050,464.90</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44,778,654.05</w:t>
            </w:r>
          </w:p>
        </w:tc>
        <w:tc>
          <w:tcPr>
            <w:tcW w:w="60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rsidTr="006F5F74">
        <w:trPr>
          <w:trHeight w:val="240"/>
        </w:trPr>
        <w:tc>
          <w:tcPr>
            <w:tcW w:w="421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lastRenderedPageBreak/>
              <w:t>减：所得税影响额</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3,297,735.34</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51,429,960.93</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22,095,551.19</w:t>
            </w:r>
          </w:p>
        </w:tc>
        <w:tc>
          <w:tcPr>
            <w:tcW w:w="60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rsidTr="006F5F74">
        <w:trPr>
          <w:trHeight w:val="240"/>
        </w:trPr>
        <w:tc>
          <w:tcPr>
            <w:tcW w:w="421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少数股东权益影响额（税后）</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-39,912.84</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4,720,203.21</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5,812,052.67</w:t>
            </w:r>
          </w:p>
        </w:tc>
        <w:tc>
          <w:tcPr>
            <w:tcW w:w="60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rsidTr="006F5F74">
        <w:trPr>
          <w:trHeight w:val="240"/>
        </w:trPr>
        <w:tc>
          <w:tcPr>
            <w:tcW w:w="421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145,461,905.55</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316,733,719.17</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22,679,774.40</w:t>
            </w:r>
          </w:p>
        </w:tc>
        <w:tc>
          <w:tcPr>
            <w:tcW w:w="60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shd w:val="clear" w:color="auto" w:fill="D3D3D3"/>
              </w:rPr>
            </w:pPr>
            <w:r w:rsidRPr="00831C3C">
              <w:rPr>
                <w:rFonts w:ascii="宋体" w:eastAsia="宋体" w:hAnsi="宋体" w:cs="宋体"/>
                <w:sz w:val="18"/>
                <w:szCs w:val="18"/>
                <w:shd w:val="clear" w:color="auto" w:fill="D3D3D3"/>
              </w:rPr>
              <w:t>--</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其他符合非经常性损益定义的损益项目的具体情况：</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 xml:space="preserve">□适用 </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公司不存在其他符合非经常性损益定义的损益项目的具体情况。</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将《公开发行证券的公司信息披露解释性公告第1号——非经常性损益》中列举的非经常性损益项目界定为经常性损益项目的情况说明</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 xml:space="preserve">□适用 </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公司不存在将《公开发行证券的公司信息披露解释性公告第1号——非经常性损益》中列举的非经常性损益项目界定为经常性损益的项目的情形。</w:t>
      </w:r>
    </w:p>
    <w:p w:rsidR="00E23A97" w:rsidRPr="00831C3C" w:rsidRDefault="00C65FD5">
      <w:r w:rsidRPr="00831C3C">
        <w:br w:type="page"/>
      </w:r>
    </w:p>
    <w:p w:rsidR="00E23A97" w:rsidRPr="00831C3C" w:rsidRDefault="00C65FD5">
      <w:pPr>
        <w:pStyle w:val="headingh1"/>
        <w:spacing w:before="340" w:after="330" w:line="773" w:lineRule="exact"/>
        <w:jc w:val="center"/>
        <w:rPr>
          <w:rFonts w:ascii="宋体" w:eastAsia="宋体" w:hAnsi="宋体" w:cs="宋体"/>
          <w:b/>
          <w:bCs/>
          <w:sz w:val="32"/>
          <w:szCs w:val="32"/>
        </w:rPr>
      </w:pPr>
      <w:bookmarkStart w:id="13" w:name="_Toc988902"/>
      <w:r w:rsidRPr="00831C3C">
        <w:rPr>
          <w:rFonts w:ascii="宋体" w:eastAsia="宋体" w:hAnsi="宋体" w:cs="宋体"/>
          <w:b/>
          <w:bCs/>
          <w:sz w:val="32"/>
          <w:szCs w:val="32"/>
        </w:rPr>
        <w:lastRenderedPageBreak/>
        <w:t>第三节 管理</w:t>
      </w:r>
      <w:proofErr w:type="gramStart"/>
      <w:r w:rsidRPr="00831C3C">
        <w:rPr>
          <w:rFonts w:ascii="宋体" w:eastAsia="宋体" w:hAnsi="宋体" w:cs="宋体"/>
          <w:b/>
          <w:bCs/>
          <w:sz w:val="32"/>
          <w:szCs w:val="32"/>
        </w:rPr>
        <w:t>层讨论</w:t>
      </w:r>
      <w:proofErr w:type="gramEnd"/>
      <w:r w:rsidRPr="00831C3C">
        <w:rPr>
          <w:rFonts w:ascii="宋体" w:eastAsia="宋体" w:hAnsi="宋体" w:cs="宋体"/>
          <w:b/>
          <w:bCs/>
          <w:sz w:val="32"/>
          <w:szCs w:val="32"/>
        </w:rPr>
        <w:t>与分析</w:t>
      </w:r>
      <w:bookmarkEnd w:id="13"/>
    </w:p>
    <w:p w:rsidR="00E23A97" w:rsidRPr="00831C3C" w:rsidRDefault="00C65FD5">
      <w:pPr>
        <w:pStyle w:val="2"/>
        <w:spacing w:before="300" w:after="300" w:line="320" w:lineRule="exact"/>
        <w:rPr>
          <w:rFonts w:ascii="宋体" w:eastAsia="宋体" w:hAnsi="宋体" w:cs="宋体"/>
          <w:b/>
          <w:bCs/>
          <w:sz w:val="24"/>
          <w:szCs w:val="24"/>
        </w:rPr>
      </w:pPr>
      <w:bookmarkStart w:id="14" w:name="_Toc988903"/>
      <w:r w:rsidRPr="00831C3C">
        <w:rPr>
          <w:rFonts w:ascii="宋体" w:eastAsia="宋体" w:hAnsi="宋体" w:cs="宋体"/>
          <w:b/>
          <w:bCs/>
          <w:sz w:val="24"/>
          <w:szCs w:val="24"/>
        </w:rPr>
        <w:t>一、报告期内公司所处行业情况</w:t>
      </w:r>
      <w:bookmarkEnd w:id="14"/>
    </w:p>
    <w:p w:rsidR="00E23A97" w:rsidRPr="00831C3C" w:rsidRDefault="00C65FD5" w:rsidP="006F5F74">
      <w:pPr>
        <w:spacing w:line="240" w:lineRule="exact"/>
        <w:rPr>
          <w:rFonts w:ascii="宋体" w:eastAsia="宋体" w:hAnsi="宋体" w:cs="宋体"/>
          <w:sz w:val="18"/>
          <w:szCs w:val="18"/>
        </w:rPr>
      </w:pPr>
      <w:r w:rsidRPr="00831C3C">
        <w:rPr>
          <w:rFonts w:ascii="宋体" w:eastAsia="宋体" w:hAnsi="宋体" w:cs="宋体"/>
          <w:sz w:val="18"/>
          <w:szCs w:val="18"/>
        </w:rPr>
        <w:t>公司需遵守《深圳证券交易所上市公司自律监管指引第3号——行业信息披露》中纺织服装相关业的披露要求</w:t>
      </w:r>
    </w:p>
    <w:p w:rsidR="00C65FD5" w:rsidRPr="00831C3C" w:rsidRDefault="00C65FD5" w:rsidP="006F5F74">
      <w:pPr>
        <w:pStyle w:val="a3"/>
        <w:spacing w:before="0" w:beforeAutospacing="0" w:after="0" w:afterAutospacing="0"/>
        <w:ind w:firstLine="420"/>
        <w:jc w:val="both"/>
        <w:divId w:val="1016540823"/>
        <w:rPr>
          <w:rFonts w:ascii="Times New Roman" w:hAnsi="Times New Roman" w:cs="Times New Roman"/>
        </w:rPr>
      </w:pPr>
      <w:r w:rsidRPr="00831C3C">
        <w:rPr>
          <w:rFonts w:cs="Times New Roman" w:hint="eastAsia"/>
          <w:sz w:val="18"/>
          <w:szCs w:val="18"/>
        </w:rPr>
        <w:t>2024年，纺织行业在外部复杂环境的压力下实现平稳运行。2024年规模以上纺织企业工业增加值同比增长4.4%，营业收入49532.1亿元，同比增长4.0%；利润总额1938.8亿元，同比增长7.5%。规模以上纺织企业纱、布、服装、化纤产量分别同比增长1.3%、2.2%、4.2%、9.7%。但全球宏观形势复杂多变、内外部需求偏弱、成本上涨等负面因素尚存，为企业的生产经营带来挑战。</w:t>
      </w:r>
    </w:p>
    <w:p w:rsidR="001E2174" w:rsidRPr="00831C3C" w:rsidRDefault="001E2174" w:rsidP="001E2174">
      <w:pPr>
        <w:pStyle w:val="a3"/>
        <w:spacing w:before="0" w:beforeAutospacing="0" w:after="0" w:afterAutospacing="0"/>
        <w:ind w:firstLine="420"/>
        <w:jc w:val="both"/>
        <w:divId w:val="1016540823"/>
        <w:rPr>
          <w:rFonts w:cs="Times New Roman"/>
          <w:sz w:val="18"/>
          <w:szCs w:val="18"/>
        </w:rPr>
      </w:pPr>
      <w:r w:rsidRPr="00831C3C">
        <w:rPr>
          <w:rFonts w:cs="Times New Roman" w:hint="eastAsia"/>
          <w:sz w:val="18"/>
          <w:szCs w:val="18"/>
        </w:rPr>
        <w:t>内销市场保持增长。2024年，国家推出一系列消费促进措施，激发消费潜力，服装内销保持增长，终端消费的内生动力有待持续恢复。2024年，限额以上单位服装类商品零售额累计10716.2亿元，同比增长0.1%，增速比2023年同期放缓15.3个百分点；穿类商品网上零售额同比增长1.5%，增速比2023年同期放缓9.3个百分点。</w:t>
      </w:r>
    </w:p>
    <w:p w:rsidR="001E2174" w:rsidRPr="00831C3C" w:rsidRDefault="00F055B3" w:rsidP="001E2174">
      <w:pPr>
        <w:pStyle w:val="a3"/>
        <w:spacing w:before="0" w:beforeAutospacing="0" w:after="0" w:afterAutospacing="0"/>
        <w:ind w:firstLine="420"/>
        <w:jc w:val="both"/>
        <w:divId w:val="1016540823"/>
        <w:rPr>
          <w:rFonts w:cs="Times New Roman"/>
          <w:sz w:val="18"/>
          <w:szCs w:val="18"/>
        </w:rPr>
      </w:pPr>
      <w:r w:rsidRPr="00831C3C">
        <w:rPr>
          <w:rFonts w:cs="Times New Roman" w:hint="eastAsia"/>
          <w:sz w:val="18"/>
          <w:szCs w:val="18"/>
        </w:rPr>
        <w:t>出口压力与韧性并存。在国际环境复杂多变、外部需求复苏动能偏弱、</w:t>
      </w:r>
      <w:r w:rsidR="001E2174" w:rsidRPr="00831C3C">
        <w:rPr>
          <w:rFonts w:cs="Times New Roman" w:hint="eastAsia"/>
          <w:sz w:val="18"/>
          <w:szCs w:val="18"/>
        </w:rPr>
        <w:t>贸易保护主义盛行及汇率波动等风险挑战交织叠加的影响下，我国纺织品服装出口仍保持较强韧性。2024年，我国纺织品服装累计出口3011亿美元，同比增长2.8%。从量价角度来看，2024年，纺织品出口量累计增长13.5%，出口均价下跌6.9%，服装整体数量增长13%，出口均价下跌11.2%。</w:t>
      </w:r>
    </w:p>
    <w:p w:rsidR="00E23A97" w:rsidRPr="00831C3C" w:rsidRDefault="00C65FD5">
      <w:pPr>
        <w:pStyle w:val="2"/>
        <w:spacing w:before="300" w:after="300" w:line="320" w:lineRule="exact"/>
        <w:rPr>
          <w:rFonts w:ascii="宋体" w:eastAsia="宋体" w:hAnsi="宋体" w:cs="宋体"/>
          <w:b/>
          <w:bCs/>
          <w:sz w:val="24"/>
          <w:szCs w:val="24"/>
        </w:rPr>
      </w:pPr>
      <w:bookmarkStart w:id="15" w:name="_Toc988904"/>
      <w:r w:rsidRPr="00831C3C">
        <w:rPr>
          <w:rFonts w:ascii="宋体" w:eastAsia="宋体" w:hAnsi="宋体" w:cs="宋体"/>
          <w:b/>
          <w:bCs/>
          <w:sz w:val="24"/>
          <w:szCs w:val="24"/>
        </w:rPr>
        <w:t>二、报告期内公司从事的主要业务</w:t>
      </w:r>
      <w:bookmarkEnd w:id="15"/>
    </w:p>
    <w:p w:rsidR="00E23A97" w:rsidRPr="00831C3C" w:rsidRDefault="00C65FD5" w:rsidP="006F5F74">
      <w:pPr>
        <w:spacing w:line="240" w:lineRule="exact"/>
        <w:rPr>
          <w:rFonts w:ascii="宋体" w:eastAsia="宋体" w:hAnsi="宋体" w:cs="宋体"/>
          <w:sz w:val="18"/>
          <w:szCs w:val="18"/>
        </w:rPr>
      </w:pPr>
      <w:r w:rsidRPr="00831C3C">
        <w:rPr>
          <w:rFonts w:ascii="宋体" w:eastAsia="宋体" w:hAnsi="宋体" w:cs="宋体"/>
          <w:sz w:val="18"/>
          <w:szCs w:val="18"/>
        </w:rPr>
        <w:t>公司需遵守《深圳证券交易所上市公司自律监管指引第3号——行业信息披露》中纺织服装相关业的披露要求</w:t>
      </w:r>
    </w:p>
    <w:p w:rsidR="00C65FD5" w:rsidRPr="00831C3C" w:rsidRDefault="00C65FD5" w:rsidP="006F5F74">
      <w:pPr>
        <w:pStyle w:val="a3"/>
        <w:spacing w:before="0" w:beforeAutospacing="0" w:after="0" w:afterAutospacing="0"/>
        <w:ind w:firstLine="420"/>
        <w:jc w:val="both"/>
        <w:divId w:val="1978102917"/>
        <w:rPr>
          <w:rFonts w:ascii="Times New Roman" w:hAnsi="Times New Roman" w:cs="Times New Roman"/>
        </w:rPr>
      </w:pPr>
      <w:r w:rsidRPr="00831C3C">
        <w:rPr>
          <w:rFonts w:ascii="Times New Roman" w:hAnsi="Times New Roman" w:cs="Times New Roman"/>
          <w:sz w:val="18"/>
          <w:szCs w:val="18"/>
        </w:rPr>
        <w:t>1</w:t>
      </w:r>
      <w:r w:rsidRPr="00831C3C">
        <w:rPr>
          <w:rFonts w:cs="Times New Roman" w:hint="eastAsia"/>
          <w:sz w:val="18"/>
          <w:szCs w:val="18"/>
        </w:rPr>
        <w:t>、公司的主要业务</w:t>
      </w:r>
    </w:p>
    <w:p w:rsidR="00C65FD5" w:rsidRPr="00831C3C" w:rsidRDefault="00F055B3" w:rsidP="006F5F74">
      <w:pPr>
        <w:pStyle w:val="a3"/>
        <w:spacing w:before="0" w:beforeAutospacing="0" w:after="0" w:afterAutospacing="0"/>
        <w:ind w:firstLine="420"/>
        <w:jc w:val="both"/>
        <w:divId w:val="1978102917"/>
        <w:rPr>
          <w:rFonts w:cs="Times New Roman"/>
          <w:sz w:val="18"/>
          <w:szCs w:val="18"/>
        </w:rPr>
      </w:pPr>
      <w:r w:rsidRPr="00831C3C">
        <w:rPr>
          <w:rFonts w:cs="Times New Roman" w:hint="eastAsia"/>
          <w:sz w:val="18"/>
          <w:szCs w:val="18"/>
        </w:rPr>
        <w:t>公司围绕“坚持主业、共享产业、</w:t>
      </w:r>
      <w:r w:rsidR="00C65FD5" w:rsidRPr="00831C3C">
        <w:rPr>
          <w:rFonts w:cs="Times New Roman" w:hint="eastAsia"/>
          <w:sz w:val="18"/>
          <w:szCs w:val="18"/>
        </w:rPr>
        <w:t>发展新业”战略主题，做稳纱线主业、做大共享产业、</w:t>
      </w:r>
      <w:proofErr w:type="gramStart"/>
      <w:r w:rsidR="00C65FD5" w:rsidRPr="00831C3C">
        <w:rPr>
          <w:rFonts w:cs="Times New Roman" w:hint="eastAsia"/>
          <w:sz w:val="18"/>
          <w:szCs w:val="18"/>
        </w:rPr>
        <w:t>做优新</w:t>
      </w:r>
      <w:proofErr w:type="gramEnd"/>
      <w:r w:rsidR="00C65FD5" w:rsidRPr="00831C3C">
        <w:rPr>
          <w:rFonts w:cs="Times New Roman" w:hint="eastAsia"/>
          <w:sz w:val="18"/>
          <w:szCs w:val="18"/>
        </w:rPr>
        <w:t>业，作为全球最大的色纺纱制造商和供应商之一，主营中高档色纺纱线，配套提供高档新型的坯纱、染色纱，同时提供流行趋势、原料与产品认证、技术咨询等增值服务。通过色彩、材质、工艺技术的集成创新，为客户提供优质的产品和服务。公司在坚持主业的同时，共享产业，以纱线贯通纺织服装产业，整合棉花种植、棉花加工、仓储物流、花纱交易、</w:t>
      </w:r>
      <w:proofErr w:type="gramStart"/>
      <w:r w:rsidR="00C65FD5" w:rsidRPr="00831C3C">
        <w:rPr>
          <w:rFonts w:cs="Times New Roman" w:hint="eastAsia"/>
          <w:sz w:val="18"/>
          <w:szCs w:val="18"/>
        </w:rPr>
        <w:t>纺服供应</w:t>
      </w:r>
      <w:proofErr w:type="gramEnd"/>
      <w:r w:rsidR="00C65FD5" w:rsidRPr="00831C3C">
        <w:rPr>
          <w:rFonts w:cs="Times New Roman" w:hint="eastAsia"/>
          <w:sz w:val="18"/>
          <w:szCs w:val="18"/>
        </w:rPr>
        <w:t>链，</w:t>
      </w:r>
      <w:proofErr w:type="gramStart"/>
      <w:r w:rsidR="00C65FD5" w:rsidRPr="00831C3C">
        <w:rPr>
          <w:rFonts w:cs="Times New Roman" w:hint="eastAsia"/>
          <w:sz w:val="18"/>
          <w:szCs w:val="18"/>
        </w:rPr>
        <w:t>打实现</w:t>
      </w:r>
      <w:proofErr w:type="gramEnd"/>
      <w:r w:rsidR="00C65FD5" w:rsidRPr="00831C3C">
        <w:rPr>
          <w:rFonts w:cs="Times New Roman" w:hint="eastAsia"/>
          <w:sz w:val="18"/>
          <w:szCs w:val="18"/>
        </w:rPr>
        <w:t>从一朵棉花到一双袜子、一件衣服的</w:t>
      </w:r>
      <w:proofErr w:type="gramStart"/>
      <w:r w:rsidR="00C65FD5" w:rsidRPr="00831C3C">
        <w:rPr>
          <w:rFonts w:cs="Times New Roman" w:hint="eastAsia"/>
          <w:sz w:val="18"/>
          <w:szCs w:val="18"/>
        </w:rPr>
        <w:t>全供应</w:t>
      </w:r>
      <w:proofErr w:type="gramEnd"/>
      <w:r w:rsidR="00C65FD5" w:rsidRPr="00831C3C">
        <w:rPr>
          <w:rFonts w:cs="Times New Roman" w:hint="eastAsia"/>
          <w:sz w:val="18"/>
          <w:szCs w:val="18"/>
        </w:rPr>
        <w:t>链业务，实现前后端产业贯通，致力成为全球纺织服装产业时尚营运商。发展新业以智能</w:t>
      </w:r>
      <w:proofErr w:type="gramStart"/>
      <w:r w:rsidR="00C65FD5" w:rsidRPr="00831C3C">
        <w:rPr>
          <w:rFonts w:cs="Times New Roman" w:hint="eastAsia"/>
          <w:sz w:val="18"/>
          <w:szCs w:val="18"/>
        </w:rPr>
        <w:t>算力中心</w:t>
      </w:r>
      <w:proofErr w:type="gramEnd"/>
      <w:r w:rsidR="00C65FD5" w:rsidRPr="00831C3C">
        <w:rPr>
          <w:rFonts w:cs="Times New Roman" w:hint="eastAsia"/>
          <w:sz w:val="18"/>
          <w:szCs w:val="18"/>
        </w:rPr>
        <w:t>为抓手，</w:t>
      </w:r>
      <w:proofErr w:type="gramStart"/>
      <w:r w:rsidR="00C65FD5" w:rsidRPr="00831C3C">
        <w:rPr>
          <w:rFonts w:cs="Times New Roman" w:hint="eastAsia"/>
          <w:sz w:val="18"/>
          <w:szCs w:val="18"/>
        </w:rPr>
        <w:t>提供算力租赁</w:t>
      </w:r>
      <w:proofErr w:type="gramEnd"/>
      <w:r w:rsidR="00C65FD5" w:rsidRPr="00831C3C">
        <w:rPr>
          <w:rFonts w:cs="Times New Roman" w:hint="eastAsia"/>
          <w:sz w:val="18"/>
          <w:szCs w:val="18"/>
        </w:rPr>
        <w:t>服务，同时</w:t>
      </w:r>
      <w:proofErr w:type="gramStart"/>
      <w:r w:rsidR="00C65FD5" w:rsidRPr="00831C3C">
        <w:rPr>
          <w:rFonts w:cs="Times New Roman" w:hint="eastAsia"/>
          <w:sz w:val="18"/>
          <w:szCs w:val="18"/>
        </w:rPr>
        <w:t>智算新业探索</w:t>
      </w:r>
      <w:proofErr w:type="gramEnd"/>
      <w:r w:rsidR="00C65FD5" w:rsidRPr="00831C3C">
        <w:rPr>
          <w:rFonts w:cs="Times New Roman" w:hint="eastAsia"/>
          <w:sz w:val="18"/>
          <w:szCs w:val="18"/>
        </w:rPr>
        <w:t>人工智能在纺织服装业务中的应用，助力纺织产业链升级。</w:t>
      </w:r>
    </w:p>
    <w:p w:rsidR="00C65FD5" w:rsidRPr="00831C3C" w:rsidRDefault="00C65FD5" w:rsidP="006F5F74">
      <w:pPr>
        <w:pStyle w:val="a3"/>
        <w:spacing w:before="0" w:beforeAutospacing="0" w:after="0" w:afterAutospacing="0"/>
        <w:ind w:firstLine="420"/>
        <w:jc w:val="both"/>
        <w:divId w:val="1978102917"/>
        <w:rPr>
          <w:rFonts w:ascii="Times New Roman" w:hAnsi="Times New Roman" w:cs="Times New Roman"/>
        </w:rPr>
      </w:pPr>
      <w:r w:rsidRPr="00831C3C">
        <w:rPr>
          <w:rFonts w:ascii="Times New Roman" w:hAnsi="Times New Roman" w:cs="Times New Roman"/>
          <w:sz w:val="18"/>
          <w:szCs w:val="18"/>
        </w:rPr>
        <w:t>2</w:t>
      </w:r>
      <w:r w:rsidRPr="00831C3C">
        <w:rPr>
          <w:rFonts w:cs="Times New Roman" w:hint="eastAsia"/>
          <w:sz w:val="18"/>
          <w:szCs w:val="18"/>
        </w:rPr>
        <w:t>、经营模式</w:t>
      </w:r>
    </w:p>
    <w:p w:rsidR="00C65FD5" w:rsidRPr="00831C3C" w:rsidRDefault="00C65FD5" w:rsidP="006F5F74">
      <w:pPr>
        <w:pStyle w:val="a3"/>
        <w:spacing w:before="0" w:beforeAutospacing="0" w:after="0" w:afterAutospacing="0"/>
        <w:ind w:firstLine="420"/>
        <w:jc w:val="both"/>
        <w:divId w:val="1978102917"/>
        <w:rPr>
          <w:rFonts w:ascii="Times New Roman" w:hAnsi="Times New Roman" w:cs="Times New Roman"/>
        </w:rPr>
      </w:pPr>
      <w:r w:rsidRPr="00831C3C">
        <w:rPr>
          <w:rFonts w:cs="Times New Roman" w:hint="eastAsia"/>
          <w:sz w:val="18"/>
          <w:szCs w:val="18"/>
        </w:rPr>
        <w:t>主营纱线方面，目前纱线产能</w:t>
      </w:r>
      <w:r w:rsidRPr="00831C3C">
        <w:rPr>
          <w:rFonts w:ascii="Times New Roman" w:hAnsi="Times New Roman" w:cs="Times New Roman"/>
          <w:sz w:val="18"/>
          <w:szCs w:val="18"/>
        </w:rPr>
        <w:t>206</w:t>
      </w:r>
      <w:r w:rsidRPr="00831C3C">
        <w:rPr>
          <w:rFonts w:cs="Times New Roman" w:hint="eastAsia"/>
          <w:sz w:val="18"/>
          <w:szCs w:val="18"/>
        </w:rPr>
        <w:t>万锭，年产</w:t>
      </w:r>
      <w:r w:rsidRPr="00831C3C">
        <w:rPr>
          <w:rFonts w:ascii="Times New Roman" w:hAnsi="Times New Roman" w:cs="Times New Roman"/>
          <w:sz w:val="18"/>
          <w:szCs w:val="18"/>
        </w:rPr>
        <w:t>29</w:t>
      </w:r>
      <w:r w:rsidRPr="00831C3C">
        <w:rPr>
          <w:rFonts w:cs="Times New Roman" w:hint="eastAsia"/>
          <w:sz w:val="18"/>
          <w:szCs w:val="18"/>
        </w:rPr>
        <w:t>万吨新型纱线，生产基地覆盖中国东部和新疆等地。公司通过产业链协同，统筹市场及订单信息，制定“点（产地）对点（客户）”的供应链计划，分区域、分工厂、分生产线进行规模化定制，公司坚持以客户为本，品质至上，以趋势为方向，通过产品创新提升产品品质及附加值，赢得了客户的信赖。</w:t>
      </w:r>
    </w:p>
    <w:p w:rsidR="00C65FD5" w:rsidRPr="00831C3C" w:rsidRDefault="00C65FD5" w:rsidP="006F5F74">
      <w:pPr>
        <w:pStyle w:val="a3"/>
        <w:spacing w:before="0" w:beforeAutospacing="0" w:after="0" w:afterAutospacing="0"/>
        <w:ind w:firstLine="420"/>
        <w:jc w:val="both"/>
        <w:divId w:val="1978102917"/>
        <w:rPr>
          <w:rFonts w:ascii="Times New Roman" w:hAnsi="Times New Roman" w:cs="Times New Roman"/>
        </w:rPr>
      </w:pPr>
      <w:r w:rsidRPr="00831C3C">
        <w:rPr>
          <w:rFonts w:cs="Times New Roman" w:hint="eastAsia"/>
          <w:sz w:val="18"/>
          <w:szCs w:val="18"/>
        </w:rPr>
        <w:t>共享产业，以纱线连接棉业、阿大、华尚供应链平台公司，</w:t>
      </w:r>
      <w:proofErr w:type="gramStart"/>
      <w:r w:rsidRPr="00831C3C">
        <w:rPr>
          <w:rFonts w:cs="Times New Roman" w:hint="eastAsia"/>
          <w:sz w:val="18"/>
          <w:szCs w:val="18"/>
        </w:rPr>
        <w:t>贯通全</w:t>
      </w:r>
      <w:proofErr w:type="gramEnd"/>
      <w:r w:rsidRPr="00831C3C">
        <w:rPr>
          <w:rFonts w:cs="Times New Roman" w:hint="eastAsia"/>
          <w:sz w:val="18"/>
          <w:szCs w:val="18"/>
        </w:rPr>
        <w:t>产业链。棉业立足新疆，选择核心轧花厂、扩大虚拟农业合作社，投资种业科技、开发特色棉种，完善销售渠道、</w:t>
      </w:r>
      <w:proofErr w:type="gramStart"/>
      <w:r w:rsidRPr="00831C3C">
        <w:rPr>
          <w:rFonts w:cs="Times New Roman" w:hint="eastAsia"/>
          <w:sz w:val="18"/>
          <w:szCs w:val="18"/>
        </w:rPr>
        <w:t>提升贸融能力</w:t>
      </w:r>
      <w:proofErr w:type="gramEnd"/>
      <w:r w:rsidRPr="00831C3C">
        <w:rPr>
          <w:rFonts w:cs="Times New Roman" w:hint="eastAsia"/>
          <w:sz w:val="18"/>
          <w:szCs w:val="18"/>
        </w:rPr>
        <w:t>，将新疆棉花交易市场打造成数字化棉花供应链平台；阿大立足诸暨，包括自主品牌经营、品牌授权经营、贴</w:t>
      </w:r>
      <w:proofErr w:type="gramStart"/>
      <w:r w:rsidRPr="00831C3C">
        <w:rPr>
          <w:rFonts w:cs="Times New Roman" w:hint="eastAsia"/>
          <w:sz w:val="18"/>
          <w:szCs w:val="18"/>
        </w:rPr>
        <w:t>牌业务</w:t>
      </w:r>
      <w:proofErr w:type="gramEnd"/>
      <w:r w:rsidRPr="00831C3C">
        <w:rPr>
          <w:rFonts w:cs="Times New Roman" w:hint="eastAsia"/>
          <w:sz w:val="18"/>
          <w:szCs w:val="18"/>
        </w:rPr>
        <w:t>经营、纱线经营等业务模式，建立袜业创新、品牌与交易平台，打造纱袜供应链平台。</w:t>
      </w:r>
    </w:p>
    <w:p w:rsidR="00C65FD5" w:rsidRPr="00831C3C" w:rsidRDefault="00C65FD5" w:rsidP="006F5F74">
      <w:pPr>
        <w:pStyle w:val="a3"/>
        <w:spacing w:before="0" w:beforeAutospacing="0" w:after="0" w:afterAutospacing="0"/>
        <w:ind w:firstLine="420"/>
        <w:jc w:val="both"/>
        <w:divId w:val="1978102917"/>
        <w:rPr>
          <w:rFonts w:ascii="Times New Roman" w:hAnsi="Times New Roman" w:cs="Times New Roman"/>
        </w:rPr>
      </w:pPr>
      <w:r w:rsidRPr="00831C3C">
        <w:rPr>
          <w:rFonts w:cs="Times New Roman" w:hint="eastAsia"/>
          <w:sz w:val="18"/>
          <w:szCs w:val="18"/>
        </w:rPr>
        <w:t>新业围绕“东数西算”，规划“东推西训”上虞和新疆联动模式，以自</w:t>
      </w:r>
      <w:proofErr w:type="gramStart"/>
      <w:r w:rsidRPr="00831C3C">
        <w:rPr>
          <w:rFonts w:cs="Times New Roman" w:hint="eastAsia"/>
          <w:sz w:val="18"/>
          <w:szCs w:val="18"/>
        </w:rPr>
        <w:t>有算力</w:t>
      </w:r>
      <w:proofErr w:type="gramEnd"/>
      <w:r w:rsidRPr="00831C3C">
        <w:rPr>
          <w:rFonts w:ascii="Times New Roman" w:hAnsi="Times New Roman" w:cs="Times New Roman"/>
          <w:sz w:val="18"/>
          <w:szCs w:val="18"/>
        </w:rPr>
        <w:t>+</w:t>
      </w:r>
      <w:proofErr w:type="gramStart"/>
      <w:r w:rsidRPr="00831C3C">
        <w:rPr>
          <w:rFonts w:cs="Times New Roman" w:hint="eastAsia"/>
          <w:sz w:val="18"/>
          <w:szCs w:val="18"/>
        </w:rPr>
        <w:t>调度算力形成</w:t>
      </w:r>
      <w:proofErr w:type="gramEnd"/>
      <w:r w:rsidRPr="00831C3C">
        <w:rPr>
          <w:rFonts w:cs="Times New Roman" w:hint="eastAsia"/>
          <w:sz w:val="18"/>
          <w:szCs w:val="18"/>
        </w:rPr>
        <w:t>完整</w:t>
      </w:r>
      <w:proofErr w:type="gramStart"/>
      <w:r w:rsidRPr="00831C3C">
        <w:rPr>
          <w:rFonts w:cs="Times New Roman" w:hint="eastAsia"/>
          <w:sz w:val="18"/>
          <w:szCs w:val="18"/>
        </w:rPr>
        <w:t>的算力服务</w:t>
      </w:r>
      <w:proofErr w:type="gramEnd"/>
      <w:r w:rsidRPr="00831C3C">
        <w:rPr>
          <w:rFonts w:cs="Times New Roman" w:hint="eastAsia"/>
          <w:sz w:val="18"/>
          <w:szCs w:val="18"/>
        </w:rPr>
        <w:t>体系，全力打造成为一流的</w:t>
      </w:r>
      <w:proofErr w:type="gramStart"/>
      <w:r w:rsidRPr="00831C3C">
        <w:rPr>
          <w:rFonts w:cs="Times New Roman" w:hint="eastAsia"/>
          <w:sz w:val="18"/>
          <w:szCs w:val="18"/>
        </w:rPr>
        <w:t>算力综合</w:t>
      </w:r>
      <w:proofErr w:type="gramEnd"/>
      <w:r w:rsidRPr="00831C3C">
        <w:rPr>
          <w:rFonts w:cs="Times New Roman" w:hint="eastAsia"/>
          <w:sz w:val="18"/>
          <w:szCs w:val="18"/>
        </w:rPr>
        <w:t>服</w:t>
      </w:r>
      <w:r w:rsidR="00F055B3" w:rsidRPr="00831C3C">
        <w:rPr>
          <w:rFonts w:cs="Times New Roman" w:hint="eastAsia"/>
          <w:sz w:val="18"/>
          <w:szCs w:val="18"/>
        </w:rPr>
        <w:t>务商。华</w:t>
      </w:r>
      <w:proofErr w:type="gramStart"/>
      <w:r w:rsidR="00F055B3" w:rsidRPr="00831C3C">
        <w:rPr>
          <w:rFonts w:cs="Times New Roman" w:hint="eastAsia"/>
          <w:sz w:val="18"/>
          <w:szCs w:val="18"/>
        </w:rPr>
        <w:t>孚科技</w:t>
      </w:r>
      <w:proofErr w:type="gramEnd"/>
      <w:r w:rsidR="00F055B3" w:rsidRPr="00831C3C">
        <w:rPr>
          <w:rFonts w:cs="Times New Roman" w:hint="eastAsia"/>
          <w:sz w:val="18"/>
          <w:szCs w:val="18"/>
        </w:rPr>
        <w:t>将人工智能与纺织主业有机结合，在流行趋势分析、新型</w:t>
      </w:r>
      <w:r w:rsidRPr="00831C3C">
        <w:rPr>
          <w:rFonts w:cs="Times New Roman" w:hint="eastAsia"/>
          <w:sz w:val="18"/>
          <w:szCs w:val="18"/>
        </w:rPr>
        <w:t>纺织纤维研发、纺织服装从设计图到工艺图生成等多个核心环节，促进企业自身效能提升，助</w:t>
      </w:r>
      <w:proofErr w:type="gramStart"/>
      <w:r w:rsidRPr="00831C3C">
        <w:rPr>
          <w:rFonts w:cs="Times New Roman" w:hint="eastAsia"/>
          <w:sz w:val="18"/>
          <w:szCs w:val="18"/>
        </w:rPr>
        <w:t>推传统产业数智</w:t>
      </w:r>
      <w:proofErr w:type="gramEnd"/>
      <w:r w:rsidRPr="00831C3C">
        <w:rPr>
          <w:rFonts w:cs="Times New Roman" w:hint="eastAsia"/>
          <w:sz w:val="18"/>
          <w:szCs w:val="18"/>
        </w:rPr>
        <w:t>化变革。</w:t>
      </w:r>
    </w:p>
    <w:p w:rsidR="00C65FD5" w:rsidRPr="00831C3C" w:rsidRDefault="00C65FD5" w:rsidP="006F5F74">
      <w:pPr>
        <w:pStyle w:val="a3"/>
        <w:spacing w:before="0" w:beforeAutospacing="0" w:after="0" w:afterAutospacing="0"/>
        <w:ind w:firstLine="420"/>
        <w:jc w:val="both"/>
        <w:divId w:val="1978102917"/>
        <w:rPr>
          <w:rFonts w:ascii="Times New Roman" w:hAnsi="Times New Roman" w:cs="Times New Roman"/>
        </w:rPr>
      </w:pPr>
      <w:r w:rsidRPr="00831C3C">
        <w:rPr>
          <w:rFonts w:ascii="Times New Roman" w:hAnsi="Times New Roman" w:cs="Times New Roman"/>
          <w:sz w:val="18"/>
          <w:szCs w:val="18"/>
        </w:rPr>
        <w:t>3</w:t>
      </w:r>
      <w:r w:rsidRPr="00831C3C">
        <w:rPr>
          <w:rFonts w:cs="Times New Roman" w:hint="eastAsia"/>
          <w:sz w:val="18"/>
          <w:szCs w:val="18"/>
        </w:rPr>
        <w:t>、主营业务分析</w:t>
      </w:r>
    </w:p>
    <w:p w:rsidR="001E2174" w:rsidRPr="00831C3C" w:rsidRDefault="00C65FD5" w:rsidP="006F5F74">
      <w:pPr>
        <w:pStyle w:val="a3"/>
        <w:spacing w:before="0" w:beforeAutospacing="0" w:after="0" w:afterAutospacing="0"/>
        <w:ind w:firstLine="420"/>
        <w:jc w:val="both"/>
        <w:divId w:val="1978102917"/>
        <w:rPr>
          <w:rFonts w:cs="Times New Roman"/>
          <w:sz w:val="18"/>
          <w:szCs w:val="18"/>
        </w:rPr>
      </w:pPr>
      <w:r w:rsidRPr="00831C3C">
        <w:rPr>
          <w:rFonts w:cs="Times New Roman" w:hint="eastAsia"/>
          <w:sz w:val="18"/>
          <w:szCs w:val="18"/>
        </w:rPr>
        <w:t>报告期内，公司实现营业收入</w:t>
      </w:r>
      <w:r w:rsidRPr="00831C3C">
        <w:rPr>
          <w:rFonts w:cs="Times New Roman"/>
          <w:sz w:val="18"/>
          <w:szCs w:val="18"/>
        </w:rPr>
        <w:t>107.62</w:t>
      </w:r>
      <w:r w:rsidRPr="00831C3C">
        <w:rPr>
          <w:rFonts w:cs="Times New Roman" w:hint="eastAsia"/>
          <w:sz w:val="18"/>
          <w:szCs w:val="18"/>
        </w:rPr>
        <w:t>亿元，同比下降</w:t>
      </w:r>
      <w:r w:rsidRPr="00831C3C">
        <w:rPr>
          <w:rFonts w:cs="Times New Roman"/>
          <w:sz w:val="18"/>
          <w:szCs w:val="18"/>
        </w:rPr>
        <w:t>21.24%</w:t>
      </w:r>
      <w:r w:rsidRPr="00831C3C">
        <w:rPr>
          <w:rFonts w:cs="Times New Roman" w:hint="eastAsia"/>
          <w:sz w:val="18"/>
          <w:szCs w:val="18"/>
        </w:rPr>
        <w:t>，</w:t>
      </w:r>
      <w:proofErr w:type="gramStart"/>
      <w:r w:rsidRPr="00831C3C">
        <w:rPr>
          <w:rFonts w:cs="Times New Roman" w:hint="eastAsia"/>
          <w:sz w:val="18"/>
          <w:szCs w:val="18"/>
        </w:rPr>
        <w:t>归母净利润</w:t>
      </w:r>
      <w:proofErr w:type="gramEnd"/>
      <w:r w:rsidRPr="00831C3C">
        <w:rPr>
          <w:rFonts w:cs="Times New Roman"/>
          <w:sz w:val="18"/>
          <w:szCs w:val="18"/>
        </w:rPr>
        <w:t>-20,776.50</w:t>
      </w:r>
      <w:r w:rsidRPr="00831C3C">
        <w:rPr>
          <w:rFonts w:cs="Times New Roman" w:hint="eastAsia"/>
          <w:sz w:val="18"/>
          <w:szCs w:val="18"/>
        </w:rPr>
        <w:t>万元</w:t>
      </w:r>
      <w:r w:rsidRPr="00831C3C">
        <w:rPr>
          <w:rFonts w:cs="Times New Roman"/>
          <w:sz w:val="18"/>
          <w:szCs w:val="18"/>
        </w:rPr>
        <w:t xml:space="preserve"> </w:t>
      </w:r>
      <w:r w:rsidRPr="00831C3C">
        <w:rPr>
          <w:rFonts w:cs="Times New Roman" w:hint="eastAsia"/>
          <w:sz w:val="18"/>
          <w:szCs w:val="18"/>
        </w:rPr>
        <w:t>。</w:t>
      </w:r>
      <w:r w:rsidR="00E30AB4" w:rsidRPr="00831C3C">
        <w:rPr>
          <w:rFonts w:cs="Times New Roman" w:hint="eastAsia"/>
          <w:sz w:val="18"/>
          <w:szCs w:val="18"/>
        </w:rPr>
        <w:t>2024年，纺织行业在复杂环境下实现平稳运行，彰显韧性。但外部宏观形势复杂多变，企业面临全球需求内生动力仍待恢复、成本上涨、贸易摩擦等带来的挑战。</w:t>
      </w:r>
    </w:p>
    <w:p w:rsidR="00C65FD5" w:rsidRPr="00831C3C" w:rsidRDefault="00C65FD5" w:rsidP="006F5F74">
      <w:pPr>
        <w:pStyle w:val="a3"/>
        <w:spacing w:before="0" w:beforeAutospacing="0" w:after="0" w:afterAutospacing="0"/>
        <w:ind w:firstLine="420"/>
        <w:jc w:val="both"/>
        <w:divId w:val="1978102917"/>
        <w:rPr>
          <w:rFonts w:ascii="Times New Roman" w:hAnsi="Times New Roman" w:cs="Times New Roman"/>
        </w:rPr>
      </w:pPr>
      <w:r w:rsidRPr="00831C3C">
        <w:rPr>
          <w:rFonts w:cs="Times New Roman" w:hint="eastAsia"/>
          <w:sz w:val="18"/>
          <w:szCs w:val="18"/>
        </w:rPr>
        <w:lastRenderedPageBreak/>
        <w:t>公司持续拓展内循环市场空间，深度挖掘国内供应链客户，抓住产业集中度提升机会，围绕功能科技、时尚快反、可持续发展、高质量发展四条主线，多品类拓展市场，主营纱线业务平稳增长。受国际环境、贸易保护主义、产业安全等问题的持续影响，以及原料供应端冲击和终端有效需求不足的双向挤压，棉花的金融属性及其价格大幅波动对企业运行影响明显，为了规避价格波动的冲击，公司压降前端棉花供应链业务。</w:t>
      </w:r>
    </w:p>
    <w:p w:rsidR="00E23A97" w:rsidRPr="00831C3C" w:rsidRDefault="00C65FD5">
      <w:pPr>
        <w:pStyle w:val="2"/>
        <w:spacing w:before="300" w:after="300" w:line="320" w:lineRule="exact"/>
        <w:rPr>
          <w:rFonts w:ascii="宋体" w:eastAsia="宋体" w:hAnsi="宋体" w:cs="宋体"/>
          <w:b/>
          <w:bCs/>
          <w:sz w:val="24"/>
          <w:szCs w:val="24"/>
        </w:rPr>
      </w:pPr>
      <w:bookmarkStart w:id="16" w:name="_Toc988905"/>
      <w:r w:rsidRPr="00831C3C">
        <w:rPr>
          <w:rFonts w:ascii="宋体" w:eastAsia="宋体" w:hAnsi="宋体" w:cs="宋体"/>
          <w:b/>
          <w:bCs/>
          <w:sz w:val="24"/>
          <w:szCs w:val="24"/>
        </w:rPr>
        <w:t>三、核心竞争力分析</w:t>
      </w:r>
      <w:bookmarkEnd w:id="16"/>
    </w:p>
    <w:p w:rsidR="00C65FD5" w:rsidRPr="00831C3C" w:rsidRDefault="00C65FD5" w:rsidP="006F5F74">
      <w:pPr>
        <w:pStyle w:val="a3"/>
        <w:spacing w:before="0" w:beforeAutospacing="0" w:after="0" w:afterAutospacing="0"/>
        <w:ind w:firstLine="420"/>
        <w:jc w:val="both"/>
        <w:divId w:val="783888376"/>
        <w:rPr>
          <w:rFonts w:ascii="Times New Roman" w:hAnsi="Times New Roman" w:cs="Times New Roman"/>
        </w:rPr>
      </w:pPr>
      <w:r w:rsidRPr="00831C3C">
        <w:rPr>
          <w:rFonts w:ascii="Times New Roman" w:hAnsi="Times New Roman" w:cs="Times New Roman"/>
          <w:sz w:val="18"/>
          <w:szCs w:val="18"/>
        </w:rPr>
        <w:t>1</w:t>
      </w:r>
      <w:r w:rsidRPr="00831C3C">
        <w:rPr>
          <w:rFonts w:cs="Times New Roman" w:hint="eastAsia"/>
          <w:sz w:val="18"/>
          <w:szCs w:val="18"/>
        </w:rPr>
        <w:t>、产业引领者。公司作为全球最大的色纺纱供应商和制造商之一，随着产业集中度的提升和产能扩张、</w:t>
      </w:r>
      <w:proofErr w:type="gramStart"/>
      <w:r w:rsidRPr="00831C3C">
        <w:rPr>
          <w:rFonts w:cs="Times New Roman" w:hint="eastAsia"/>
          <w:sz w:val="18"/>
          <w:szCs w:val="18"/>
        </w:rPr>
        <w:t>网链战略</w:t>
      </w:r>
      <w:proofErr w:type="gramEnd"/>
      <w:r w:rsidRPr="00831C3C">
        <w:rPr>
          <w:rFonts w:cs="Times New Roman" w:hint="eastAsia"/>
          <w:sz w:val="18"/>
          <w:szCs w:val="18"/>
        </w:rPr>
        <w:t>的实施，产业协同效应的逐步显现，成长空间大。</w:t>
      </w:r>
    </w:p>
    <w:p w:rsidR="00C65FD5" w:rsidRPr="00831C3C" w:rsidRDefault="00C65FD5" w:rsidP="006F5F74">
      <w:pPr>
        <w:pStyle w:val="a3"/>
        <w:spacing w:before="0" w:beforeAutospacing="0" w:after="0" w:afterAutospacing="0"/>
        <w:ind w:firstLine="420"/>
        <w:jc w:val="both"/>
        <w:divId w:val="783888376"/>
        <w:rPr>
          <w:rFonts w:ascii="Times New Roman" w:hAnsi="Times New Roman" w:cs="Times New Roman"/>
        </w:rPr>
      </w:pPr>
      <w:r w:rsidRPr="00831C3C">
        <w:rPr>
          <w:rFonts w:ascii="Times New Roman" w:hAnsi="Times New Roman" w:cs="Times New Roman"/>
          <w:sz w:val="18"/>
          <w:szCs w:val="18"/>
        </w:rPr>
        <w:t>2</w:t>
      </w:r>
      <w:r w:rsidRPr="00831C3C">
        <w:rPr>
          <w:rFonts w:cs="Times New Roman" w:hint="eastAsia"/>
          <w:sz w:val="18"/>
          <w:szCs w:val="18"/>
        </w:rPr>
        <w:t>、全球品牌影响力。全球主要服饰名牌的首选纱线，“华孚牌”也是国家驰名商标。“华孚牌”是色纺产业趋势引领者、标准制定者、时尚风向标。</w:t>
      </w:r>
    </w:p>
    <w:p w:rsidR="00C65FD5" w:rsidRPr="00831C3C" w:rsidRDefault="00C65FD5" w:rsidP="006F5F74">
      <w:pPr>
        <w:pStyle w:val="a3"/>
        <w:spacing w:before="0" w:beforeAutospacing="0" w:after="0" w:afterAutospacing="0"/>
        <w:ind w:firstLine="420"/>
        <w:jc w:val="both"/>
        <w:divId w:val="783888376"/>
        <w:rPr>
          <w:rFonts w:ascii="Times New Roman" w:hAnsi="Times New Roman" w:cs="Times New Roman"/>
        </w:rPr>
      </w:pPr>
      <w:r w:rsidRPr="00831C3C">
        <w:rPr>
          <w:rFonts w:ascii="Times New Roman" w:hAnsi="Times New Roman" w:cs="Times New Roman"/>
          <w:sz w:val="18"/>
          <w:szCs w:val="18"/>
        </w:rPr>
        <w:t>3</w:t>
      </w:r>
      <w:r w:rsidRPr="00831C3C">
        <w:rPr>
          <w:rFonts w:cs="Times New Roman" w:hint="eastAsia"/>
          <w:sz w:val="18"/>
          <w:szCs w:val="18"/>
        </w:rPr>
        <w:t>、快速反应能力。随着前端供应链的整合和产能布局的完善，通过</w:t>
      </w:r>
      <w:r w:rsidRPr="00831C3C">
        <w:rPr>
          <w:rFonts w:ascii="Times New Roman" w:hAnsi="Times New Roman" w:cs="Times New Roman"/>
          <w:sz w:val="18"/>
          <w:szCs w:val="18"/>
        </w:rPr>
        <w:t>SAPERP/CRM/MES/PDM/ATP</w:t>
      </w:r>
      <w:r w:rsidRPr="00831C3C">
        <w:rPr>
          <w:rFonts w:cs="Times New Roman" w:hint="eastAsia"/>
          <w:sz w:val="18"/>
          <w:szCs w:val="18"/>
        </w:rPr>
        <w:t>等信息化、智能化手段，实现了集聚订单、灵活染色、柔性生产、快速交货、定制服务的供应链系统。</w:t>
      </w:r>
    </w:p>
    <w:p w:rsidR="00C65FD5" w:rsidRPr="00831C3C" w:rsidRDefault="00C65FD5" w:rsidP="006F5F74">
      <w:pPr>
        <w:pStyle w:val="a3"/>
        <w:spacing w:before="0" w:beforeAutospacing="0" w:after="0" w:afterAutospacing="0"/>
        <w:ind w:firstLine="420"/>
        <w:jc w:val="both"/>
        <w:divId w:val="783888376"/>
        <w:rPr>
          <w:rFonts w:ascii="Times New Roman" w:hAnsi="Times New Roman" w:cs="Times New Roman"/>
        </w:rPr>
      </w:pPr>
      <w:r w:rsidRPr="00831C3C">
        <w:rPr>
          <w:rFonts w:ascii="Times New Roman" w:hAnsi="Times New Roman" w:cs="Times New Roman"/>
          <w:sz w:val="18"/>
          <w:szCs w:val="18"/>
        </w:rPr>
        <w:t>4</w:t>
      </w:r>
      <w:r w:rsidRPr="00831C3C">
        <w:rPr>
          <w:rFonts w:cs="Times New Roman" w:hint="eastAsia"/>
          <w:sz w:val="18"/>
          <w:szCs w:val="18"/>
        </w:rPr>
        <w:t>、产品创新能力。公司加强产业合作，筹建了华孚大学和博士后工作站，建立了趋势、色彩、材质、纺纱、染整、设计、应用、可持续发展等专业研发团队，申报国家专利共计</w:t>
      </w:r>
      <w:r w:rsidRPr="00831C3C">
        <w:rPr>
          <w:rFonts w:ascii="Times New Roman" w:hAnsi="Times New Roman" w:cs="Times New Roman"/>
          <w:sz w:val="18"/>
          <w:szCs w:val="18"/>
        </w:rPr>
        <w:t>166</w:t>
      </w:r>
      <w:r w:rsidRPr="00831C3C">
        <w:rPr>
          <w:rFonts w:cs="Times New Roman" w:hint="eastAsia"/>
          <w:sz w:val="18"/>
          <w:szCs w:val="18"/>
        </w:rPr>
        <w:t>项，已获国家专利授权</w:t>
      </w:r>
      <w:r w:rsidRPr="00831C3C">
        <w:rPr>
          <w:rFonts w:ascii="Times New Roman" w:hAnsi="Times New Roman" w:cs="Times New Roman"/>
          <w:sz w:val="18"/>
          <w:szCs w:val="18"/>
        </w:rPr>
        <w:t>119</w:t>
      </w:r>
      <w:r w:rsidRPr="00831C3C">
        <w:rPr>
          <w:rFonts w:cs="Times New Roman" w:hint="eastAsia"/>
          <w:sz w:val="18"/>
          <w:szCs w:val="18"/>
        </w:rPr>
        <w:t>项，其中发明专利</w:t>
      </w:r>
      <w:r w:rsidRPr="00831C3C">
        <w:rPr>
          <w:rFonts w:ascii="Times New Roman" w:hAnsi="Times New Roman" w:cs="Times New Roman"/>
          <w:sz w:val="18"/>
          <w:szCs w:val="18"/>
        </w:rPr>
        <w:t>56</w:t>
      </w:r>
      <w:r w:rsidRPr="00831C3C">
        <w:rPr>
          <w:rFonts w:cs="Times New Roman" w:hint="eastAsia"/>
          <w:sz w:val="18"/>
          <w:szCs w:val="18"/>
        </w:rPr>
        <w:t>个，实用新型专利</w:t>
      </w:r>
      <w:r w:rsidRPr="00831C3C">
        <w:rPr>
          <w:rFonts w:ascii="Times New Roman" w:hAnsi="Times New Roman" w:cs="Times New Roman"/>
          <w:sz w:val="18"/>
          <w:szCs w:val="18"/>
        </w:rPr>
        <w:t>63</w:t>
      </w:r>
      <w:r w:rsidRPr="00831C3C">
        <w:rPr>
          <w:rFonts w:cs="Times New Roman" w:hint="eastAsia"/>
          <w:sz w:val="18"/>
          <w:szCs w:val="18"/>
        </w:rPr>
        <w:t>个。专利数量居色纺行业第一，全球领先。</w:t>
      </w:r>
    </w:p>
    <w:p w:rsidR="00C65FD5" w:rsidRPr="00831C3C" w:rsidRDefault="00C65FD5" w:rsidP="006F5F74">
      <w:pPr>
        <w:pStyle w:val="a3"/>
        <w:spacing w:before="0" w:beforeAutospacing="0" w:after="0" w:afterAutospacing="0"/>
        <w:ind w:firstLine="420"/>
        <w:jc w:val="both"/>
        <w:divId w:val="783888376"/>
        <w:rPr>
          <w:rFonts w:ascii="Times New Roman" w:hAnsi="Times New Roman" w:cs="Times New Roman"/>
        </w:rPr>
      </w:pPr>
      <w:r w:rsidRPr="00831C3C">
        <w:rPr>
          <w:rFonts w:ascii="Times New Roman" w:hAnsi="Times New Roman" w:cs="Times New Roman"/>
          <w:sz w:val="18"/>
          <w:szCs w:val="18"/>
        </w:rPr>
        <w:t>5</w:t>
      </w:r>
      <w:r w:rsidRPr="00831C3C">
        <w:rPr>
          <w:rFonts w:cs="Times New Roman" w:hint="eastAsia"/>
          <w:sz w:val="18"/>
          <w:szCs w:val="18"/>
        </w:rPr>
        <w:t>、</w:t>
      </w:r>
      <w:proofErr w:type="gramStart"/>
      <w:r w:rsidRPr="00831C3C">
        <w:rPr>
          <w:rFonts w:cs="Times New Roman" w:hint="eastAsia"/>
          <w:sz w:val="18"/>
          <w:szCs w:val="18"/>
        </w:rPr>
        <w:t>数智化</w:t>
      </w:r>
      <w:proofErr w:type="gramEnd"/>
      <w:r w:rsidRPr="00831C3C">
        <w:rPr>
          <w:rFonts w:cs="Times New Roman" w:hint="eastAsia"/>
          <w:sz w:val="18"/>
          <w:szCs w:val="18"/>
        </w:rPr>
        <w:t>和</w:t>
      </w:r>
      <w:proofErr w:type="gramStart"/>
      <w:r w:rsidRPr="00831C3C">
        <w:rPr>
          <w:rFonts w:cs="Times New Roman" w:hint="eastAsia"/>
          <w:sz w:val="18"/>
          <w:szCs w:val="18"/>
        </w:rPr>
        <w:t>网链战略</w:t>
      </w:r>
      <w:proofErr w:type="gramEnd"/>
      <w:r w:rsidRPr="00831C3C">
        <w:rPr>
          <w:rFonts w:cs="Times New Roman" w:hint="eastAsia"/>
          <w:sz w:val="18"/>
          <w:szCs w:val="18"/>
        </w:rPr>
        <w:t>的优势。公司通过</w:t>
      </w:r>
      <w:proofErr w:type="gramStart"/>
      <w:r w:rsidRPr="00831C3C">
        <w:rPr>
          <w:rFonts w:cs="Times New Roman" w:hint="eastAsia"/>
          <w:sz w:val="18"/>
          <w:szCs w:val="18"/>
        </w:rPr>
        <w:t>推进数智升级</w:t>
      </w:r>
      <w:proofErr w:type="gramEnd"/>
      <w:r w:rsidRPr="00831C3C">
        <w:rPr>
          <w:rFonts w:cs="Times New Roman" w:hint="eastAsia"/>
          <w:sz w:val="18"/>
          <w:szCs w:val="18"/>
        </w:rPr>
        <w:t>战略，在数</w:t>
      </w:r>
      <w:proofErr w:type="gramStart"/>
      <w:r w:rsidRPr="00831C3C">
        <w:rPr>
          <w:rFonts w:cs="Times New Roman" w:hint="eastAsia"/>
          <w:sz w:val="18"/>
          <w:szCs w:val="18"/>
        </w:rPr>
        <w:t>智工厂</w:t>
      </w:r>
      <w:proofErr w:type="gramEnd"/>
      <w:r w:rsidRPr="00831C3C">
        <w:rPr>
          <w:rFonts w:cs="Times New Roman" w:hint="eastAsia"/>
          <w:sz w:val="18"/>
          <w:szCs w:val="18"/>
        </w:rPr>
        <w:t>建设、产业贯通的数字化平台建设方面具有领先优势；公司</w:t>
      </w:r>
      <w:proofErr w:type="gramStart"/>
      <w:r w:rsidRPr="00831C3C">
        <w:rPr>
          <w:rFonts w:cs="Times New Roman" w:hint="eastAsia"/>
          <w:sz w:val="18"/>
          <w:szCs w:val="18"/>
        </w:rPr>
        <w:t>通过网链转型</w:t>
      </w:r>
      <w:proofErr w:type="gramEnd"/>
      <w:r w:rsidRPr="00831C3C">
        <w:rPr>
          <w:rFonts w:cs="Times New Roman" w:hint="eastAsia"/>
          <w:sz w:val="18"/>
          <w:szCs w:val="18"/>
        </w:rPr>
        <w:t>战略的实施，</w:t>
      </w:r>
      <w:proofErr w:type="gramStart"/>
      <w:r w:rsidRPr="00831C3C">
        <w:rPr>
          <w:rFonts w:cs="Times New Roman" w:hint="eastAsia"/>
          <w:sz w:val="18"/>
          <w:szCs w:val="18"/>
        </w:rPr>
        <w:t>前端网链形成</w:t>
      </w:r>
      <w:proofErr w:type="gramEnd"/>
      <w:r w:rsidRPr="00831C3C">
        <w:rPr>
          <w:rFonts w:cs="Times New Roman" w:hint="eastAsia"/>
          <w:sz w:val="18"/>
          <w:szCs w:val="18"/>
        </w:rPr>
        <w:t>了一定的规模，后端网链袜业品类模式取得突破，通过产业互联网的推进产生产业协同效应。</w:t>
      </w:r>
    </w:p>
    <w:p w:rsidR="00C65FD5" w:rsidRPr="00831C3C" w:rsidRDefault="00C65FD5" w:rsidP="006F5F74">
      <w:pPr>
        <w:pStyle w:val="a3"/>
        <w:spacing w:before="0" w:beforeAutospacing="0" w:after="0" w:afterAutospacing="0"/>
        <w:ind w:firstLine="420"/>
        <w:jc w:val="both"/>
        <w:divId w:val="783888376"/>
        <w:rPr>
          <w:rFonts w:ascii="Times New Roman" w:hAnsi="Times New Roman" w:cs="Times New Roman"/>
        </w:rPr>
      </w:pPr>
      <w:r w:rsidRPr="00831C3C">
        <w:rPr>
          <w:rFonts w:ascii="Times New Roman" w:hAnsi="Times New Roman" w:cs="Times New Roman"/>
          <w:sz w:val="18"/>
          <w:szCs w:val="18"/>
        </w:rPr>
        <w:t>6</w:t>
      </w:r>
      <w:r w:rsidRPr="00831C3C">
        <w:rPr>
          <w:rFonts w:cs="Times New Roman" w:hint="eastAsia"/>
          <w:sz w:val="18"/>
          <w:szCs w:val="18"/>
        </w:rPr>
        <w:t>、布局人工智能新赛道。公司在坚持主营业务不动摇的前提下，积极响应国家关于“加快发展新质生产力”的要求，进军</w:t>
      </w:r>
      <w:proofErr w:type="gramStart"/>
      <w:r w:rsidRPr="00831C3C">
        <w:rPr>
          <w:rFonts w:cs="Times New Roman" w:hint="eastAsia"/>
          <w:sz w:val="18"/>
          <w:szCs w:val="18"/>
        </w:rPr>
        <w:t>智能算力领域</w:t>
      </w:r>
      <w:proofErr w:type="gramEnd"/>
      <w:r w:rsidRPr="00831C3C">
        <w:rPr>
          <w:rFonts w:cs="Times New Roman" w:hint="eastAsia"/>
          <w:sz w:val="18"/>
          <w:szCs w:val="18"/>
        </w:rPr>
        <w:t>，并持续探索纺织</w:t>
      </w:r>
      <w:r w:rsidRPr="00831C3C">
        <w:rPr>
          <w:rFonts w:ascii="Times New Roman" w:hAnsi="Times New Roman" w:cs="Times New Roman"/>
          <w:sz w:val="18"/>
          <w:szCs w:val="18"/>
        </w:rPr>
        <w:t>+</w:t>
      </w:r>
      <w:r w:rsidRPr="00831C3C">
        <w:rPr>
          <w:rFonts w:cs="Times New Roman" w:hint="eastAsia"/>
          <w:sz w:val="18"/>
          <w:szCs w:val="18"/>
        </w:rPr>
        <w:t>人工智能应用，从而加快公司转型升级步伐，进一步增强企业核心竞争力，培育公司创新发展动能。</w:t>
      </w:r>
    </w:p>
    <w:p w:rsidR="00E23A97" w:rsidRPr="00831C3C" w:rsidRDefault="00C65FD5">
      <w:pPr>
        <w:pStyle w:val="2"/>
        <w:spacing w:before="300" w:after="300" w:line="320" w:lineRule="exact"/>
        <w:rPr>
          <w:rFonts w:ascii="宋体" w:eastAsia="宋体" w:hAnsi="宋体" w:cs="宋体"/>
          <w:b/>
          <w:bCs/>
          <w:sz w:val="24"/>
          <w:szCs w:val="24"/>
        </w:rPr>
      </w:pPr>
      <w:bookmarkStart w:id="17" w:name="_Toc988906"/>
      <w:r w:rsidRPr="00831C3C">
        <w:rPr>
          <w:rFonts w:ascii="宋体" w:eastAsia="宋体" w:hAnsi="宋体" w:cs="宋体"/>
          <w:b/>
          <w:bCs/>
          <w:sz w:val="24"/>
          <w:szCs w:val="24"/>
        </w:rPr>
        <w:t>四、主营业务分析</w:t>
      </w:r>
      <w:bookmarkEnd w:id="17"/>
    </w:p>
    <w:p w:rsidR="00E23A97" w:rsidRPr="00831C3C" w:rsidRDefault="00C65FD5">
      <w:pPr>
        <w:pStyle w:val="3"/>
        <w:spacing w:line="280" w:lineRule="exact"/>
        <w:jc w:val="left"/>
        <w:rPr>
          <w:rFonts w:ascii="宋体" w:hAnsi="宋体" w:cs="宋体"/>
          <w:b/>
          <w:bCs/>
        </w:rPr>
      </w:pPr>
      <w:bookmarkStart w:id="18" w:name="_Toc988907"/>
      <w:r w:rsidRPr="00831C3C">
        <w:rPr>
          <w:rFonts w:ascii="宋体" w:hAnsi="宋体" w:cs="宋体"/>
          <w:b/>
          <w:bCs/>
        </w:rPr>
        <w:t>1、概述</w:t>
      </w:r>
      <w:bookmarkEnd w:id="18"/>
    </w:p>
    <w:p w:rsidR="00C65FD5" w:rsidRPr="00831C3C" w:rsidRDefault="00C65FD5">
      <w:pPr>
        <w:pStyle w:val="a3"/>
        <w:spacing w:before="40" w:beforeAutospacing="0" w:after="40" w:afterAutospacing="0"/>
        <w:divId w:val="1154563260"/>
      </w:pPr>
      <w:r w:rsidRPr="00831C3C">
        <w:rPr>
          <w:rFonts w:hint="eastAsia"/>
          <w:sz w:val="18"/>
          <w:szCs w:val="18"/>
        </w:rPr>
        <w:t>参见</w:t>
      </w:r>
      <w:r w:rsidRPr="00831C3C">
        <w:rPr>
          <w:rFonts w:ascii="Times New Roman" w:hAnsi="Times New Roman" w:cs="Times New Roman"/>
          <w:sz w:val="18"/>
          <w:szCs w:val="18"/>
        </w:rPr>
        <w:t>“</w:t>
      </w:r>
      <w:r w:rsidRPr="00831C3C">
        <w:rPr>
          <w:rFonts w:hint="eastAsia"/>
          <w:sz w:val="18"/>
          <w:szCs w:val="18"/>
        </w:rPr>
        <w:t>经营情况讨论与分析</w:t>
      </w:r>
      <w:r w:rsidRPr="00831C3C">
        <w:rPr>
          <w:rFonts w:ascii="Times New Roman" w:hAnsi="Times New Roman" w:cs="Times New Roman"/>
          <w:sz w:val="18"/>
          <w:szCs w:val="18"/>
        </w:rPr>
        <w:t>”</w:t>
      </w:r>
      <w:r w:rsidRPr="00831C3C">
        <w:rPr>
          <w:rFonts w:hint="eastAsia"/>
          <w:sz w:val="18"/>
          <w:szCs w:val="18"/>
        </w:rPr>
        <w:t>中的</w:t>
      </w:r>
      <w:r w:rsidRPr="00831C3C">
        <w:rPr>
          <w:rFonts w:ascii="Times New Roman" w:hAnsi="Times New Roman" w:cs="Times New Roman"/>
          <w:sz w:val="18"/>
          <w:szCs w:val="18"/>
        </w:rPr>
        <w:t>“</w:t>
      </w:r>
      <w:r w:rsidRPr="00831C3C">
        <w:rPr>
          <w:rFonts w:hint="eastAsia"/>
          <w:sz w:val="18"/>
          <w:szCs w:val="18"/>
        </w:rPr>
        <w:t>二、报告期内公司从事的主要业务</w:t>
      </w:r>
      <w:r w:rsidRPr="00831C3C">
        <w:rPr>
          <w:rFonts w:ascii="Times New Roman" w:hAnsi="Times New Roman" w:cs="Times New Roman"/>
          <w:sz w:val="18"/>
          <w:szCs w:val="18"/>
        </w:rPr>
        <w:t>”</w:t>
      </w:r>
      <w:r w:rsidRPr="00831C3C">
        <w:rPr>
          <w:rFonts w:hint="eastAsia"/>
          <w:sz w:val="18"/>
          <w:szCs w:val="18"/>
        </w:rPr>
        <w:t>相关内容。</w:t>
      </w:r>
    </w:p>
    <w:p w:rsidR="00E23A97" w:rsidRPr="00831C3C" w:rsidRDefault="00C65FD5">
      <w:pPr>
        <w:pStyle w:val="3"/>
        <w:spacing w:line="280" w:lineRule="exact"/>
        <w:jc w:val="left"/>
        <w:rPr>
          <w:rFonts w:ascii="宋体" w:hAnsi="宋体" w:cs="宋体"/>
          <w:b/>
          <w:bCs/>
        </w:rPr>
      </w:pPr>
      <w:bookmarkStart w:id="19" w:name="_Toc988908"/>
      <w:r w:rsidRPr="00831C3C">
        <w:rPr>
          <w:rFonts w:ascii="宋体" w:hAnsi="宋体" w:cs="宋体"/>
          <w:b/>
          <w:bCs/>
        </w:rPr>
        <w:t>2、收入与成本</w:t>
      </w:r>
      <w:bookmarkEnd w:id="19"/>
    </w:p>
    <w:p w:rsidR="00E23A97" w:rsidRPr="00831C3C" w:rsidRDefault="00C65FD5">
      <w:pPr>
        <w:keepNext/>
        <w:keepLines/>
        <w:spacing w:before="300" w:after="300" w:line="280" w:lineRule="exact"/>
        <w:outlineLvl w:val="3"/>
        <w:rPr>
          <w:rFonts w:ascii="宋体" w:eastAsia="宋体" w:hAnsi="宋体" w:cs="宋体"/>
          <w:b/>
          <w:bCs/>
          <w:szCs w:val="21"/>
        </w:rPr>
      </w:pPr>
      <w:bookmarkStart w:id="20" w:name="_Toc988909"/>
      <w:r w:rsidRPr="00831C3C">
        <w:rPr>
          <w:rFonts w:ascii="宋体" w:eastAsia="宋体" w:hAnsi="宋体" w:cs="宋体"/>
          <w:b/>
          <w:bCs/>
          <w:szCs w:val="21"/>
        </w:rPr>
        <w:t>（1） 营业收入构成</w:t>
      </w:r>
      <w:bookmarkEnd w:id="20"/>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06"/>
        <w:gridCol w:w="2046"/>
        <w:gridCol w:w="1167"/>
        <w:gridCol w:w="2093"/>
        <w:gridCol w:w="1120"/>
        <w:gridCol w:w="1607"/>
      </w:tblGrid>
      <w:tr w:rsidR="00831C3C" w:rsidRPr="00831C3C" w:rsidTr="006F5F74">
        <w:trPr>
          <w:trHeight w:val="240"/>
        </w:trPr>
        <w:tc>
          <w:tcPr>
            <w:tcW w:w="160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321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2024年</w:t>
            </w:r>
          </w:p>
        </w:tc>
        <w:tc>
          <w:tcPr>
            <w:tcW w:w="321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2023年</w:t>
            </w:r>
          </w:p>
        </w:tc>
        <w:tc>
          <w:tcPr>
            <w:tcW w:w="160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同比增减</w:t>
            </w:r>
          </w:p>
        </w:tc>
      </w:tr>
      <w:tr w:rsidR="00831C3C" w:rsidRPr="00831C3C" w:rsidTr="006F5F74">
        <w:trPr>
          <w:trHeight w:val="240"/>
        </w:trPr>
        <w:tc>
          <w:tcPr>
            <w:tcW w:w="160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204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金额</w:t>
            </w:r>
          </w:p>
        </w:tc>
        <w:tc>
          <w:tcPr>
            <w:tcW w:w="116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占营业收入比重</w:t>
            </w:r>
          </w:p>
        </w:tc>
        <w:tc>
          <w:tcPr>
            <w:tcW w:w="209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金额</w:t>
            </w:r>
          </w:p>
        </w:tc>
        <w:tc>
          <w:tcPr>
            <w:tcW w:w="11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占营业收入比重</w:t>
            </w:r>
          </w:p>
        </w:tc>
        <w:tc>
          <w:tcPr>
            <w:tcW w:w="160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rsidTr="006F5F7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营业收入合计</w:t>
            </w:r>
          </w:p>
        </w:tc>
        <w:tc>
          <w:tcPr>
            <w:tcW w:w="204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10,761,951,965.32</w:t>
            </w:r>
          </w:p>
        </w:tc>
        <w:tc>
          <w:tcPr>
            <w:tcW w:w="116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right"/>
              <w:rPr>
                <w:rFonts w:ascii="宋体" w:eastAsia="宋体" w:hAnsi="宋体" w:cs="宋体"/>
                <w:sz w:val="18"/>
                <w:szCs w:val="18"/>
                <w:shd w:val="clear" w:color="auto" w:fill="D3D3D3"/>
              </w:rPr>
            </w:pPr>
            <w:r w:rsidRPr="00831C3C">
              <w:rPr>
                <w:rFonts w:ascii="宋体" w:eastAsia="宋体" w:hAnsi="宋体" w:cs="宋体"/>
                <w:sz w:val="18"/>
                <w:szCs w:val="18"/>
                <w:shd w:val="clear" w:color="auto" w:fill="D3D3D3"/>
              </w:rPr>
              <w:t>100%</w:t>
            </w:r>
          </w:p>
        </w:tc>
        <w:tc>
          <w:tcPr>
            <w:tcW w:w="20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13,663,469,325.68</w:t>
            </w:r>
          </w:p>
        </w:tc>
        <w:tc>
          <w:tcPr>
            <w:tcW w:w="11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right"/>
              <w:rPr>
                <w:rFonts w:ascii="宋体" w:eastAsia="宋体" w:hAnsi="宋体" w:cs="宋体"/>
                <w:sz w:val="18"/>
                <w:szCs w:val="18"/>
                <w:shd w:val="clear" w:color="auto" w:fill="D3D3D3"/>
              </w:rPr>
            </w:pPr>
            <w:r w:rsidRPr="00831C3C">
              <w:rPr>
                <w:rFonts w:ascii="宋体" w:eastAsia="宋体" w:hAnsi="宋体" w:cs="宋体"/>
                <w:sz w:val="18"/>
                <w:szCs w:val="18"/>
                <w:shd w:val="clear" w:color="auto" w:fill="D3D3D3"/>
              </w:rPr>
              <w:t>100%</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-21.24%</w:t>
            </w:r>
          </w:p>
        </w:tc>
      </w:tr>
      <w:tr w:rsidR="00831C3C" w:rsidRPr="00831C3C">
        <w:trPr>
          <w:trHeight w:val="240"/>
        </w:trPr>
        <w:tc>
          <w:tcPr>
            <w:tcW w:w="9639"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分行业</w:t>
            </w:r>
          </w:p>
        </w:tc>
      </w:tr>
      <w:tr w:rsidR="00831C3C" w:rsidRPr="00831C3C" w:rsidTr="006F5F74">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棉纺行业主营业务收入</w:t>
            </w:r>
          </w:p>
        </w:tc>
        <w:tc>
          <w:tcPr>
            <w:tcW w:w="204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10,614,696,406.15</w:t>
            </w:r>
          </w:p>
        </w:tc>
        <w:tc>
          <w:tcPr>
            <w:tcW w:w="116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98.63%</w:t>
            </w:r>
          </w:p>
        </w:tc>
        <w:tc>
          <w:tcPr>
            <w:tcW w:w="20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13,619,437,001.24</w:t>
            </w:r>
          </w:p>
        </w:tc>
        <w:tc>
          <w:tcPr>
            <w:tcW w:w="11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99.68%</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-22.06%</w:t>
            </w:r>
          </w:p>
        </w:tc>
      </w:tr>
      <w:tr w:rsidR="00831C3C" w:rsidRPr="00831C3C" w:rsidTr="006F5F74">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棉纺行业其他业务收入</w:t>
            </w:r>
          </w:p>
        </w:tc>
        <w:tc>
          <w:tcPr>
            <w:tcW w:w="204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121,259,013.43</w:t>
            </w:r>
          </w:p>
        </w:tc>
        <w:tc>
          <w:tcPr>
            <w:tcW w:w="116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1.13%</w:t>
            </w:r>
          </w:p>
        </w:tc>
        <w:tc>
          <w:tcPr>
            <w:tcW w:w="20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44,032,324.44</w:t>
            </w:r>
          </w:p>
        </w:tc>
        <w:tc>
          <w:tcPr>
            <w:tcW w:w="11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0.32%</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175.39%</w:t>
            </w:r>
          </w:p>
        </w:tc>
      </w:tr>
      <w:tr w:rsidR="00831C3C" w:rsidRPr="00831C3C" w:rsidTr="006F5F74">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算力</w:t>
            </w:r>
            <w:proofErr w:type="gramEnd"/>
          </w:p>
        </w:tc>
        <w:tc>
          <w:tcPr>
            <w:tcW w:w="204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25,996,545.74</w:t>
            </w:r>
          </w:p>
        </w:tc>
        <w:tc>
          <w:tcPr>
            <w:tcW w:w="116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0.24%</w:t>
            </w:r>
          </w:p>
        </w:tc>
        <w:tc>
          <w:tcPr>
            <w:tcW w:w="209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12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9639"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分产品</w:t>
            </w:r>
          </w:p>
        </w:tc>
      </w:tr>
      <w:tr w:rsidR="00831C3C" w:rsidRPr="00831C3C" w:rsidTr="006F5F74">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纱线</w:t>
            </w:r>
          </w:p>
        </w:tc>
        <w:tc>
          <w:tcPr>
            <w:tcW w:w="204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6,293,478,560.99</w:t>
            </w:r>
          </w:p>
        </w:tc>
        <w:tc>
          <w:tcPr>
            <w:tcW w:w="116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58.48%</w:t>
            </w:r>
          </w:p>
        </w:tc>
        <w:tc>
          <w:tcPr>
            <w:tcW w:w="20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5,843,973,572.11</w:t>
            </w:r>
          </w:p>
        </w:tc>
        <w:tc>
          <w:tcPr>
            <w:tcW w:w="11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42.77%</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7.69%</w:t>
            </w:r>
          </w:p>
        </w:tc>
      </w:tr>
      <w:tr w:rsidR="00831C3C" w:rsidRPr="00831C3C" w:rsidTr="006F5F74">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lastRenderedPageBreak/>
              <w:t>网链</w:t>
            </w:r>
            <w:proofErr w:type="gramEnd"/>
          </w:p>
        </w:tc>
        <w:tc>
          <w:tcPr>
            <w:tcW w:w="204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4,085,820,675.73</w:t>
            </w:r>
          </w:p>
        </w:tc>
        <w:tc>
          <w:tcPr>
            <w:tcW w:w="116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37.97%</w:t>
            </w:r>
          </w:p>
        </w:tc>
        <w:tc>
          <w:tcPr>
            <w:tcW w:w="20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7,399,980,444.24</w:t>
            </w:r>
          </w:p>
        </w:tc>
        <w:tc>
          <w:tcPr>
            <w:tcW w:w="11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54.16%</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-44.79%</w:t>
            </w:r>
          </w:p>
        </w:tc>
      </w:tr>
      <w:tr w:rsidR="00831C3C" w:rsidRPr="00831C3C" w:rsidTr="006F5F74">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袜</w:t>
            </w:r>
            <w:proofErr w:type="gramEnd"/>
            <w:r w:rsidRPr="00831C3C">
              <w:rPr>
                <w:rFonts w:ascii="宋体" w:eastAsia="宋体" w:hAnsi="宋体" w:cs="宋体"/>
                <w:sz w:val="18"/>
                <w:szCs w:val="18"/>
              </w:rPr>
              <w:t>制品</w:t>
            </w:r>
          </w:p>
        </w:tc>
        <w:tc>
          <w:tcPr>
            <w:tcW w:w="204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235,397,169.43</w:t>
            </w:r>
          </w:p>
        </w:tc>
        <w:tc>
          <w:tcPr>
            <w:tcW w:w="116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2.19%</w:t>
            </w:r>
          </w:p>
        </w:tc>
        <w:tc>
          <w:tcPr>
            <w:tcW w:w="20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375,482,984.89</w:t>
            </w:r>
          </w:p>
        </w:tc>
        <w:tc>
          <w:tcPr>
            <w:tcW w:w="11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2.75%</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-37.31%</w:t>
            </w:r>
          </w:p>
        </w:tc>
      </w:tr>
      <w:tr w:rsidR="00831C3C" w:rsidRPr="00831C3C" w:rsidTr="006F5F74">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算力</w:t>
            </w:r>
            <w:proofErr w:type="gramEnd"/>
          </w:p>
        </w:tc>
        <w:tc>
          <w:tcPr>
            <w:tcW w:w="204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25,996,545.74</w:t>
            </w:r>
          </w:p>
        </w:tc>
        <w:tc>
          <w:tcPr>
            <w:tcW w:w="116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0.24%</w:t>
            </w:r>
          </w:p>
        </w:tc>
        <w:tc>
          <w:tcPr>
            <w:tcW w:w="209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12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rsidTr="006F5F74">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其他</w:t>
            </w:r>
          </w:p>
        </w:tc>
        <w:tc>
          <w:tcPr>
            <w:tcW w:w="204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121,259,013.43</w:t>
            </w:r>
          </w:p>
        </w:tc>
        <w:tc>
          <w:tcPr>
            <w:tcW w:w="116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1.13%</w:t>
            </w:r>
          </w:p>
        </w:tc>
        <w:tc>
          <w:tcPr>
            <w:tcW w:w="20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44,032,324.44</w:t>
            </w:r>
          </w:p>
        </w:tc>
        <w:tc>
          <w:tcPr>
            <w:tcW w:w="11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0.32%</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175.39%</w:t>
            </w:r>
          </w:p>
        </w:tc>
      </w:tr>
      <w:tr w:rsidR="00831C3C" w:rsidRPr="00831C3C">
        <w:trPr>
          <w:trHeight w:val="240"/>
        </w:trPr>
        <w:tc>
          <w:tcPr>
            <w:tcW w:w="9639"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分地区</w:t>
            </w:r>
          </w:p>
        </w:tc>
      </w:tr>
      <w:tr w:rsidR="00831C3C" w:rsidRPr="00831C3C" w:rsidTr="006F5F74">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主营业务境外销售</w:t>
            </w:r>
          </w:p>
        </w:tc>
        <w:tc>
          <w:tcPr>
            <w:tcW w:w="204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1,496,387,347.58</w:t>
            </w:r>
          </w:p>
        </w:tc>
        <w:tc>
          <w:tcPr>
            <w:tcW w:w="116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13.90%</w:t>
            </w:r>
          </w:p>
        </w:tc>
        <w:tc>
          <w:tcPr>
            <w:tcW w:w="20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1,639,315,790.08</w:t>
            </w:r>
          </w:p>
        </w:tc>
        <w:tc>
          <w:tcPr>
            <w:tcW w:w="11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12.00%</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-8.72%</w:t>
            </w:r>
          </w:p>
        </w:tc>
      </w:tr>
      <w:tr w:rsidR="00831C3C" w:rsidRPr="00831C3C" w:rsidTr="006F5F74">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主营业务境内销售</w:t>
            </w:r>
          </w:p>
        </w:tc>
        <w:tc>
          <w:tcPr>
            <w:tcW w:w="204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9,144,305,604.31</w:t>
            </w:r>
          </w:p>
        </w:tc>
        <w:tc>
          <w:tcPr>
            <w:tcW w:w="116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84.97%</w:t>
            </w:r>
          </w:p>
        </w:tc>
        <w:tc>
          <w:tcPr>
            <w:tcW w:w="20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11,980,121,211.16</w:t>
            </w:r>
          </w:p>
        </w:tc>
        <w:tc>
          <w:tcPr>
            <w:tcW w:w="11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87.68%</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-23.67%</w:t>
            </w:r>
          </w:p>
        </w:tc>
      </w:tr>
      <w:tr w:rsidR="00831C3C" w:rsidRPr="00831C3C" w:rsidTr="006F5F74">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其他业务境内销售</w:t>
            </w:r>
          </w:p>
        </w:tc>
        <w:tc>
          <w:tcPr>
            <w:tcW w:w="204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121,259,013.43</w:t>
            </w:r>
          </w:p>
        </w:tc>
        <w:tc>
          <w:tcPr>
            <w:tcW w:w="116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1.13%</w:t>
            </w:r>
          </w:p>
        </w:tc>
        <w:tc>
          <w:tcPr>
            <w:tcW w:w="20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44,032,324.44</w:t>
            </w:r>
          </w:p>
        </w:tc>
        <w:tc>
          <w:tcPr>
            <w:tcW w:w="11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0.32%</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175.39%</w:t>
            </w:r>
          </w:p>
        </w:tc>
      </w:tr>
      <w:tr w:rsidR="00831C3C" w:rsidRPr="00831C3C">
        <w:trPr>
          <w:trHeight w:val="240"/>
        </w:trPr>
        <w:tc>
          <w:tcPr>
            <w:tcW w:w="9639"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proofErr w:type="gramStart"/>
            <w:r w:rsidRPr="00831C3C">
              <w:rPr>
                <w:rFonts w:ascii="宋体" w:eastAsia="宋体" w:hAnsi="宋体" w:cs="宋体"/>
                <w:sz w:val="18"/>
                <w:szCs w:val="18"/>
              </w:rPr>
              <w:t>分销售</w:t>
            </w:r>
            <w:proofErr w:type="gramEnd"/>
            <w:r w:rsidRPr="00831C3C">
              <w:rPr>
                <w:rFonts w:ascii="宋体" w:eastAsia="宋体" w:hAnsi="宋体" w:cs="宋体"/>
                <w:sz w:val="18"/>
                <w:szCs w:val="18"/>
              </w:rPr>
              <w:t>模式</w:t>
            </w:r>
          </w:p>
        </w:tc>
      </w:tr>
      <w:tr w:rsidR="00831C3C" w:rsidRPr="00831C3C" w:rsidTr="006F5F74">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线上销售</w:t>
            </w:r>
          </w:p>
        </w:tc>
        <w:tc>
          <w:tcPr>
            <w:tcW w:w="204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122,063,862.95</w:t>
            </w:r>
          </w:p>
        </w:tc>
        <w:tc>
          <w:tcPr>
            <w:tcW w:w="116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1.13%</w:t>
            </w:r>
          </w:p>
        </w:tc>
        <w:tc>
          <w:tcPr>
            <w:tcW w:w="20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146,749,729.95</w:t>
            </w:r>
          </w:p>
        </w:tc>
        <w:tc>
          <w:tcPr>
            <w:tcW w:w="11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1.07%</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-16.82%</w:t>
            </w:r>
          </w:p>
        </w:tc>
      </w:tr>
      <w:tr w:rsidR="00831C3C" w:rsidRPr="00831C3C" w:rsidTr="006F5F74">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直营销售</w:t>
            </w:r>
          </w:p>
        </w:tc>
        <w:tc>
          <w:tcPr>
            <w:tcW w:w="204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10,639,888,102.37</w:t>
            </w:r>
          </w:p>
        </w:tc>
        <w:tc>
          <w:tcPr>
            <w:tcW w:w="116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98.87%</w:t>
            </w:r>
          </w:p>
        </w:tc>
        <w:tc>
          <w:tcPr>
            <w:tcW w:w="20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13,516,719,595.73</w:t>
            </w:r>
          </w:p>
        </w:tc>
        <w:tc>
          <w:tcPr>
            <w:tcW w:w="11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98.93%</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-21.28%</w:t>
            </w:r>
          </w:p>
        </w:tc>
      </w:tr>
    </w:tbl>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21" w:name="_Toc988910"/>
      <w:r w:rsidRPr="00831C3C">
        <w:rPr>
          <w:rFonts w:ascii="宋体" w:eastAsia="宋体" w:hAnsi="宋体" w:cs="宋体"/>
          <w:b/>
          <w:bCs/>
          <w:sz w:val="18"/>
          <w:szCs w:val="18"/>
        </w:rPr>
        <w:t>（2） 占公司营业收入或营业利润10%以上的行业、产品、地区、销售模式的情况</w:t>
      </w:r>
      <w:bookmarkEnd w:id="21"/>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适用 □不适用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公司需遵守《深圳证券交易所上市公司自律监管指引第3号——行业信息披露》中纺织服装相关业的披露要求</w:t>
      </w:r>
    </w:p>
    <w:p w:rsidR="00E23A97" w:rsidRPr="00831C3C" w:rsidRDefault="00C65FD5">
      <w:pPr>
        <w:spacing w:before="120" w:after="12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84"/>
        <w:gridCol w:w="1843"/>
        <w:gridCol w:w="1843"/>
        <w:gridCol w:w="850"/>
        <w:gridCol w:w="1276"/>
        <w:gridCol w:w="1276"/>
        <w:gridCol w:w="1167"/>
      </w:tblGrid>
      <w:tr w:rsidR="00831C3C" w:rsidRPr="00831C3C" w:rsidTr="006F5F74">
        <w:trPr>
          <w:trHeight w:val="240"/>
        </w:trPr>
        <w:tc>
          <w:tcPr>
            <w:tcW w:w="1384"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84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营业收入</w:t>
            </w:r>
          </w:p>
        </w:tc>
        <w:tc>
          <w:tcPr>
            <w:tcW w:w="184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营业成本</w:t>
            </w:r>
          </w:p>
        </w:tc>
        <w:tc>
          <w:tcPr>
            <w:tcW w:w="85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毛利率</w:t>
            </w:r>
          </w:p>
        </w:tc>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营业收入比上年同期增减</w:t>
            </w:r>
          </w:p>
        </w:tc>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营业成本比上年同期增减</w:t>
            </w:r>
          </w:p>
        </w:tc>
        <w:tc>
          <w:tcPr>
            <w:tcW w:w="116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毛利率比上年同期增减</w:t>
            </w:r>
          </w:p>
        </w:tc>
      </w:tr>
      <w:tr w:rsidR="00831C3C" w:rsidRPr="00831C3C">
        <w:trPr>
          <w:trHeight w:val="240"/>
        </w:trPr>
        <w:tc>
          <w:tcPr>
            <w:tcW w:w="9639" w:type="dxa"/>
            <w:gridSpan w:val="7"/>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分行业</w:t>
            </w:r>
          </w:p>
        </w:tc>
      </w:tr>
      <w:tr w:rsidR="00831C3C" w:rsidRPr="00831C3C" w:rsidTr="006F5F74">
        <w:trPr>
          <w:trHeight w:val="240"/>
        </w:trPr>
        <w:tc>
          <w:tcPr>
            <w:tcW w:w="138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棉纺行业（主营业务）</w:t>
            </w:r>
          </w:p>
        </w:tc>
        <w:tc>
          <w:tcPr>
            <w:tcW w:w="18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10,614,696,406.15</w:t>
            </w:r>
          </w:p>
        </w:tc>
        <w:tc>
          <w:tcPr>
            <w:tcW w:w="18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10,138,120,484.93</w:t>
            </w:r>
          </w:p>
        </w:tc>
        <w:tc>
          <w:tcPr>
            <w:tcW w:w="85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4.49%</w:t>
            </w:r>
          </w:p>
        </w:tc>
        <w:tc>
          <w:tcPr>
            <w:tcW w:w="12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-22.06%</w:t>
            </w:r>
          </w:p>
        </w:tc>
        <w:tc>
          <w:tcPr>
            <w:tcW w:w="12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-22.40%</w:t>
            </w:r>
          </w:p>
        </w:tc>
        <w:tc>
          <w:tcPr>
            <w:tcW w:w="116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0.42%</w:t>
            </w:r>
          </w:p>
        </w:tc>
      </w:tr>
      <w:tr w:rsidR="00831C3C" w:rsidRPr="00831C3C">
        <w:trPr>
          <w:trHeight w:val="240"/>
        </w:trPr>
        <w:tc>
          <w:tcPr>
            <w:tcW w:w="9639" w:type="dxa"/>
            <w:gridSpan w:val="7"/>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分产品</w:t>
            </w:r>
          </w:p>
        </w:tc>
      </w:tr>
      <w:tr w:rsidR="00831C3C" w:rsidRPr="00831C3C" w:rsidTr="006F5F74">
        <w:trPr>
          <w:trHeight w:val="240"/>
        </w:trPr>
        <w:tc>
          <w:tcPr>
            <w:tcW w:w="138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纱线</w:t>
            </w:r>
          </w:p>
        </w:tc>
        <w:tc>
          <w:tcPr>
            <w:tcW w:w="18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6,293,478,560.99</w:t>
            </w:r>
          </w:p>
        </w:tc>
        <w:tc>
          <w:tcPr>
            <w:tcW w:w="18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5,951,698,476.01</w:t>
            </w:r>
          </w:p>
        </w:tc>
        <w:tc>
          <w:tcPr>
            <w:tcW w:w="85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5.43%</w:t>
            </w:r>
          </w:p>
        </w:tc>
        <w:tc>
          <w:tcPr>
            <w:tcW w:w="12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7.69%</w:t>
            </w:r>
          </w:p>
        </w:tc>
        <w:tc>
          <w:tcPr>
            <w:tcW w:w="12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8.38%</w:t>
            </w:r>
          </w:p>
        </w:tc>
        <w:tc>
          <w:tcPr>
            <w:tcW w:w="116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-0.60%</w:t>
            </w:r>
          </w:p>
        </w:tc>
      </w:tr>
      <w:tr w:rsidR="00831C3C" w:rsidRPr="00831C3C" w:rsidTr="006F5F74">
        <w:trPr>
          <w:trHeight w:val="240"/>
        </w:trPr>
        <w:tc>
          <w:tcPr>
            <w:tcW w:w="138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网链</w:t>
            </w:r>
            <w:proofErr w:type="gramEnd"/>
          </w:p>
        </w:tc>
        <w:tc>
          <w:tcPr>
            <w:tcW w:w="18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4,085,820,675.73</w:t>
            </w:r>
          </w:p>
        </w:tc>
        <w:tc>
          <w:tcPr>
            <w:tcW w:w="18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4,015,898,422.30</w:t>
            </w:r>
          </w:p>
        </w:tc>
        <w:tc>
          <w:tcPr>
            <w:tcW w:w="85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1.71%</w:t>
            </w:r>
          </w:p>
        </w:tc>
        <w:tc>
          <w:tcPr>
            <w:tcW w:w="12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-44.79%</w:t>
            </w:r>
          </w:p>
        </w:tc>
        <w:tc>
          <w:tcPr>
            <w:tcW w:w="12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-44.82%</w:t>
            </w:r>
          </w:p>
        </w:tc>
        <w:tc>
          <w:tcPr>
            <w:tcW w:w="116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0.06%</w:t>
            </w:r>
          </w:p>
        </w:tc>
      </w:tr>
      <w:tr w:rsidR="00831C3C" w:rsidRPr="00831C3C" w:rsidTr="006F5F74">
        <w:trPr>
          <w:trHeight w:val="240"/>
        </w:trPr>
        <w:tc>
          <w:tcPr>
            <w:tcW w:w="138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袜</w:t>
            </w:r>
            <w:proofErr w:type="gramEnd"/>
            <w:r w:rsidRPr="00831C3C">
              <w:rPr>
                <w:rFonts w:ascii="宋体" w:eastAsia="宋体" w:hAnsi="宋体" w:cs="宋体"/>
                <w:sz w:val="18"/>
                <w:szCs w:val="18"/>
              </w:rPr>
              <w:t>制品</w:t>
            </w:r>
          </w:p>
        </w:tc>
        <w:tc>
          <w:tcPr>
            <w:tcW w:w="18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235,397,169.43</w:t>
            </w:r>
          </w:p>
        </w:tc>
        <w:tc>
          <w:tcPr>
            <w:tcW w:w="18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170,523,586.61</w:t>
            </w:r>
          </w:p>
        </w:tc>
        <w:tc>
          <w:tcPr>
            <w:tcW w:w="85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27.56%</w:t>
            </w:r>
          </w:p>
        </w:tc>
        <w:tc>
          <w:tcPr>
            <w:tcW w:w="12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-37.31%</w:t>
            </w:r>
          </w:p>
        </w:tc>
        <w:tc>
          <w:tcPr>
            <w:tcW w:w="12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-42.21%</w:t>
            </w:r>
          </w:p>
        </w:tc>
        <w:tc>
          <w:tcPr>
            <w:tcW w:w="116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6.15%</w:t>
            </w:r>
          </w:p>
        </w:tc>
      </w:tr>
      <w:tr w:rsidR="00831C3C" w:rsidRPr="00831C3C">
        <w:trPr>
          <w:trHeight w:val="240"/>
        </w:trPr>
        <w:tc>
          <w:tcPr>
            <w:tcW w:w="9639" w:type="dxa"/>
            <w:gridSpan w:val="7"/>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分地区</w:t>
            </w:r>
          </w:p>
        </w:tc>
      </w:tr>
      <w:tr w:rsidR="00831C3C" w:rsidRPr="00831C3C" w:rsidTr="006F5F74">
        <w:trPr>
          <w:trHeight w:val="240"/>
        </w:trPr>
        <w:tc>
          <w:tcPr>
            <w:tcW w:w="138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境外销售（主营业务）</w:t>
            </w:r>
          </w:p>
        </w:tc>
        <w:tc>
          <w:tcPr>
            <w:tcW w:w="18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1,496,387,347.58</w:t>
            </w:r>
          </w:p>
        </w:tc>
        <w:tc>
          <w:tcPr>
            <w:tcW w:w="18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1,331,702,674.41</w:t>
            </w:r>
          </w:p>
        </w:tc>
        <w:tc>
          <w:tcPr>
            <w:tcW w:w="85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11.01%</w:t>
            </w:r>
          </w:p>
        </w:tc>
        <w:tc>
          <w:tcPr>
            <w:tcW w:w="12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-8.72%</w:t>
            </w:r>
          </w:p>
        </w:tc>
        <w:tc>
          <w:tcPr>
            <w:tcW w:w="12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-9.67%</w:t>
            </w:r>
          </w:p>
        </w:tc>
        <w:tc>
          <w:tcPr>
            <w:tcW w:w="116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0.95%</w:t>
            </w:r>
          </w:p>
        </w:tc>
      </w:tr>
      <w:tr w:rsidR="00831C3C" w:rsidRPr="00831C3C" w:rsidTr="006F5F74">
        <w:trPr>
          <w:trHeight w:val="240"/>
        </w:trPr>
        <w:tc>
          <w:tcPr>
            <w:tcW w:w="138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境内销售（主营业务）</w:t>
            </w:r>
          </w:p>
        </w:tc>
        <w:tc>
          <w:tcPr>
            <w:tcW w:w="18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9,118,309,058.57</w:t>
            </w:r>
          </w:p>
        </w:tc>
        <w:tc>
          <w:tcPr>
            <w:tcW w:w="18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8,806,417,810.52</w:t>
            </w:r>
          </w:p>
        </w:tc>
        <w:tc>
          <w:tcPr>
            <w:tcW w:w="85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3.42%</w:t>
            </w:r>
          </w:p>
        </w:tc>
        <w:tc>
          <w:tcPr>
            <w:tcW w:w="12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-23.89%</w:t>
            </w:r>
          </w:p>
        </w:tc>
        <w:tc>
          <w:tcPr>
            <w:tcW w:w="12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-24.02%</w:t>
            </w:r>
          </w:p>
        </w:tc>
        <w:tc>
          <w:tcPr>
            <w:tcW w:w="116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0.17%</w:t>
            </w:r>
          </w:p>
        </w:tc>
      </w:tr>
      <w:tr w:rsidR="00831C3C" w:rsidRPr="00831C3C">
        <w:trPr>
          <w:trHeight w:val="240"/>
        </w:trPr>
        <w:tc>
          <w:tcPr>
            <w:tcW w:w="9639" w:type="dxa"/>
            <w:gridSpan w:val="7"/>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proofErr w:type="gramStart"/>
            <w:r w:rsidRPr="00831C3C">
              <w:rPr>
                <w:rFonts w:ascii="宋体" w:eastAsia="宋体" w:hAnsi="宋体" w:cs="宋体"/>
                <w:sz w:val="18"/>
                <w:szCs w:val="18"/>
              </w:rPr>
              <w:t>分销售</w:t>
            </w:r>
            <w:proofErr w:type="gramEnd"/>
            <w:r w:rsidRPr="00831C3C">
              <w:rPr>
                <w:rFonts w:ascii="宋体" w:eastAsia="宋体" w:hAnsi="宋体" w:cs="宋体"/>
                <w:sz w:val="18"/>
                <w:szCs w:val="18"/>
              </w:rPr>
              <w:t>模式</w:t>
            </w:r>
          </w:p>
        </w:tc>
      </w:tr>
      <w:tr w:rsidR="00831C3C" w:rsidRPr="00831C3C" w:rsidTr="006F5F74">
        <w:trPr>
          <w:trHeight w:val="240"/>
        </w:trPr>
        <w:tc>
          <w:tcPr>
            <w:tcW w:w="138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线上销售</w:t>
            </w:r>
          </w:p>
        </w:tc>
        <w:tc>
          <w:tcPr>
            <w:tcW w:w="18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122,063,862.95</w:t>
            </w:r>
          </w:p>
        </w:tc>
        <w:tc>
          <w:tcPr>
            <w:tcW w:w="18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68,549,658.24</w:t>
            </w:r>
          </w:p>
        </w:tc>
        <w:tc>
          <w:tcPr>
            <w:tcW w:w="85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43.84%</w:t>
            </w:r>
          </w:p>
        </w:tc>
        <w:tc>
          <w:tcPr>
            <w:tcW w:w="12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-16.82%</w:t>
            </w:r>
          </w:p>
        </w:tc>
        <w:tc>
          <w:tcPr>
            <w:tcW w:w="12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-21.04%</w:t>
            </w:r>
          </w:p>
        </w:tc>
        <w:tc>
          <w:tcPr>
            <w:tcW w:w="116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3.00%</w:t>
            </w:r>
          </w:p>
        </w:tc>
      </w:tr>
      <w:tr w:rsidR="00831C3C" w:rsidRPr="00831C3C" w:rsidTr="006F5F74">
        <w:trPr>
          <w:trHeight w:val="240"/>
        </w:trPr>
        <w:tc>
          <w:tcPr>
            <w:tcW w:w="138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直营销售</w:t>
            </w:r>
          </w:p>
        </w:tc>
        <w:tc>
          <w:tcPr>
            <w:tcW w:w="18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10,492,632,543.20</w:t>
            </w:r>
          </w:p>
        </w:tc>
        <w:tc>
          <w:tcPr>
            <w:tcW w:w="18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10,069,570,826.69</w:t>
            </w:r>
          </w:p>
        </w:tc>
        <w:tc>
          <w:tcPr>
            <w:tcW w:w="85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4.03%</w:t>
            </w:r>
          </w:p>
        </w:tc>
        <w:tc>
          <w:tcPr>
            <w:tcW w:w="12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-22.12%</w:t>
            </w:r>
          </w:p>
        </w:tc>
        <w:tc>
          <w:tcPr>
            <w:tcW w:w="12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-22.41%</w:t>
            </w:r>
          </w:p>
        </w:tc>
        <w:tc>
          <w:tcPr>
            <w:tcW w:w="116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0.36%</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公司主营业务数据统计口径在报告期发生调整的情况下，公司最近1年按报告期末口径调整后的主营业务数据</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 xml:space="preserve">□适用 </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公司是否有实体门店销售终端</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 xml:space="preserve">□是 </w:t>
      </w:r>
      <w:r w:rsidRPr="00831C3C">
        <w:rPr>
          <w:rFonts w:ascii="宋体" w:eastAsia="宋体" w:hAnsi="宋体" w:cs="宋体"/>
          <w:sz w:val="18"/>
          <w:szCs w:val="18"/>
        </w:rPr>
        <w:sym w:font="Wingdings 2" w:char="F052"/>
      </w:r>
      <w:r w:rsidRPr="00831C3C">
        <w:rPr>
          <w:rFonts w:ascii="宋体" w:eastAsia="宋体" w:hAnsi="宋体" w:cs="宋体"/>
          <w:sz w:val="18"/>
          <w:szCs w:val="18"/>
        </w:rPr>
        <w:t>否</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上市公司新增门店情况</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 xml:space="preserve">□是 </w:t>
      </w:r>
      <w:r w:rsidRPr="00831C3C">
        <w:rPr>
          <w:rFonts w:ascii="宋体" w:eastAsia="宋体" w:hAnsi="宋体" w:cs="宋体"/>
          <w:sz w:val="18"/>
          <w:szCs w:val="18"/>
        </w:rPr>
        <w:sym w:font="Wingdings 2" w:char="F052"/>
      </w:r>
      <w:r w:rsidRPr="00831C3C">
        <w:rPr>
          <w:rFonts w:ascii="宋体" w:eastAsia="宋体" w:hAnsi="宋体" w:cs="宋体"/>
          <w:sz w:val="18"/>
          <w:szCs w:val="18"/>
        </w:rPr>
        <w:t>否</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公司是否披露前五大加盟店铺情况</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 xml:space="preserve">□是 </w:t>
      </w:r>
      <w:r w:rsidRPr="00831C3C">
        <w:rPr>
          <w:rFonts w:ascii="宋体" w:eastAsia="宋体" w:hAnsi="宋体" w:cs="宋体"/>
          <w:sz w:val="18"/>
          <w:szCs w:val="18"/>
        </w:rPr>
        <w:sym w:font="Wingdings 2" w:char="F052"/>
      </w:r>
      <w:r w:rsidRPr="00831C3C">
        <w:rPr>
          <w:rFonts w:ascii="宋体" w:eastAsia="宋体" w:hAnsi="宋体" w:cs="宋体"/>
          <w:sz w:val="18"/>
          <w:szCs w:val="18"/>
        </w:rPr>
        <w:t>否</w:t>
      </w:r>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22" w:name="_Toc988911"/>
      <w:r w:rsidRPr="00831C3C">
        <w:rPr>
          <w:rFonts w:ascii="宋体" w:eastAsia="宋体" w:hAnsi="宋体" w:cs="宋体"/>
          <w:b/>
          <w:bCs/>
          <w:sz w:val="18"/>
          <w:szCs w:val="18"/>
        </w:rPr>
        <w:lastRenderedPageBreak/>
        <w:t>（3） 公司实物销售收入是否大于劳务收入</w:t>
      </w:r>
      <w:bookmarkEnd w:id="22"/>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是 □否</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shd w:val="pct12" w:color="auto" w:fill="auto"/>
        <w:tblLayout w:type="fixed"/>
        <w:tblLook w:val="0000" w:firstRow="0" w:lastRow="0" w:firstColumn="0" w:lastColumn="0" w:noHBand="0" w:noVBand="0"/>
      </w:tblPr>
      <w:tblGrid>
        <w:gridCol w:w="1606"/>
        <w:gridCol w:w="1606"/>
        <w:gridCol w:w="1606"/>
        <w:gridCol w:w="1607"/>
        <w:gridCol w:w="1607"/>
        <w:gridCol w:w="1607"/>
      </w:tblGrid>
      <w:tr w:rsidR="00831C3C" w:rsidRPr="00831C3C" w:rsidTr="00C65FD5">
        <w:trPr>
          <w:trHeight w:val="240"/>
        </w:trPr>
        <w:tc>
          <w:tcPr>
            <w:tcW w:w="1606" w:type="dxa"/>
            <w:tcBorders>
              <w:top w:val="single" w:sz="2" w:space="0" w:color="auto"/>
              <w:left w:val="single" w:sz="2" w:space="0" w:color="auto"/>
              <w:bottom w:val="single" w:sz="2" w:space="0" w:color="auto"/>
              <w:right w:val="single" w:sz="2" w:space="0" w:color="auto"/>
            </w:tcBorders>
            <w:shd w:val="pct12" w:color="auto" w:fill="auto"/>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行业分类</w:t>
            </w:r>
          </w:p>
        </w:tc>
        <w:tc>
          <w:tcPr>
            <w:tcW w:w="1606" w:type="dxa"/>
            <w:tcBorders>
              <w:top w:val="single" w:sz="2" w:space="0" w:color="auto"/>
              <w:left w:val="single" w:sz="2" w:space="0" w:color="auto"/>
              <w:bottom w:val="single" w:sz="2" w:space="0" w:color="auto"/>
              <w:right w:val="single" w:sz="2" w:space="0" w:color="auto"/>
            </w:tcBorders>
            <w:shd w:val="pct12" w:color="auto" w:fill="auto"/>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1606" w:type="dxa"/>
            <w:tcBorders>
              <w:top w:val="single" w:sz="2" w:space="0" w:color="auto"/>
              <w:left w:val="single" w:sz="2" w:space="0" w:color="auto"/>
              <w:bottom w:val="single" w:sz="2" w:space="0" w:color="auto"/>
              <w:right w:val="single" w:sz="2" w:space="0" w:color="auto"/>
            </w:tcBorders>
            <w:shd w:val="pct12" w:color="auto" w:fill="auto"/>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单位</w:t>
            </w:r>
          </w:p>
        </w:tc>
        <w:tc>
          <w:tcPr>
            <w:tcW w:w="1607" w:type="dxa"/>
            <w:tcBorders>
              <w:top w:val="single" w:sz="2" w:space="0" w:color="auto"/>
              <w:left w:val="single" w:sz="2" w:space="0" w:color="auto"/>
              <w:bottom w:val="single" w:sz="2" w:space="0" w:color="auto"/>
              <w:right w:val="single" w:sz="2" w:space="0" w:color="auto"/>
            </w:tcBorders>
            <w:shd w:val="pct12" w:color="auto" w:fill="auto"/>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2024年</w:t>
            </w:r>
          </w:p>
        </w:tc>
        <w:tc>
          <w:tcPr>
            <w:tcW w:w="1607" w:type="dxa"/>
            <w:tcBorders>
              <w:top w:val="single" w:sz="2" w:space="0" w:color="auto"/>
              <w:left w:val="single" w:sz="2" w:space="0" w:color="auto"/>
              <w:bottom w:val="single" w:sz="2" w:space="0" w:color="auto"/>
              <w:right w:val="single" w:sz="2" w:space="0" w:color="auto"/>
            </w:tcBorders>
            <w:shd w:val="pct12" w:color="auto" w:fill="auto"/>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2023年</w:t>
            </w:r>
          </w:p>
        </w:tc>
        <w:tc>
          <w:tcPr>
            <w:tcW w:w="1607" w:type="dxa"/>
            <w:tcBorders>
              <w:top w:val="single" w:sz="2" w:space="0" w:color="auto"/>
              <w:left w:val="single" w:sz="2" w:space="0" w:color="auto"/>
              <w:bottom w:val="single" w:sz="2" w:space="0" w:color="auto"/>
              <w:right w:val="single" w:sz="2" w:space="0" w:color="auto"/>
            </w:tcBorders>
            <w:shd w:val="pct12" w:color="auto" w:fill="auto"/>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同比增减</w:t>
            </w:r>
          </w:p>
        </w:tc>
      </w:tr>
      <w:tr w:rsidR="00831C3C" w:rsidRPr="00831C3C" w:rsidTr="00617E66">
        <w:trPr>
          <w:trHeight w:val="240"/>
        </w:trPr>
        <w:tc>
          <w:tcPr>
            <w:tcW w:w="1606" w:type="dxa"/>
            <w:vMerge w:val="restart"/>
            <w:tcBorders>
              <w:top w:val="single" w:sz="2" w:space="0" w:color="auto"/>
              <w:left w:val="single" w:sz="2" w:space="0" w:color="auto"/>
              <w:bottom w:val="single" w:sz="2" w:space="0" w:color="auto"/>
              <w:right w:val="single" w:sz="2" w:space="0" w:color="auto"/>
            </w:tcBorders>
            <w:shd w:val="pct12" w:color="auto" w:fill="auto"/>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 纺织行业</w:t>
            </w:r>
          </w:p>
        </w:tc>
        <w:tc>
          <w:tcPr>
            <w:tcW w:w="1606" w:type="dxa"/>
            <w:tcBorders>
              <w:top w:val="single" w:sz="2" w:space="0" w:color="auto"/>
              <w:left w:val="single" w:sz="2" w:space="0" w:color="auto"/>
              <w:bottom w:val="single" w:sz="2" w:space="0" w:color="auto"/>
              <w:right w:val="single" w:sz="2" w:space="0" w:color="auto"/>
            </w:tcBorders>
            <w:shd w:val="pct12" w:color="auto" w:fill="auto"/>
            <w:vAlign w:val="center"/>
          </w:tcPr>
          <w:p w:rsidR="00E23A97" w:rsidRPr="00831C3C" w:rsidRDefault="00C65FD5" w:rsidP="00617E66">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销售量</w:t>
            </w:r>
          </w:p>
        </w:tc>
        <w:tc>
          <w:tcPr>
            <w:tcW w:w="1606" w:type="dxa"/>
            <w:tcBorders>
              <w:top w:val="single" w:sz="2" w:space="0" w:color="auto"/>
              <w:left w:val="single" w:sz="2" w:space="0" w:color="auto"/>
              <w:bottom w:val="single" w:sz="2" w:space="0" w:color="auto"/>
              <w:right w:val="single" w:sz="2" w:space="0" w:color="auto"/>
            </w:tcBorders>
            <w:shd w:val="clear" w:color="auto" w:fill="auto"/>
            <w:vAlign w:val="center"/>
          </w:tcPr>
          <w:p w:rsidR="00E23A97" w:rsidRPr="00831C3C" w:rsidRDefault="00C65FD5" w:rsidP="00617E66">
            <w:pPr>
              <w:spacing w:line="240" w:lineRule="exact"/>
              <w:jc w:val="center"/>
              <w:rPr>
                <w:rFonts w:ascii="宋体" w:eastAsia="宋体" w:hAnsi="宋体" w:cs="宋体"/>
                <w:sz w:val="18"/>
                <w:szCs w:val="18"/>
              </w:rPr>
            </w:pPr>
            <w:r w:rsidRPr="00831C3C">
              <w:rPr>
                <w:rFonts w:ascii="宋体" w:eastAsia="宋体" w:hAnsi="宋体" w:cs="宋体"/>
                <w:sz w:val="18"/>
                <w:szCs w:val="18"/>
              </w:rPr>
              <w:t>吨</w:t>
            </w:r>
          </w:p>
        </w:tc>
        <w:tc>
          <w:tcPr>
            <w:tcW w:w="1607" w:type="dxa"/>
            <w:tcBorders>
              <w:top w:val="single" w:sz="2" w:space="0" w:color="auto"/>
              <w:left w:val="single" w:sz="2" w:space="0" w:color="auto"/>
              <w:bottom w:val="single" w:sz="2" w:space="0" w:color="auto"/>
              <w:right w:val="single" w:sz="2" w:space="0" w:color="auto"/>
            </w:tcBorders>
            <w:shd w:val="clear" w:color="auto" w:fill="auto"/>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263,546.00</w:t>
            </w:r>
          </w:p>
        </w:tc>
        <w:tc>
          <w:tcPr>
            <w:tcW w:w="1607" w:type="dxa"/>
            <w:tcBorders>
              <w:top w:val="single" w:sz="2" w:space="0" w:color="auto"/>
              <w:left w:val="single" w:sz="2" w:space="0" w:color="auto"/>
              <w:bottom w:val="single" w:sz="2" w:space="0" w:color="auto"/>
              <w:right w:val="single" w:sz="2" w:space="0" w:color="auto"/>
            </w:tcBorders>
            <w:shd w:val="clear" w:color="auto" w:fill="auto"/>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230,144.41</w:t>
            </w:r>
          </w:p>
        </w:tc>
        <w:tc>
          <w:tcPr>
            <w:tcW w:w="1607" w:type="dxa"/>
            <w:tcBorders>
              <w:top w:val="single" w:sz="2" w:space="0" w:color="auto"/>
              <w:left w:val="single" w:sz="2" w:space="0" w:color="auto"/>
              <w:bottom w:val="single" w:sz="2" w:space="0" w:color="auto"/>
              <w:right w:val="single" w:sz="2" w:space="0" w:color="auto"/>
            </w:tcBorders>
            <w:shd w:val="clear" w:color="auto" w:fill="auto"/>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14.51%</w:t>
            </w:r>
          </w:p>
        </w:tc>
      </w:tr>
      <w:tr w:rsidR="00831C3C" w:rsidRPr="00831C3C" w:rsidTr="00617E66">
        <w:trPr>
          <w:trHeight w:val="240"/>
        </w:trPr>
        <w:tc>
          <w:tcPr>
            <w:tcW w:w="1606" w:type="dxa"/>
            <w:vMerge/>
            <w:tcBorders>
              <w:top w:val="single" w:sz="2" w:space="0" w:color="auto"/>
              <w:left w:val="single" w:sz="2" w:space="0" w:color="auto"/>
              <w:bottom w:val="single" w:sz="2" w:space="0" w:color="auto"/>
              <w:right w:val="single" w:sz="2" w:space="0" w:color="auto"/>
            </w:tcBorders>
            <w:shd w:val="pct12" w:color="auto" w:fill="auto"/>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shd w:val="pct12" w:color="auto" w:fill="auto"/>
            <w:vAlign w:val="center"/>
          </w:tcPr>
          <w:p w:rsidR="00E23A97" w:rsidRPr="00831C3C" w:rsidRDefault="00C65FD5" w:rsidP="00617E66">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生产量</w:t>
            </w:r>
          </w:p>
        </w:tc>
        <w:tc>
          <w:tcPr>
            <w:tcW w:w="1606" w:type="dxa"/>
            <w:tcBorders>
              <w:top w:val="single" w:sz="2" w:space="0" w:color="auto"/>
              <w:left w:val="single" w:sz="2" w:space="0" w:color="auto"/>
              <w:bottom w:val="single" w:sz="2" w:space="0" w:color="auto"/>
              <w:right w:val="single" w:sz="2" w:space="0" w:color="auto"/>
            </w:tcBorders>
            <w:shd w:val="clear" w:color="auto" w:fill="auto"/>
            <w:vAlign w:val="center"/>
          </w:tcPr>
          <w:p w:rsidR="00E23A97" w:rsidRPr="00831C3C" w:rsidRDefault="00C65FD5" w:rsidP="00617E66">
            <w:pPr>
              <w:spacing w:line="240" w:lineRule="exact"/>
              <w:jc w:val="center"/>
              <w:rPr>
                <w:rFonts w:ascii="宋体" w:eastAsia="宋体" w:hAnsi="宋体" w:cs="宋体"/>
                <w:sz w:val="18"/>
                <w:szCs w:val="18"/>
              </w:rPr>
            </w:pPr>
            <w:r w:rsidRPr="00831C3C">
              <w:rPr>
                <w:rFonts w:ascii="宋体" w:eastAsia="宋体" w:hAnsi="宋体" w:cs="宋体"/>
                <w:sz w:val="18"/>
                <w:szCs w:val="18"/>
              </w:rPr>
              <w:t>吨</w:t>
            </w:r>
          </w:p>
        </w:tc>
        <w:tc>
          <w:tcPr>
            <w:tcW w:w="1607" w:type="dxa"/>
            <w:tcBorders>
              <w:top w:val="single" w:sz="2" w:space="0" w:color="auto"/>
              <w:left w:val="single" w:sz="2" w:space="0" w:color="auto"/>
              <w:bottom w:val="single" w:sz="2" w:space="0" w:color="auto"/>
              <w:right w:val="single" w:sz="2" w:space="0" w:color="auto"/>
            </w:tcBorders>
            <w:shd w:val="clear" w:color="auto" w:fill="auto"/>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256,797.55</w:t>
            </w:r>
          </w:p>
        </w:tc>
        <w:tc>
          <w:tcPr>
            <w:tcW w:w="1607" w:type="dxa"/>
            <w:tcBorders>
              <w:top w:val="single" w:sz="2" w:space="0" w:color="auto"/>
              <w:left w:val="single" w:sz="2" w:space="0" w:color="auto"/>
              <w:bottom w:val="single" w:sz="2" w:space="0" w:color="auto"/>
              <w:right w:val="single" w:sz="2" w:space="0" w:color="auto"/>
            </w:tcBorders>
            <w:shd w:val="clear" w:color="auto" w:fill="auto"/>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236,375.46</w:t>
            </w:r>
          </w:p>
        </w:tc>
        <w:tc>
          <w:tcPr>
            <w:tcW w:w="1607" w:type="dxa"/>
            <w:tcBorders>
              <w:top w:val="single" w:sz="2" w:space="0" w:color="auto"/>
              <w:left w:val="single" w:sz="2" w:space="0" w:color="auto"/>
              <w:bottom w:val="single" w:sz="2" w:space="0" w:color="auto"/>
              <w:right w:val="single" w:sz="2" w:space="0" w:color="auto"/>
            </w:tcBorders>
            <w:shd w:val="clear" w:color="auto" w:fill="auto"/>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8.64%</w:t>
            </w:r>
          </w:p>
        </w:tc>
      </w:tr>
      <w:tr w:rsidR="00831C3C" w:rsidRPr="00831C3C" w:rsidTr="00617E66">
        <w:trPr>
          <w:trHeight w:val="75"/>
        </w:trPr>
        <w:tc>
          <w:tcPr>
            <w:tcW w:w="1606" w:type="dxa"/>
            <w:vMerge/>
            <w:tcBorders>
              <w:top w:val="single" w:sz="2" w:space="0" w:color="auto"/>
              <w:left w:val="single" w:sz="2" w:space="0" w:color="auto"/>
              <w:bottom w:val="single" w:sz="2" w:space="0" w:color="auto"/>
              <w:right w:val="single" w:sz="2" w:space="0" w:color="auto"/>
            </w:tcBorders>
            <w:shd w:val="pct12" w:color="auto" w:fill="auto"/>
            <w:vAlign w:val="center"/>
          </w:tcPr>
          <w:p w:rsidR="006F5F74" w:rsidRPr="00831C3C" w:rsidRDefault="006F5F74">
            <w:pPr>
              <w:spacing w:line="240" w:lineRule="exact"/>
              <w:rPr>
                <w:rFonts w:ascii="宋体" w:eastAsia="宋体" w:hAnsi="宋体" w:cs="宋体"/>
                <w:sz w:val="18"/>
                <w:szCs w:val="18"/>
              </w:rPr>
            </w:pPr>
          </w:p>
        </w:tc>
        <w:tc>
          <w:tcPr>
            <w:tcW w:w="1606" w:type="dxa"/>
            <w:tcBorders>
              <w:top w:val="single" w:sz="2" w:space="0" w:color="auto"/>
              <w:left w:val="single" w:sz="2" w:space="0" w:color="auto"/>
              <w:right w:val="single" w:sz="2" w:space="0" w:color="auto"/>
            </w:tcBorders>
            <w:shd w:val="pct12" w:color="auto" w:fill="auto"/>
            <w:vAlign w:val="center"/>
          </w:tcPr>
          <w:p w:rsidR="006F5F74" w:rsidRPr="00831C3C" w:rsidRDefault="006F5F74" w:rsidP="00617E66">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库存量</w:t>
            </w:r>
          </w:p>
        </w:tc>
        <w:tc>
          <w:tcPr>
            <w:tcW w:w="1606" w:type="dxa"/>
            <w:tcBorders>
              <w:top w:val="single" w:sz="2" w:space="0" w:color="auto"/>
              <w:left w:val="single" w:sz="2" w:space="0" w:color="auto"/>
              <w:bottom w:val="single" w:sz="2" w:space="0" w:color="auto"/>
              <w:right w:val="single" w:sz="2" w:space="0" w:color="auto"/>
            </w:tcBorders>
            <w:shd w:val="clear" w:color="auto" w:fill="auto"/>
            <w:vAlign w:val="center"/>
          </w:tcPr>
          <w:p w:rsidR="006F5F74" w:rsidRPr="00831C3C" w:rsidRDefault="006F5F74" w:rsidP="00617E66">
            <w:pPr>
              <w:spacing w:line="240" w:lineRule="exact"/>
              <w:jc w:val="center"/>
              <w:rPr>
                <w:rFonts w:ascii="宋体" w:eastAsia="宋体" w:hAnsi="宋体" w:cs="宋体"/>
                <w:sz w:val="18"/>
                <w:szCs w:val="18"/>
              </w:rPr>
            </w:pPr>
            <w:r w:rsidRPr="00831C3C">
              <w:rPr>
                <w:rFonts w:ascii="宋体" w:eastAsia="宋体" w:hAnsi="宋体" w:cs="宋体"/>
                <w:sz w:val="18"/>
                <w:szCs w:val="18"/>
              </w:rPr>
              <w:t>吨</w:t>
            </w:r>
          </w:p>
        </w:tc>
        <w:tc>
          <w:tcPr>
            <w:tcW w:w="1607" w:type="dxa"/>
            <w:tcBorders>
              <w:top w:val="single" w:sz="2" w:space="0" w:color="auto"/>
              <w:left w:val="single" w:sz="2" w:space="0" w:color="auto"/>
              <w:bottom w:val="single" w:sz="2" w:space="0" w:color="auto"/>
              <w:right w:val="single" w:sz="2" w:space="0" w:color="auto"/>
            </w:tcBorders>
            <w:shd w:val="clear" w:color="auto" w:fill="auto"/>
            <w:vAlign w:val="center"/>
          </w:tcPr>
          <w:p w:rsidR="006F5F74" w:rsidRPr="00831C3C" w:rsidRDefault="006F5F74">
            <w:pPr>
              <w:spacing w:line="240" w:lineRule="exact"/>
              <w:jc w:val="right"/>
              <w:rPr>
                <w:rFonts w:ascii="宋体" w:eastAsia="宋体" w:hAnsi="宋体" w:cs="宋体"/>
                <w:sz w:val="18"/>
                <w:szCs w:val="18"/>
              </w:rPr>
            </w:pPr>
            <w:r w:rsidRPr="00831C3C">
              <w:rPr>
                <w:rFonts w:ascii="宋体" w:eastAsia="宋体" w:hAnsi="宋体" w:cs="宋体"/>
                <w:sz w:val="18"/>
                <w:szCs w:val="18"/>
              </w:rPr>
              <w:t>60,204.00</w:t>
            </w:r>
          </w:p>
        </w:tc>
        <w:tc>
          <w:tcPr>
            <w:tcW w:w="1607" w:type="dxa"/>
            <w:tcBorders>
              <w:top w:val="single" w:sz="2" w:space="0" w:color="auto"/>
              <w:left w:val="single" w:sz="2" w:space="0" w:color="auto"/>
              <w:bottom w:val="single" w:sz="2" w:space="0" w:color="auto"/>
              <w:right w:val="single" w:sz="2" w:space="0" w:color="auto"/>
            </w:tcBorders>
            <w:shd w:val="clear" w:color="auto" w:fill="auto"/>
            <w:vAlign w:val="center"/>
          </w:tcPr>
          <w:p w:rsidR="006F5F74" w:rsidRPr="00831C3C" w:rsidRDefault="006F5F74">
            <w:pPr>
              <w:spacing w:line="240" w:lineRule="exact"/>
              <w:jc w:val="right"/>
              <w:rPr>
                <w:rFonts w:ascii="宋体" w:eastAsia="宋体" w:hAnsi="宋体" w:cs="宋体"/>
                <w:sz w:val="18"/>
                <w:szCs w:val="18"/>
              </w:rPr>
            </w:pPr>
            <w:r w:rsidRPr="00831C3C">
              <w:rPr>
                <w:rFonts w:ascii="宋体" w:eastAsia="宋体" w:hAnsi="宋体" w:cs="宋体"/>
                <w:sz w:val="18"/>
                <w:szCs w:val="18"/>
              </w:rPr>
              <w:t>66,952.45</w:t>
            </w:r>
          </w:p>
        </w:tc>
        <w:tc>
          <w:tcPr>
            <w:tcW w:w="1607" w:type="dxa"/>
            <w:tcBorders>
              <w:top w:val="single" w:sz="2" w:space="0" w:color="auto"/>
              <w:left w:val="single" w:sz="2" w:space="0" w:color="auto"/>
              <w:bottom w:val="single" w:sz="2" w:space="0" w:color="auto"/>
              <w:right w:val="single" w:sz="2" w:space="0" w:color="auto"/>
            </w:tcBorders>
            <w:shd w:val="clear" w:color="auto" w:fill="auto"/>
            <w:vAlign w:val="center"/>
          </w:tcPr>
          <w:p w:rsidR="006F5F74" w:rsidRPr="00831C3C" w:rsidRDefault="006F5F74">
            <w:pPr>
              <w:spacing w:line="240" w:lineRule="exact"/>
              <w:jc w:val="right"/>
              <w:rPr>
                <w:rFonts w:ascii="宋体" w:eastAsia="宋体" w:hAnsi="宋体" w:cs="宋体"/>
                <w:sz w:val="18"/>
                <w:szCs w:val="18"/>
              </w:rPr>
            </w:pPr>
            <w:r w:rsidRPr="00831C3C">
              <w:rPr>
                <w:rFonts w:ascii="宋体" w:eastAsia="宋体" w:hAnsi="宋体" w:cs="宋体"/>
                <w:sz w:val="18"/>
                <w:szCs w:val="18"/>
              </w:rPr>
              <w:t>-10.08%</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相关数据同比发生变动30%以上的原因说明</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 xml:space="preserve">□适用 </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23" w:name="_Toc988912"/>
      <w:r w:rsidRPr="00831C3C">
        <w:rPr>
          <w:rFonts w:ascii="宋体" w:eastAsia="宋体" w:hAnsi="宋体" w:cs="宋体"/>
          <w:b/>
          <w:bCs/>
          <w:sz w:val="18"/>
          <w:szCs w:val="18"/>
        </w:rPr>
        <w:t>（4） 公司已签订的重大销售合同、重大采购合同截至本报告期的履行情况</w:t>
      </w:r>
      <w:bookmarkEnd w:id="23"/>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 xml:space="preserve">□适用 </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24" w:name="_Toc988913"/>
      <w:r w:rsidRPr="00831C3C">
        <w:rPr>
          <w:rFonts w:ascii="宋体" w:eastAsia="宋体" w:hAnsi="宋体" w:cs="宋体"/>
          <w:b/>
          <w:bCs/>
          <w:sz w:val="18"/>
          <w:szCs w:val="18"/>
        </w:rPr>
        <w:t>（5） 营业成本构成</w:t>
      </w:r>
      <w:bookmarkEnd w:id="24"/>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行业和产品分类</w:t>
      </w:r>
    </w:p>
    <w:p w:rsidR="00E23A97" w:rsidRPr="00831C3C" w:rsidRDefault="00C65FD5">
      <w:pPr>
        <w:spacing w:before="120" w:after="12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242"/>
        <w:gridCol w:w="1512"/>
        <w:gridCol w:w="1749"/>
        <w:gridCol w:w="1134"/>
        <w:gridCol w:w="1842"/>
        <w:gridCol w:w="1134"/>
        <w:gridCol w:w="1026"/>
      </w:tblGrid>
      <w:tr w:rsidR="00831C3C" w:rsidRPr="00831C3C" w:rsidTr="00617E66">
        <w:trPr>
          <w:trHeight w:val="240"/>
        </w:trPr>
        <w:tc>
          <w:tcPr>
            <w:tcW w:w="1242"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行业分类</w:t>
            </w:r>
          </w:p>
        </w:tc>
        <w:tc>
          <w:tcPr>
            <w:tcW w:w="1512"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288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2024年</w:t>
            </w:r>
          </w:p>
        </w:tc>
        <w:tc>
          <w:tcPr>
            <w:tcW w:w="297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2023年</w:t>
            </w:r>
          </w:p>
        </w:tc>
        <w:tc>
          <w:tcPr>
            <w:tcW w:w="102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同比增减</w:t>
            </w:r>
          </w:p>
        </w:tc>
      </w:tr>
      <w:tr w:rsidR="00831C3C" w:rsidRPr="00831C3C" w:rsidTr="00617E66">
        <w:trPr>
          <w:trHeight w:val="240"/>
        </w:trPr>
        <w:tc>
          <w:tcPr>
            <w:tcW w:w="1242"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512"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74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金额</w:t>
            </w:r>
          </w:p>
        </w:tc>
        <w:tc>
          <w:tcPr>
            <w:tcW w:w="1134"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占营业成本比重</w:t>
            </w:r>
          </w:p>
        </w:tc>
        <w:tc>
          <w:tcPr>
            <w:tcW w:w="184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金额</w:t>
            </w:r>
          </w:p>
        </w:tc>
        <w:tc>
          <w:tcPr>
            <w:tcW w:w="1134"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占营业成本比重</w:t>
            </w:r>
          </w:p>
        </w:tc>
        <w:tc>
          <w:tcPr>
            <w:tcW w:w="102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rsidTr="00617E66">
        <w:trPr>
          <w:trHeight w:val="240"/>
        </w:trPr>
        <w:tc>
          <w:tcPr>
            <w:tcW w:w="12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棉纺行业</w:t>
            </w:r>
          </w:p>
        </w:tc>
        <w:tc>
          <w:tcPr>
            <w:tcW w:w="151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直接材料</w:t>
            </w:r>
          </w:p>
        </w:tc>
        <w:tc>
          <w:tcPr>
            <w:tcW w:w="174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8,151,166,074.14</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80.24%</w:t>
            </w:r>
          </w:p>
        </w:tc>
        <w:tc>
          <w:tcPr>
            <w:tcW w:w="18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11,140,955,583.96</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85.28%</w:t>
            </w:r>
          </w:p>
        </w:tc>
        <w:tc>
          <w:tcPr>
            <w:tcW w:w="102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-26.84%</w:t>
            </w:r>
          </w:p>
        </w:tc>
      </w:tr>
      <w:tr w:rsidR="00831C3C" w:rsidRPr="00831C3C" w:rsidTr="00617E66">
        <w:trPr>
          <w:trHeight w:val="240"/>
        </w:trPr>
        <w:tc>
          <w:tcPr>
            <w:tcW w:w="12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棉纺行业</w:t>
            </w:r>
          </w:p>
        </w:tc>
        <w:tc>
          <w:tcPr>
            <w:tcW w:w="151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直接人工</w:t>
            </w:r>
          </w:p>
        </w:tc>
        <w:tc>
          <w:tcPr>
            <w:tcW w:w="174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786,658,120.71</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7.74%</w:t>
            </w:r>
          </w:p>
        </w:tc>
        <w:tc>
          <w:tcPr>
            <w:tcW w:w="18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664,365,203.32</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5.09%</w:t>
            </w:r>
          </w:p>
        </w:tc>
        <w:tc>
          <w:tcPr>
            <w:tcW w:w="102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18.41%</w:t>
            </w:r>
          </w:p>
        </w:tc>
      </w:tr>
      <w:tr w:rsidR="00831C3C" w:rsidRPr="00831C3C" w:rsidTr="00617E66">
        <w:trPr>
          <w:trHeight w:val="240"/>
        </w:trPr>
        <w:tc>
          <w:tcPr>
            <w:tcW w:w="12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棉纺行业</w:t>
            </w:r>
          </w:p>
        </w:tc>
        <w:tc>
          <w:tcPr>
            <w:tcW w:w="151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折旧</w:t>
            </w:r>
          </w:p>
        </w:tc>
        <w:tc>
          <w:tcPr>
            <w:tcW w:w="174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440,841,525.02</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4.34%</w:t>
            </w:r>
          </w:p>
        </w:tc>
        <w:tc>
          <w:tcPr>
            <w:tcW w:w="18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416,526,013.98</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3.19%</w:t>
            </w:r>
          </w:p>
        </w:tc>
        <w:tc>
          <w:tcPr>
            <w:tcW w:w="102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5.84%</w:t>
            </w:r>
          </w:p>
        </w:tc>
      </w:tr>
      <w:tr w:rsidR="00831C3C" w:rsidRPr="00831C3C" w:rsidTr="00617E66">
        <w:trPr>
          <w:trHeight w:val="240"/>
        </w:trPr>
        <w:tc>
          <w:tcPr>
            <w:tcW w:w="12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棉纺行业</w:t>
            </w:r>
          </w:p>
        </w:tc>
        <w:tc>
          <w:tcPr>
            <w:tcW w:w="151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能源和动力</w:t>
            </w:r>
          </w:p>
        </w:tc>
        <w:tc>
          <w:tcPr>
            <w:tcW w:w="174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420,008,241.48</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4.13%</w:t>
            </w:r>
          </w:p>
        </w:tc>
        <w:tc>
          <w:tcPr>
            <w:tcW w:w="18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489,237,970.47</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3.74%</w:t>
            </w:r>
          </w:p>
        </w:tc>
        <w:tc>
          <w:tcPr>
            <w:tcW w:w="102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-14.15%</w:t>
            </w:r>
          </w:p>
        </w:tc>
      </w:tr>
      <w:tr w:rsidR="00831C3C" w:rsidRPr="00831C3C" w:rsidTr="00617E66">
        <w:trPr>
          <w:trHeight w:val="240"/>
        </w:trPr>
        <w:tc>
          <w:tcPr>
            <w:tcW w:w="12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棉纺行业</w:t>
            </w:r>
          </w:p>
        </w:tc>
        <w:tc>
          <w:tcPr>
            <w:tcW w:w="151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销售运费及佣金</w:t>
            </w:r>
          </w:p>
        </w:tc>
        <w:tc>
          <w:tcPr>
            <w:tcW w:w="174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49,713,071.36</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0.49%</w:t>
            </w:r>
          </w:p>
        </w:tc>
        <w:tc>
          <w:tcPr>
            <w:tcW w:w="18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164,349,300.90</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1.26%</w:t>
            </w:r>
          </w:p>
        </w:tc>
        <w:tc>
          <w:tcPr>
            <w:tcW w:w="102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-69.75%</w:t>
            </w:r>
          </w:p>
        </w:tc>
      </w:tr>
      <w:tr w:rsidR="00831C3C" w:rsidRPr="00831C3C" w:rsidTr="00617E66">
        <w:trPr>
          <w:trHeight w:val="240"/>
        </w:trPr>
        <w:tc>
          <w:tcPr>
            <w:tcW w:w="12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棉纺行业</w:t>
            </w:r>
          </w:p>
        </w:tc>
        <w:tc>
          <w:tcPr>
            <w:tcW w:w="151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其他</w:t>
            </w:r>
          </w:p>
        </w:tc>
        <w:tc>
          <w:tcPr>
            <w:tcW w:w="174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289,733,452.23</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2.85%</w:t>
            </w:r>
          </w:p>
        </w:tc>
        <w:tc>
          <w:tcPr>
            <w:tcW w:w="18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189,234,953.17</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1.45%</w:t>
            </w:r>
          </w:p>
        </w:tc>
        <w:tc>
          <w:tcPr>
            <w:tcW w:w="102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53.11%</w:t>
            </w:r>
          </w:p>
        </w:tc>
      </w:tr>
      <w:tr w:rsidR="00831C3C" w:rsidRPr="00831C3C" w:rsidTr="00617E66">
        <w:trPr>
          <w:trHeight w:val="240"/>
        </w:trPr>
        <w:tc>
          <w:tcPr>
            <w:tcW w:w="12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算力</w:t>
            </w:r>
            <w:proofErr w:type="gramEnd"/>
          </w:p>
        </w:tc>
        <w:tc>
          <w:tcPr>
            <w:tcW w:w="151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算力</w:t>
            </w:r>
            <w:proofErr w:type="gramEnd"/>
          </w:p>
        </w:tc>
        <w:tc>
          <w:tcPr>
            <w:tcW w:w="174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21,431,435.11</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0.21%</w:t>
            </w:r>
          </w:p>
        </w:tc>
        <w:tc>
          <w:tcPr>
            <w:tcW w:w="184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2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bl>
    <w:p w:rsidR="00E23A97" w:rsidRPr="00831C3C" w:rsidRDefault="00C65FD5">
      <w:pPr>
        <w:spacing w:before="120" w:after="12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242"/>
        <w:gridCol w:w="1512"/>
        <w:gridCol w:w="1749"/>
        <w:gridCol w:w="1005"/>
        <w:gridCol w:w="1971"/>
        <w:gridCol w:w="1134"/>
        <w:gridCol w:w="1026"/>
      </w:tblGrid>
      <w:tr w:rsidR="00831C3C" w:rsidRPr="00831C3C" w:rsidTr="00617E66">
        <w:trPr>
          <w:trHeight w:val="240"/>
        </w:trPr>
        <w:tc>
          <w:tcPr>
            <w:tcW w:w="1242"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Theme="minorEastAsia" w:hAnsiTheme="minorEastAsia" w:cs="宋体"/>
                <w:sz w:val="18"/>
                <w:szCs w:val="18"/>
              </w:rPr>
            </w:pPr>
            <w:r w:rsidRPr="00831C3C">
              <w:rPr>
                <w:rFonts w:asciiTheme="minorEastAsia" w:hAnsiTheme="minorEastAsia" w:cs="宋体"/>
                <w:sz w:val="18"/>
                <w:szCs w:val="18"/>
              </w:rPr>
              <w:t>产品分类</w:t>
            </w:r>
          </w:p>
        </w:tc>
        <w:tc>
          <w:tcPr>
            <w:tcW w:w="1512"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Theme="minorEastAsia" w:hAnsiTheme="minorEastAsia" w:cs="宋体"/>
                <w:sz w:val="18"/>
                <w:szCs w:val="18"/>
              </w:rPr>
            </w:pPr>
            <w:r w:rsidRPr="00831C3C">
              <w:rPr>
                <w:rFonts w:asciiTheme="minorEastAsia" w:hAnsiTheme="minorEastAsia" w:cs="宋体"/>
                <w:sz w:val="18"/>
                <w:szCs w:val="18"/>
              </w:rPr>
              <w:t>项目</w:t>
            </w:r>
          </w:p>
        </w:tc>
        <w:tc>
          <w:tcPr>
            <w:tcW w:w="275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Theme="minorEastAsia" w:hAnsiTheme="minorEastAsia" w:cs="宋体"/>
                <w:sz w:val="18"/>
                <w:szCs w:val="18"/>
              </w:rPr>
            </w:pPr>
            <w:r w:rsidRPr="00831C3C">
              <w:rPr>
                <w:rFonts w:asciiTheme="minorEastAsia" w:hAnsiTheme="minorEastAsia" w:cs="宋体"/>
                <w:sz w:val="18"/>
                <w:szCs w:val="18"/>
              </w:rPr>
              <w:t>2024年</w:t>
            </w:r>
          </w:p>
        </w:tc>
        <w:tc>
          <w:tcPr>
            <w:tcW w:w="3105"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Theme="minorEastAsia" w:hAnsiTheme="minorEastAsia" w:cs="宋体"/>
                <w:sz w:val="18"/>
                <w:szCs w:val="18"/>
              </w:rPr>
            </w:pPr>
            <w:r w:rsidRPr="00831C3C">
              <w:rPr>
                <w:rFonts w:asciiTheme="minorEastAsia" w:hAnsiTheme="minorEastAsia" w:cs="宋体"/>
                <w:sz w:val="18"/>
                <w:szCs w:val="18"/>
              </w:rPr>
              <w:t>2023年</w:t>
            </w:r>
          </w:p>
        </w:tc>
        <w:tc>
          <w:tcPr>
            <w:tcW w:w="102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Theme="minorEastAsia" w:hAnsiTheme="minorEastAsia" w:cs="宋体"/>
                <w:sz w:val="18"/>
                <w:szCs w:val="18"/>
              </w:rPr>
            </w:pPr>
            <w:r w:rsidRPr="00831C3C">
              <w:rPr>
                <w:rFonts w:asciiTheme="minorEastAsia" w:hAnsiTheme="minorEastAsia" w:cs="宋体"/>
                <w:sz w:val="18"/>
                <w:szCs w:val="18"/>
              </w:rPr>
              <w:t>同比增减</w:t>
            </w:r>
          </w:p>
        </w:tc>
      </w:tr>
      <w:tr w:rsidR="00831C3C" w:rsidRPr="00831C3C" w:rsidTr="00617E66">
        <w:trPr>
          <w:trHeight w:val="240"/>
        </w:trPr>
        <w:tc>
          <w:tcPr>
            <w:tcW w:w="1242"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pPr>
              <w:rPr>
                <w:rFonts w:asciiTheme="minorEastAsia" w:hAnsiTheme="minorEastAsia"/>
              </w:rPr>
            </w:pPr>
          </w:p>
        </w:tc>
        <w:tc>
          <w:tcPr>
            <w:tcW w:w="1512"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pPr>
              <w:rPr>
                <w:rFonts w:asciiTheme="minorEastAsia" w:hAnsiTheme="minorEastAsia"/>
              </w:rPr>
            </w:pPr>
          </w:p>
        </w:tc>
        <w:tc>
          <w:tcPr>
            <w:tcW w:w="174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Theme="minorEastAsia" w:hAnsiTheme="minorEastAsia" w:cs="宋体"/>
                <w:sz w:val="18"/>
                <w:szCs w:val="18"/>
              </w:rPr>
            </w:pPr>
            <w:r w:rsidRPr="00831C3C">
              <w:rPr>
                <w:rFonts w:asciiTheme="minorEastAsia" w:hAnsiTheme="minorEastAsia" w:cs="宋体"/>
                <w:sz w:val="18"/>
                <w:szCs w:val="18"/>
              </w:rPr>
              <w:t>金额</w:t>
            </w:r>
          </w:p>
        </w:tc>
        <w:tc>
          <w:tcPr>
            <w:tcW w:w="10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Theme="minorEastAsia" w:hAnsiTheme="minorEastAsia" w:cs="宋体"/>
                <w:sz w:val="18"/>
                <w:szCs w:val="18"/>
              </w:rPr>
            </w:pPr>
            <w:r w:rsidRPr="00831C3C">
              <w:rPr>
                <w:rFonts w:asciiTheme="minorEastAsia" w:hAnsiTheme="minorEastAsia" w:cs="宋体"/>
                <w:sz w:val="18"/>
                <w:szCs w:val="18"/>
              </w:rPr>
              <w:t>占营业成本比重</w:t>
            </w:r>
          </w:p>
        </w:tc>
        <w:tc>
          <w:tcPr>
            <w:tcW w:w="19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Theme="minorEastAsia" w:hAnsiTheme="minorEastAsia" w:cs="宋体"/>
                <w:sz w:val="18"/>
                <w:szCs w:val="18"/>
              </w:rPr>
            </w:pPr>
            <w:r w:rsidRPr="00831C3C">
              <w:rPr>
                <w:rFonts w:asciiTheme="minorEastAsia" w:hAnsiTheme="minorEastAsia" w:cs="宋体"/>
                <w:sz w:val="18"/>
                <w:szCs w:val="18"/>
              </w:rPr>
              <w:t>金额</w:t>
            </w:r>
          </w:p>
        </w:tc>
        <w:tc>
          <w:tcPr>
            <w:tcW w:w="1134"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Theme="minorEastAsia" w:hAnsiTheme="minorEastAsia" w:cs="宋体"/>
                <w:sz w:val="18"/>
                <w:szCs w:val="18"/>
              </w:rPr>
            </w:pPr>
            <w:r w:rsidRPr="00831C3C">
              <w:rPr>
                <w:rFonts w:asciiTheme="minorEastAsia" w:hAnsiTheme="minorEastAsia" w:cs="宋体"/>
                <w:sz w:val="18"/>
                <w:szCs w:val="18"/>
              </w:rPr>
              <w:t>占营业成本比重</w:t>
            </w:r>
          </w:p>
        </w:tc>
        <w:tc>
          <w:tcPr>
            <w:tcW w:w="102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pPr>
              <w:rPr>
                <w:rFonts w:asciiTheme="minorEastAsia" w:hAnsiTheme="minorEastAsia"/>
              </w:rPr>
            </w:pPr>
          </w:p>
        </w:tc>
      </w:tr>
      <w:tr w:rsidR="00831C3C" w:rsidRPr="00831C3C" w:rsidTr="00617E66">
        <w:trPr>
          <w:trHeight w:val="240"/>
        </w:trPr>
        <w:tc>
          <w:tcPr>
            <w:tcW w:w="12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Theme="minorEastAsia" w:hAnsiTheme="minorEastAsia" w:cs="宋体"/>
                <w:sz w:val="18"/>
                <w:szCs w:val="18"/>
              </w:rPr>
            </w:pPr>
            <w:r w:rsidRPr="00831C3C">
              <w:rPr>
                <w:rFonts w:asciiTheme="minorEastAsia" w:hAnsiTheme="minorEastAsia" w:cs="宋体"/>
                <w:sz w:val="18"/>
                <w:szCs w:val="18"/>
              </w:rPr>
              <w:t>纱线</w:t>
            </w:r>
          </w:p>
        </w:tc>
        <w:tc>
          <w:tcPr>
            <w:tcW w:w="151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Theme="minorEastAsia" w:hAnsiTheme="minorEastAsia" w:cs="宋体"/>
                <w:sz w:val="18"/>
                <w:szCs w:val="18"/>
              </w:rPr>
            </w:pPr>
            <w:r w:rsidRPr="00831C3C">
              <w:rPr>
                <w:rFonts w:asciiTheme="minorEastAsia" w:hAnsiTheme="minorEastAsia" w:cs="宋体"/>
                <w:sz w:val="18"/>
                <w:szCs w:val="18"/>
              </w:rPr>
              <w:t>直接材料</w:t>
            </w:r>
          </w:p>
        </w:tc>
        <w:tc>
          <w:tcPr>
            <w:tcW w:w="174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4,220,349,389.34</w:t>
            </w:r>
          </w:p>
        </w:tc>
        <w:tc>
          <w:tcPr>
            <w:tcW w:w="10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41.45%</w:t>
            </w:r>
          </w:p>
        </w:tc>
        <w:tc>
          <w:tcPr>
            <w:tcW w:w="19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3,766,541,490.34</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28.42%</w:t>
            </w:r>
          </w:p>
        </w:tc>
        <w:tc>
          <w:tcPr>
            <w:tcW w:w="102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12.05%</w:t>
            </w:r>
          </w:p>
        </w:tc>
      </w:tr>
      <w:tr w:rsidR="00831C3C" w:rsidRPr="00831C3C" w:rsidTr="00617E66">
        <w:trPr>
          <w:trHeight w:val="240"/>
        </w:trPr>
        <w:tc>
          <w:tcPr>
            <w:tcW w:w="12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Theme="minorEastAsia" w:hAnsiTheme="minorEastAsia" w:cs="宋体"/>
                <w:sz w:val="18"/>
                <w:szCs w:val="18"/>
              </w:rPr>
            </w:pPr>
            <w:r w:rsidRPr="00831C3C">
              <w:rPr>
                <w:rFonts w:asciiTheme="minorEastAsia" w:hAnsiTheme="minorEastAsia" w:cs="宋体"/>
                <w:sz w:val="18"/>
                <w:szCs w:val="18"/>
              </w:rPr>
              <w:t>纱线</w:t>
            </w:r>
          </w:p>
        </w:tc>
        <w:tc>
          <w:tcPr>
            <w:tcW w:w="151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Theme="minorEastAsia" w:hAnsiTheme="minorEastAsia" w:cs="宋体"/>
                <w:sz w:val="18"/>
                <w:szCs w:val="18"/>
              </w:rPr>
            </w:pPr>
            <w:r w:rsidRPr="00831C3C">
              <w:rPr>
                <w:rFonts w:asciiTheme="minorEastAsia" w:hAnsiTheme="minorEastAsia" w:cs="宋体"/>
                <w:sz w:val="18"/>
                <w:szCs w:val="18"/>
              </w:rPr>
              <w:t>直接人工</w:t>
            </w:r>
          </w:p>
        </w:tc>
        <w:tc>
          <w:tcPr>
            <w:tcW w:w="174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725,512,044.23</w:t>
            </w:r>
          </w:p>
        </w:tc>
        <w:tc>
          <w:tcPr>
            <w:tcW w:w="10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7.12%</w:t>
            </w:r>
          </w:p>
        </w:tc>
        <w:tc>
          <w:tcPr>
            <w:tcW w:w="19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584,328,155.36</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4.28%</w:t>
            </w:r>
          </w:p>
        </w:tc>
        <w:tc>
          <w:tcPr>
            <w:tcW w:w="102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24.16%</w:t>
            </w:r>
          </w:p>
        </w:tc>
      </w:tr>
      <w:tr w:rsidR="00831C3C" w:rsidRPr="00831C3C" w:rsidTr="00617E66">
        <w:trPr>
          <w:trHeight w:val="240"/>
        </w:trPr>
        <w:tc>
          <w:tcPr>
            <w:tcW w:w="12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Theme="minorEastAsia" w:hAnsiTheme="minorEastAsia" w:cs="宋体"/>
                <w:sz w:val="18"/>
                <w:szCs w:val="18"/>
              </w:rPr>
            </w:pPr>
            <w:r w:rsidRPr="00831C3C">
              <w:rPr>
                <w:rFonts w:asciiTheme="minorEastAsia" w:hAnsiTheme="minorEastAsia" w:cs="宋体"/>
                <w:sz w:val="18"/>
                <w:szCs w:val="18"/>
              </w:rPr>
              <w:t>纱线</w:t>
            </w:r>
          </w:p>
        </w:tc>
        <w:tc>
          <w:tcPr>
            <w:tcW w:w="151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Theme="minorEastAsia" w:hAnsiTheme="minorEastAsia" w:cs="宋体"/>
                <w:sz w:val="18"/>
                <w:szCs w:val="18"/>
              </w:rPr>
            </w:pPr>
            <w:r w:rsidRPr="00831C3C">
              <w:rPr>
                <w:rFonts w:asciiTheme="minorEastAsia" w:hAnsiTheme="minorEastAsia" w:cs="宋体"/>
                <w:sz w:val="18"/>
                <w:szCs w:val="18"/>
              </w:rPr>
              <w:t>折旧</w:t>
            </w:r>
          </w:p>
        </w:tc>
        <w:tc>
          <w:tcPr>
            <w:tcW w:w="174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381,503,872.31</w:t>
            </w:r>
          </w:p>
        </w:tc>
        <w:tc>
          <w:tcPr>
            <w:tcW w:w="10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3.75%</w:t>
            </w:r>
          </w:p>
        </w:tc>
        <w:tc>
          <w:tcPr>
            <w:tcW w:w="19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380,395,027.69</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2.78%</w:t>
            </w:r>
          </w:p>
        </w:tc>
        <w:tc>
          <w:tcPr>
            <w:tcW w:w="102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0.29%</w:t>
            </w:r>
          </w:p>
        </w:tc>
      </w:tr>
      <w:tr w:rsidR="00831C3C" w:rsidRPr="00831C3C" w:rsidTr="00617E66">
        <w:trPr>
          <w:trHeight w:val="240"/>
        </w:trPr>
        <w:tc>
          <w:tcPr>
            <w:tcW w:w="12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Theme="minorEastAsia" w:hAnsiTheme="minorEastAsia" w:cs="宋体"/>
                <w:sz w:val="18"/>
                <w:szCs w:val="18"/>
              </w:rPr>
            </w:pPr>
            <w:r w:rsidRPr="00831C3C">
              <w:rPr>
                <w:rFonts w:asciiTheme="minorEastAsia" w:hAnsiTheme="minorEastAsia" w:cs="宋体"/>
                <w:sz w:val="18"/>
                <w:szCs w:val="18"/>
              </w:rPr>
              <w:t>纱线</w:t>
            </w:r>
          </w:p>
        </w:tc>
        <w:tc>
          <w:tcPr>
            <w:tcW w:w="151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Theme="minorEastAsia" w:hAnsiTheme="minorEastAsia" w:cs="宋体"/>
                <w:sz w:val="18"/>
                <w:szCs w:val="18"/>
              </w:rPr>
            </w:pPr>
            <w:r w:rsidRPr="00831C3C">
              <w:rPr>
                <w:rFonts w:asciiTheme="minorEastAsia" w:hAnsiTheme="minorEastAsia" w:cs="宋体"/>
                <w:sz w:val="18"/>
                <w:szCs w:val="18"/>
              </w:rPr>
              <w:t>能源和动力</w:t>
            </w:r>
          </w:p>
        </w:tc>
        <w:tc>
          <w:tcPr>
            <w:tcW w:w="174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394,002,439.11</w:t>
            </w:r>
          </w:p>
        </w:tc>
        <w:tc>
          <w:tcPr>
            <w:tcW w:w="10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3.87%</w:t>
            </w:r>
          </w:p>
        </w:tc>
        <w:tc>
          <w:tcPr>
            <w:tcW w:w="19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472,530,530.52</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3.51%</w:t>
            </w:r>
          </w:p>
        </w:tc>
        <w:tc>
          <w:tcPr>
            <w:tcW w:w="102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-16.62%</w:t>
            </w:r>
          </w:p>
        </w:tc>
      </w:tr>
      <w:tr w:rsidR="00831C3C" w:rsidRPr="00831C3C" w:rsidTr="00617E66">
        <w:trPr>
          <w:trHeight w:val="240"/>
        </w:trPr>
        <w:tc>
          <w:tcPr>
            <w:tcW w:w="12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Theme="minorEastAsia" w:hAnsiTheme="minorEastAsia" w:cs="宋体"/>
                <w:sz w:val="18"/>
                <w:szCs w:val="18"/>
              </w:rPr>
            </w:pPr>
            <w:r w:rsidRPr="00831C3C">
              <w:rPr>
                <w:rFonts w:asciiTheme="minorEastAsia" w:hAnsiTheme="minorEastAsia" w:cs="宋体"/>
                <w:sz w:val="18"/>
                <w:szCs w:val="18"/>
              </w:rPr>
              <w:t>纱线</w:t>
            </w:r>
          </w:p>
        </w:tc>
        <w:tc>
          <w:tcPr>
            <w:tcW w:w="151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Theme="minorEastAsia" w:hAnsiTheme="minorEastAsia" w:cs="宋体"/>
                <w:sz w:val="18"/>
                <w:szCs w:val="18"/>
              </w:rPr>
            </w:pPr>
            <w:r w:rsidRPr="00831C3C">
              <w:rPr>
                <w:rFonts w:asciiTheme="minorEastAsia" w:hAnsiTheme="minorEastAsia" w:cs="宋体"/>
                <w:sz w:val="18"/>
                <w:szCs w:val="18"/>
              </w:rPr>
              <w:t>销售运费及佣金</w:t>
            </w:r>
          </w:p>
        </w:tc>
        <w:tc>
          <w:tcPr>
            <w:tcW w:w="174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27,972,982.84</w:t>
            </w:r>
          </w:p>
        </w:tc>
        <w:tc>
          <w:tcPr>
            <w:tcW w:w="10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0.27%</w:t>
            </w:r>
          </w:p>
        </w:tc>
        <w:tc>
          <w:tcPr>
            <w:tcW w:w="19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115,464,544.79</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0.86%</w:t>
            </w:r>
          </w:p>
        </w:tc>
        <w:tc>
          <w:tcPr>
            <w:tcW w:w="102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-75.77%</w:t>
            </w:r>
          </w:p>
        </w:tc>
      </w:tr>
      <w:tr w:rsidR="00831C3C" w:rsidRPr="00831C3C" w:rsidTr="00617E66">
        <w:trPr>
          <w:trHeight w:val="240"/>
        </w:trPr>
        <w:tc>
          <w:tcPr>
            <w:tcW w:w="12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Theme="minorEastAsia" w:hAnsiTheme="minorEastAsia" w:cs="宋体"/>
                <w:sz w:val="18"/>
                <w:szCs w:val="18"/>
              </w:rPr>
            </w:pPr>
            <w:r w:rsidRPr="00831C3C">
              <w:rPr>
                <w:rFonts w:asciiTheme="minorEastAsia" w:hAnsiTheme="minorEastAsia" w:cs="宋体"/>
                <w:sz w:val="18"/>
                <w:szCs w:val="18"/>
              </w:rPr>
              <w:t>纱线</w:t>
            </w:r>
          </w:p>
        </w:tc>
        <w:tc>
          <w:tcPr>
            <w:tcW w:w="151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Theme="minorEastAsia" w:hAnsiTheme="minorEastAsia" w:cs="宋体"/>
                <w:sz w:val="18"/>
                <w:szCs w:val="18"/>
              </w:rPr>
            </w:pPr>
            <w:r w:rsidRPr="00831C3C">
              <w:rPr>
                <w:rFonts w:asciiTheme="minorEastAsia" w:hAnsiTheme="minorEastAsia" w:cs="宋体"/>
                <w:sz w:val="18"/>
                <w:szCs w:val="18"/>
              </w:rPr>
              <w:t>其他</w:t>
            </w:r>
          </w:p>
        </w:tc>
        <w:tc>
          <w:tcPr>
            <w:tcW w:w="174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202,357,748.18</w:t>
            </w:r>
          </w:p>
        </w:tc>
        <w:tc>
          <w:tcPr>
            <w:tcW w:w="10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1.99%</w:t>
            </w:r>
          </w:p>
        </w:tc>
        <w:tc>
          <w:tcPr>
            <w:tcW w:w="19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172,499,260.52</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1.61%</w:t>
            </w:r>
          </w:p>
        </w:tc>
        <w:tc>
          <w:tcPr>
            <w:tcW w:w="102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17.31%</w:t>
            </w:r>
          </w:p>
        </w:tc>
      </w:tr>
      <w:tr w:rsidR="00831C3C" w:rsidRPr="00831C3C" w:rsidTr="00617E66">
        <w:trPr>
          <w:trHeight w:val="240"/>
        </w:trPr>
        <w:tc>
          <w:tcPr>
            <w:tcW w:w="12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Theme="minorEastAsia" w:hAnsiTheme="minorEastAsia" w:cs="宋体"/>
                <w:sz w:val="18"/>
                <w:szCs w:val="18"/>
              </w:rPr>
            </w:pPr>
            <w:proofErr w:type="gramStart"/>
            <w:r w:rsidRPr="00831C3C">
              <w:rPr>
                <w:rFonts w:asciiTheme="minorEastAsia" w:hAnsiTheme="minorEastAsia" w:cs="宋体"/>
                <w:sz w:val="18"/>
                <w:szCs w:val="18"/>
              </w:rPr>
              <w:t>网链</w:t>
            </w:r>
            <w:proofErr w:type="gramEnd"/>
          </w:p>
        </w:tc>
        <w:tc>
          <w:tcPr>
            <w:tcW w:w="151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Theme="minorEastAsia" w:hAnsiTheme="minorEastAsia" w:cs="宋体"/>
                <w:sz w:val="18"/>
                <w:szCs w:val="18"/>
              </w:rPr>
            </w:pPr>
            <w:r w:rsidRPr="00831C3C">
              <w:rPr>
                <w:rFonts w:asciiTheme="minorEastAsia" w:hAnsiTheme="minorEastAsia" w:cs="宋体"/>
                <w:sz w:val="18"/>
                <w:szCs w:val="18"/>
              </w:rPr>
              <w:t>直接材料</w:t>
            </w:r>
          </w:p>
        </w:tc>
        <w:tc>
          <w:tcPr>
            <w:tcW w:w="174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3,821,681,589.37</w:t>
            </w:r>
          </w:p>
        </w:tc>
        <w:tc>
          <w:tcPr>
            <w:tcW w:w="10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37.53%</w:t>
            </w:r>
          </w:p>
        </w:tc>
        <w:tc>
          <w:tcPr>
            <w:tcW w:w="19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7,202,105,642.09</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56.81%</w:t>
            </w:r>
          </w:p>
        </w:tc>
        <w:tc>
          <w:tcPr>
            <w:tcW w:w="102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-46.94%</w:t>
            </w:r>
          </w:p>
        </w:tc>
      </w:tr>
      <w:tr w:rsidR="00831C3C" w:rsidRPr="00831C3C" w:rsidTr="00617E66">
        <w:trPr>
          <w:trHeight w:val="240"/>
        </w:trPr>
        <w:tc>
          <w:tcPr>
            <w:tcW w:w="12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Theme="minorEastAsia" w:hAnsiTheme="minorEastAsia" w:cs="宋体"/>
                <w:sz w:val="18"/>
                <w:szCs w:val="18"/>
              </w:rPr>
            </w:pPr>
            <w:proofErr w:type="gramStart"/>
            <w:r w:rsidRPr="00831C3C">
              <w:rPr>
                <w:rFonts w:asciiTheme="minorEastAsia" w:hAnsiTheme="minorEastAsia" w:cs="宋体"/>
                <w:sz w:val="18"/>
                <w:szCs w:val="18"/>
              </w:rPr>
              <w:t>网链</w:t>
            </w:r>
            <w:proofErr w:type="gramEnd"/>
          </w:p>
        </w:tc>
        <w:tc>
          <w:tcPr>
            <w:tcW w:w="151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Theme="minorEastAsia" w:hAnsiTheme="minorEastAsia" w:cs="宋体"/>
                <w:sz w:val="18"/>
                <w:szCs w:val="18"/>
              </w:rPr>
            </w:pPr>
            <w:r w:rsidRPr="00831C3C">
              <w:rPr>
                <w:rFonts w:asciiTheme="minorEastAsia" w:hAnsiTheme="minorEastAsia" w:cs="宋体"/>
                <w:sz w:val="18"/>
                <w:szCs w:val="18"/>
              </w:rPr>
              <w:t>直接人工</w:t>
            </w:r>
          </w:p>
        </w:tc>
        <w:tc>
          <w:tcPr>
            <w:tcW w:w="174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20,220,415.70</w:t>
            </w:r>
          </w:p>
        </w:tc>
        <w:tc>
          <w:tcPr>
            <w:tcW w:w="10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0.20%</w:t>
            </w:r>
          </w:p>
        </w:tc>
        <w:tc>
          <w:tcPr>
            <w:tcW w:w="19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19,969,311.50</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0.16%</w:t>
            </w:r>
          </w:p>
        </w:tc>
        <w:tc>
          <w:tcPr>
            <w:tcW w:w="102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1.26%</w:t>
            </w:r>
          </w:p>
        </w:tc>
      </w:tr>
      <w:tr w:rsidR="00831C3C" w:rsidRPr="00831C3C" w:rsidTr="00617E66">
        <w:trPr>
          <w:trHeight w:val="240"/>
        </w:trPr>
        <w:tc>
          <w:tcPr>
            <w:tcW w:w="12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Theme="minorEastAsia" w:hAnsiTheme="minorEastAsia" w:cs="宋体"/>
                <w:sz w:val="18"/>
                <w:szCs w:val="18"/>
              </w:rPr>
            </w:pPr>
            <w:proofErr w:type="gramStart"/>
            <w:r w:rsidRPr="00831C3C">
              <w:rPr>
                <w:rFonts w:asciiTheme="minorEastAsia" w:hAnsiTheme="minorEastAsia" w:cs="宋体"/>
                <w:sz w:val="18"/>
                <w:szCs w:val="18"/>
              </w:rPr>
              <w:t>网链</w:t>
            </w:r>
            <w:proofErr w:type="gramEnd"/>
          </w:p>
        </w:tc>
        <w:tc>
          <w:tcPr>
            <w:tcW w:w="151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Theme="minorEastAsia" w:hAnsiTheme="minorEastAsia" w:cs="宋体"/>
                <w:sz w:val="18"/>
                <w:szCs w:val="18"/>
              </w:rPr>
            </w:pPr>
            <w:r w:rsidRPr="00831C3C">
              <w:rPr>
                <w:rFonts w:asciiTheme="minorEastAsia" w:hAnsiTheme="minorEastAsia" w:cs="宋体"/>
                <w:sz w:val="18"/>
                <w:szCs w:val="18"/>
              </w:rPr>
              <w:t>折旧</w:t>
            </w:r>
          </w:p>
        </w:tc>
        <w:tc>
          <w:tcPr>
            <w:tcW w:w="174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55,927,180.97</w:t>
            </w:r>
          </w:p>
        </w:tc>
        <w:tc>
          <w:tcPr>
            <w:tcW w:w="10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0.55%</w:t>
            </w:r>
          </w:p>
        </w:tc>
        <w:tc>
          <w:tcPr>
            <w:tcW w:w="19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19,640,507.90</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0.15%</w:t>
            </w:r>
          </w:p>
        </w:tc>
        <w:tc>
          <w:tcPr>
            <w:tcW w:w="102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184.75%</w:t>
            </w:r>
          </w:p>
        </w:tc>
      </w:tr>
      <w:tr w:rsidR="00831C3C" w:rsidRPr="00831C3C" w:rsidTr="00617E66">
        <w:trPr>
          <w:trHeight w:val="240"/>
        </w:trPr>
        <w:tc>
          <w:tcPr>
            <w:tcW w:w="12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Theme="minorEastAsia" w:hAnsiTheme="minorEastAsia" w:cs="宋体"/>
                <w:sz w:val="18"/>
                <w:szCs w:val="18"/>
              </w:rPr>
            </w:pPr>
            <w:proofErr w:type="gramStart"/>
            <w:r w:rsidRPr="00831C3C">
              <w:rPr>
                <w:rFonts w:asciiTheme="minorEastAsia" w:hAnsiTheme="minorEastAsia" w:cs="宋体"/>
                <w:sz w:val="18"/>
                <w:szCs w:val="18"/>
              </w:rPr>
              <w:t>网链</w:t>
            </w:r>
            <w:proofErr w:type="gramEnd"/>
          </w:p>
        </w:tc>
        <w:tc>
          <w:tcPr>
            <w:tcW w:w="151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Theme="minorEastAsia" w:hAnsiTheme="minorEastAsia" w:cs="宋体"/>
                <w:sz w:val="18"/>
                <w:szCs w:val="18"/>
              </w:rPr>
            </w:pPr>
            <w:r w:rsidRPr="00831C3C">
              <w:rPr>
                <w:rFonts w:asciiTheme="minorEastAsia" w:hAnsiTheme="minorEastAsia" w:cs="宋体"/>
                <w:sz w:val="18"/>
                <w:szCs w:val="18"/>
              </w:rPr>
              <w:t>能源和动力</w:t>
            </w:r>
          </w:p>
        </w:tc>
        <w:tc>
          <w:tcPr>
            <w:tcW w:w="174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20,890,094.77</w:t>
            </w:r>
          </w:p>
        </w:tc>
        <w:tc>
          <w:tcPr>
            <w:tcW w:w="10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0.21%</w:t>
            </w:r>
          </w:p>
        </w:tc>
        <w:tc>
          <w:tcPr>
            <w:tcW w:w="19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6,015,564.83</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0.05%</w:t>
            </w:r>
          </w:p>
        </w:tc>
        <w:tc>
          <w:tcPr>
            <w:tcW w:w="102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247.27%</w:t>
            </w:r>
          </w:p>
        </w:tc>
      </w:tr>
      <w:tr w:rsidR="00831C3C" w:rsidRPr="00831C3C" w:rsidTr="00617E66">
        <w:trPr>
          <w:trHeight w:val="240"/>
        </w:trPr>
        <w:tc>
          <w:tcPr>
            <w:tcW w:w="12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Theme="minorEastAsia" w:hAnsiTheme="minorEastAsia" w:cs="宋体"/>
                <w:sz w:val="18"/>
                <w:szCs w:val="18"/>
              </w:rPr>
            </w:pPr>
            <w:proofErr w:type="gramStart"/>
            <w:r w:rsidRPr="00831C3C">
              <w:rPr>
                <w:rFonts w:asciiTheme="minorEastAsia" w:hAnsiTheme="minorEastAsia" w:cs="宋体"/>
                <w:sz w:val="18"/>
                <w:szCs w:val="18"/>
              </w:rPr>
              <w:t>网链</w:t>
            </w:r>
            <w:proofErr w:type="gramEnd"/>
          </w:p>
        </w:tc>
        <w:tc>
          <w:tcPr>
            <w:tcW w:w="151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Theme="minorEastAsia" w:hAnsiTheme="minorEastAsia" w:cs="宋体"/>
                <w:sz w:val="18"/>
                <w:szCs w:val="18"/>
              </w:rPr>
            </w:pPr>
            <w:r w:rsidRPr="00831C3C">
              <w:rPr>
                <w:rFonts w:asciiTheme="minorEastAsia" w:hAnsiTheme="minorEastAsia" w:cs="宋体"/>
                <w:sz w:val="18"/>
                <w:szCs w:val="18"/>
              </w:rPr>
              <w:t>销售运费及佣金</w:t>
            </w:r>
          </w:p>
        </w:tc>
        <w:tc>
          <w:tcPr>
            <w:tcW w:w="174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11,508,673.32</w:t>
            </w:r>
          </w:p>
        </w:tc>
        <w:tc>
          <w:tcPr>
            <w:tcW w:w="10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0.11%</w:t>
            </w:r>
          </w:p>
        </w:tc>
        <w:tc>
          <w:tcPr>
            <w:tcW w:w="19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18,947,316.23</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0.11%</w:t>
            </w:r>
          </w:p>
        </w:tc>
        <w:tc>
          <w:tcPr>
            <w:tcW w:w="102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-39.26%</w:t>
            </w:r>
          </w:p>
        </w:tc>
      </w:tr>
      <w:tr w:rsidR="00831C3C" w:rsidRPr="00831C3C" w:rsidTr="00617E66">
        <w:trPr>
          <w:trHeight w:val="240"/>
        </w:trPr>
        <w:tc>
          <w:tcPr>
            <w:tcW w:w="12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Theme="minorEastAsia" w:hAnsiTheme="minorEastAsia" w:cs="宋体"/>
                <w:sz w:val="18"/>
                <w:szCs w:val="18"/>
              </w:rPr>
            </w:pPr>
            <w:proofErr w:type="gramStart"/>
            <w:r w:rsidRPr="00831C3C">
              <w:rPr>
                <w:rFonts w:asciiTheme="minorEastAsia" w:hAnsiTheme="minorEastAsia" w:cs="宋体"/>
                <w:sz w:val="18"/>
                <w:szCs w:val="18"/>
              </w:rPr>
              <w:t>网链</w:t>
            </w:r>
            <w:proofErr w:type="gramEnd"/>
          </w:p>
        </w:tc>
        <w:tc>
          <w:tcPr>
            <w:tcW w:w="151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Theme="minorEastAsia" w:hAnsiTheme="minorEastAsia" w:cs="宋体"/>
                <w:sz w:val="18"/>
                <w:szCs w:val="18"/>
              </w:rPr>
            </w:pPr>
            <w:r w:rsidRPr="00831C3C">
              <w:rPr>
                <w:rFonts w:asciiTheme="minorEastAsia" w:hAnsiTheme="minorEastAsia" w:cs="宋体"/>
                <w:sz w:val="18"/>
                <w:szCs w:val="18"/>
              </w:rPr>
              <w:t>其他</w:t>
            </w:r>
          </w:p>
        </w:tc>
        <w:tc>
          <w:tcPr>
            <w:tcW w:w="174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85,670,468.17</w:t>
            </w:r>
          </w:p>
        </w:tc>
        <w:tc>
          <w:tcPr>
            <w:tcW w:w="10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0.84%</w:t>
            </w:r>
          </w:p>
        </w:tc>
        <w:tc>
          <w:tcPr>
            <w:tcW w:w="19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11,156,309.23</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0.11%</w:t>
            </w:r>
          </w:p>
        </w:tc>
        <w:tc>
          <w:tcPr>
            <w:tcW w:w="102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667.91%</w:t>
            </w:r>
          </w:p>
        </w:tc>
      </w:tr>
      <w:tr w:rsidR="00831C3C" w:rsidRPr="00831C3C" w:rsidTr="00617E66">
        <w:trPr>
          <w:trHeight w:val="240"/>
        </w:trPr>
        <w:tc>
          <w:tcPr>
            <w:tcW w:w="12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Theme="minorEastAsia" w:hAnsiTheme="minorEastAsia" w:cs="宋体"/>
                <w:sz w:val="18"/>
                <w:szCs w:val="18"/>
              </w:rPr>
            </w:pPr>
            <w:proofErr w:type="gramStart"/>
            <w:r w:rsidRPr="00831C3C">
              <w:rPr>
                <w:rFonts w:asciiTheme="minorEastAsia" w:hAnsiTheme="minorEastAsia" w:cs="宋体"/>
                <w:sz w:val="18"/>
                <w:szCs w:val="18"/>
              </w:rPr>
              <w:t>袜</w:t>
            </w:r>
            <w:proofErr w:type="gramEnd"/>
            <w:r w:rsidRPr="00831C3C">
              <w:rPr>
                <w:rFonts w:asciiTheme="minorEastAsia" w:hAnsiTheme="minorEastAsia" w:cs="宋体"/>
                <w:sz w:val="18"/>
                <w:szCs w:val="18"/>
              </w:rPr>
              <w:t>制品</w:t>
            </w:r>
          </w:p>
        </w:tc>
        <w:tc>
          <w:tcPr>
            <w:tcW w:w="151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Theme="minorEastAsia" w:hAnsiTheme="minorEastAsia" w:cs="宋体"/>
                <w:sz w:val="18"/>
                <w:szCs w:val="18"/>
              </w:rPr>
            </w:pPr>
            <w:r w:rsidRPr="00831C3C">
              <w:rPr>
                <w:rFonts w:asciiTheme="minorEastAsia" w:hAnsiTheme="minorEastAsia" w:cs="宋体"/>
                <w:sz w:val="18"/>
                <w:szCs w:val="18"/>
              </w:rPr>
              <w:t>直接材料</w:t>
            </w:r>
          </w:p>
        </w:tc>
        <w:tc>
          <w:tcPr>
            <w:tcW w:w="174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109,135,095.43</w:t>
            </w:r>
          </w:p>
        </w:tc>
        <w:tc>
          <w:tcPr>
            <w:tcW w:w="10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1.07%</w:t>
            </w:r>
          </w:p>
        </w:tc>
        <w:tc>
          <w:tcPr>
            <w:tcW w:w="19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172,308,451.53</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1.08%</w:t>
            </w:r>
          </w:p>
        </w:tc>
        <w:tc>
          <w:tcPr>
            <w:tcW w:w="102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-36.66%</w:t>
            </w:r>
          </w:p>
        </w:tc>
      </w:tr>
      <w:tr w:rsidR="00831C3C" w:rsidRPr="00831C3C" w:rsidTr="00617E66">
        <w:trPr>
          <w:trHeight w:val="240"/>
        </w:trPr>
        <w:tc>
          <w:tcPr>
            <w:tcW w:w="12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Theme="minorEastAsia" w:hAnsiTheme="minorEastAsia" w:cs="宋体"/>
                <w:sz w:val="18"/>
                <w:szCs w:val="18"/>
              </w:rPr>
            </w:pPr>
            <w:proofErr w:type="gramStart"/>
            <w:r w:rsidRPr="00831C3C">
              <w:rPr>
                <w:rFonts w:asciiTheme="minorEastAsia" w:hAnsiTheme="minorEastAsia" w:cs="宋体"/>
                <w:sz w:val="18"/>
                <w:szCs w:val="18"/>
              </w:rPr>
              <w:t>袜</w:t>
            </w:r>
            <w:proofErr w:type="gramEnd"/>
            <w:r w:rsidRPr="00831C3C">
              <w:rPr>
                <w:rFonts w:asciiTheme="minorEastAsia" w:hAnsiTheme="minorEastAsia" w:cs="宋体"/>
                <w:sz w:val="18"/>
                <w:szCs w:val="18"/>
              </w:rPr>
              <w:t>制品</w:t>
            </w:r>
          </w:p>
        </w:tc>
        <w:tc>
          <w:tcPr>
            <w:tcW w:w="151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Theme="minorEastAsia" w:hAnsiTheme="minorEastAsia" w:cs="宋体"/>
                <w:sz w:val="18"/>
                <w:szCs w:val="18"/>
              </w:rPr>
            </w:pPr>
            <w:r w:rsidRPr="00831C3C">
              <w:rPr>
                <w:rFonts w:asciiTheme="minorEastAsia" w:hAnsiTheme="minorEastAsia" w:cs="宋体"/>
                <w:sz w:val="18"/>
                <w:szCs w:val="18"/>
              </w:rPr>
              <w:t>直接人工</w:t>
            </w:r>
          </w:p>
        </w:tc>
        <w:tc>
          <w:tcPr>
            <w:tcW w:w="174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40,925,660.79</w:t>
            </w:r>
          </w:p>
        </w:tc>
        <w:tc>
          <w:tcPr>
            <w:tcW w:w="10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0.40%</w:t>
            </w:r>
          </w:p>
        </w:tc>
        <w:tc>
          <w:tcPr>
            <w:tcW w:w="19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60,067,736.46</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0.39%</w:t>
            </w:r>
          </w:p>
        </w:tc>
        <w:tc>
          <w:tcPr>
            <w:tcW w:w="102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-31.87%</w:t>
            </w:r>
          </w:p>
        </w:tc>
      </w:tr>
      <w:tr w:rsidR="00831C3C" w:rsidRPr="00831C3C" w:rsidTr="00617E66">
        <w:trPr>
          <w:trHeight w:val="240"/>
        </w:trPr>
        <w:tc>
          <w:tcPr>
            <w:tcW w:w="12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Theme="minorEastAsia" w:hAnsiTheme="minorEastAsia" w:cs="宋体"/>
                <w:sz w:val="18"/>
                <w:szCs w:val="18"/>
              </w:rPr>
            </w:pPr>
            <w:proofErr w:type="gramStart"/>
            <w:r w:rsidRPr="00831C3C">
              <w:rPr>
                <w:rFonts w:asciiTheme="minorEastAsia" w:hAnsiTheme="minorEastAsia" w:cs="宋体"/>
                <w:sz w:val="18"/>
                <w:szCs w:val="18"/>
              </w:rPr>
              <w:t>袜</w:t>
            </w:r>
            <w:proofErr w:type="gramEnd"/>
            <w:r w:rsidRPr="00831C3C">
              <w:rPr>
                <w:rFonts w:asciiTheme="minorEastAsia" w:hAnsiTheme="minorEastAsia" w:cs="宋体"/>
                <w:sz w:val="18"/>
                <w:szCs w:val="18"/>
              </w:rPr>
              <w:t>制品</w:t>
            </w:r>
          </w:p>
        </w:tc>
        <w:tc>
          <w:tcPr>
            <w:tcW w:w="151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Theme="minorEastAsia" w:hAnsiTheme="minorEastAsia" w:cs="宋体"/>
                <w:sz w:val="18"/>
                <w:szCs w:val="18"/>
              </w:rPr>
            </w:pPr>
            <w:r w:rsidRPr="00831C3C">
              <w:rPr>
                <w:rFonts w:asciiTheme="minorEastAsia" w:hAnsiTheme="minorEastAsia" w:cs="宋体"/>
                <w:sz w:val="18"/>
                <w:szCs w:val="18"/>
              </w:rPr>
              <w:t>折旧</w:t>
            </w:r>
          </w:p>
        </w:tc>
        <w:tc>
          <w:tcPr>
            <w:tcW w:w="174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3,410,471.73</w:t>
            </w:r>
          </w:p>
        </w:tc>
        <w:tc>
          <w:tcPr>
            <w:tcW w:w="10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0.03%</w:t>
            </w:r>
          </w:p>
        </w:tc>
        <w:tc>
          <w:tcPr>
            <w:tcW w:w="19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16,490,478.39</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0.11%</w:t>
            </w:r>
          </w:p>
        </w:tc>
        <w:tc>
          <w:tcPr>
            <w:tcW w:w="102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-79.32%</w:t>
            </w:r>
          </w:p>
        </w:tc>
      </w:tr>
      <w:tr w:rsidR="00831C3C" w:rsidRPr="00831C3C" w:rsidTr="00617E66">
        <w:trPr>
          <w:trHeight w:val="240"/>
        </w:trPr>
        <w:tc>
          <w:tcPr>
            <w:tcW w:w="12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Theme="minorEastAsia" w:hAnsiTheme="minorEastAsia" w:cs="宋体"/>
                <w:sz w:val="18"/>
                <w:szCs w:val="18"/>
              </w:rPr>
            </w:pPr>
            <w:proofErr w:type="gramStart"/>
            <w:r w:rsidRPr="00831C3C">
              <w:rPr>
                <w:rFonts w:asciiTheme="minorEastAsia" w:hAnsiTheme="minorEastAsia" w:cs="宋体"/>
                <w:sz w:val="18"/>
                <w:szCs w:val="18"/>
              </w:rPr>
              <w:t>袜</w:t>
            </w:r>
            <w:proofErr w:type="gramEnd"/>
            <w:r w:rsidRPr="00831C3C">
              <w:rPr>
                <w:rFonts w:asciiTheme="minorEastAsia" w:hAnsiTheme="minorEastAsia" w:cs="宋体"/>
                <w:sz w:val="18"/>
                <w:szCs w:val="18"/>
              </w:rPr>
              <w:t>制品</w:t>
            </w:r>
          </w:p>
        </w:tc>
        <w:tc>
          <w:tcPr>
            <w:tcW w:w="151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Theme="minorEastAsia" w:hAnsiTheme="minorEastAsia" w:cs="宋体"/>
                <w:sz w:val="18"/>
                <w:szCs w:val="18"/>
              </w:rPr>
            </w:pPr>
            <w:r w:rsidRPr="00831C3C">
              <w:rPr>
                <w:rFonts w:asciiTheme="minorEastAsia" w:hAnsiTheme="minorEastAsia" w:cs="宋体"/>
                <w:sz w:val="18"/>
                <w:szCs w:val="18"/>
              </w:rPr>
              <w:t>能源和动力</w:t>
            </w:r>
          </w:p>
        </w:tc>
        <w:tc>
          <w:tcPr>
            <w:tcW w:w="174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5,115,707.60</w:t>
            </w:r>
          </w:p>
        </w:tc>
        <w:tc>
          <w:tcPr>
            <w:tcW w:w="10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0.05%</w:t>
            </w:r>
          </w:p>
        </w:tc>
        <w:tc>
          <w:tcPr>
            <w:tcW w:w="19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10,691,875.12</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0.07%</w:t>
            </w:r>
          </w:p>
        </w:tc>
        <w:tc>
          <w:tcPr>
            <w:tcW w:w="102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-52.15%</w:t>
            </w:r>
          </w:p>
        </w:tc>
      </w:tr>
      <w:tr w:rsidR="00831C3C" w:rsidRPr="00831C3C" w:rsidTr="00617E66">
        <w:trPr>
          <w:trHeight w:val="240"/>
        </w:trPr>
        <w:tc>
          <w:tcPr>
            <w:tcW w:w="12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Theme="minorEastAsia" w:hAnsiTheme="minorEastAsia" w:cs="宋体"/>
                <w:sz w:val="18"/>
                <w:szCs w:val="18"/>
              </w:rPr>
            </w:pPr>
            <w:proofErr w:type="gramStart"/>
            <w:r w:rsidRPr="00831C3C">
              <w:rPr>
                <w:rFonts w:asciiTheme="minorEastAsia" w:hAnsiTheme="minorEastAsia" w:cs="宋体"/>
                <w:sz w:val="18"/>
                <w:szCs w:val="18"/>
              </w:rPr>
              <w:t>袜</w:t>
            </w:r>
            <w:proofErr w:type="gramEnd"/>
            <w:r w:rsidRPr="00831C3C">
              <w:rPr>
                <w:rFonts w:asciiTheme="minorEastAsia" w:hAnsiTheme="minorEastAsia" w:cs="宋体"/>
                <w:sz w:val="18"/>
                <w:szCs w:val="18"/>
              </w:rPr>
              <w:t>制品</w:t>
            </w:r>
          </w:p>
        </w:tc>
        <w:tc>
          <w:tcPr>
            <w:tcW w:w="151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Theme="minorEastAsia" w:hAnsiTheme="minorEastAsia" w:cs="宋体"/>
                <w:sz w:val="18"/>
                <w:szCs w:val="18"/>
              </w:rPr>
            </w:pPr>
            <w:r w:rsidRPr="00831C3C">
              <w:rPr>
                <w:rFonts w:asciiTheme="minorEastAsia" w:hAnsiTheme="minorEastAsia" w:cs="宋体"/>
                <w:sz w:val="18"/>
                <w:szCs w:val="18"/>
              </w:rPr>
              <w:t>销售运费及佣金</w:t>
            </w:r>
          </w:p>
        </w:tc>
        <w:tc>
          <w:tcPr>
            <w:tcW w:w="174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10,231,415.20</w:t>
            </w:r>
          </w:p>
        </w:tc>
        <w:tc>
          <w:tcPr>
            <w:tcW w:w="10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0.10%</w:t>
            </w:r>
          </w:p>
        </w:tc>
        <w:tc>
          <w:tcPr>
            <w:tcW w:w="19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29,937,439.88</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0.19%</w:t>
            </w:r>
          </w:p>
        </w:tc>
        <w:tc>
          <w:tcPr>
            <w:tcW w:w="102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-65.82%</w:t>
            </w:r>
          </w:p>
        </w:tc>
      </w:tr>
      <w:tr w:rsidR="00831C3C" w:rsidRPr="00831C3C" w:rsidTr="00617E66">
        <w:trPr>
          <w:trHeight w:val="240"/>
        </w:trPr>
        <w:tc>
          <w:tcPr>
            <w:tcW w:w="12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Theme="minorEastAsia" w:hAnsiTheme="minorEastAsia" w:cs="宋体"/>
                <w:sz w:val="18"/>
                <w:szCs w:val="18"/>
              </w:rPr>
            </w:pPr>
            <w:proofErr w:type="gramStart"/>
            <w:r w:rsidRPr="00831C3C">
              <w:rPr>
                <w:rFonts w:asciiTheme="minorEastAsia" w:hAnsiTheme="minorEastAsia" w:cs="宋体"/>
                <w:sz w:val="18"/>
                <w:szCs w:val="18"/>
              </w:rPr>
              <w:lastRenderedPageBreak/>
              <w:t>袜</w:t>
            </w:r>
            <w:proofErr w:type="gramEnd"/>
            <w:r w:rsidRPr="00831C3C">
              <w:rPr>
                <w:rFonts w:asciiTheme="minorEastAsia" w:hAnsiTheme="minorEastAsia" w:cs="宋体"/>
                <w:sz w:val="18"/>
                <w:szCs w:val="18"/>
              </w:rPr>
              <w:t>制品</w:t>
            </w:r>
          </w:p>
        </w:tc>
        <w:tc>
          <w:tcPr>
            <w:tcW w:w="151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Theme="minorEastAsia" w:hAnsiTheme="minorEastAsia" w:cs="宋体"/>
                <w:sz w:val="18"/>
                <w:szCs w:val="18"/>
              </w:rPr>
            </w:pPr>
            <w:r w:rsidRPr="00831C3C">
              <w:rPr>
                <w:rFonts w:asciiTheme="minorEastAsia" w:hAnsiTheme="minorEastAsia" w:cs="宋体"/>
                <w:sz w:val="18"/>
                <w:szCs w:val="18"/>
              </w:rPr>
              <w:t>其他</w:t>
            </w:r>
          </w:p>
        </w:tc>
        <w:tc>
          <w:tcPr>
            <w:tcW w:w="174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1,705,235.87</w:t>
            </w:r>
          </w:p>
        </w:tc>
        <w:tc>
          <w:tcPr>
            <w:tcW w:w="10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0.02%</w:t>
            </w:r>
          </w:p>
        </w:tc>
        <w:tc>
          <w:tcPr>
            <w:tcW w:w="19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5,579,383.43</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0.03%</w:t>
            </w:r>
          </w:p>
        </w:tc>
        <w:tc>
          <w:tcPr>
            <w:tcW w:w="102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-69.44%</w:t>
            </w:r>
          </w:p>
        </w:tc>
      </w:tr>
      <w:tr w:rsidR="00831C3C" w:rsidRPr="00831C3C" w:rsidTr="00617E66">
        <w:trPr>
          <w:trHeight w:val="240"/>
        </w:trPr>
        <w:tc>
          <w:tcPr>
            <w:tcW w:w="12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Theme="minorEastAsia" w:hAnsiTheme="minorEastAsia" w:cs="宋体"/>
                <w:sz w:val="18"/>
                <w:szCs w:val="18"/>
              </w:rPr>
            </w:pPr>
            <w:proofErr w:type="gramStart"/>
            <w:r w:rsidRPr="00831C3C">
              <w:rPr>
                <w:rFonts w:asciiTheme="minorEastAsia" w:hAnsiTheme="minorEastAsia" w:cs="宋体"/>
                <w:sz w:val="18"/>
                <w:szCs w:val="18"/>
              </w:rPr>
              <w:t>算力</w:t>
            </w:r>
            <w:proofErr w:type="gramEnd"/>
          </w:p>
        </w:tc>
        <w:tc>
          <w:tcPr>
            <w:tcW w:w="151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Theme="minorEastAsia" w:hAnsiTheme="minorEastAsia" w:cs="宋体"/>
                <w:sz w:val="18"/>
                <w:szCs w:val="18"/>
              </w:rPr>
            </w:pPr>
            <w:proofErr w:type="gramStart"/>
            <w:r w:rsidRPr="00831C3C">
              <w:rPr>
                <w:rFonts w:asciiTheme="minorEastAsia" w:hAnsiTheme="minorEastAsia" w:cs="宋体"/>
                <w:sz w:val="18"/>
                <w:szCs w:val="18"/>
              </w:rPr>
              <w:t>算力</w:t>
            </w:r>
            <w:proofErr w:type="gramEnd"/>
          </w:p>
        </w:tc>
        <w:tc>
          <w:tcPr>
            <w:tcW w:w="174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21,431,435.11</w:t>
            </w:r>
          </w:p>
        </w:tc>
        <w:tc>
          <w:tcPr>
            <w:tcW w:w="10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0.21%</w:t>
            </w:r>
          </w:p>
        </w:tc>
        <w:tc>
          <w:tcPr>
            <w:tcW w:w="19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Theme="minorEastAsia" w:hAnsiTheme="minorEastAsia" w:cs="宋体"/>
                <w:sz w:val="18"/>
                <w:szCs w:val="18"/>
              </w:rPr>
            </w:pP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Theme="minorEastAsia" w:hAnsiTheme="minorEastAsia" w:cs="宋体"/>
                <w:sz w:val="18"/>
                <w:szCs w:val="18"/>
              </w:rPr>
            </w:pPr>
          </w:p>
        </w:tc>
        <w:tc>
          <w:tcPr>
            <w:tcW w:w="102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Theme="minorEastAsia" w:hAnsiTheme="minorEastAsia" w:cs="宋体"/>
                <w:sz w:val="18"/>
                <w:szCs w:val="18"/>
              </w:rPr>
            </w:pPr>
          </w:p>
        </w:tc>
      </w:tr>
      <w:tr w:rsidR="00831C3C" w:rsidRPr="00831C3C" w:rsidTr="00617E66">
        <w:trPr>
          <w:trHeight w:val="240"/>
        </w:trPr>
        <w:tc>
          <w:tcPr>
            <w:tcW w:w="12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Theme="minorEastAsia" w:hAnsiTheme="minorEastAsia" w:cs="宋体"/>
                <w:sz w:val="18"/>
                <w:szCs w:val="18"/>
              </w:rPr>
            </w:pPr>
            <w:r w:rsidRPr="00831C3C">
              <w:rPr>
                <w:rFonts w:asciiTheme="minorEastAsia" w:hAnsiTheme="minorEastAsia" w:cs="宋体"/>
                <w:sz w:val="18"/>
                <w:szCs w:val="18"/>
              </w:rPr>
              <w:t>其他业务成本</w:t>
            </w:r>
          </w:p>
        </w:tc>
        <w:tc>
          <w:tcPr>
            <w:tcW w:w="151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Theme="minorEastAsia" w:hAnsiTheme="minorEastAsia" w:cs="宋体"/>
                <w:sz w:val="18"/>
                <w:szCs w:val="18"/>
              </w:rPr>
            </w:pPr>
            <w:r w:rsidRPr="00831C3C">
              <w:rPr>
                <w:rFonts w:asciiTheme="minorEastAsia" w:hAnsiTheme="minorEastAsia" w:cs="宋体"/>
                <w:sz w:val="18"/>
                <w:szCs w:val="18"/>
              </w:rPr>
              <w:t>其他</w:t>
            </w:r>
          </w:p>
        </w:tc>
        <w:tc>
          <w:tcPr>
            <w:tcW w:w="174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23,559,827.19</w:t>
            </w:r>
          </w:p>
        </w:tc>
        <w:tc>
          <w:tcPr>
            <w:tcW w:w="10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0.23%</w:t>
            </w:r>
          </w:p>
        </w:tc>
        <w:tc>
          <w:tcPr>
            <w:tcW w:w="19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19,147,058.82</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0.15%</w:t>
            </w:r>
          </w:p>
        </w:tc>
        <w:tc>
          <w:tcPr>
            <w:tcW w:w="102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Theme="minorEastAsia" w:hAnsiTheme="minorEastAsia" w:cs="宋体"/>
                <w:sz w:val="18"/>
                <w:szCs w:val="18"/>
              </w:rPr>
            </w:pPr>
            <w:r w:rsidRPr="00831C3C">
              <w:rPr>
                <w:rFonts w:asciiTheme="minorEastAsia" w:hAnsiTheme="minorEastAsia" w:cs="宋体"/>
                <w:sz w:val="18"/>
                <w:szCs w:val="18"/>
              </w:rPr>
              <w:t>23.05%</w:t>
            </w:r>
          </w:p>
        </w:tc>
      </w:tr>
    </w:tbl>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25" w:name="_Toc988914"/>
      <w:r w:rsidRPr="00831C3C">
        <w:rPr>
          <w:rFonts w:ascii="宋体" w:eastAsia="宋体" w:hAnsi="宋体" w:cs="宋体"/>
          <w:b/>
          <w:bCs/>
          <w:sz w:val="18"/>
          <w:szCs w:val="18"/>
        </w:rPr>
        <w:t>（6） 报告期内合并范围是否发生变动</w:t>
      </w:r>
      <w:bookmarkEnd w:id="25"/>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是 □否</w:t>
      </w:r>
    </w:p>
    <w:p w:rsidR="00C65FD5" w:rsidRPr="00831C3C" w:rsidRDefault="00C65FD5">
      <w:pPr>
        <w:pStyle w:val="a3"/>
        <w:divId w:val="1390768372"/>
        <w:rPr>
          <w:sz w:val="18"/>
          <w:szCs w:val="18"/>
        </w:rPr>
      </w:pPr>
      <w:r w:rsidRPr="00831C3C">
        <w:rPr>
          <w:rFonts w:hint="eastAsia"/>
          <w:sz w:val="18"/>
          <w:szCs w:val="18"/>
        </w:rPr>
        <w:t>1、本期新纳入合并范围的子公司</w:t>
      </w:r>
    </w:p>
    <w:tbl>
      <w:tblPr>
        <w:tblW w:w="9517" w:type="dxa"/>
        <w:jc w:val="center"/>
        <w:tblInd w:w="-372" w:type="dxa"/>
        <w:tblLayout w:type="fixed"/>
        <w:tblCellMar>
          <w:left w:w="0" w:type="dxa"/>
          <w:right w:w="0" w:type="dxa"/>
        </w:tblCellMar>
        <w:tblLook w:val="04A0" w:firstRow="1" w:lastRow="0" w:firstColumn="1" w:lastColumn="0" w:noHBand="0" w:noVBand="1"/>
      </w:tblPr>
      <w:tblGrid>
        <w:gridCol w:w="5128"/>
        <w:gridCol w:w="4389"/>
      </w:tblGrid>
      <w:tr w:rsidR="00831C3C" w:rsidRPr="00831C3C" w:rsidTr="00617E66">
        <w:trPr>
          <w:divId w:val="1390768372"/>
          <w:trHeight w:val="240"/>
          <w:jc w:val="center"/>
        </w:trPr>
        <w:tc>
          <w:tcPr>
            <w:tcW w:w="51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65FD5" w:rsidRPr="00831C3C" w:rsidRDefault="00C65FD5" w:rsidP="00617E66">
            <w:pPr>
              <w:spacing w:before="40" w:after="40" w:line="240" w:lineRule="exact"/>
              <w:jc w:val="center"/>
              <w:rPr>
                <w:rFonts w:ascii="宋体" w:eastAsia="宋体" w:hAnsi="宋体" w:cs="宋体"/>
                <w:sz w:val="18"/>
                <w:szCs w:val="18"/>
              </w:rPr>
            </w:pPr>
            <w:r w:rsidRPr="00831C3C">
              <w:rPr>
                <w:rFonts w:ascii="宋体" w:eastAsia="宋体" w:hAnsi="宋体" w:cs="宋体" w:hint="eastAsia"/>
                <w:sz w:val="18"/>
                <w:szCs w:val="18"/>
              </w:rPr>
              <w:t>名称</w:t>
            </w:r>
          </w:p>
        </w:tc>
        <w:tc>
          <w:tcPr>
            <w:tcW w:w="4389"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rsidP="00617E66">
            <w:pPr>
              <w:spacing w:before="40" w:after="40" w:line="240" w:lineRule="exact"/>
              <w:jc w:val="center"/>
              <w:rPr>
                <w:rFonts w:ascii="宋体" w:eastAsia="宋体" w:hAnsi="宋体" w:cs="宋体"/>
                <w:sz w:val="18"/>
                <w:szCs w:val="18"/>
              </w:rPr>
            </w:pPr>
            <w:r w:rsidRPr="00831C3C">
              <w:rPr>
                <w:rFonts w:ascii="宋体" w:eastAsia="宋体" w:hAnsi="宋体" w:cs="宋体" w:hint="eastAsia"/>
                <w:sz w:val="18"/>
                <w:szCs w:val="18"/>
              </w:rPr>
              <w:t>变更原因</w:t>
            </w:r>
          </w:p>
        </w:tc>
      </w:tr>
      <w:tr w:rsidR="00831C3C" w:rsidRPr="00831C3C" w:rsidTr="00617E66">
        <w:trPr>
          <w:divId w:val="1390768372"/>
          <w:trHeight w:val="240"/>
          <w:jc w:val="center"/>
        </w:trPr>
        <w:tc>
          <w:tcPr>
            <w:tcW w:w="5128"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20"/>
                <w:szCs w:val="20"/>
              </w:rPr>
            </w:pPr>
            <w:r w:rsidRPr="00831C3C">
              <w:rPr>
                <w:rFonts w:hint="eastAsia"/>
                <w:sz w:val="20"/>
                <w:szCs w:val="20"/>
              </w:rPr>
              <w:t>华</w:t>
            </w:r>
            <w:proofErr w:type="gramStart"/>
            <w:r w:rsidRPr="00831C3C">
              <w:rPr>
                <w:rFonts w:hint="eastAsia"/>
                <w:sz w:val="20"/>
                <w:szCs w:val="20"/>
              </w:rPr>
              <w:t>孚智算</w:t>
            </w:r>
            <w:proofErr w:type="gramEnd"/>
            <w:r w:rsidRPr="00831C3C">
              <w:rPr>
                <w:rFonts w:hint="eastAsia"/>
                <w:sz w:val="20"/>
                <w:szCs w:val="20"/>
              </w:rPr>
              <w:t>（上海）网络有限公司</w:t>
            </w:r>
          </w:p>
        </w:tc>
        <w:tc>
          <w:tcPr>
            <w:tcW w:w="438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20"/>
                <w:szCs w:val="20"/>
              </w:rPr>
            </w:pPr>
            <w:r w:rsidRPr="00831C3C">
              <w:rPr>
                <w:rFonts w:hint="eastAsia"/>
                <w:sz w:val="20"/>
                <w:szCs w:val="20"/>
              </w:rPr>
              <w:t>新设</w:t>
            </w:r>
          </w:p>
        </w:tc>
      </w:tr>
      <w:tr w:rsidR="00831C3C" w:rsidRPr="00831C3C" w:rsidTr="00617E66">
        <w:trPr>
          <w:divId w:val="1390768372"/>
          <w:trHeight w:val="240"/>
          <w:jc w:val="center"/>
        </w:trPr>
        <w:tc>
          <w:tcPr>
            <w:tcW w:w="5128"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20"/>
                <w:szCs w:val="20"/>
              </w:rPr>
            </w:pPr>
            <w:r w:rsidRPr="00831C3C">
              <w:rPr>
                <w:rFonts w:hint="eastAsia"/>
                <w:sz w:val="20"/>
                <w:szCs w:val="20"/>
              </w:rPr>
              <w:t>新疆华孚人工智能科技有限公司</w:t>
            </w:r>
          </w:p>
        </w:tc>
        <w:tc>
          <w:tcPr>
            <w:tcW w:w="438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20"/>
                <w:szCs w:val="20"/>
              </w:rPr>
            </w:pPr>
            <w:r w:rsidRPr="00831C3C">
              <w:rPr>
                <w:rFonts w:hint="eastAsia"/>
                <w:sz w:val="20"/>
                <w:szCs w:val="20"/>
              </w:rPr>
              <w:t>新设</w:t>
            </w:r>
          </w:p>
        </w:tc>
      </w:tr>
      <w:tr w:rsidR="00831C3C" w:rsidRPr="00831C3C" w:rsidTr="00617E66">
        <w:trPr>
          <w:divId w:val="1390768372"/>
          <w:trHeight w:val="240"/>
          <w:jc w:val="center"/>
        </w:trPr>
        <w:tc>
          <w:tcPr>
            <w:tcW w:w="5128"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20"/>
                <w:szCs w:val="20"/>
              </w:rPr>
            </w:pPr>
            <w:r w:rsidRPr="00831C3C">
              <w:rPr>
                <w:rFonts w:hint="eastAsia"/>
                <w:sz w:val="20"/>
                <w:szCs w:val="20"/>
              </w:rPr>
              <w:t>绍兴</w:t>
            </w:r>
            <w:proofErr w:type="gramStart"/>
            <w:r w:rsidRPr="00831C3C">
              <w:rPr>
                <w:rFonts w:hint="eastAsia"/>
                <w:sz w:val="20"/>
                <w:szCs w:val="20"/>
              </w:rPr>
              <w:t>智宽科技</w:t>
            </w:r>
            <w:proofErr w:type="gramEnd"/>
            <w:r w:rsidRPr="00831C3C">
              <w:rPr>
                <w:rFonts w:hint="eastAsia"/>
                <w:sz w:val="20"/>
                <w:szCs w:val="20"/>
              </w:rPr>
              <w:t>有限公司</w:t>
            </w:r>
          </w:p>
        </w:tc>
        <w:tc>
          <w:tcPr>
            <w:tcW w:w="438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20"/>
                <w:szCs w:val="20"/>
              </w:rPr>
            </w:pPr>
            <w:r w:rsidRPr="00831C3C">
              <w:rPr>
                <w:rFonts w:hint="eastAsia"/>
                <w:sz w:val="20"/>
                <w:szCs w:val="20"/>
              </w:rPr>
              <w:t>新设</w:t>
            </w:r>
          </w:p>
        </w:tc>
      </w:tr>
      <w:tr w:rsidR="00831C3C" w:rsidRPr="00831C3C" w:rsidTr="00617E66">
        <w:trPr>
          <w:divId w:val="1390768372"/>
          <w:trHeight w:val="240"/>
          <w:jc w:val="center"/>
        </w:trPr>
        <w:tc>
          <w:tcPr>
            <w:tcW w:w="5128"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20"/>
                <w:szCs w:val="20"/>
              </w:rPr>
            </w:pPr>
            <w:r w:rsidRPr="00831C3C">
              <w:rPr>
                <w:rFonts w:hint="eastAsia"/>
                <w:sz w:val="20"/>
                <w:szCs w:val="20"/>
              </w:rPr>
              <w:t>新疆华孚智算科技有限公司</w:t>
            </w:r>
          </w:p>
        </w:tc>
        <w:tc>
          <w:tcPr>
            <w:tcW w:w="438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20"/>
                <w:szCs w:val="20"/>
              </w:rPr>
            </w:pPr>
            <w:r w:rsidRPr="00831C3C">
              <w:rPr>
                <w:rFonts w:hint="eastAsia"/>
                <w:sz w:val="20"/>
                <w:szCs w:val="20"/>
              </w:rPr>
              <w:t>新设</w:t>
            </w:r>
          </w:p>
        </w:tc>
      </w:tr>
      <w:tr w:rsidR="00831C3C" w:rsidRPr="00831C3C" w:rsidTr="00617E66">
        <w:trPr>
          <w:divId w:val="1390768372"/>
          <w:trHeight w:val="240"/>
          <w:jc w:val="center"/>
        </w:trPr>
        <w:tc>
          <w:tcPr>
            <w:tcW w:w="5128"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20"/>
                <w:szCs w:val="20"/>
              </w:rPr>
            </w:pPr>
            <w:proofErr w:type="gramStart"/>
            <w:r w:rsidRPr="00831C3C">
              <w:rPr>
                <w:rFonts w:hint="eastAsia"/>
                <w:sz w:val="20"/>
                <w:szCs w:val="20"/>
              </w:rPr>
              <w:t>绍兴华孚智算</w:t>
            </w:r>
            <w:proofErr w:type="gramEnd"/>
            <w:r w:rsidRPr="00831C3C">
              <w:rPr>
                <w:rFonts w:hint="eastAsia"/>
                <w:sz w:val="20"/>
                <w:szCs w:val="20"/>
              </w:rPr>
              <w:t>科技有限公司</w:t>
            </w:r>
          </w:p>
        </w:tc>
        <w:tc>
          <w:tcPr>
            <w:tcW w:w="438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20"/>
                <w:szCs w:val="20"/>
              </w:rPr>
            </w:pPr>
            <w:r w:rsidRPr="00831C3C">
              <w:rPr>
                <w:rFonts w:hint="eastAsia"/>
                <w:sz w:val="20"/>
                <w:szCs w:val="20"/>
              </w:rPr>
              <w:t>新设</w:t>
            </w:r>
          </w:p>
        </w:tc>
      </w:tr>
      <w:tr w:rsidR="00831C3C" w:rsidRPr="00831C3C" w:rsidTr="00617E66">
        <w:trPr>
          <w:divId w:val="1390768372"/>
          <w:trHeight w:val="240"/>
          <w:jc w:val="center"/>
        </w:trPr>
        <w:tc>
          <w:tcPr>
            <w:tcW w:w="5128"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20"/>
                <w:szCs w:val="20"/>
              </w:rPr>
            </w:pPr>
            <w:r w:rsidRPr="00831C3C">
              <w:rPr>
                <w:rFonts w:hint="eastAsia"/>
                <w:sz w:val="20"/>
                <w:szCs w:val="20"/>
              </w:rPr>
              <w:t>喀什</w:t>
            </w:r>
            <w:proofErr w:type="gramStart"/>
            <w:r w:rsidRPr="00831C3C">
              <w:rPr>
                <w:rFonts w:hint="eastAsia"/>
                <w:sz w:val="20"/>
                <w:szCs w:val="20"/>
              </w:rPr>
              <w:t>暄</w:t>
            </w:r>
            <w:proofErr w:type="gramEnd"/>
            <w:r w:rsidRPr="00831C3C">
              <w:rPr>
                <w:rFonts w:hint="eastAsia"/>
                <w:sz w:val="20"/>
                <w:szCs w:val="20"/>
              </w:rPr>
              <w:t>纺棉花有限公司</w:t>
            </w:r>
          </w:p>
        </w:tc>
        <w:tc>
          <w:tcPr>
            <w:tcW w:w="438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20"/>
                <w:szCs w:val="20"/>
              </w:rPr>
            </w:pPr>
            <w:r w:rsidRPr="00831C3C">
              <w:rPr>
                <w:rFonts w:hint="eastAsia"/>
                <w:sz w:val="20"/>
                <w:szCs w:val="20"/>
              </w:rPr>
              <w:t>新设</w:t>
            </w:r>
          </w:p>
        </w:tc>
      </w:tr>
      <w:tr w:rsidR="00831C3C" w:rsidRPr="00831C3C" w:rsidTr="00617E66">
        <w:trPr>
          <w:divId w:val="1390768372"/>
          <w:trHeight w:val="240"/>
          <w:jc w:val="center"/>
        </w:trPr>
        <w:tc>
          <w:tcPr>
            <w:tcW w:w="5128"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20"/>
                <w:szCs w:val="20"/>
              </w:rPr>
            </w:pPr>
            <w:r w:rsidRPr="00831C3C">
              <w:rPr>
                <w:rFonts w:hint="eastAsia"/>
                <w:sz w:val="20"/>
                <w:szCs w:val="20"/>
              </w:rPr>
              <w:t>兰溪市</w:t>
            </w:r>
            <w:proofErr w:type="gramStart"/>
            <w:r w:rsidRPr="00831C3C">
              <w:rPr>
                <w:rFonts w:hint="eastAsia"/>
                <w:sz w:val="20"/>
                <w:szCs w:val="20"/>
              </w:rPr>
              <w:t>菁英数字</w:t>
            </w:r>
            <w:proofErr w:type="gramEnd"/>
            <w:r w:rsidRPr="00831C3C">
              <w:rPr>
                <w:rFonts w:hint="eastAsia"/>
                <w:sz w:val="20"/>
                <w:szCs w:val="20"/>
              </w:rPr>
              <w:t>产业发展有限公司</w:t>
            </w:r>
          </w:p>
        </w:tc>
        <w:tc>
          <w:tcPr>
            <w:tcW w:w="438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20"/>
                <w:szCs w:val="20"/>
              </w:rPr>
            </w:pPr>
            <w:r w:rsidRPr="00831C3C">
              <w:rPr>
                <w:rFonts w:hint="eastAsia"/>
                <w:sz w:val="20"/>
                <w:szCs w:val="20"/>
              </w:rPr>
              <w:t>新设</w:t>
            </w:r>
          </w:p>
        </w:tc>
      </w:tr>
      <w:tr w:rsidR="00831C3C" w:rsidRPr="00831C3C" w:rsidTr="00617E66">
        <w:trPr>
          <w:divId w:val="1390768372"/>
          <w:trHeight w:val="240"/>
          <w:jc w:val="center"/>
        </w:trPr>
        <w:tc>
          <w:tcPr>
            <w:tcW w:w="5128"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20"/>
                <w:szCs w:val="20"/>
              </w:rPr>
            </w:pPr>
            <w:r w:rsidRPr="00831C3C">
              <w:rPr>
                <w:rFonts w:hint="eastAsia"/>
                <w:sz w:val="20"/>
                <w:szCs w:val="20"/>
              </w:rPr>
              <w:t>新疆华孚种业科技股份有限公司</w:t>
            </w:r>
          </w:p>
        </w:tc>
        <w:tc>
          <w:tcPr>
            <w:tcW w:w="438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20"/>
                <w:szCs w:val="20"/>
              </w:rPr>
            </w:pPr>
            <w:r w:rsidRPr="00831C3C">
              <w:rPr>
                <w:rFonts w:hint="eastAsia"/>
                <w:sz w:val="20"/>
                <w:szCs w:val="20"/>
              </w:rPr>
              <w:t>新设</w:t>
            </w:r>
          </w:p>
        </w:tc>
      </w:tr>
      <w:tr w:rsidR="00831C3C" w:rsidRPr="00831C3C" w:rsidTr="00617E66">
        <w:trPr>
          <w:divId w:val="1390768372"/>
          <w:trHeight w:val="240"/>
          <w:jc w:val="center"/>
        </w:trPr>
        <w:tc>
          <w:tcPr>
            <w:tcW w:w="5128"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20"/>
                <w:szCs w:val="20"/>
              </w:rPr>
            </w:pPr>
            <w:r w:rsidRPr="00831C3C">
              <w:rPr>
                <w:rFonts w:hint="eastAsia"/>
                <w:sz w:val="20"/>
                <w:szCs w:val="20"/>
              </w:rPr>
              <w:t>东阳市广厦</w:t>
            </w:r>
            <w:proofErr w:type="gramStart"/>
            <w:r w:rsidRPr="00831C3C">
              <w:rPr>
                <w:rFonts w:hint="eastAsia"/>
                <w:sz w:val="20"/>
                <w:szCs w:val="20"/>
              </w:rPr>
              <w:t>菁英创业</w:t>
            </w:r>
            <w:proofErr w:type="gramEnd"/>
            <w:r w:rsidRPr="00831C3C">
              <w:rPr>
                <w:rFonts w:hint="eastAsia"/>
                <w:sz w:val="20"/>
                <w:szCs w:val="20"/>
              </w:rPr>
              <w:t>服务有限公司</w:t>
            </w:r>
          </w:p>
        </w:tc>
        <w:tc>
          <w:tcPr>
            <w:tcW w:w="438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20"/>
                <w:szCs w:val="20"/>
              </w:rPr>
            </w:pPr>
            <w:r w:rsidRPr="00831C3C">
              <w:rPr>
                <w:rFonts w:hint="eastAsia"/>
                <w:sz w:val="20"/>
                <w:szCs w:val="20"/>
              </w:rPr>
              <w:t>新设</w:t>
            </w:r>
          </w:p>
        </w:tc>
      </w:tr>
      <w:tr w:rsidR="00831C3C" w:rsidRPr="00831C3C" w:rsidTr="00617E66">
        <w:trPr>
          <w:divId w:val="1390768372"/>
          <w:trHeight w:val="240"/>
          <w:jc w:val="center"/>
        </w:trPr>
        <w:tc>
          <w:tcPr>
            <w:tcW w:w="5128"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20"/>
                <w:szCs w:val="20"/>
              </w:rPr>
            </w:pPr>
            <w:r w:rsidRPr="00831C3C">
              <w:rPr>
                <w:rFonts w:hint="eastAsia"/>
                <w:sz w:val="20"/>
                <w:szCs w:val="20"/>
              </w:rPr>
              <w:t>浙江尚春酒店有限公司</w:t>
            </w:r>
          </w:p>
        </w:tc>
        <w:tc>
          <w:tcPr>
            <w:tcW w:w="438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20"/>
                <w:szCs w:val="20"/>
              </w:rPr>
            </w:pPr>
            <w:r w:rsidRPr="00831C3C">
              <w:rPr>
                <w:rFonts w:hint="eastAsia"/>
                <w:sz w:val="20"/>
                <w:szCs w:val="20"/>
              </w:rPr>
              <w:t>新设</w:t>
            </w:r>
          </w:p>
        </w:tc>
      </w:tr>
    </w:tbl>
    <w:p w:rsidR="00C65FD5" w:rsidRPr="00831C3C" w:rsidRDefault="00C65FD5">
      <w:pPr>
        <w:pStyle w:val="a3"/>
        <w:divId w:val="1390768372"/>
        <w:rPr>
          <w:sz w:val="18"/>
          <w:szCs w:val="18"/>
        </w:rPr>
      </w:pPr>
      <w:r w:rsidRPr="00831C3C">
        <w:rPr>
          <w:rFonts w:hint="eastAsia"/>
          <w:sz w:val="18"/>
          <w:szCs w:val="18"/>
        </w:rPr>
        <w:t>2、本期不纳入合并范围的子公司</w:t>
      </w:r>
    </w:p>
    <w:tbl>
      <w:tblPr>
        <w:tblW w:w="9513" w:type="dxa"/>
        <w:jc w:val="center"/>
        <w:tblLayout w:type="fixed"/>
        <w:tblCellMar>
          <w:left w:w="0" w:type="dxa"/>
          <w:right w:w="0" w:type="dxa"/>
        </w:tblCellMar>
        <w:tblLook w:val="04A0" w:firstRow="1" w:lastRow="0" w:firstColumn="1" w:lastColumn="0" w:noHBand="0" w:noVBand="1"/>
      </w:tblPr>
      <w:tblGrid>
        <w:gridCol w:w="4756"/>
        <w:gridCol w:w="4757"/>
      </w:tblGrid>
      <w:tr w:rsidR="00831C3C" w:rsidRPr="00831C3C" w:rsidTr="00617E66">
        <w:trPr>
          <w:divId w:val="1390768372"/>
          <w:trHeight w:val="240"/>
          <w:jc w:val="center"/>
        </w:trPr>
        <w:tc>
          <w:tcPr>
            <w:tcW w:w="475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20"/>
                <w:szCs w:val="20"/>
              </w:rPr>
            </w:pPr>
            <w:r w:rsidRPr="00831C3C">
              <w:rPr>
                <w:rFonts w:hint="eastAsia"/>
                <w:sz w:val="20"/>
                <w:szCs w:val="20"/>
              </w:rPr>
              <w:t>名称</w:t>
            </w:r>
          </w:p>
        </w:tc>
        <w:tc>
          <w:tcPr>
            <w:tcW w:w="4757"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20"/>
                <w:szCs w:val="20"/>
              </w:rPr>
            </w:pPr>
            <w:r w:rsidRPr="00831C3C">
              <w:rPr>
                <w:rFonts w:hint="eastAsia"/>
                <w:sz w:val="20"/>
                <w:szCs w:val="20"/>
              </w:rPr>
              <w:t>变更原因</w:t>
            </w:r>
          </w:p>
        </w:tc>
      </w:tr>
      <w:tr w:rsidR="00831C3C" w:rsidRPr="00831C3C" w:rsidTr="00617E66">
        <w:trPr>
          <w:divId w:val="1390768372"/>
          <w:trHeight w:val="240"/>
          <w:jc w:val="center"/>
        </w:trPr>
        <w:tc>
          <w:tcPr>
            <w:tcW w:w="4756"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20"/>
                <w:szCs w:val="20"/>
              </w:rPr>
            </w:pPr>
            <w:r w:rsidRPr="00831C3C">
              <w:rPr>
                <w:rFonts w:hint="eastAsia"/>
                <w:sz w:val="20"/>
                <w:szCs w:val="20"/>
              </w:rPr>
              <w:t>阿瓦提华</w:t>
            </w:r>
            <w:proofErr w:type="gramStart"/>
            <w:r w:rsidRPr="00831C3C">
              <w:rPr>
                <w:rFonts w:hint="eastAsia"/>
                <w:sz w:val="20"/>
                <w:szCs w:val="20"/>
              </w:rPr>
              <w:t>孚</w:t>
            </w:r>
            <w:proofErr w:type="gramEnd"/>
            <w:r w:rsidRPr="00831C3C">
              <w:rPr>
                <w:rFonts w:hint="eastAsia"/>
                <w:sz w:val="20"/>
                <w:szCs w:val="20"/>
              </w:rPr>
              <w:t>纺织有限公司</w:t>
            </w:r>
          </w:p>
        </w:tc>
        <w:tc>
          <w:tcPr>
            <w:tcW w:w="475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20"/>
                <w:szCs w:val="20"/>
              </w:rPr>
            </w:pPr>
            <w:r w:rsidRPr="00831C3C">
              <w:rPr>
                <w:rFonts w:hint="eastAsia"/>
                <w:sz w:val="20"/>
                <w:szCs w:val="20"/>
              </w:rPr>
              <w:t>注销</w:t>
            </w:r>
          </w:p>
        </w:tc>
      </w:tr>
      <w:tr w:rsidR="00831C3C" w:rsidRPr="00831C3C" w:rsidTr="00617E66">
        <w:trPr>
          <w:divId w:val="1390768372"/>
          <w:trHeight w:val="240"/>
          <w:jc w:val="center"/>
        </w:trPr>
        <w:tc>
          <w:tcPr>
            <w:tcW w:w="4756"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20"/>
                <w:szCs w:val="20"/>
              </w:rPr>
            </w:pPr>
            <w:r w:rsidRPr="00831C3C">
              <w:rPr>
                <w:rFonts w:hint="eastAsia"/>
                <w:sz w:val="20"/>
                <w:szCs w:val="20"/>
              </w:rPr>
              <w:t>浙江缙云华孚纺织有限公司</w:t>
            </w:r>
          </w:p>
        </w:tc>
        <w:tc>
          <w:tcPr>
            <w:tcW w:w="475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20"/>
                <w:szCs w:val="20"/>
              </w:rPr>
            </w:pPr>
            <w:r w:rsidRPr="00831C3C">
              <w:rPr>
                <w:rFonts w:hint="eastAsia"/>
                <w:sz w:val="20"/>
                <w:szCs w:val="20"/>
              </w:rPr>
              <w:t>注销</w:t>
            </w:r>
          </w:p>
        </w:tc>
      </w:tr>
      <w:tr w:rsidR="00831C3C" w:rsidRPr="00831C3C" w:rsidTr="00617E66">
        <w:trPr>
          <w:divId w:val="1390768372"/>
          <w:trHeight w:val="240"/>
          <w:jc w:val="center"/>
        </w:trPr>
        <w:tc>
          <w:tcPr>
            <w:tcW w:w="4756"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20"/>
                <w:szCs w:val="20"/>
              </w:rPr>
            </w:pPr>
            <w:r w:rsidRPr="00831C3C">
              <w:rPr>
                <w:rFonts w:hint="eastAsia"/>
                <w:sz w:val="20"/>
                <w:szCs w:val="20"/>
              </w:rPr>
              <w:t>余姚华</w:t>
            </w:r>
            <w:proofErr w:type="gramStart"/>
            <w:r w:rsidRPr="00831C3C">
              <w:rPr>
                <w:rFonts w:hint="eastAsia"/>
                <w:sz w:val="20"/>
                <w:szCs w:val="20"/>
              </w:rPr>
              <w:t>孚</w:t>
            </w:r>
            <w:proofErr w:type="gramEnd"/>
            <w:r w:rsidRPr="00831C3C">
              <w:rPr>
                <w:rFonts w:hint="eastAsia"/>
                <w:sz w:val="20"/>
                <w:szCs w:val="20"/>
              </w:rPr>
              <w:t>纺织有限公司</w:t>
            </w:r>
          </w:p>
        </w:tc>
        <w:tc>
          <w:tcPr>
            <w:tcW w:w="475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20"/>
                <w:szCs w:val="20"/>
              </w:rPr>
            </w:pPr>
            <w:r w:rsidRPr="00831C3C">
              <w:rPr>
                <w:rFonts w:hint="eastAsia"/>
                <w:sz w:val="20"/>
                <w:szCs w:val="20"/>
              </w:rPr>
              <w:t>注销</w:t>
            </w:r>
          </w:p>
        </w:tc>
      </w:tr>
      <w:tr w:rsidR="00831C3C" w:rsidRPr="00831C3C" w:rsidTr="00617E66">
        <w:trPr>
          <w:divId w:val="1390768372"/>
          <w:trHeight w:val="240"/>
          <w:jc w:val="center"/>
        </w:trPr>
        <w:tc>
          <w:tcPr>
            <w:tcW w:w="4756"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20"/>
                <w:szCs w:val="20"/>
              </w:rPr>
            </w:pPr>
            <w:r w:rsidRPr="00831C3C">
              <w:rPr>
                <w:rFonts w:hint="eastAsia"/>
                <w:sz w:val="20"/>
                <w:szCs w:val="20"/>
              </w:rPr>
              <w:t>浙江服人网络科技有限公司</w:t>
            </w:r>
          </w:p>
        </w:tc>
        <w:tc>
          <w:tcPr>
            <w:tcW w:w="475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20"/>
                <w:szCs w:val="20"/>
              </w:rPr>
            </w:pPr>
            <w:r w:rsidRPr="00831C3C">
              <w:rPr>
                <w:rFonts w:hint="eastAsia"/>
                <w:sz w:val="20"/>
                <w:szCs w:val="20"/>
              </w:rPr>
              <w:t>注销</w:t>
            </w:r>
          </w:p>
        </w:tc>
      </w:tr>
      <w:tr w:rsidR="00831C3C" w:rsidRPr="00831C3C" w:rsidTr="00617E66">
        <w:trPr>
          <w:divId w:val="1390768372"/>
          <w:trHeight w:val="240"/>
          <w:jc w:val="center"/>
        </w:trPr>
        <w:tc>
          <w:tcPr>
            <w:tcW w:w="4756"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20"/>
                <w:szCs w:val="20"/>
              </w:rPr>
            </w:pPr>
            <w:r w:rsidRPr="00831C3C">
              <w:rPr>
                <w:rFonts w:hint="eastAsia"/>
                <w:sz w:val="20"/>
                <w:szCs w:val="20"/>
              </w:rPr>
              <w:t>上海清澄时尚生活用品有限公司</w:t>
            </w:r>
          </w:p>
        </w:tc>
        <w:tc>
          <w:tcPr>
            <w:tcW w:w="475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20"/>
                <w:szCs w:val="20"/>
              </w:rPr>
            </w:pPr>
            <w:r w:rsidRPr="00831C3C">
              <w:rPr>
                <w:rFonts w:hint="eastAsia"/>
                <w:sz w:val="20"/>
                <w:szCs w:val="20"/>
              </w:rPr>
              <w:t>注销</w:t>
            </w:r>
          </w:p>
        </w:tc>
      </w:tr>
      <w:tr w:rsidR="00831C3C" w:rsidRPr="00831C3C" w:rsidTr="00617E66">
        <w:trPr>
          <w:divId w:val="1390768372"/>
          <w:trHeight w:val="240"/>
          <w:jc w:val="center"/>
        </w:trPr>
        <w:tc>
          <w:tcPr>
            <w:tcW w:w="4756"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20"/>
                <w:szCs w:val="20"/>
              </w:rPr>
            </w:pPr>
            <w:r w:rsidRPr="00831C3C">
              <w:rPr>
                <w:rFonts w:hint="eastAsia"/>
                <w:sz w:val="20"/>
                <w:szCs w:val="20"/>
              </w:rPr>
              <w:t>江苏</w:t>
            </w:r>
            <w:proofErr w:type="gramStart"/>
            <w:r w:rsidRPr="00831C3C">
              <w:rPr>
                <w:rFonts w:hint="eastAsia"/>
                <w:sz w:val="20"/>
                <w:szCs w:val="20"/>
              </w:rPr>
              <w:t>清澄家</w:t>
            </w:r>
            <w:proofErr w:type="gramEnd"/>
            <w:r w:rsidRPr="00831C3C">
              <w:rPr>
                <w:rFonts w:hint="eastAsia"/>
                <w:sz w:val="20"/>
                <w:szCs w:val="20"/>
              </w:rPr>
              <w:t>生活用品有限公司</w:t>
            </w:r>
          </w:p>
        </w:tc>
        <w:tc>
          <w:tcPr>
            <w:tcW w:w="475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20"/>
                <w:szCs w:val="20"/>
              </w:rPr>
            </w:pPr>
            <w:r w:rsidRPr="00831C3C">
              <w:rPr>
                <w:rFonts w:hint="eastAsia"/>
                <w:sz w:val="20"/>
                <w:szCs w:val="20"/>
              </w:rPr>
              <w:t>注销</w:t>
            </w:r>
          </w:p>
        </w:tc>
      </w:tr>
      <w:tr w:rsidR="00831C3C" w:rsidRPr="00831C3C" w:rsidTr="00617E66">
        <w:trPr>
          <w:divId w:val="1390768372"/>
          <w:trHeight w:val="240"/>
          <w:jc w:val="center"/>
        </w:trPr>
        <w:tc>
          <w:tcPr>
            <w:tcW w:w="4756"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20"/>
                <w:szCs w:val="20"/>
              </w:rPr>
            </w:pPr>
            <w:r w:rsidRPr="00831C3C">
              <w:rPr>
                <w:rFonts w:hint="eastAsia"/>
                <w:sz w:val="20"/>
                <w:szCs w:val="20"/>
              </w:rPr>
              <w:t>喀什</w:t>
            </w:r>
            <w:proofErr w:type="gramStart"/>
            <w:r w:rsidRPr="00831C3C">
              <w:rPr>
                <w:rFonts w:hint="eastAsia"/>
                <w:sz w:val="20"/>
                <w:szCs w:val="20"/>
              </w:rPr>
              <w:t>暄</w:t>
            </w:r>
            <w:proofErr w:type="gramEnd"/>
            <w:r w:rsidRPr="00831C3C">
              <w:rPr>
                <w:rFonts w:hint="eastAsia"/>
                <w:sz w:val="20"/>
                <w:szCs w:val="20"/>
              </w:rPr>
              <w:t>纺棉花有限公司</w:t>
            </w:r>
          </w:p>
        </w:tc>
        <w:tc>
          <w:tcPr>
            <w:tcW w:w="475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20"/>
                <w:szCs w:val="20"/>
              </w:rPr>
            </w:pPr>
            <w:proofErr w:type="gramStart"/>
            <w:r w:rsidRPr="00831C3C">
              <w:rPr>
                <w:rFonts w:hint="eastAsia"/>
                <w:sz w:val="20"/>
                <w:szCs w:val="20"/>
              </w:rPr>
              <w:t>非同控转让</w:t>
            </w:r>
            <w:proofErr w:type="gramEnd"/>
          </w:p>
        </w:tc>
      </w:tr>
      <w:tr w:rsidR="00831C3C" w:rsidRPr="00831C3C" w:rsidTr="00617E66">
        <w:trPr>
          <w:divId w:val="1390768372"/>
          <w:trHeight w:val="240"/>
          <w:jc w:val="center"/>
        </w:trPr>
        <w:tc>
          <w:tcPr>
            <w:tcW w:w="4756"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20"/>
                <w:szCs w:val="20"/>
              </w:rPr>
            </w:pPr>
            <w:r w:rsidRPr="00831C3C">
              <w:rPr>
                <w:rFonts w:hint="eastAsia"/>
                <w:sz w:val="20"/>
                <w:szCs w:val="20"/>
              </w:rPr>
              <w:t>深圳市天计数</w:t>
            </w:r>
            <w:proofErr w:type="gramStart"/>
            <w:r w:rsidRPr="00831C3C">
              <w:rPr>
                <w:rFonts w:hint="eastAsia"/>
                <w:sz w:val="20"/>
                <w:szCs w:val="20"/>
              </w:rPr>
              <w:t>智科技</w:t>
            </w:r>
            <w:proofErr w:type="gramEnd"/>
            <w:r w:rsidRPr="00831C3C">
              <w:rPr>
                <w:rFonts w:hint="eastAsia"/>
                <w:sz w:val="20"/>
                <w:szCs w:val="20"/>
              </w:rPr>
              <w:t>有限公司</w:t>
            </w:r>
          </w:p>
        </w:tc>
        <w:tc>
          <w:tcPr>
            <w:tcW w:w="475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20"/>
                <w:szCs w:val="20"/>
              </w:rPr>
            </w:pPr>
            <w:proofErr w:type="gramStart"/>
            <w:r w:rsidRPr="00831C3C">
              <w:rPr>
                <w:rFonts w:hint="eastAsia"/>
                <w:sz w:val="20"/>
                <w:szCs w:val="20"/>
              </w:rPr>
              <w:t>非同控转让</w:t>
            </w:r>
            <w:proofErr w:type="gramEnd"/>
          </w:p>
        </w:tc>
      </w:tr>
      <w:tr w:rsidR="00831C3C" w:rsidRPr="00831C3C" w:rsidTr="00617E66">
        <w:trPr>
          <w:divId w:val="1390768372"/>
          <w:trHeight w:val="240"/>
          <w:jc w:val="center"/>
        </w:trPr>
        <w:tc>
          <w:tcPr>
            <w:tcW w:w="4756"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20"/>
                <w:szCs w:val="20"/>
              </w:rPr>
            </w:pPr>
            <w:r w:rsidRPr="00831C3C">
              <w:rPr>
                <w:rFonts w:hint="eastAsia"/>
                <w:sz w:val="20"/>
                <w:szCs w:val="20"/>
              </w:rPr>
              <w:t>新疆泽孚棉花有限公司</w:t>
            </w:r>
          </w:p>
        </w:tc>
        <w:tc>
          <w:tcPr>
            <w:tcW w:w="475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20"/>
                <w:szCs w:val="20"/>
              </w:rPr>
            </w:pPr>
            <w:proofErr w:type="gramStart"/>
            <w:r w:rsidRPr="00831C3C">
              <w:rPr>
                <w:rFonts w:hint="eastAsia"/>
                <w:sz w:val="20"/>
                <w:szCs w:val="20"/>
              </w:rPr>
              <w:t>非同控转让</w:t>
            </w:r>
            <w:proofErr w:type="gramEnd"/>
          </w:p>
        </w:tc>
      </w:tr>
    </w:tbl>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26" w:name="_Toc988915"/>
      <w:r w:rsidRPr="00831C3C">
        <w:rPr>
          <w:rFonts w:ascii="宋体" w:eastAsia="宋体" w:hAnsi="宋体" w:cs="宋体"/>
          <w:b/>
          <w:bCs/>
          <w:sz w:val="18"/>
          <w:szCs w:val="18"/>
        </w:rPr>
        <w:t>（7） 公司报告期内业务、产品或服务发生重大变化或调整有关情况</w:t>
      </w:r>
      <w:bookmarkEnd w:id="26"/>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 xml:space="preserve">□适用 </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27" w:name="_Toc988916"/>
      <w:r w:rsidRPr="00831C3C">
        <w:rPr>
          <w:rFonts w:ascii="宋体" w:eastAsia="宋体" w:hAnsi="宋体" w:cs="宋体"/>
          <w:b/>
          <w:bCs/>
          <w:sz w:val="18"/>
          <w:szCs w:val="18"/>
        </w:rPr>
        <w:t>（8） 主要销售客户和主要供应商情况</w:t>
      </w:r>
      <w:bookmarkEnd w:id="27"/>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公司主要销售客户情况</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4820"/>
        <w:gridCol w:w="4819"/>
      </w:tblGrid>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前五名客户合计销售金额（元）</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1,991,202,755.45</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前五名客户合计销售金额占年度销售总额比例</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18.51%</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前五名客户销售额中关联方销售额占年度销售总额比例</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0.00%</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公司前5大客户资料</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序号</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客户名称</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销售额（元）</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占年度销售总额比例</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lastRenderedPageBreak/>
              <w:t>1</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第一名</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1,218,240,849.66</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11.32%</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2</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第二名</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275,076,418.15</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2.56%</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3</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第三名</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196,832,817.28</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1.83%</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4</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第四名</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178,244,030.18</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1.66%</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5</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第五名</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122,808,640.18</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1.14%</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1,991,202,755.45</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18.51%</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主要客户其他情况说明</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 xml:space="preserve">□适用 </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公司主要供应商情况</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4820"/>
        <w:gridCol w:w="4819"/>
      </w:tblGrid>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前五名供应商合计采购金额（元）</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1,371,361,151.53</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前五名供应商合计采购金额占年度采购总额比例</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14.05%</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前五名供应商采购额中关联方采购额占年度采购总额比例</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rsidP="003E48A8">
            <w:pPr>
              <w:spacing w:line="240" w:lineRule="exact"/>
              <w:jc w:val="right"/>
              <w:rPr>
                <w:rFonts w:ascii="宋体" w:eastAsia="宋体" w:hAnsi="宋体" w:cs="宋体"/>
                <w:sz w:val="18"/>
                <w:szCs w:val="18"/>
              </w:rPr>
            </w:pPr>
            <w:r w:rsidRPr="00831C3C">
              <w:rPr>
                <w:rFonts w:ascii="宋体" w:eastAsia="宋体" w:hAnsi="宋体" w:cs="宋体"/>
                <w:sz w:val="18"/>
                <w:szCs w:val="18"/>
              </w:rPr>
              <w:t>0.</w:t>
            </w:r>
            <w:r w:rsidR="003E48A8" w:rsidRPr="00831C3C">
              <w:rPr>
                <w:rFonts w:ascii="宋体" w:eastAsia="宋体" w:hAnsi="宋体" w:cs="宋体" w:hint="eastAsia"/>
                <w:sz w:val="18"/>
                <w:szCs w:val="18"/>
              </w:rPr>
              <w:t>84</w:t>
            </w:r>
            <w:r w:rsidRPr="00831C3C">
              <w:rPr>
                <w:rFonts w:ascii="宋体" w:eastAsia="宋体" w:hAnsi="宋体" w:cs="宋体"/>
                <w:sz w:val="18"/>
                <w:szCs w:val="18"/>
              </w:rPr>
              <w:t>%</w:t>
            </w:r>
          </w:p>
        </w:tc>
      </w:tr>
    </w:tbl>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公司前5名供应商资料</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序号</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供应商名称</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采购额（元）</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占年度采购总额比例</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1</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第一名</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322,892,333.91</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3.31%</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2</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第二名</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311,842,423.44</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3.20%</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3</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第三名</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310,804,671.06</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3.19%</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4</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第四名</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225,070,201.14</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2.31%</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5</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第五名</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200,751,521.98</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2.06%</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1,371,361,151.53</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14.05%</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主要供应</w:t>
      </w:r>
      <w:proofErr w:type="gramStart"/>
      <w:r w:rsidRPr="00831C3C">
        <w:rPr>
          <w:rFonts w:ascii="宋体" w:eastAsia="宋体" w:hAnsi="宋体" w:cs="宋体"/>
          <w:sz w:val="18"/>
          <w:szCs w:val="18"/>
        </w:rPr>
        <w:t>商其他</w:t>
      </w:r>
      <w:proofErr w:type="gramEnd"/>
      <w:r w:rsidRPr="00831C3C">
        <w:rPr>
          <w:rFonts w:ascii="宋体" w:eastAsia="宋体" w:hAnsi="宋体" w:cs="宋体"/>
          <w:sz w:val="18"/>
          <w:szCs w:val="18"/>
        </w:rPr>
        <w:t>情况说明</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 xml:space="preserve">□适用 </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pStyle w:val="3"/>
        <w:spacing w:line="280" w:lineRule="exact"/>
        <w:jc w:val="left"/>
        <w:rPr>
          <w:rFonts w:ascii="宋体" w:hAnsi="宋体" w:cs="宋体"/>
          <w:b/>
          <w:bCs/>
        </w:rPr>
      </w:pPr>
      <w:bookmarkStart w:id="28" w:name="_Toc988917"/>
      <w:r w:rsidRPr="00831C3C">
        <w:rPr>
          <w:rFonts w:ascii="宋体" w:hAnsi="宋体" w:cs="宋体"/>
          <w:b/>
          <w:bCs/>
        </w:rPr>
        <w:t>3、费用</w:t>
      </w:r>
      <w:bookmarkEnd w:id="28"/>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2024年</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2023年</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同比增减</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重大变动说明</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销售费用</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112,368,503.45</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114,860,021.17</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-2.17%</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管理费用</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319,106,479.61</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352,791,850.00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-9.55%</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财务费用</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201,062,000.00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180,723,068.06</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11.25%</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研发费用</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150,806,512.44</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113,213,368.59</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33.21%</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主要系研发费用投入增加所致。</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公司需遵守《深圳证券交易所上市公司自律监管指引第3号——行业信息披露》中纺织服装相关业的披露要求</w:t>
      </w:r>
    </w:p>
    <w:p w:rsidR="00C65FD5" w:rsidRPr="00831C3C" w:rsidRDefault="00C65FD5">
      <w:pPr>
        <w:pStyle w:val="a3"/>
        <w:divId w:val="1473667937"/>
        <w:rPr>
          <w:sz w:val="18"/>
          <w:szCs w:val="18"/>
        </w:rPr>
      </w:pPr>
      <w:r w:rsidRPr="00831C3C">
        <w:rPr>
          <w:rFonts w:hint="eastAsia"/>
          <w:sz w:val="18"/>
          <w:szCs w:val="18"/>
        </w:rPr>
        <w:t>销售费用</w:t>
      </w:r>
    </w:p>
    <w:p w:rsidR="007563CD" w:rsidRPr="00831C3C" w:rsidRDefault="007563CD" w:rsidP="007563CD">
      <w:pPr>
        <w:pStyle w:val="a3"/>
        <w:jc w:val="right"/>
        <w:divId w:val="1473667937"/>
      </w:pPr>
      <w:r w:rsidRPr="00831C3C">
        <w:rPr>
          <w:rFonts w:hint="eastAsia"/>
          <w:sz w:val="18"/>
          <w:szCs w:val="18"/>
        </w:rPr>
        <w:t>单位：元</w:t>
      </w:r>
    </w:p>
    <w:tbl>
      <w:tblPr>
        <w:tblW w:w="9519" w:type="dxa"/>
        <w:jc w:val="center"/>
        <w:tblInd w:w="-242" w:type="dxa"/>
        <w:tblLayout w:type="fixed"/>
        <w:tblCellMar>
          <w:left w:w="0" w:type="dxa"/>
          <w:right w:w="0" w:type="dxa"/>
        </w:tblCellMar>
        <w:tblLook w:val="04A0" w:firstRow="1" w:lastRow="0" w:firstColumn="1" w:lastColumn="0" w:noHBand="0" w:noVBand="1"/>
      </w:tblPr>
      <w:tblGrid>
        <w:gridCol w:w="2682"/>
        <w:gridCol w:w="2080"/>
        <w:gridCol w:w="4757"/>
      </w:tblGrid>
      <w:tr w:rsidR="00831C3C" w:rsidRPr="00831C3C" w:rsidTr="007563CD">
        <w:trPr>
          <w:divId w:val="1473667937"/>
          <w:trHeight w:val="45"/>
          <w:jc w:val="center"/>
        </w:trPr>
        <w:tc>
          <w:tcPr>
            <w:tcW w:w="2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tcPr>
          <w:p w:rsidR="007563CD" w:rsidRPr="00831C3C" w:rsidRDefault="007563CD" w:rsidP="007563CD">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2080"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7563CD" w:rsidRPr="00831C3C" w:rsidRDefault="007563CD" w:rsidP="007563CD">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本期发生额</w:t>
            </w:r>
          </w:p>
        </w:tc>
        <w:tc>
          <w:tcPr>
            <w:tcW w:w="4757"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tcPr>
          <w:p w:rsidR="007563CD" w:rsidRPr="00831C3C" w:rsidRDefault="007563CD" w:rsidP="007563CD">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上期发生额</w:t>
            </w:r>
          </w:p>
        </w:tc>
      </w:tr>
      <w:tr w:rsidR="00831C3C" w:rsidRPr="00831C3C" w:rsidTr="007563CD">
        <w:trPr>
          <w:divId w:val="1473667937"/>
          <w:trHeight w:val="450"/>
          <w:jc w:val="center"/>
        </w:trPr>
        <w:tc>
          <w:tcPr>
            <w:tcW w:w="26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rsidR="007563CD" w:rsidRPr="00831C3C" w:rsidRDefault="007563CD">
            <w:pPr>
              <w:rPr>
                <w:rFonts w:ascii="宋体" w:eastAsia="宋体" w:hAnsi="宋体" w:cs="宋体"/>
                <w:sz w:val="18"/>
                <w:szCs w:val="18"/>
              </w:rPr>
            </w:pPr>
            <w:r w:rsidRPr="00831C3C">
              <w:rPr>
                <w:rFonts w:hint="eastAsia"/>
                <w:sz w:val="18"/>
                <w:szCs w:val="18"/>
              </w:rPr>
              <w:t> </w:t>
            </w:r>
            <w:r w:rsidRPr="00831C3C">
              <w:rPr>
                <w:rFonts w:hint="eastAsia"/>
                <w:sz w:val="18"/>
                <w:szCs w:val="18"/>
              </w:rPr>
              <w:t>工资及相关费用</w:t>
            </w:r>
            <w:r w:rsidRPr="00831C3C">
              <w:rPr>
                <w:rFonts w:hint="eastAsia"/>
                <w:sz w:val="18"/>
                <w:szCs w:val="18"/>
              </w:rPr>
              <w:t> </w:t>
            </w:r>
          </w:p>
        </w:tc>
        <w:tc>
          <w:tcPr>
            <w:tcW w:w="2080"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7563CD" w:rsidRPr="00831C3C" w:rsidRDefault="007563CD" w:rsidP="00617E66">
            <w:pPr>
              <w:spacing w:line="240" w:lineRule="exact"/>
              <w:jc w:val="right"/>
              <w:rPr>
                <w:rFonts w:ascii="宋体" w:eastAsia="宋体" w:hAnsi="宋体" w:cs="宋体"/>
                <w:sz w:val="18"/>
                <w:szCs w:val="18"/>
              </w:rPr>
            </w:pPr>
            <w:r w:rsidRPr="00831C3C">
              <w:rPr>
                <w:rFonts w:ascii="宋体" w:eastAsia="宋体" w:hAnsi="宋体" w:cs="宋体"/>
                <w:sz w:val="18"/>
                <w:szCs w:val="18"/>
              </w:rPr>
              <w:t>35,624,592.53</w:t>
            </w:r>
          </w:p>
        </w:tc>
        <w:tc>
          <w:tcPr>
            <w:tcW w:w="4757"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7563CD" w:rsidRPr="00831C3C" w:rsidRDefault="007563CD" w:rsidP="00617E66">
            <w:pPr>
              <w:spacing w:line="240" w:lineRule="exact"/>
              <w:jc w:val="right"/>
              <w:rPr>
                <w:rFonts w:ascii="宋体" w:eastAsia="宋体" w:hAnsi="宋体" w:cs="宋体"/>
                <w:sz w:val="18"/>
                <w:szCs w:val="18"/>
              </w:rPr>
            </w:pPr>
            <w:r w:rsidRPr="00831C3C">
              <w:rPr>
                <w:rFonts w:ascii="宋体" w:eastAsia="宋体" w:hAnsi="宋体" w:cs="宋体"/>
                <w:sz w:val="18"/>
                <w:szCs w:val="18"/>
              </w:rPr>
              <w:t>36,579,737.02</w:t>
            </w:r>
          </w:p>
        </w:tc>
      </w:tr>
      <w:tr w:rsidR="00831C3C" w:rsidRPr="00831C3C" w:rsidTr="007563CD">
        <w:trPr>
          <w:divId w:val="1473667937"/>
          <w:trHeight w:val="270"/>
          <w:jc w:val="center"/>
        </w:trPr>
        <w:tc>
          <w:tcPr>
            <w:tcW w:w="2682" w:type="dxa"/>
            <w:tcBorders>
              <w:top w:val="nil"/>
              <w:left w:val="single" w:sz="8" w:space="0" w:color="auto"/>
              <w:bottom w:val="single" w:sz="8" w:space="0" w:color="auto"/>
              <w:right w:val="single" w:sz="8" w:space="0" w:color="auto"/>
            </w:tcBorders>
            <w:shd w:val="clear" w:color="auto" w:fill="D9D9D9" w:themeFill="background1" w:themeFillShade="D9"/>
            <w:tcMar>
              <w:top w:w="15" w:type="dxa"/>
              <w:left w:w="15" w:type="dxa"/>
              <w:bottom w:w="0" w:type="dxa"/>
              <w:right w:w="15" w:type="dxa"/>
            </w:tcMar>
            <w:vAlign w:val="center"/>
            <w:hideMark/>
          </w:tcPr>
          <w:p w:rsidR="007563CD" w:rsidRPr="00831C3C" w:rsidRDefault="007563CD">
            <w:pPr>
              <w:rPr>
                <w:rFonts w:ascii="宋体" w:eastAsia="宋体" w:hAnsi="宋体" w:cs="宋体"/>
                <w:sz w:val="18"/>
                <w:szCs w:val="18"/>
              </w:rPr>
            </w:pPr>
            <w:r w:rsidRPr="00831C3C">
              <w:rPr>
                <w:rFonts w:hint="eastAsia"/>
                <w:sz w:val="18"/>
                <w:szCs w:val="18"/>
              </w:rPr>
              <w:t>办公费用</w:t>
            </w:r>
          </w:p>
        </w:tc>
        <w:tc>
          <w:tcPr>
            <w:tcW w:w="2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7563CD" w:rsidRPr="00831C3C" w:rsidRDefault="007563CD" w:rsidP="00617E66">
            <w:pPr>
              <w:spacing w:line="240" w:lineRule="exact"/>
              <w:jc w:val="right"/>
              <w:rPr>
                <w:rFonts w:ascii="宋体" w:eastAsia="宋体" w:hAnsi="宋体" w:cs="宋体"/>
                <w:sz w:val="18"/>
                <w:szCs w:val="18"/>
              </w:rPr>
            </w:pPr>
            <w:r w:rsidRPr="00831C3C">
              <w:rPr>
                <w:rFonts w:ascii="宋体" w:eastAsia="宋体" w:hAnsi="宋体" w:cs="宋体"/>
                <w:sz w:val="18"/>
                <w:szCs w:val="18"/>
              </w:rPr>
              <w:t>964,192.17</w:t>
            </w:r>
          </w:p>
        </w:tc>
        <w:tc>
          <w:tcPr>
            <w:tcW w:w="475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7563CD" w:rsidRPr="00831C3C" w:rsidRDefault="007563CD" w:rsidP="00617E66">
            <w:pPr>
              <w:spacing w:line="240" w:lineRule="exact"/>
              <w:jc w:val="right"/>
              <w:rPr>
                <w:rFonts w:ascii="宋体" w:eastAsia="宋体" w:hAnsi="宋体" w:cs="宋体"/>
                <w:sz w:val="18"/>
                <w:szCs w:val="18"/>
              </w:rPr>
            </w:pPr>
            <w:r w:rsidRPr="00831C3C">
              <w:rPr>
                <w:rFonts w:ascii="宋体" w:eastAsia="宋体" w:hAnsi="宋体" w:cs="宋体"/>
                <w:sz w:val="18"/>
                <w:szCs w:val="18"/>
              </w:rPr>
              <w:t>1,267,863.65</w:t>
            </w:r>
          </w:p>
        </w:tc>
      </w:tr>
      <w:tr w:rsidR="00831C3C" w:rsidRPr="00831C3C" w:rsidTr="007563CD">
        <w:trPr>
          <w:divId w:val="1473667937"/>
          <w:trHeight w:val="270"/>
          <w:jc w:val="center"/>
        </w:trPr>
        <w:tc>
          <w:tcPr>
            <w:tcW w:w="2682" w:type="dxa"/>
            <w:tcBorders>
              <w:top w:val="nil"/>
              <w:left w:val="single" w:sz="8" w:space="0" w:color="auto"/>
              <w:bottom w:val="single" w:sz="8" w:space="0" w:color="auto"/>
              <w:right w:val="single" w:sz="8" w:space="0" w:color="auto"/>
            </w:tcBorders>
            <w:shd w:val="clear" w:color="auto" w:fill="D9D9D9" w:themeFill="background1" w:themeFillShade="D9"/>
            <w:tcMar>
              <w:top w:w="15" w:type="dxa"/>
              <w:left w:w="15" w:type="dxa"/>
              <w:bottom w:w="0" w:type="dxa"/>
              <w:right w:w="15" w:type="dxa"/>
            </w:tcMar>
            <w:vAlign w:val="center"/>
            <w:hideMark/>
          </w:tcPr>
          <w:p w:rsidR="007563CD" w:rsidRPr="00831C3C" w:rsidRDefault="007563CD">
            <w:pPr>
              <w:rPr>
                <w:rFonts w:ascii="宋体" w:eastAsia="宋体" w:hAnsi="宋体" w:cs="宋体"/>
                <w:sz w:val="18"/>
                <w:szCs w:val="18"/>
              </w:rPr>
            </w:pPr>
            <w:r w:rsidRPr="00831C3C">
              <w:rPr>
                <w:rFonts w:hint="eastAsia"/>
                <w:sz w:val="18"/>
                <w:szCs w:val="18"/>
              </w:rPr>
              <w:t>租赁费</w:t>
            </w:r>
          </w:p>
        </w:tc>
        <w:tc>
          <w:tcPr>
            <w:tcW w:w="2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7563CD" w:rsidRPr="00831C3C" w:rsidRDefault="007563CD" w:rsidP="00617E66">
            <w:pPr>
              <w:spacing w:line="240" w:lineRule="exact"/>
              <w:jc w:val="right"/>
              <w:rPr>
                <w:rFonts w:ascii="宋体" w:eastAsia="宋体" w:hAnsi="宋体" w:cs="宋体"/>
                <w:sz w:val="18"/>
                <w:szCs w:val="18"/>
              </w:rPr>
            </w:pPr>
            <w:r w:rsidRPr="00831C3C">
              <w:rPr>
                <w:rFonts w:ascii="宋体" w:eastAsia="宋体" w:hAnsi="宋体" w:cs="宋体"/>
                <w:sz w:val="18"/>
                <w:szCs w:val="18"/>
              </w:rPr>
              <w:t>27,105,240.31</w:t>
            </w:r>
          </w:p>
        </w:tc>
        <w:tc>
          <w:tcPr>
            <w:tcW w:w="475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7563CD" w:rsidRPr="00831C3C" w:rsidRDefault="007563CD" w:rsidP="00617E66">
            <w:pPr>
              <w:spacing w:line="240" w:lineRule="exact"/>
              <w:jc w:val="right"/>
              <w:rPr>
                <w:rFonts w:ascii="宋体" w:eastAsia="宋体" w:hAnsi="宋体" w:cs="宋体"/>
                <w:sz w:val="18"/>
                <w:szCs w:val="18"/>
              </w:rPr>
            </w:pPr>
            <w:r w:rsidRPr="00831C3C">
              <w:rPr>
                <w:rFonts w:ascii="宋体" w:eastAsia="宋体" w:hAnsi="宋体" w:cs="宋体"/>
                <w:sz w:val="18"/>
                <w:szCs w:val="18"/>
              </w:rPr>
              <w:t>29,512,278.89</w:t>
            </w:r>
          </w:p>
        </w:tc>
      </w:tr>
      <w:tr w:rsidR="00831C3C" w:rsidRPr="00831C3C" w:rsidTr="007563CD">
        <w:trPr>
          <w:divId w:val="1473667937"/>
          <w:trHeight w:val="270"/>
          <w:jc w:val="center"/>
        </w:trPr>
        <w:tc>
          <w:tcPr>
            <w:tcW w:w="2682" w:type="dxa"/>
            <w:tcBorders>
              <w:top w:val="nil"/>
              <w:left w:val="single" w:sz="8" w:space="0" w:color="auto"/>
              <w:bottom w:val="single" w:sz="8" w:space="0" w:color="auto"/>
              <w:right w:val="single" w:sz="8" w:space="0" w:color="auto"/>
            </w:tcBorders>
            <w:shd w:val="clear" w:color="auto" w:fill="D9D9D9" w:themeFill="background1" w:themeFillShade="D9"/>
            <w:tcMar>
              <w:top w:w="15" w:type="dxa"/>
              <w:left w:w="15" w:type="dxa"/>
              <w:bottom w:w="0" w:type="dxa"/>
              <w:right w:w="15" w:type="dxa"/>
            </w:tcMar>
            <w:vAlign w:val="center"/>
            <w:hideMark/>
          </w:tcPr>
          <w:p w:rsidR="007563CD" w:rsidRPr="00831C3C" w:rsidRDefault="007563CD">
            <w:pPr>
              <w:rPr>
                <w:rFonts w:ascii="宋体" w:eastAsia="宋体" w:hAnsi="宋体" w:cs="宋体"/>
                <w:sz w:val="18"/>
                <w:szCs w:val="18"/>
              </w:rPr>
            </w:pPr>
            <w:r w:rsidRPr="00831C3C">
              <w:rPr>
                <w:rFonts w:hint="eastAsia"/>
                <w:sz w:val="18"/>
                <w:szCs w:val="18"/>
              </w:rPr>
              <w:t>单证费</w:t>
            </w:r>
          </w:p>
        </w:tc>
        <w:tc>
          <w:tcPr>
            <w:tcW w:w="2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7563CD" w:rsidRPr="00831C3C" w:rsidRDefault="007563CD" w:rsidP="00617E66">
            <w:pPr>
              <w:spacing w:line="240" w:lineRule="exact"/>
              <w:jc w:val="right"/>
              <w:rPr>
                <w:rFonts w:ascii="宋体" w:eastAsia="宋体" w:hAnsi="宋体" w:cs="宋体"/>
                <w:sz w:val="18"/>
                <w:szCs w:val="18"/>
              </w:rPr>
            </w:pPr>
            <w:r w:rsidRPr="00831C3C">
              <w:rPr>
                <w:rFonts w:ascii="宋体" w:eastAsia="宋体" w:hAnsi="宋体" w:cs="宋体"/>
                <w:sz w:val="18"/>
                <w:szCs w:val="18"/>
              </w:rPr>
              <w:t xml:space="preserve">　</w:t>
            </w:r>
          </w:p>
        </w:tc>
        <w:tc>
          <w:tcPr>
            <w:tcW w:w="475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7563CD" w:rsidRPr="00831C3C" w:rsidRDefault="007563CD" w:rsidP="00617E66">
            <w:pPr>
              <w:spacing w:line="240" w:lineRule="exact"/>
              <w:jc w:val="right"/>
              <w:rPr>
                <w:rFonts w:ascii="宋体" w:eastAsia="宋体" w:hAnsi="宋体" w:cs="宋体"/>
                <w:sz w:val="18"/>
                <w:szCs w:val="18"/>
              </w:rPr>
            </w:pPr>
            <w:r w:rsidRPr="00831C3C">
              <w:rPr>
                <w:rFonts w:ascii="宋体" w:eastAsia="宋体" w:hAnsi="宋体" w:cs="宋体"/>
                <w:sz w:val="18"/>
                <w:szCs w:val="18"/>
              </w:rPr>
              <w:t>571.53</w:t>
            </w:r>
          </w:p>
        </w:tc>
      </w:tr>
      <w:tr w:rsidR="00831C3C" w:rsidRPr="00831C3C" w:rsidTr="007563CD">
        <w:trPr>
          <w:divId w:val="1473667937"/>
          <w:trHeight w:val="270"/>
          <w:jc w:val="center"/>
        </w:trPr>
        <w:tc>
          <w:tcPr>
            <w:tcW w:w="2682" w:type="dxa"/>
            <w:tcBorders>
              <w:top w:val="nil"/>
              <w:left w:val="single" w:sz="8" w:space="0" w:color="auto"/>
              <w:bottom w:val="single" w:sz="8" w:space="0" w:color="auto"/>
              <w:right w:val="single" w:sz="8" w:space="0" w:color="auto"/>
            </w:tcBorders>
            <w:shd w:val="clear" w:color="auto" w:fill="D9D9D9" w:themeFill="background1" w:themeFillShade="D9"/>
            <w:tcMar>
              <w:top w:w="15" w:type="dxa"/>
              <w:left w:w="15" w:type="dxa"/>
              <w:bottom w:w="0" w:type="dxa"/>
              <w:right w:w="15" w:type="dxa"/>
            </w:tcMar>
            <w:vAlign w:val="center"/>
            <w:hideMark/>
          </w:tcPr>
          <w:p w:rsidR="007563CD" w:rsidRPr="00831C3C" w:rsidRDefault="007563CD">
            <w:pPr>
              <w:rPr>
                <w:rFonts w:ascii="宋体" w:eastAsia="宋体" w:hAnsi="宋体" w:cs="宋体"/>
                <w:sz w:val="18"/>
                <w:szCs w:val="18"/>
              </w:rPr>
            </w:pPr>
            <w:r w:rsidRPr="00831C3C">
              <w:rPr>
                <w:rFonts w:hint="eastAsia"/>
                <w:sz w:val="18"/>
                <w:szCs w:val="18"/>
              </w:rPr>
              <w:lastRenderedPageBreak/>
              <w:t>低值易耗品</w:t>
            </w:r>
          </w:p>
        </w:tc>
        <w:tc>
          <w:tcPr>
            <w:tcW w:w="2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7563CD" w:rsidRPr="00831C3C" w:rsidRDefault="007563CD" w:rsidP="00617E66">
            <w:pPr>
              <w:spacing w:line="240" w:lineRule="exact"/>
              <w:jc w:val="right"/>
              <w:rPr>
                <w:rFonts w:ascii="宋体" w:eastAsia="宋体" w:hAnsi="宋体" w:cs="宋体"/>
                <w:sz w:val="18"/>
                <w:szCs w:val="18"/>
              </w:rPr>
            </w:pPr>
            <w:r w:rsidRPr="00831C3C">
              <w:rPr>
                <w:rFonts w:ascii="宋体" w:eastAsia="宋体" w:hAnsi="宋体" w:cs="宋体"/>
                <w:sz w:val="18"/>
                <w:szCs w:val="18"/>
              </w:rPr>
              <w:t>4,763,809.30</w:t>
            </w:r>
          </w:p>
        </w:tc>
        <w:tc>
          <w:tcPr>
            <w:tcW w:w="475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7563CD" w:rsidRPr="00831C3C" w:rsidRDefault="007563CD" w:rsidP="00617E66">
            <w:pPr>
              <w:spacing w:line="240" w:lineRule="exact"/>
              <w:jc w:val="right"/>
              <w:rPr>
                <w:rFonts w:ascii="宋体" w:eastAsia="宋体" w:hAnsi="宋体" w:cs="宋体"/>
                <w:sz w:val="18"/>
                <w:szCs w:val="18"/>
              </w:rPr>
            </w:pPr>
            <w:r w:rsidRPr="00831C3C">
              <w:rPr>
                <w:rFonts w:ascii="宋体" w:eastAsia="宋体" w:hAnsi="宋体" w:cs="宋体"/>
                <w:sz w:val="18"/>
                <w:szCs w:val="18"/>
              </w:rPr>
              <w:t>1,944,800.80</w:t>
            </w:r>
          </w:p>
        </w:tc>
      </w:tr>
      <w:tr w:rsidR="00831C3C" w:rsidRPr="00831C3C" w:rsidTr="007563CD">
        <w:trPr>
          <w:divId w:val="1473667937"/>
          <w:trHeight w:val="270"/>
          <w:jc w:val="center"/>
        </w:trPr>
        <w:tc>
          <w:tcPr>
            <w:tcW w:w="2682" w:type="dxa"/>
            <w:tcBorders>
              <w:top w:val="nil"/>
              <w:left w:val="single" w:sz="8" w:space="0" w:color="auto"/>
              <w:bottom w:val="single" w:sz="8" w:space="0" w:color="auto"/>
              <w:right w:val="single" w:sz="8" w:space="0" w:color="auto"/>
            </w:tcBorders>
            <w:shd w:val="clear" w:color="auto" w:fill="D9D9D9" w:themeFill="background1" w:themeFillShade="D9"/>
            <w:tcMar>
              <w:top w:w="15" w:type="dxa"/>
              <w:left w:w="15" w:type="dxa"/>
              <w:bottom w:w="0" w:type="dxa"/>
              <w:right w:w="15" w:type="dxa"/>
            </w:tcMar>
            <w:vAlign w:val="center"/>
            <w:hideMark/>
          </w:tcPr>
          <w:p w:rsidR="007563CD" w:rsidRPr="00831C3C" w:rsidRDefault="007563CD">
            <w:pPr>
              <w:rPr>
                <w:rFonts w:ascii="宋体" w:eastAsia="宋体" w:hAnsi="宋体" w:cs="宋体"/>
                <w:sz w:val="18"/>
                <w:szCs w:val="18"/>
              </w:rPr>
            </w:pPr>
            <w:r w:rsidRPr="00831C3C">
              <w:rPr>
                <w:rFonts w:hint="eastAsia"/>
                <w:sz w:val="18"/>
                <w:szCs w:val="18"/>
              </w:rPr>
              <w:t>修理费</w:t>
            </w:r>
          </w:p>
        </w:tc>
        <w:tc>
          <w:tcPr>
            <w:tcW w:w="2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7563CD" w:rsidRPr="00831C3C" w:rsidRDefault="007563CD" w:rsidP="00617E66">
            <w:pPr>
              <w:spacing w:line="240" w:lineRule="exact"/>
              <w:jc w:val="right"/>
              <w:rPr>
                <w:rFonts w:ascii="宋体" w:eastAsia="宋体" w:hAnsi="宋体" w:cs="宋体"/>
                <w:sz w:val="18"/>
                <w:szCs w:val="18"/>
              </w:rPr>
            </w:pPr>
            <w:r w:rsidRPr="00831C3C">
              <w:rPr>
                <w:rFonts w:ascii="宋体" w:eastAsia="宋体" w:hAnsi="宋体" w:cs="宋体"/>
                <w:sz w:val="18"/>
                <w:szCs w:val="18"/>
              </w:rPr>
              <w:t>742,078.88</w:t>
            </w:r>
          </w:p>
        </w:tc>
        <w:tc>
          <w:tcPr>
            <w:tcW w:w="475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7563CD" w:rsidRPr="00831C3C" w:rsidRDefault="007563CD" w:rsidP="00617E66">
            <w:pPr>
              <w:spacing w:line="240" w:lineRule="exact"/>
              <w:jc w:val="right"/>
              <w:rPr>
                <w:rFonts w:ascii="宋体" w:eastAsia="宋体" w:hAnsi="宋体" w:cs="宋体"/>
                <w:sz w:val="18"/>
                <w:szCs w:val="18"/>
              </w:rPr>
            </w:pPr>
            <w:r w:rsidRPr="00831C3C">
              <w:rPr>
                <w:rFonts w:ascii="宋体" w:eastAsia="宋体" w:hAnsi="宋体" w:cs="宋体"/>
                <w:sz w:val="18"/>
                <w:szCs w:val="18"/>
              </w:rPr>
              <w:t>582,725.83</w:t>
            </w:r>
          </w:p>
        </w:tc>
      </w:tr>
      <w:tr w:rsidR="00831C3C" w:rsidRPr="00831C3C" w:rsidTr="007563CD">
        <w:trPr>
          <w:divId w:val="1473667937"/>
          <w:trHeight w:val="270"/>
          <w:jc w:val="center"/>
        </w:trPr>
        <w:tc>
          <w:tcPr>
            <w:tcW w:w="2682" w:type="dxa"/>
            <w:tcBorders>
              <w:top w:val="nil"/>
              <w:left w:val="single" w:sz="8" w:space="0" w:color="auto"/>
              <w:bottom w:val="single" w:sz="8" w:space="0" w:color="auto"/>
              <w:right w:val="single" w:sz="8" w:space="0" w:color="auto"/>
            </w:tcBorders>
            <w:shd w:val="clear" w:color="auto" w:fill="D9D9D9" w:themeFill="background1" w:themeFillShade="D9"/>
            <w:tcMar>
              <w:top w:w="15" w:type="dxa"/>
              <w:left w:w="15" w:type="dxa"/>
              <w:bottom w:w="0" w:type="dxa"/>
              <w:right w:w="15" w:type="dxa"/>
            </w:tcMar>
            <w:vAlign w:val="center"/>
            <w:hideMark/>
          </w:tcPr>
          <w:p w:rsidR="007563CD" w:rsidRPr="00831C3C" w:rsidRDefault="007563CD">
            <w:pPr>
              <w:rPr>
                <w:rFonts w:ascii="宋体" w:eastAsia="宋体" w:hAnsi="宋体" w:cs="宋体"/>
                <w:sz w:val="18"/>
                <w:szCs w:val="18"/>
              </w:rPr>
            </w:pPr>
            <w:r w:rsidRPr="00831C3C">
              <w:rPr>
                <w:rFonts w:hint="eastAsia"/>
                <w:sz w:val="18"/>
                <w:szCs w:val="18"/>
              </w:rPr>
              <w:t>折旧费</w:t>
            </w:r>
          </w:p>
        </w:tc>
        <w:tc>
          <w:tcPr>
            <w:tcW w:w="2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7563CD" w:rsidRPr="00831C3C" w:rsidRDefault="007563CD" w:rsidP="00617E66">
            <w:pPr>
              <w:spacing w:line="240" w:lineRule="exact"/>
              <w:jc w:val="right"/>
              <w:rPr>
                <w:rFonts w:ascii="宋体" w:eastAsia="宋体" w:hAnsi="宋体" w:cs="宋体"/>
                <w:sz w:val="18"/>
                <w:szCs w:val="18"/>
              </w:rPr>
            </w:pPr>
            <w:r w:rsidRPr="00831C3C">
              <w:rPr>
                <w:rFonts w:ascii="宋体" w:eastAsia="宋体" w:hAnsi="宋体" w:cs="宋体"/>
                <w:sz w:val="18"/>
                <w:szCs w:val="18"/>
              </w:rPr>
              <w:t>8,233,901.15</w:t>
            </w:r>
          </w:p>
        </w:tc>
        <w:tc>
          <w:tcPr>
            <w:tcW w:w="475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7563CD" w:rsidRPr="00831C3C" w:rsidRDefault="007563CD" w:rsidP="00617E66">
            <w:pPr>
              <w:spacing w:line="240" w:lineRule="exact"/>
              <w:jc w:val="right"/>
              <w:rPr>
                <w:rFonts w:ascii="宋体" w:eastAsia="宋体" w:hAnsi="宋体" w:cs="宋体"/>
                <w:sz w:val="18"/>
                <w:szCs w:val="18"/>
              </w:rPr>
            </w:pPr>
            <w:r w:rsidRPr="00831C3C">
              <w:rPr>
                <w:rFonts w:ascii="宋体" w:eastAsia="宋体" w:hAnsi="宋体" w:cs="宋体"/>
                <w:sz w:val="18"/>
                <w:szCs w:val="18"/>
              </w:rPr>
              <w:t>6,664,881.15</w:t>
            </w:r>
          </w:p>
        </w:tc>
      </w:tr>
      <w:tr w:rsidR="00831C3C" w:rsidRPr="00831C3C" w:rsidTr="007563CD">
        <w:trPr>
          <w:divId w:val="1473667937"/>
          <w:trHeight w:val="270"/>
          <w:jc w:val="center"/>
        </w:trPr>
        <w:tc>
          <w:tcPr>
            <w:tcW w:w="2682" w:type="dxa"/>
            <w:tcBorders>
              <w:top w:val="nil"/>
              <w:left w:val="single" w:sz="8" w:space="0" w:color="auto"/>
              <w:bottom w:val="single" w:sz="8" w:space="0" w:color="auto"/>
              <w:right w:val="single" w:sz="8" w:space="0" w:color="auto"/>
            </w:tcBorders>
            <w:shd w:val="clear" w:color="auto" w:fill="D9D9D9" w:themeFill="background1" w:themeFillShade="D9"/>
            <w:tcMar>
              <w:top w:w="15" w:type="dxa"/>
              <w:left w:w="15" w:type="dxa"/>
              <w:bottom w:w="0" w:type="dxa"/>
              <w:right w:w="15" w:type="dxa"/>
            </w:tcMar>
            <w:vAlign w:val="center"/>
            <w:hideMark/>
          </w:tcPr>
          <w:p w:rsidR="007563CD" w:rsidRPr="00831C3C" w:rsidRDefault="007563CD">
            <w:pPr>
              <w:rPr>
                <w:rFonts w:ascii="宋体" w:eastAsia="宋体" w:hAnsi="宋体" w:cs="宋体"/>
                <w:sz w:val="18"/>
                <w:szCs w:val="18"/>
              </w:rPr>
            </w:pPr>
            <w:r w:rsidRPr="00831C3C">
              <w:rPr>
                <w:rFonts w:hint="eastAsia"/>
                <w:sz w:val="18"/>
                <w:szCs w:val="18"/>
              </w:rPr>
              <w:t>差旅费</w:t>
            </w:r>
          </w:p>
        </w:tc>
        <w:tc>
          <w:tcPr>
            <w:tcW w:w="2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7563CD" w:rsidRPr="00831C3C" w:rsidRDefault="007563CD" w:rsidP="00617E66">
            <w:pPr>
              <w:spacing w:line="240" w:lineRule="exact"/>
              <w:jc w:val="right"/>
              <w:rPr>
                <w:rFonts w:ascii="宋体" w:eastAsia="宋体" w:hAnsi="宋体" w:cs="宋体"/>
                <w:sz w:val="18"/>
                <w:szCs w:val="18"/>
              </w:rPr>
            </w:pPr>
            <w:r w:rsidRPr="00831C3C">
              <w:rPr>
                <w:rFonts w:ascii="宋体" w:eastAsia="宋体" w:hAnsi="宋体" w:cs="宋体"/>
                <w:sz w:val="18"/>
                <w:szCs w:val="18"/>
              </w:rPr>
              <w:t>1,117,780.25</w:t>
            </w:r>
          </w:p>
        </w:tc>
        <w:tc>
          <w:tcPr>
            <w:tcW w:w="475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7563CD" w:rsidRPr="00831C3C" w:rsidRDefault="007563CD" w:rsidP="00617E66">
            <w:pPr>
              <w:spacing w:line="240" w:lineRule="exact"/>
              <w:jc w:val="right"/>
              <w:rPr>
                <w:rFonts w:ascii="宋体" w:eastAsia="宋体" w:hAnsi="宋体" w:cs="宋体"/>
                <w:sz w:val="18"/>
                <w:szCs w:val="18"/>
              </w:rPr>
            </w:pPr>
            <w:r w:rsidRPr="00831C3C">
              <w:rPr>
                <w:rFonts w:ascii="宋体" w:eastAsia="宋体" w:hAnsi="宋体" w:cs="宋体"/>
                <w:sz w:val="18"/>
                <w:szCs w:val="18"/>
              </w:rPr>
              <w:t>1,486,525.08</w:t>
            </w:r>
          </w:p>
        </w:tc>
      </w:tr>
      <w:tr w:rsidR="00831C3C" w:rsidRPr="00831C3C" w:rsidTr="007563CD">
        <w:trPr>
          <w:divId w:val="1473667937"/>
          <w:trHeight w:val="270"/>
          <w:jc w:val="center"/>
        </w:trPr>
        <w:tc>
          <w:tcPr>
            <w:tcW w:w="2682" w:type="dxa"/>
            <w:tcBorders>
              <w:top w:val="nil"/>
              <w:left w:val="single" w:sz="8" w:space="0" w:color="auto"/>
              <w:bottom w:val="single" w:sz="8" w:space="0" w:color="auto"/>
              <w:right w:val="single" w:sz="8" w:space="0" w:color="auto"/>
            </w:tcBorders>
            <w:shd w:val="clear" w:color="auto" w:fill="D9D9D9" w:themeFill="background1" w:themeFillShade="D9"/>
            <w:tcMar>
              <w:top w:w="15" w:type="dxa"/>
              <w:left w:w="15" w:type="dxa"/>
              <w:bottom w:w="0" w:type="dxa"/>
              <w:right w:w="15" w:type="dxa"/>
            </w:tcMar>
            <w:vAlign w:val="center"/>
            <w:hideMark/>
          </w:tcPr>
          <w:p w:rsidR="007563CD" w:rsidRPr="00831C3C" w:rsidRDefault="007563CD">
            <w:pPr>
              <w:rPr>
                <w:rFonts w:ascii="宋体" w:eastAsia="宋体" w:hAnsi="宋体" w:cs="宋体"/>
                <w:sz w:val="18"/>
                <w:szCs w:val="18"/>
              </w:rPr>
            </w:pPr>
            <w:r w:rsidRPr="00831C3C">
              <w:rPr>
                <w:rFonts w:hint="eastAsia"/>
                <w:sz w:val="18"/>
                <w:szCs w:val="18"/>
              </w:rPr>
              <w:t>业务招待费</w:t>
            </w:r>
          </w:p>
        </w:tc>
        <w:tc>
          <w:tcPr>
            <w:tcW w:w="2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7563CD" w:rsidRPr="00831C3C" w:rsidRDefault="007563CD" w:rsidP="00617E66">
            <w:pPr>
              <w:spacing w:line="240" w:lineRule="exact"/>
              <w:jc w:val="right"/>
              <w:rPr>
                <w:rFonts w:ascii="宋体" w:eastAsia="宋体" w:hAnsi="宋体" w:cs="宋体"/>
                <w:sz w:val="18"/>
                <w:szCs w:val="18"/>
              </w:rPr>
            </w:pPr>
            <w:r w:rsidRPr="00831C3C">
              <w:rPr>
                <w:rFonts w:ascii="宋体" w:eastAsia="宋体" w:hAnsi="宋体" w:cs="宋体"/>
                <w:sz w:val="18"/>
                <w:szCs w:val="18"/>
              </w:rPr>
              <w:t>739,698.59</w:t>
            </w:r>
          </w:p>
        </w:tc>
        <w:tc>
          <w:tcPr>
            <w:tcW w:w="475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7563CD" w:rsidRPr="00831C3C" w:rsidRDefault="007563CD" w:rsidP="00617E66">
            <w:pPr>
              <w:spacing w:line="240" w:lineRule="exact"/>
              <w:jc w:val="right"/>
              <w:rPr>
                <w:rFonts w:ascii="宋体" w:eastAsia="宋体" w:hAnsi="宋体" w:cs="宋体"/>
                <w:sz w:val="18"/>
                <w:szCs w:val="18"/>
              </w:rPr>
            </w:pPr>
            <w:r w:rsidRPr="00831C3C">
              <w:rPr>
                <w:rFonts w:ascii="宋体" w:eastAsia="宋体" w:hAnsi="宋体" w:cs="宋体"/>
                <w:sz w:val="18"/>
                <w:szCs w:val="18"/>
              </w:rPr>
              <w:t>1,060,527.59</w:t>
            </w:r>
          </w:p>
        </w:tc>
      </w:tr>
      <w:tr w:rsidR="00831C3C" w:rsidRPr="00831C3C" w:rsidTr="007563CD">
        <w:trPr>
          <w:divId w:val="1473667937"/>
          <w:trHeight w:val="270"/>
          <w:jc w:val="center"/>
        </w:trPr>
        <w:tc>
          <w:tcPr>
            <w:tcW w:w="2682" w:type="dxa"/>
            <w:tcBorders>
              <w:top w:val="nil"/>
              <w:left w:val="single" w:sz="8" w:space="0" w:color="auto"/>
              <w:bottom w:val="single" w:sz="8" w:space="0" w:color="auto"/>
              <w:right w:val="single" w:sz="8" w:space="0" w:color="auto"/>
            </w:tcBorders>
            <w:shd w:val="clear" w:color="auto" w:fill="D9D9D9" w:themeFill="background1" w:themeFillShade="D9"/>
            <w:tcMar>
              <w:top w:w="15" w:type="dxa"/>
              <w:left w:w="15" w:type="dxa"/>
              <w:bottom w:w="0" w:type="dxa"/>
              <w:right w:w="15" w:type="dxa"/>
            </w:tcMar>
            <w:vAlign w:val="center"/>
            <w:hideMark/>
          </w:tcPr>
          <w:p w:rsidR="007563CD" w:rsidRPr="00831C3C" w:rsidRDefault="007563CD">
            <w:pPr>
              <w:rPr>
                <w:rFonts w:ascii="宋体" w:eastAsia="宋体" w:hAnsi="宋体" w:cs="宋体"/>
                <w:sz w:val="18"/>
                <w:szCs w:val="18"/>
              </w:rPr>
            </w:pPr>
            <w:r w:rsidRPr="00831C3C">
              <w:rPr>
                <w:rFonts w:hint="eastAsia"/>
                <w:sz w:val="18"/>
                <w:szCs w:val="18"/>
              </w:rPr>
              <w:t>电商平台服务费</w:t>
            </w:r>
          </w:p>
        </w:tc>
        <w:tc>
          <w:tcPr>
            <w:tcW w:w="2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7563CD" w:rsidRPr="00831C3C" w:rsidRDefault="007563CD" w:rsidP="00617E66">
            <w:pPr>
              <w:spacing w:line="240" w:lineRule="exact"/>
              <w:jc w:val="right"/>
              <w:rPr>
                <w:rFonts w:ascii="宋体" w:eastAsia="宋体" w:hAnsi="宋体" w:cs="宋体"/>
                <w:sz w:val="18"/>
                <w:szCs w:val="18"/>
              </w:rPr>
            </w:pPr>
            <w:r w:rsidRPr="00831C3C">
              <w:rPr>
                <w:rFonts w:ascii="宋体" w:eastAsia="宋体" w:hAnsi="宋体" w:cs="宋体"/>
                <w:sz w:val="18"/>
                <w:szCs w:val="18"/>
              </w:rPr>
              <w:t>24,335,883.02</w:t>
            </w:r>
          </w:p>
        </w:tc>
        <w:tc>
          <w:tcPr>
            <w:tcW w:w="475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7563CD" w:rsidRPr="00831C3C" w:rsidRDefault="007563CD" w:rsidP="00617E66">
            <w:pPr>
              <w:spacing w:line="240" w:lineRule="exact"/>
              <w:jc w:val="right"/>
              <w:rPr>
                <w:rFonts w:ascii="宋体" w:eastAsia="宋体" w:hAnsi="宋体" w:cs="宋体"/>
                <w:sz w:val="18"/>
                <w:szCs w:val="18"/>
              </w:rPr>
            </w:pPr>
            <w:r w:rsidRPr="00831C3C">
              <w:rPr>
                <w:rFonts w:ascii="宋体" w:eastAsia="宋体" w:hAnsi="宋体" w:cs="宋体"/>
                <w:sz w:val="18"/>
                <w:szCs w:val="18"/>
              </w:rPr>
              <w:t>31,585,723.69</w:t>
            </w:r>
          </w:p>
        </w:tc>
      </w:tr>
      <w:tr w:rsidR="00831C3C" w:rsidRPr="00831C3C" w:rsidTr="007563CD">
        <w:trPr>
          <w:divId w:val="1473667937"/>
          <w:trHeight w:val="450"/>
          <w:jc w:val="center"/>
        </w:trPr>
        <w:tc>
          <w:tcPr>
            <w:tcW w:w="2682" w:type="dxa"/>
            <w:tcBorders>
              <w:top w:val="nil"/>
              <w:left w:val="single" w:sz="8" w:space="0" w:color="auto"/>
              <w:bottom w:val="single" w:sz="8" w:space="0" w:color="auto"/>
              <w:right w:val="single" w:sz="8" w:space="0" w:color="auto"/>
            </w:tcBorders>
            <w:shd w:val="clear" w:color="auto" w:fill="D9D9D9" w:themeFill="background1" w:themeFillShade="D9"/>
            <w:tcMar>
              <w:top w:w="15" w:type="dxa"/>
              <w:left w:w="15" w:type="dxa"/>
              <w:bottom w:w="0" w:type="dxa"/>
              <w:right w:w="15" w:type="dxa"/>
            </w:tcMar>
            <w:vAlign w:val="center"/>
            <w:hideMark/>
          </w:tcPr>
          <w:p w:rsidR="007563CD" w:rsidRPr="00831C3C" w:rsidRDefault="007563CD">
            <w:pPr>
              <w:rPr>
                <w:rFonts w:ascii="宋体" w:eastAsia="宋体" w:hAnsi="宋体" w:cs="宋体"/>
                <w:sz w:val="18"/>
                <w:szCs w:val="18"/>
              </w:rPr>
            </w:pPr>
            <w:r w:rsidRPr="00831C3C">
              <w:rPr>
                <w:rFonts w:hint="eastAsia"/>
                <w:sz w:val="18"/>
                <w:szCs w:val="18"/>
              </w:rPr>
              <w:t>其他</w:t>
            </w:r>
          </w:p>
        </w:tc>
        <w:tc>
          <w:tcPr>
            <w:tcW w:w="2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7563CD" w:rsidRPr="00831C3C" w:rsidRDefault="007563CD" w:rsidP="00617E66">
            <w:pPr>
              <w:spacing w:line="240" w:lineRule="exact"/>
              <w:jc w:val="right"/>
              <w:rPr>
                <w:rFonts w:ascii="宋体" w:eastAsia="宋体" w:hAnsi="宋体" w:cs="宋体"/>
                <w:sz w:val="18"/>
                <w:szCs w:val="18"/>
              </w:rPr>
            </w:pPr>
            <w:r w:rsidRPr="00831C3C">
              <w:rPr>
                <w:rFonts w:ascii="宋体" w:eastAsia="宋体" w:hAnsi="宋体" w:cs="宋体"/>
                <w:sz w:val="18"/>
                <w:szCs w:val="18"/>
              </w:rPr>
              <w:t>8,741,327.25</w:t>
            </w:r>
          </w:p>
        </w:tc>
        <w:tc>
          <w:tcPr>
            <w:tcW w:w="475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7563CD" w:rsidRPr="00831C3C" w:rsidRDefault="007563CD" w:rsidP="00617E66">
            <w:pPr>
              <w:spacing w:line="240" w:lineRule="exact"/>
              <w:jc w:val="right"/>
              <w:rPr>
                <w:rFonts w:ascii="宋体" w:eastAsia="宋体" w:hAnsi="宋体" w:cs="宋体"/>
                <w:sz w:val="18"/>
                <w:szCs w:val="18"/>
              </w:rPr>
            </w:pPr>
            <w:r w:rsidRPr="00831C3C">
              <w:rPr>
                <w:rFonts w:ascii="宋体" w:eastAsia="宋体" w:hAnsi="宋体" w:cs="宋体"/>
                <w:sz w:val="18"/>
                <w:szCs w:val="18"/>
              </w:rPr>
              <w:t>4,174,385.94</w:t>
            </w:r>
          </w:p>
        </w:tc>
      </w:tr>
      <w:tr w:rsidR="00831C3C" w:rsidRPr="00831C3C" w:rsidTr="007563CD">
        <w:trPr>
          <w:divId w:val="1473667937"/>
          <w:trHeight w:val="270"/>
          <w:jc w:val="center"/>
        </w:trPr>
        <w:tc>
          <w:tcPr>
            <w:tcW w:w="2682" w:type="dxa"/>
            <w:tcBorders>
              <w:top w:val="nil"/>
              <w:left w:val="single" w:sz="8" w:space="0" w:color="auto"/>
              <w:bottom w:val="single" w:sz="8" w:space="0" w:color="auto"/>
              <w:right w:val="single" w:sz="8" w:space="0" w:color="auto"/>
            </w:tcBorders>
            <w:shd w:val="clear" w:color="auto" w:fill="D9D9D9" w:themeFill="background1" w:themeFillShade="D9"/>
            <w:tcMar>
              <w:top w:w="15" w:type="dxa"/>
              <w:left w:w="15" w:type="dxa"/>
              <w:bottom w:w="0" w:type="dxa"/>
              <w:right w:w="15" w:type="dxa"/>
            </w:tcMar>
            <w:vAlign w:val="center"/>
            <w:hideMark/>
          </w:tcPr>
          <w:p w:rsidR="007563CD" w:rsidRPr="00831C3C" w:rsidRDefault="007563CD">
            <w:pPr>
              <w:rPr>
                <w:rFonts w:ascii="宋体" w:eastAsia="宋体" w:hAnsi="宋体" w:cs="宋体"/>
                <w:sz w:val="18"/>
                <w:szCs w:val="18"/>
              </w:rPr>
            </w:pPr>
            <w:r w:rsidRPr="00831C3C">
              <w:rPr>
                <w:rFonts w:hint="eastAsia"/>
                <w:sz w:val="18"/>
                <w:szCs w:val="18"/>
              </w:rPr>
              <w:t>合计</w:t>
            </w:r>
          </w:p>
        </w:tc>
        <w:tc>
          <w:tcPr>
            <w:tcW w:w="2080"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7563CD" w:rsidRPr="00831C3C" w:rsidRDefault="007563CD" w:rsidP="00617E66">
            <w:pPr>
              <w:spacing w:line="240" w:lineRule="exact"/>
              <w:jc w:val="right"/>
              <w:rPr>
                <w:rFonts w:ascii="宋体" w:eastAsia="宋体" w:hAnsi="宋体" w:cs="宋体"/>
                <w:sz w:val="18"/>
                <w:szCs w:val="18"/>
              </w:rPr>
            </w:pPr>
            <w:r w:rsidRPr="00831C3C">
              <w:rPr>
                <w:rFonts w:ascii="宋体" w:eastAsia="宋体" w:hAnsi="宋体" w:cs="宋体"/>
                <w:sz w:val="18"/>
                <w:szCs w:val="18"/>
              </w:rPr>
              <w:t>112,368,503.45</w:t>
            </w:r>
          </w:p>
        </w:tc>
        <w:tc>
          <w:tcPr>
            <w:tcW w:w="475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7563CD" w:rsidRPr="00831C3C" w:rsidRDefault="007563CD" w:rsidP="00617E66">
            <w:pPr>
              <w:spacing w:line="240" w:lineRule="exact"/>
              <w:jc w:val="right"/>
              <w:rPr>
                <w:rFonts w:ascii="宋体" w:eastAsia="宋体" w:hAnsi="宋体" w:cs="宋体"/>
                <w:sz w:val="18"/>
                <w:szCs w:val="18"/>
              </w:rPr>
            </w:pPr>
            <w:r w:rsidRPr="00831C3C">
              <w:rPr>
                <w:rFonts w:ascii="宋体" w:eastAsia="宋体" w:hAnsi="宋体" w:cs="宋体"/>
                <w:sz w:val="18"/>
                <w:szCs w:val="18"/>
              </w:rPr>
              <w:t>114,860,021.17</w:t>
            </w:r>
          </w:p>
        </w:tc>
      </w:tr>
    </w:tbl>
    <w:p w:rsidR="00E23A97" w:rsidRPr="00831C3C" w:rsidRDefault="00C65FD5">
      <w:pPr>
        <w:pStyle w:val="3"/>
        <w:spacing w:line="280" w:lineRule="exact"/>
        <w:jc w:val="left"/>
        <w:rPr>
          <w:rFonts w:ascii="宋体" w:hAnsi="宋体" w:cs="宋体"/>
          <w:b/>
          <w:bCs/>
        </w:rPr>
      </w:pPr>
      <w:bookmarkStart w:id="29" w:name="_Toc988918"/>
      <w:r w:rsidRPr="00831C3C">
        <w:rPr>
          <w:rFonts w:ascii="宋体" w:hAnsi="宋体" w:cs="宋体"/>
          <w:b/>
          <w:bCs/>
        </w:rPr>
        <w:t>4、纺织服装相关行业信息披露指引要求的其他信息</w:t>
      </w:r>
      <w:bookmarkEnd w:id="29"/>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公司需遵守《深圳证券交易所上市公司自律监管指引第3号——行业信息披露》中纺织服装相关业的披露要求</w:t>
      </w:r>
    </w:p>
    <w:p w:rsidR="00E23A97" w:rsidRPr="00831C3C" w:rsidRDefault="00C65FD5">
      <w:pPr>
        <w:keepNext/>
        <w:keepLines/>
        <w:spacing w:before="300" w:after="300" w:line="280" w:lineRule="exact"/>
        <w:outlineLvl w:val="3"/>
        <w:rPr>
          <w:rFonts w:ascii="宋体" w:eastAsia="宋体" w:hAnsi="宋体" w:cs="宋体"/>
          <w:b/>
          <w:bCs/>
          <w:szCs w:val="21"/>
        </w:rPr>
      </w:pPr>
      <w:bookmarkStart w:id="30" w:name="_Toc988919"/>
      <w:r w:rsidRPr="00831C3C">
        <w:rPr>
          <w:rFonts w:ascii="宋体" w:eastAsia="宋体" w:hAnsi="宋体" w:cs="宋体"/>
          <w:b/>
          <w:bCs/>
          <w:szCs w:val="21"/>
        </w:rPr>
        <w:t>（1）产能情况</w:t>
      </w:r>
      <w:bookmarkEnd w:id="30"/>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公司自有产能状况</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本报告期</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上年同期</w:t>
            </w:r>
          </w:p>
        </w:tc>
      </w:tr>
      <w:tr w:rsidR="00831C3C" w:rsidRPr="00831C3C" w:rsidTr="00617E66">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总产能</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sz w:val="18"/>
                <w:szCs w:val="18"/>
              </w:rPr>
              <w:t>206万锭</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sz w:val="18"/>
                <w:szCs w:val="18"/>
              </w:rPr>
              <w:t>206万锭</w:t>
            </w:r>
          </w:p>
        </w:tc>
      </w:tr>
      <w:tr w:rsidR="00831C3C" w:rsidRPr="00831C3C" w:rsidTr="00617E66">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产能利用率</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sz w:val="18"/>
                <w:szCs w:val="18"/>
              </w:rPr>
              <w:t>88.00%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sz w:val="18"/>
                <w:szCs w:val="18"/>
              </w:rPr>
              <w:t>83.00%</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产能利用率同比变动超过10%</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□是</w:t>
      </w:r>
      <w:r w:rsidRPr="00831C3C">
        <w:rPr>
          <w:rFonts w:ascii="宋体" w:eastAsia="宋体" w:hAnsi="宋体" w:cs="宋体"/>
          <w:sz w:val="18"/>
          <w:szCs w:val="18"/>
        </w:rPr>
        <w:sym w:font="Wingdings 2" w:char="F052"/>
      </w:r>
      <w:r w:rsidRPr="00831C3C">
        <w:rPr>
          <w:rFonts w:ascii="宋体" w:eastAsia="宋体" w:hAnsi="宋体" w:cs="宋体"/>
          <w:sz w:val="18"/>
          <w:szCs w:val="18"/>
        </w:rPr>
        <w:t>否</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是否存在境外产能</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是□否</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境内</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境外</w:t>
            </w:r>
          </w:p>
        </w:tc>
      </w:tr>
      <w:tr w:rsidR="00831C3C" w:rsidRPr="00831C3C" w:rsidTr="00617E66">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产能的占比</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sz w:val="18"/>
                <w:szCs w:val="18"/>
              </w:rPr>
              <w:t>86.00%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sz w:val="18"/>
                <w:szCs w:val="18"/>
              </w:rPr>
              <w:t>14.00%</w:t>
            </w:r>
          </w:p>
        </w:tc>
      </w:tr>
      <w:tr w:rsidR="00831C3C" w:rsidRPr="00831C3C" w:rsidTr="00617E66">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产能的布局</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sz w:val="18"/>
                <w:szCs w:val="18"/>
              </w:rPr>
              <w:t>177万锭</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sz w:val="18"/>
                <w:szCs w:val="18"/>
              </w:rPr>
              <w:t>29万锭</w:t>
            </w:r>
          </w:p>
        </w:tc>
      </w:tr>
      <w:tr w:rsidR="00831C3C" w:rsidRPr="00831C3C" w:rsidTr="00617E66">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产能利用率</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sz w:val="18"/>
                <w:szCs w:val="18"/>
              </w:rPr>
              <w:t>89.00%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sz w:val="18"/>
                <w:szCs w:val="18"/>
              </w:rPr>
              <w:t>87.00%</w:t>
            </w:r>
          </w:p>
        </w:tc>
      </w:tr>
    </w:tbl>
    <w:p w:rsidR="00C65FD5" w:rsidRPr="00831C3C" w:rsidRDefault="00C65FD5" w:rsidP="00617E66">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公司未来的境外产能扩建计划</w:t>
      </w:r>
      <w:r w:rsidR="00617E66" w:rsidRPr="00831C3C">
        <w:rPr>
          <w:rFonts w:ascii="宋体" w:eastAsia="宋体" w:hAnsi="宋体" w:cs="宋体" w:hint="eastAsia"/>
          <w:sz w:val="18"/>
          <w:szCs w:val="18"/>
        </w:rPr>
        <w:t>：</w:t>
      </w:r>
      <w:r w:rsidRPr="00831C3C">
        <w:rPr>
          <w:rFonts w:hint="eastAsia"/>
          <w:sz w:val="18"/>
          <w:szCs w:val="18"/>
        </w:rPr>
        <w:t>无。</w:t>
      </w:r>
    </w:p>
    <w:p w:rsidR="00E23A97" w:rsidRPr="00831C3C" w:rsidRDefault="00C65FD5">
      <w:pPr>
        <w:keepNext/>
        <w:keepLines/>
        <w:spacing w:before="300" w:after="300" w:line="280" w:lineRule="exact"/>
        <w:outlineLvl w:val="3"/>
        <w:rPr>
          <w:rFonts w:ascii="宋体" w:eastAsia="宋体" w:hAnsi="宋体" w:cs="宋体"/>
          <w:b/>
          <w:bCs/>
          <w:szCs w:val="21"/>
        </w:rPr>
      </w:pPr>
      <w:bookmarkStart w:id="31" w:name="_Toc988920"/>
      <w:r w:rsidRPr="00831C3C">
        <w:rPr>
          <w:rFonts w:ascii="宋体" w:eastAsia="宋体" w:hAnsi="宋体" w:cs="宋体"/>
          <w:b/>
          <w:bCs/>
          <w:szCs w:val="21"/>
        </w:rPr>
        <w:t>（2）销售模式及渠道情况</w:t>
      </w:r>
      <w:bookmarkEnd w:id="31"/>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产品的销售渠道及实际运营方式</w:t>
      </w:r>
    </w:p>
    <w:p w:rsidR="00E23A97" w:rsidRPr="00831C3C" w:rsidRDefault="00C65FD5">
      <w:pPr>
        <w:spacing w:before="120" w:after="12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959"/>
        <w:gridCol w:w="1843"/>
        <w:gridCol w:w="1842"/>
        <w:gridCol w:w="864"/>
        <w:gridCol w:w="1377"/>
        <w:gridCol w:w="1377"/>
        <w:gridCol w:w="1377"/>
      </w:tblGrid>
      <w:tr w:rsidR="00831C3C" w:rsidRPr="00831C3C" w:rsidTr="00617E66">
        <w:trPr>
          <w:trHeight w:val="240"/>
        </w:trPr>
        <w:tc>
          <w:tcPr>
            <w:tcW w:w="95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销售渠道</w:t>
            </w:r>
          </w:p>
        </w:tc>
        <w:tc>
          <w:tcPr>
            <w:tcW w:w="184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营业收入</w:t>
            </w:r>
          </w:p>
        </w:tc>
        <w:tc>
          <w:tcPr>
            <w:tcW w:w="184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营业成本</w:t>
            </w:r>
          </w:p>
        </w:tc>
        <w:tc>
          <w:tcPr>
            <w:tcW w:w="864"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毛利率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营业收入比上年同期增减（%）</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营业成本比上年同期增减（%）</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毛利率比上年同期增减（%）</w:t>
            </w:r>
          </w:p>
        </w:tc>
      </w:tr>
      <w:tr w:rsidR="00831C3C" w:rsidRPr="00831C3C" w:rsidTr="00617E66">
        <w:trPr>
          <w:trHeight w:val="240"/>
        </w:trPr>
        <w:tc>
          <w:tcPr>
            <w:tcW w:w="95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线上销售</w:t>
            </w:r>
          </w:p>
        </w:tc>
        <w:tc>
          <w:tcPr>
            <w:tcW w:w="18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122,063,862.95</w:t>
            </w:r>
          </w:p>
        </w:tc>
        <w:tc>
          <w:tcPr>
            <w:tcW w:w="18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68,549,658.24</w:t>
            </w:r>
          </w:p>
        </w:tc>
        <w:tc>
          <w:tcPr>
            <w:tcW w:w="86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43.84%</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-16.82%</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-21.04%</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3.00%</w:t>
            </w:r>
          </w:p>
        </w:tc>
      </w:tr>
      <w:tr w:rsidR="00831C3C" w:rsidRPr="00831C3C" w:rsidTr="00617E66">
        <w:trPr>
          <w:trHeight w:val="240"/>
        </w:trPr>
        <w:tc>
          <w:tcPr>
            <w:tcW w:w="95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直营销售</w:t>
            </w:r>
          </w:p>
        </w:tc>
        <w:tc>
          <w:tcPr>
            <w:tcW w:w="18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10,492,632,543.20</w:t>
            </w:r>
          </w:p>
        </w:tc>
        <w:tc>
          <w:tcPr>
            <w:tcW w:w="18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10,069,570,826.69</w:t>
            </w:r>
          </w:p>
        </w:tc>
        <w:tc>
          <w:tcPr>
            <w:tcW w:w="86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4.03%</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-22.12%</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-22.41%</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0.36%</w:t>
            </w:r>
          </w:p>
        </w:tc>
      </w:tr>
    </w:tbl>
    <w:p w:rsidR="00C65FD5" w:rsidRPr="00831C3C" w:rsidRDefault="00C65FD5" w:rsidP="00617E66">
      <w:pPr>
        <w:spacing w:before="100" w:after="100" w:line="240" w:lineRule="exact"/>
        <w:rPr>
          <w:rFonts w:ascii="宋体" w:eastAsia="宋体" w:hAnsi="宋体" w:cs="宋体"/>
          <w:sz w:val="18"/>
          <w:szCs w:val="18"/>
        </w:rPr>
      </w:pPr>
      <w:r w:rsidRPr="00831C3C">
        <w:rPr>
          <w:rFonts w:ascii="宋体" w:eastAsia="宋体" w:hAnsi="宋体" w:cs="宋体"/>
          <w:sz w:val="18"/>
          <w:szCs w:val="18"/>
        </w:rPr>
        <w:t>变化原因</w:t>
      </w:r>
      <w:r w:rsidR="00617E66" w:rsidRPr="00831C3C">
        <w:rPr>
          <w:rFonts w:ascii="宋体" w:eastAsia="宋体" w:hAnsi="宋体" w:cs="宋体" w:hint="eastAsia"/>
          <w:sz w:val="18"/>
          <w:szCs w:val="18"/>
        </w:rPr>
        <w:t>：</w:t>
      </w:r>
      <w:r w:rsidRPr="00831C3C">
        <w:rPr>
          <w:rFonts w:hint="eastAsia"/>
          <w:sz w:val="18"/>
          <w:szCs w:val="18"/>
        </w:rPr>
        <w:t>无。</w:t>
      </w:r>
    </w:p>
    <w:p w:rsidR="00E23A97" w:rsidRPr="00831C3C" w:rsidRDefault="00C65FD5">
      <w:pPr>
        <w:keepNext/>
        <w:keepLines/>
        <w:spacing w:before="300" w:after="300" w:line="280" w:lineRule="exact"/>
        <w:outlineLvl w:val="3"/>
        <w:rPr>
          <w:rFonts w:ascii="宋体" w:eastAsia="宋体" w:hAnsi="宋体" w:cs="宋体"/>
          <w:b/>
          <w:bCs/>
          <w:szCs w:val="21"/>
        </w:rPr>
      </w:pPr>
      <w:bookmarkStart w:id="32" w:name="_Toc988921"/>
      <w:r w:rsidRPr="00831C3C">
        <w:rPr>
          <w:rFonts w:ascii="宋体" w:eastAsia="宋体" w:hAnsi="宋体" w:cs="宋体"/>
          <w:b/>
          <w:bCs/>
          <w:szCs w:val="21"/>
        </w:rPr>
        <w:t>（3）加盟、分销</w:t>
      </w:r>
      <w:bookmarkEnd w:id="32"/>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加盟商、分销商实现销售收入占比超过30%</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□是</w:t>
      </w:r>
      <w:r w:rsidRPr="00831C3C">
        <w:rPr>
          <w:rFonts w:ascii="宋体" w:eastAsia="宋体" w:hAnsi="宋体" w:cs="宋体"/>
          <w:sz w:val="18"/>
          <w:szCs w:val="18"/>
        </w:rPr>
        <w:sym w:font="Wingdings 2" w:char="F052"/>
      </w:r>
      <w:r w:rsidRPr="00831C3C">
        <w:rPr>
          <w:rFonts w:ascii="宋体" w:eastAsia="宋体" w:hAnsi="宋体" w:cs="宋体"/>
          <w:sz w:val="18"/>
          <w:szCs w:val="18"/>
        </w:rPr>
        <w:t>否</w:t>
      </w:r>
    </w:p>
    <w:p w:rsidR="00E23A97" w:rsidRPr="00831C3C" w:rsidRDefault="00C65FD5">
      <w:pPr>
        <w:keepNext/>
        <w:keepLines/>
        <w:spacing w:before="300" w:after="300" w:line="280" w:lineRule="exact"/>
        <w:outlineLvl w:val="3"/>
        <w:rPr>
          <w:rFonts w:ascii="宋体" w:eastAsia="宋体" w:hAnsi="宋体" w:cs="宋体"/>
          <w:b/>
          <w:bCs/>
          <w:szCs w:val="21"/>
        </w:rPr>
      </w:pPr>
      <w:bookmarkStart w:id="33" w:name="_Toc988922"/>
      <w:r w:rsidRPr="00831C3C">
        <w:rPr>
          <w:rFonts w:ascii="宋体" w:eastAsia="宋体" w:hAnsi="宋体" w:cs="宋体"/>
          <w:b/>
          <w:bCs/>
          <w:szCs w:val="21"/>
        </w:rPr>
        <w:lastRenderedPageBreak/>
        <w:t>（4）线上销售</w:t>
      </w:r>
      <w:bookmarkEnd w:id="33"/>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线上销售实现销售收入占比超过30%</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□是</w:t>
      </w:r>
      <w:r w:rsidRPr="00831C3C">
        <w:rPr>
          <w:rFonts w:ascii="宋体" w:eastAsia="宋体" w:hAnsi="宋体" w:cs="宋体"/>
          <w:sz w:val="18"/>
          <w:szCs w:val="18"/>
        </w:rPr>
        <w:sym w:font="Wingdings 2" w:char="F052"/>
      </w:r>
      <w:r w:rsidRPr="00831C3C">
        <w:rPr>
          <w:rFonts w:ascii="宋体" w:eastAsia="宋体" w:hAnsi="宋体" w:cs="宋体"/>
          <w:sz w:val="18"/>
          <w:szCs w:val="18"/>
        </w:rPr>
        <w:t>否</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是否自建销售平台</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□是</w:t>
      </w:r>
      <w:r w:rsidRPr="00831C3C">
        <w:rPr>
          <w:rFonts w:ascii="宋体" w:eastAsia="宋体" w:hAnsi="宋体" w:cs="宋体"/>
          <w:sz w:val="18"/>
          <w:szCs w:val="18"/>
        </w:rPr>
        <w:sym w:font="Wingdings 2" w:char="F052"/>
      </w:r>
      <w:r w:rsidRPr="00831C3C">
        <w:rPr>
          <w:rFonts w:ascii="宋体" w:eastAsia="宋体" w:hAnsi="宋体" w:cs="宋体"/>
          <w:sz w:val="18"/>
          <w:szCs w:val="18"/>
        </w:rPr>
        <w:t>否</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是否与第三</w:t>
      </w:r>
      <w:proofErr w:type="gramStart"/>
      <w:r w:rsidRPr="00831C3C">
        <w:rPr>
          <w:rFonts w:ascii="宋体" w:eastAsia="宋体" w:hAnsi="宋体" w:cs="宋体"/>
          <w:sz w:val="18"/>
          <w:szCs w:val="18"/>
        </w:rPr>
        <w:t>方销售</w:t>
      </w:r>
      <w:proofErr w:type="gramEnd"/>
      <w:r w:rsidRPr="00831C3C">
        <w:rPr>
          <w:rFonts w:ascii="宋体" w:eastAsia="宋体" w:hAnsi="宋体" w:cs="宋体"/>
          <w:sz w:val="18"/>
          <w:szCs w:val="18"/>
        </w:rPr>
        <w:t>平台合作</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是□否</w:t>
      </w:r>
    </w:p>
    <w:p w:rsidR="00E23A97" w:rsidRPr="00831C3C" w:rsidRDefault="00C65FD5">
      <w:pPr>
        <w:spacing w:before="120" w:after="12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平台名称</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报告期内的交易金额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退货率</w:t>
            </w:r>
          </w:p>
        </w:tc>
      </w:tr>
      <w:tr w:rsidR="00831C3C" w:rsidRPr="00831C3C" w:rsidTr="0088211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CB4466" w:rsidRPr="00831C3C" w:rsidRDefault="00CB4466" w:rsidP="00617E66">
            <w:pPr>
              <w:spacing w:line="240" w:lineRule="exact"/>
              <w:jc w:val="center"/>
              <w:rPr>
                <w:rFonts w:ascii="宋体" w:eastAsia="宋体" w:hAnsi="宋体" w:cs="宋体"/>
                <w:sz w:val="18"/>
                <w:szCs w:val="18"/>
              </w:rPr>
            </w:pPr>
            <w:proofErr w:type="gramStart"/>
            <w:r w:rsidRPr="00831C3C">
              <w:rPr>
                <w:rFonts w:ascii="宋体" w:eastAsia="宋体" w:hAnsi="宋体" w:cs="宋体"/>
                <w:sz w:val="18"/>
                <w:szCs w:val="18"/>
              </w:rPr>
              <w:t>天猫</w:t>
            </w:r>
            <w:proofErr w:type="gramEnd"/>
          </w:p>
        </w:tc>
        <w:tc>
          <w:tcPr>
            <w:tcW w:w="3213" w:type="dxa"/>
            <w:tcBorders>
              <w:top w:val="single" w:sz="2" w:space="0" w:color="auto"/>
              <w:left w:val="single" w:sz="2" w:space="0" w:color="auto"/>
              <w:bottom w:val="single" w:sz="2" w:space="0" w:color="auto"/>
              <w:right w:val="single" w:sz="2" w:space="0" w:color="auto"/>
            </w:tcBorders>
            <w:vAlign w:val="center"/>
          </w:tcPr>
          <w:p w:rsidR="00CB4466" w:rsidRPr="00831C3C" w:rsidRDefault="00CB4466">
            <w:pPr>
              <w:spacing w:line="240" w:lineRule="exact"/>
              <w:jc w:val="right"/>
              <w:rPr>
                <w:rFonts w:ascii="宋体" w:eastAsia="宋体" w:hAnsi="宋体" w:cs="宋体"/>
                <w:sz w:val="18"/>
                <w:szCs w:val="18"/>
              </w:rPr>
            </w:pPr>
            <w:r w:rsidRPr="00831C3C">
              <w:rPr>
                <w:rFonts w:ascii="宋体" w:eastAsia="宋体" w:hAnsi="宋体" w:cs="宋体"/>
                <w:sz w:val="18"/>
                <w:szCs w:val="18"/>
              </w:rPr>
              <w:t>49,621,686.71</w:t>
            </w:r>
          </w:p>
        </w:tc>
        <w:tc>
          <w:tcPr>
            <w:tcW w:w="3213" w:type="dxa"/>
            <w:tcBorders>
              <w:top w:val="single" w:sz="2" w:space="0" w:color="auto"/>
              <w:left w:val="single" w:sz="2" w:space="0" w:color="auto"/>
              <w:bottom w:val="single" w:sz="2" w:space="0" w:color="auto"/>
              <w:right w:val="single" w:sz="2" w:space="0" w:color="auto"/>
            </w:tcBorders>
          </w:tcPr>
          <w:p w:rsidR="00CB4466" w:rsidRPr="00831C3C" w:rsidRDefault="00CB4466" w:rsidP="00CB4466">
            <w:pPr>
              <w:jc w:val="right"/>
              <w:rPr>
                <w:rFonts w:asciiTheme="minorEastAsia" w:hAnsiTheme="minorEastAsia"/>
                <w:sz w:val="18"/>
                <w:szCs w:val="18"/>
              </w:rPr>
            </w:pPr>
            <w:r w:rsidRPr="00831C3C">
              <w:rPr>
                <w:rFonts w:asciiTheme="minorEastAsia" w:hAnsiTheme="minorEastAsia"/>
                <w:sz w:val="18"/>
                <w:szCs w:val="18"/>
              </w:rPr>
              <w:t>1%</w:t>
            </w:r>
          </w:p>
        </w:tc>
      </w:tr>
      <w:tr w:rsidR="00831C3C" w:rsidRPr="00831C3C" w:rsidTr="0088211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CB4466" w:rsidRPr="00831C3C" w:rsidRDefault="00CB4466" w:rsidP="00617E66">
            <w:pPr>
              <w:spacing w:line="240" w:lineRule="exact"/>
              <w:jc w:val="center"/>
              <w:rPr>
                <w:rFonts w:ascii="宋体" w:eastAsia="宋体" w:hAnsi="宋体" w:cs="宋体"/>
                <w:sz w:val="18"/>
                <w:szCs w:val="18"/>
              </w:rPr>
            </w:pPr>
            <w:proofErr w:type="gramStart"/>
            <w:r w:rsidRPr="00831C3C">
              <w:rPr>
                <w:rFonts w:ascii="宋体" w:eastAsia="宋体" w:hAnsi="宋体" w:cs="宋体"/>
                <w:sz w:val="18"/>
                <w:szCs w:val="18"/>
              </w:rPr>
              <w:t>唯品会</w:t>
            </w:r>
            <w:proofErr w:type="gramEnd"/>
          </w:p>
        </w:tc>
        <w:tc>
          <w:tcPr>
            <w:tcW w:w="3213" w:type="dxa"/>
            <w:tcBorders>
              <w:top w:val="single" w:sz="2" w:space="0" w:color="auto"/>
              <w:left w:val="single" w:sz="2" w:space="0" w:color="auto"/>
              <w:bottom w:val="single" w:sz="2" w:space="0" w:color="auto"/>
              <w:right w:val="single" w:sz="2" w:space="0" w:color="auto"/>
            </w:tcBorders>
            <w:vAlign w:val="center"/>
          </w:tcPr>
          <w:p w:rsidR="00CB4466" w:rsidRPr="00831C3C" w:rsidRDefault="00CB4466">
            <w:pPr>
              <w:spacing w:line="240" w:lineRule="exact"/>
              <w:jc w:val="right"/>
              <w:rPr>
                <w:rFonts w:ascii="宋体" w:eastAsia="宋体" w:hAnsi="宋体" w:cs="宋体"/>
                <w:sz w:val="18"/>
                <w:szCs w:val="18"/>
              </w:rPr>
            </w:pPr>
            <w:r w:rsidRPr="00831C3C">
              <w:rPr>
                <w:rFonts w:ascii="宋体" w:eastAsia="宋体" w:hAnsi="宋体" w:cs="宋体"/>
                <w:sz w:val="18"/>
                <w:szCs w:val="18"/>
              </w:rPr>
              <w:t>33,678,749.03</w:t>
            </w:r>
          </w:p>
        </w:tc>
        <w:tc>
          <w:tcPr>
            <w:tcW w:w="3213" w:type="dxa"/>
            <w:tcBorders>
              <w:top w:val="single" w:sz="2" w:space="0" w:color="auto"/>
              <w:left w:val="single" w:sz="2" w:space="0" w:color="auto"/>
              <w:bottom w:val="single" w:sz="2" w:space="0" w:color="auto"/>
              <w:right w:val="single" w:sz="2" w:space="0" w:color="auto"/>
            </w:tcBorders>
          </w:tcPr>
          <w:p w:rsidR="00CB4466" w:rsidRPr="00831C3C" w:rsidRDefault="00CB4466" w:rsidP="00CB4466">
            <w:pPr>
              <w:jc w:val="right"/>
              <w:rPr>
                <w:rFonts w:asciiTheme="minorEastAsia" w:hAnsiTheme="minorEastAsia"/>
                <w:sz w:val="18"/>
                <w:szCs w:val="18"/>
              </w:rPr>
            </w:pPr>
            <w:r w:rsidRPr="00831C3C">
              <w:rPr>
                <w:rFonts w:asciiTheme="minorEastAsia" w:hAnsiTheme="minorEastAsia"/>
                <w:sz w:val="18"/>
                <w:szCs w:val="18"/>
              </w:rPr>
              <w:t>4%</w:t>
            </w:r>
          </w:p>
        </w:tc>
      </w:tr>
      <w:tr w:rsidR="00831C3C" w:rsidRPr="00831C3C" w:rsidTr="0088211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CB4466" w:rsidRPr="00831C3C" w:rsidRDefault="00CB4466" w:rsidP="00617E66">
            <w:pPr>
              <w:spacing w:line="240" w:lineRule="exact"/>
              <w:jc w:val="center"/>
              <w:rPr>
                <w:rFonts w:ascii="宋体" w:eastAsia="宋体" w:hAnsi="宋体" w:cs="宋体"/>
                <w:sz w:val="18"/>
                <w:szCs w:val="18"/>
              </w:rPr>
            </w:pPr>
            <w:r w:rsidRPr="00831C3C">
              <w:rPr>
                <w:rFonts w:ascii="宋体" w:eastAsia="宋体" w:hAnsi="宋体" w:cs="宋体"/>
                <w:sz w:val="18"/>
                <w:szCs w:val="18"/>
              </w:rPr>
              <w:t>得物</w:t>
            </w:r>
          </w:p>
        </w:tc>
        <w:tc>
          <w:tcPr>
            <w:tcW w:w="3213" w:type="dxa"/>
            <w:tcBorders>
              <w:top w:val="single" w:sz="2" w:space="0" w:color="auto"/>
              <w:left w:val="single" w:sz="2" w:space="0" w:color="auto"/>
              <w:bottom w:val="single" w:sz="2" w:space="0" w:color="auto"/>
              <w:right w:val="single" w:sz="2" w:space="0" w:color="auto"/>
            </w:tcBorders>
            <w:vAlign w:val="center"/>
          </w:tcPr>
          <w:p w:rsidR="00CB4466" w:rsidRPr="00831C3C" w:rsidRDefault="00CB4466">
            <w:pPr>
              <w:spacing w:line="240" w:lineRule="exact"/>
              <w:jc w:val="right"/>
              <w:rPr>
                <w:rFonts w:ascii="宋体" w:eastAsia="宋体" w:hAnsi="宋体" w:cs="宋体"/>
                <w:sz w:val="18"/>
                <w:szCs w:val="18"/>
              </w:rPr>
            </w:pPr>
            <w:r w:rsidRPr="00831C3C">
              <w:rPr>
                <w:rFonts w:ascii="宋体" w:eastAsia="宋体" w:hAnsi="宋体" w:cs="宋体"/>
                <w:sz w:val="18"/>
                <w:szCs w:val="18"/>
              </w:rPr>
              <w:t>13,309,359.84</w:t>
            </w:r>
          </w:p>
        </w:tc>
        <w:tc>
          <w:tcPr>
            <w:tcW w:w="3213" w:type="dxa"/>
            <w:tcBorders>
              <w:top w:val="single" w:sz="2" w:space="0" w:color="auto"/>
              <w:left w:val="single" w:sz="2" w:space="0" w:color="auto"/>
              <w:bottom w:val="single" w:sz="2" w:space="0" w:color="auto"/>
              <w:right w:val="single" w:sz="2" w:space="0" w:color="auto"/>
            </w:tcBorders>
          </w:tcPr>
          <w:p w:rsidR="00CB4466" w:rsidRPr="00831C3C" w:rsidRDefault="00CB4466" w:rsidP="00CB4466">
            <w:pPr>
              <w:jc w:val="right"/>
              <w:rPr>
                <w:rFonts w:asciiTheme="minorEastAsia" w:hAnsiTheme="minorEastAsia"/>
                <w:sz w:val="18"/>
                <w:szCs w:val="18"/>
              </w:rPr>
            </w:pPr>
            <w:r w:rsidRPr="00831C3C">
              <w:rPr>
                <w:rFonts w:asciiTheme="minorEastAsia" w:hAnsiTheme="minorEastAsia"/>
                <w:sz w:val="18"/>
                <w:szCs w:val="18"/>
              </w:rPr>
              <w:t>2%</w:t>
            </w:r>
          </w:p>
        </w:tc>
      </w:tr>
      <w:tr w:rsidR="00831C3C" w:rsidRPr="00831C3C" w:rsidTr="0088211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CB4466" w:rsidRPr="00831C3C" w:rsidRDefault="00CB4466" w:rsidP="00617E66">
            <w:pPr>
              <w:spacing w:line="240" w:lineRule="exact"/>
              <w:jc w:val="center"/>
              <w:rPr>
                <w:rFonts w:ascii="宋体" w:eastAsia="宋体" w:hAnsi="宋体" w:cs="宋体"/>
                <w:sz w:val="18"/>
                <w:szCs w:val="18"/>
              </w:rPr>
            </w:pPr>
            <w:proofErr w:type="gramStart"/>
            <w:r w:rsidRPr="00831C3C">
              <w:rPr>
                <w:rFonts w:ascii="宋体" w:eastAsia="宋体" w:hAnsi="宋体" w:cs="宋体"/>
                <w:sz w:val="18"/>
                <w:szCs w:val="18"/>
              </w:rPr>
              <w:t>抖音</w:t>
            </w:r>
            <w:proofErr w:type="gramEnd"/>
          </w:p>
        </w:tc>
        <w:tc>
          <w:tcPr>
            <w:tcW w:w="3213" w:type="dxa"/>
            <w:tcBorders>
              <w:top w:val="single" w:sz="2" w:space="0" w:color="auto"/>
              <w:left w:val="single" w:sz="2" w:space="0" w:color="auto"/>
              <w:bottom w:val="single" w:sz="2" w:space="0" w:color="auto"/>
              <w:right w:val="single" w:sz="2" w:space="0" w:color="auto"/>
            </w:tcBorders>
            <w:vAlign w:val="center"/>
          </w:tcPr>
          <w:p w:rsidR="00CB4466" w:rsidRPr="00831C3C" w:rsidRDefault="00CB4466">
            <w:pPr>
              <w:spacing w:line="240" w:lineRule="exact"/>
              <w:jc w:val="right"/>
              <w:rPr>
                <w:rFonts w:ascii="宋体" w:eastAsia="宋体" w:hAnsi="宋体" w:cs="宋体"/>
                <w:sz w:val="18"/>
                <w:szCs w:val="18"/>
              </w:rPr>
            </w:pPr>
            <w:r w:rsidRPr="00831C3C">
              <w:rPr>
                <w:rFonts w:ascii="宋体" w:eastAsia="宋体" w:hAnsi="宋体" w:cs="宋体"/>
                <w:sz w:val="18"/>
                <w:szCs w:val="18"/>
              </w:rPr>
              <w:t>11,909,199.92</w:t>
            </w:r>
          </w:p>
        </w:tc>
        <w:tc>
          <w:tcPr>
            <w:tcW w:w="3213" w:type="dxa"/>
            <w:tcBorders>
              <w:top w:val="single" w:sz="2" w:space="0" w:color="auto"/>
              <w:left w:val="single" w:sz="2" w:space="0" w:color="auto"/>
              <w:bottom w:val="single" w:sz="2" w:space="0" w:color="auto"/>
              <w:right w:val="single" w:sz="2" w:space="0" w:color="auto"/>
            </w:tcBorders>
          </w:tcPr>
          <w:p w:rsidR="00CB4466" w:rsidRPr="00831C3C" w:rsidRDefault="00CB4466" w:rsidP="00CB4466">
            <w:pPr>
              <w:jc w:val="right"/>
              <w:rPr>
                <w:rFonts w:asciiTheme="minorEastAsia" w:hAnsiTheme="minorEastAsia"/>
                <w:sz w:val="18"/>
                <w:szCs w:val="18"/>
              </w:rPr>
            </w:pPr>
            <w:r w:rsidRPr="00831C3C">
              <w:rPr>
                <w:rFonts w:asciiTheme="minorEastAsia" w:hAnsiTheme="minorEastAsia"/>
                <w:sz w:val="18"/>
                <w:szCs w:val="18"/>
              </w:rPr>
              <w:t>2%</w:t>
            </w:r>
          </w:p>
        </w:tc>
      </w:tr>
      <w:tr w:rsidR="00831C3C" w:rsidRPr="00831C3C" w:rsidTr="0088211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CB4466" w:rsidRPr="00831C3C" w:rsidRDefault="00CB4466" w:rsidP="00617E66">
            <w:pPr>
              <w:spacing w:line="240" w:lineRule="exact"/>
              <w:jc w:val="center"/>
              <w:rPr>
                <w:rFonts w:ascii="宋体" w:eastAsia="宋体" w:hAnsi="宋体" w:cs="宋体"/>
                <w:sz w:val="18"/>
                <w:szCs w:val="18"/>
              </w:rPr>
            </w:pPr>
            <w:r w:rsidRPr="00831C3C">
              <w:rPr>
                <w:rFonts w:ascii="宋体" w:eastAsia="宋体" w:hAnsi="宋体" w:cs="宋体"/>
                <w:sz w:val="18"/>
                <w:szCs w:val="18"/>
              </w:rPr>
              <w:t>拼多多</w:t>
            </w:r>
          </w:p>
        </w:tc>
        <w:tc>
          <w:tcPr>
            <w:tcW w:w="3213" w:type="dxa"/>
            <w:tcBorders>
              <w:top w:val="single" w:sz="2" w:space="0" w:color="auto"/>
              <w:left w:val="single" w:sz="2" w:space="0" w:color="auto"/>
              <w:bottom w:val="single" w:sz="2" w:space="0" w:color="auto"/>
              <w:right w:val="single" w:sz="2" w:space="0" w:color="auto"/>
            </w:tcBorders>
            <w:vAlign w:val="center"/>
          </w:tcPr>
          <w:p w:rsidR="00CB4466" w:rsidRPr="00831C3C" w:rsidRDefault="00CB4466">
            <w:pPr>
              <w:spacing w:line="240" w:lineRule="exact"/>
              <w:jc w:val="right"/>
              <w:rPr>
                <w:rFonts w:ascii="宋体" w:eastAsia="宋体" w:hAnsi="宋体" w:cs="宋体"/>
                <w:sz w:val="18"/>
                <w:szCs w:val="18"/>
              </w:rPr>
            </w:pPr>
            <w:r w:rsidRPr="00831C3C">
              <w:rPr>
                <w:rFonts w:ascii="宋体" w:eastAsia="宋体" w:hAnsi="宋体" w:cs="宋体"/>
                <w:sz w:val="18"/>
                <w:szCs w:val="18"/>
              </w:rPr>
              <w:t>4,764,171.77</w:t>
            </w:r>
          </w:p>
        </w:tc>
        <w:tc>
          <w:tcPr>
            <w:tcW w:w="3213" w:type="dxa"/>
            <w:tcBorders>
              <w:top w:val="single" w:sz="2" w:space="0" w:color="auto"/>
              <w:left w:val="single" w:sz="2" w:space="0" w:color="auto"/>
              <w:bottom w:val="single" w:sz="2" w:space="0" w:color="auto"/>
              <w:right w:val="single" w:sz="2" w:space="0" w:color="auto"/>
            </w:tcBorders>
          </w:tcPr>
          <w:p w:rsidR="00CB4466" w:rsidRPr="00831C3C" w:rsidRDefault="00CB4466" w:rsidP="00CB4466">
            <w:pPr>
              <w:jc w:val="right"/>
              <w:rPr>
                <w:rFonts w:asciiTheme="minorEastAsia" w:hAnsiTheme="minorEastAsia"/>
                <w:sz w:val="18"/>
                <w:szCs w:val="18"/>
              </w:rPr>
            </w:pPr>
            <w:r w:rsidRPr="00831C3C">
              <w:rPr>
                <w:rFonts w:asciiTheme="minorEastAsia" w:hAnsiTheme="minorEastAsia"/>
                <w:sz w:val="18"/>
                <w:szCs w:val="18"/>
              </w:rPr>
              <w:t>3%</w:t>
            </w:r>
          </w:p>
        </w:tc>
      </w:tr>
      <w:tr w:rsidR="00831C3C" w:rsidRPr="00831C3C" w:rsidTr="0088211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CB4466" w:rsidRPr="00831C3C" w:rsidRDefault="00CB4466" w:rsidP="00617E66">
            <w:pPr>
              <w:spacing w:line="240" w:lineRule="exact"/>
              <w:jc w:val="center"/>
              <w:rPr>
                <w:rFonts w:ascii="宋体" w:eastAsia="宋体" w:hAnsi="宋体" w:cs="宋体"/>
                <w:sz w:val="18"/>
                <w:szCs w:val="18"/>
              </w:rPr>
            </w:pPr>
            <w:r w:rsidRPr="00831C3C">
              <w:rPr>
                <w:rFonts w:ascii="宋体" w:eastAsia="宋体" w:hAnsi="宋体" w:cs="宋体"/>
                <w:sz w:val="18"/>
                <w:szCs w:val="18"/>
              </w:rPr>
              <w:t>阿里巴巴</w:t>
            </w:r>
          </w:p>
        </w:tc>
        <w:tc>
          <w:tcPr>
            <w:tcW w:w="3213" w:type="dxa"/>
            <w:tcBorders>
              <w:top w:val="single" w:sz="2" w:space="0" w:color="auto"/>
              <w:left w:val="single" w:sz="2" w:space="0" w:color="auto"/>
              <w:bottom w:val="single" w:sz="2" w:space="0" w:color="auto"/>
              <w:right w:val="single" w:sz="2" w:space="0" w:color="auto"/>
            </w:tcBorders>
            <w:vAlign w:val="center"/>
          </w:tcPr>
          <w:p w:rsidR="00CB4466" w:rsidRPr="00831C3C" w:rsidRDefault="00CB4466">
            <w:pPr>
              <w:spacing w:line="240" w:lineRule="exact"/>
              <w:jc w:val="right"/>
              <w:rPr>
                <w:rFonts w:ascii="宋体" w:eastAsia="宋体" w:hAnsi="宋体" w:cs="宋体"/>
                <w:sz w:val="18"/>
                <w:szCs w:val="18"/>
              </w:rPr>
            </w:pPr>
            <w:r w:rsidRPr="00831C3C">
              <w:rPr>
                <w:rFonts w:ascii="宋体" w:eastAsia="宋体" w:hAnsi="宋体" w:cs="宋体"/>
                <w:sz w:val="18"/>
                <w:szCs w:val="18"/>
              </w:rPr>
              <w:t>3,671,227.32</w:t>
            </w:r>
          </w:p>
        </w:tc>
        <w:tc>
          <w:tcPr>
            <w:tcW w:w="3213" w:type="dxa"/>
            <w:tcBorders>
              <w:top w:val="single" w:sz="2" w:space="0" w:color="auto"/>
              <w:left w:val="single" w:sz="2" w:space="0" w:color="auto"/>
              <w:bottom w:val="single" w:sz="2" w:space="0" w:color="auto"/>
              <w:right w:val="single" w:sz="2" w:space="0" w:color="auto"/>
            </w:tcBorders>
          </w:tcPr>
          <w:p w:rsidR="00CB4466" w:rsidRPr="00831C3C" w:rsidRDefault="00CB4466" w:rsidP="00CB4466">
            <w:pPr>
              <w:jc w:val="right"/>
              <w:rPr>
                <w:rFonts w:asciiTheme="minorEastAsia" w:hAnsiTheme="minorEastAsia"/>
                <w:sz w:val="18"/>
                <w:szCs w:val="18"/>
              </w:rPr>
            </w:pPr>
            <w:r w:rsidRPr="00831C3C">
              <w:rPr>
                <w:rFonts w:asciiTheme="minorEastAsia" w:hAnsiTheme="minorEastAsia"/>
                <w:sz w:val="18"/>
                <w:szCs w:val="18"/>
              </w:rPr>
              <w:t>2%</w:t>
            </w:r>
          </w:p>
        </w:tc>
      </w:tr>
      <w:tr w:rsidR="00831C3C" w:rsidRPr="00831C3C" w:rsidTr="0088211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CB4466" w:rsidRPr="00831C3C" w:rsidRDefault="00CB4466" w:rsidP="00617E66">
            <w:pPr>
              <w:spacing w:line="240" w:lineRule="exact"/>
              <w:jc w:val="center"/>
              <w:rPr>
                <w:rFonts w:ascii="宋体" w:eastAsia="宋体" w:hAnsi="宋体" w:cs="宋体"/>
                <w:sz w:val="18"/>
                <w:szCs w:val="18"/>
              </w:rPr>
            </w:pPr>
            <w:r w:rsidRPr="00831C3C">
              <w:rPr>
                <w:rFonts w:ascii="宋体" w:eastAsia="宋体" w:hAnsi="宋体" w:cs="宋体"/>
                <w:sz w:val="18"/>
                <w:szCs w:val="18"/>
              </w:rPr>
              <w:t>京东</w:t>
            </w:r>
          </w:p>
        </w:tc>
        <w:tc>
          <w:tcPr>
            <w:tcW w:w="3213" w:type="dxa"/>
            <w:tcBorders>
              <w:top w:val="single" w:sz="2" w:space="0" w:color="auto"/>
              <w:left w:val="single" w:sz="2" w:space="0" w:color="auto"/>
              <w:bottom w:val="single" w:sz="2" w:space="0" w:color="auto"/>
              <w:right w:val="single" w:sz="2" w:space="0" w:color="auto"/>
            </w:tcBorders>
            <w:vAlign w:val="center"/>
          </w:tcPr>
          <w:p w:rsidR="00CB4466" w:rsidRPr="00831C3C" w:rsidRDefault="00CB4466">
            <w:pPr>
              <w:spacing w:line="240" w:lineRule="exact"/>
              <w:jc w:val="right"/>
              <w:rPr>
                <w:rFonts w:ascii="宋体" w:eastAsia="宋体" w:hAnsi="宋体" w:cs="宋体"/>
                <w:sz w:val="18"/>
                <w:szCs w:val="18"/>
              </w:rPr>
            </w:pPr>
            <w:r w:rsidRPr="00831C3C">
              <w:rPr>
                <w:rFonts w:ascii="宋体" w:eastAsia="宋体" w:hAnsi="宋体" w:cs="宋体"/>
                <w:sz w:val="18"/>
                <w:szCs w:val="18"/>
              </w:rPr>
              <w:t>2,235,854.87</w:t>
            </w:r>
          </w:p>
        </w:tc>
        <w:tc>
          <w:tcPr>
            <w:tcW w:w="3213" w:type="dxa"/>
            <w:tcBorders>
              <w:top w:val="single" w:sz="2" w:space="0" w:color="auto"/>
              <w:left w:val="single" w:sz="2" w:space="0" w:color="auto"/>
              <w:bottom w:val="single" w:sz="2" w:space="0" w:color="auto"/>
              <w:right w:val="single" w:sz="2" w:space="0" w:color="auto"/>
            </w:tcBorders>
          </w:tcPr>
          <w:p w:rsidR="00CB4466" w:rsidRPr="00831C3C" w:rsidRDefault="00CB4466" w:rsidP="00CB4466">
            <w:pPr>
              <w:jc w:val="right"/>
              <w:rPr>
                <w:rFonts w:asciiTheme="minorEastAsia" w:hAnsiTheme="minorEastAsia"/>
                <w:sz w:val="18"/>
                <w:szCs w:val="18"/>
              </w:rPr>
            </w:pPr>
            <w:r w:rsidRPr="00831C3C">
              <w:rPr>
                <w:rFonts w:asciiTheme="minorEastAsia" w:hAnsiTheme="minorEastAsia"/>
                <w:sz w:val="18"/>
                <w:szCs w:val="18"/>
              </w:rPr>
              <w:t>3%</w:t>
            </w:r>
          </w:p>
        </w:tc>
      </w:tr>
      <w:tr w:rsidR="00831C3C" w:rsidRPr="00831C3C" w:rsidTr="0088211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CB4466" w:rsidRPr="00831C3C" w:rsidRDefault="00CB4466" w:rsidP="00617E66">
            <w:pPr>
              <w:spacing w:line="240" w:lineRule="exact"/>
              <w:jc w:val="center"/>
              <w:rPr>
                <w:rFonts w:ascii="宋体" w:eastAsia="宋体" w:hAnsi="宋体" w:cs="宋体"/>
                <w:sz w:val="18"/>
                <w:szCs w:val="18"/>
              </w:rPr>
            </w:pPr>
            <w:proofErr w:type="gramStart"/>
            <w:r w:rsidRPr="00831C3C">
              <w:rPr>
                <w:rFonts w:ascii="宋体" w:eastAsia="宋体" w:hAnsi="宋体" w:cs="宋体"/>
                <w:sz w:val="18"/>
                <w:szCs w:val="18"/>
              </w:rPr>
              <w:t>猫超</w:t>
            </w:r>
            <w:proofErr w:type="gramEnd"/>
          </w:p>
        </w:tc>
        <w:tc>
          <w:tcPr>
            <w:tcW w:w="3213" w:type="dxa"/>
            <w:tcBorders>
              <w:top w:val="single" w:sz="2" w:space="0" w:color="auto"/>
              <w:left w:val="single" w:sz="2" w:space="0" w:color="auto"/>
              <w:bottom w:val="single" w:sz="2" w:space="0" w:color="auto"/>
              <w:right w:val="single" w:sz="2" w:space="0" w:color="auto"/>
            </w:tcBorders>
            <w:vAlign w:val="center"/>
          </w:tcPr>
          <w:p w:rsidR="00CB4466" w:rsidRPr="00831C3C" w:rsidRDefault="00CB4466">
            <w:pPr>
              <w:spacing w:line="240" w:lineRule="exact"/>
              <w:jc w:val="right"/>
              <w:rPr>
                <w:rFonts w:ascii="宋体" w:eastAsia="宋体" w:hAnsi="宋体" w:cs="宋体"/>
                <w:sz w:val="18"/>
                <w:szCs w:val="18"/>
              </w:rPr>
            </w:pPr>
            <w:r w:rsidRPr="00831C3C">
              <w:rPr>
                <w:rFonts w:ascii="宋体" w:eastAsia="宋体" w:hAnsi="宋体" w:cs="宋体"/>
                <w:sz w:val="18"/>
                <w:szCs w:val="18"/>
              </w:rPr>
              <w:t>1,690,615.17</w:t>
            </w:r>
          </w:p>
        </w:tc>
        <w:tc>
          <w:tcPr>
            <w:tcW w:w="3213" w:type="dxa"/>
            <w:tcBorders>
              <w:top w:val="single" w:sz="2" w:space="0" w:color="auto"/>
              <w:left w:val="single" w:sz="2" w:space="0" w:color="auto"/>
              <w:bottom w:val="single" w:sz="2" w:space="0" w:color="auto"/>
              <w:right w:val="single" w:sz="2" w:space="0" w:color="auto"/>
            </w:tcBorders>
          </w:tcPr>
          <w:p w:rsidR="00CB4466" w:rsidRPr="00831C3C" w:rsidRDefault="00CB4466" w:rsidP="00CB4466">
            <w:pPr>
              <w:jc w:val="right"/>
              <w:rPr>
                <w:rFonts w:asciiTheme="minorEastAsia" w:hAnsiTheme="minorEastAsia"/>
                <w:sz w:val="18"/>
                <w:szCs w:val="18"/>
              </w:rPr>
            </w:pPr>
            <w:r w:rsidRPr="00831C3C">
              <w:rPr>
                <w:rFonts w:asciiTheme="minorEastAsia" w:hAnsiTheme="minorEastAsia"/>
                <w:sz w:val="18"/>
                <w:szCs w:val="18"/>
              </w:rPr>
              <w:t>3%</w:t>
            </w:r>
          </w:p>
        </w:tc>
      </w:tr>
      <w:tr w:rsidR="00831C3C" w:rsidRPr="00831C3C" w:rsidTr="0088211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CB4466" w:rsidRPr="00831C3C" w:rsidRDefault="00CB4466" w:rsidP="00617E66">
            <w:pPr>
              <w:spacing w:line="240" w:lineRule="exact"/>
              <w:jc w:val="center"/>
              <w:rPr>
                <w:rFonts w:ascii="宋体" w:eastAsia="宋体" w:hAnsi="宋体" w:cs="宋体"/>
                <w:sz w:val="18"/>
                <w:szCs w:val="18"/>
              </w:rPr>
            </w:pPr>
            <w:proofErr w:type="gramStart"/>
            <w:r w:rsidRPr="00831C3C">
              <w:rPr>
                <w:rFonts w:ascii="宋体" w:eastAsia="宋体" w:hAnsi="宋体" w:cs="宋体"/>
                <w:sz w:val="18"/>
                <w:szCs w:val="18"/>
              </w:rPr>
              <w:t>壹品仓</w:t>
            </w:r>
            <w:proofErr w:type="gramEnd"/>
          </w:p>
        </w:tc>
        <w:tc>
          <w:tcPr>
            <w:tcW w:w="3213" w:type="dxa"/>
            <w:tcBorders>
              <w:top w:val="single" w:sz="2" w:space="0" w:color="auto"/>
              <w:left w:val="single" w:sz="2" w:space="0" w:color="auto"/>
              <w:bottom w:val="single" w:sz="2" w:space="0" w:color="auto"/>
              <w:right w:val="single" w:sz="2" w:space="0" w:color="auto"/>
            </w:tcBorders>
            <w:vAlign w:val="center"/>
          </w:tcPr>
          <w:p w:rsidR="00CB4466" w:rsidRPr="00831C3C" w:rsidRDefault="00CB4466">
            <w:pPr>
              <w:spacing w:line="240" w:lineRule="exact"/>
              <w:jc w:val="right"/>
              <w:rPr>
                <w:rFonts w:ascii="宋体" w:eastAsia="宋体" w:hAnsi="宋体" w:cs="宋体"/>
                <w:sz w:val="18"/>
                <w:szCs w:val="18"/>
              </w:rPr>
            </w:pPr>
            <w:r w:rsidRPr="00831C3C">
              <w:rPr>
                <w:rFonts w:ascii="宋体" w:eastAsia="宋体" w:hAnsi="宋体" w:cs="宋体"/>
                <w:sz w:val="18"/>
                <w:szCs w:val="18"/>
              </w:rPr>
              <w:t>548,442.66</w:t>
            </w:r>
          </w:p>
        </w:tc>
        <w:tc>
          <w:tcPr>
            <w:tcW w:w="3213" w:type="dxa"/>
            <w:tcBorders>
              <w:top w:val="single" w:sz="2" w:space="0" w:color="auto"/>
              <w:left w:val="single" w:sz="2" w:space="0" w:color="auto"/>
              <w:bottom w:val="single" w:sz="2" w:space="0" w:color="auto"/>
              <w:right w:val="single" w:sz="2" w:space="0" w:color="auto"/>
            </w:tcBorders>
          </w:tcPr>
          <w:p w:rsidR="00CB4466" w:rsidRPr="00831C3C" w:rsidRDefault="00CB4466" w:rsidP="00CB4466">
            <w:pPr>
              <w:jc w:val="right"/>
              <w:rPr>
                <w:rFonts w:asciiTheme="minorEastAsia" w:hAnsiTheme="minorEastAsia"/>
                <w:sz w:val="18"/>
                <w:szCs w:val="18"/>
              </w:rPr>
            </w:pPr>
            <w:r w:rsidRPr="00831C3C">
              <w:rPr>
                <w:rFonts w:asciiTheme="minorEastAsia" w:hAnsiTheme="minorEastAsia"/>
                <w:sz w:val="18"/>
                <w:szCs w:val="18"/>
              </w:rPr>
              <w:t>2%</w:t>
            </w:r>
          </w:p>
        </w:tc>
      </w:tr>
      <w:tr w:rsidR="00831C3C" w:rsidRPr="00831C3C" w:rsidTr="0088211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CB4466" w:rsidRPr="00831C3C" w:rsidRDefault="00CB4466" w:rsidP="00617E66">
            <w:pPr>
              <w:spacing w:line="240" w:lineRule="exact"/>
              <w:jc w:val="center"/>
              <w:rPr>
                <w:rFonts w:ascii="宋体" w:eastAsia="宋体" w:hAnsi="宋体" w:cs="宋体"/>
                <w:sz w:val="18"/>
                <w:szCs w:val="18"/>
              </w:rPr>
            </w:pPr>
            <w:r w:rsidRPr="00831C3C">
              <w:rPr>
                <w:rFonts w:ascii="宋体" w:eastAsia="宋体" w:hAnsi="宋体" w:cs="宋体"/>
                <w:sz w:val="18"/>
                <w:szCs w:val="18"/>
              </w:rPr>
              <w:t>小红书</w:t>
            </w:r>
          </w:p>
        </w:tc>
        <w:tc>
          <w:tcPr>
            <w:tcW w:w="3213" w:type="dxa"/>
            <w:tcBorders>
              <w:top w:val="single" w:sz="2" w:space="0" w:color="auto"/>
              <w:left w:val="single" w:sz="2" w:space="0" w:color="auto"/>
              <w:bottom w:val="single" w:sz="2" w:space="0" w:color="auto"/>
              <w:right w:val="single" w:sz="2" w:space="0" w:color="auto"/>
            </w:tcBorders>
            <w:vAlign w:val="center"/>
          </w:tcPr>
          <w:p w:rsidR="00CB4466" w:rsidRPr="00831C3C" w:rsidRDefault="00CB4466">
            <w:pPr>
              <w:spacing w:line="240" w:lineRule="exact"/>
              <w:jc w:val="right"/>
              <w:rPr>
                <w:rFonts w:ascii="宋体" w:eastAsia="宋体" w:hAnsi="宋体" w:cs="宋体"/>
                <w:sz w:val="18"/>
                <w:szCs w:val="18"/>
              </w:rPr>
            </w:pPr>
            <w:r w:rsidRPr="00831C3C">
              <w:rPr>
                <w:rFonts w:ascii="宋体" w:eastAsia="宋体" w:hAnsi="宋体" w:cs="宋体"/>
                <w:sz w:val="18"/>
                <w:szCs w:val="18"/>
              </w:rPr>
              <w:t>375,238.31</w:t>
            </w:r>
          </w:p>
        </w:tc>
        <w:tc>
          <w:tcPr>
            <w:tcW w:w="3213" w:type="dxa"/>
            <w:tcBorders>
              <w:top w:val="single" w:sz="2" w:space="0" w:color="auto"/>
              <w:left w:val="single" w:sz="2" w:space="0" w:color="auto"/>
              <w:bottom w:val="single" w:sz="2" w:space="0" w:color="auto"/>
              <w:right w:val="single" w:sz="2" w:space="0" w:color="auto"/>
            </w:tcBorders>
          </w:tcPr>
          <w:p w:rsidR="00CB4466" w:rsidRPr="00831C3C" w:rsidRDefault="00CB4466" w:rsidP="00CB4466">
            <w:pPr>
              <w:jc w:val="right"/>
              <w:rPr>
                <w:rFonts w:asciiTheme="minorEastAsia" w:hAnsiTheme="minorEastAsia"/>
                <w:sz w:val="18"/>
                <w:szCs w:val="18"/>
              </w:rPr>
            </w:pPr>
            <w:r w:rsidRPr="00831C3C">
              <w:rPr>
                <w:rFonts w:asciiTheme="minorEastAsia" w:hAnsiTheme="minorEastAsia"/>
                <w:sz w:val="18"/>
                <w:szCs w:val="18"/>
              </w:rPr>
              <w:t>3%</w:t>
            </w:r>
          </w:p>
        </w:tc>
      </w:tr>
      <w:tr w:rsidR="00831C3C" w:rsidRPr="00831C3C" w:rsidTr="0088211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CB4466" w:rsidRPr="00831C3C" w:rsidRDefault="00CB4466" w:rsidP="00617E66">
            <w:pPr>
              <w:spacing w:line="240" w:lineRule="exact"/>
              <w:jc w:val="center"/>
              <w:rPr>
                <w:rFonts w:ascii="宋体" w:eastAsia="宋体" w:hAnsi="宋体" w:cs="宋体"/>
                <w:sz w:val="18"/>
                <w:szCs w:val="18"/>
              </w:rPr>
            </w:pPr>
            <w:r w:rsidRPr="00831C3C">
              <w:rPr>
                <w:rFonts w:ascii="宋体" w:eastAsia="宋体" w:hAnsi="宋体" w:cs="宋体"/>
                <w:sz w:val="18"/>
                <w:szCs w:val="18"/>
              </w:rPr>
              <w:t>快手</w:t>
            </w:r>
          </w:p>
        </w:tc>
        <w:tc>
          <w:tcPr>
            <w:tcW w:w="3213" w:type="dxa"/>
            <w:tcBorders>
              <w:top w:val="single" w:sz="2" w:space="0" w:color="auto"/>
              <w:left w:val="single" w:sz="2" w:space="0" w:color="auto"/>
              <w:bottom w:val="single" w:sz="2" w:space="0" w:color="auto"/>
              <w:right w:val="single" w:sz="2" w:space="0" w:color="auto"/>
            </w:tcBorders>
            <w:vAlign w:val="center"/>
          </w:tcPr>
          <w:p w:rsidR="00CB4466" w:rsidRPr="00831C3C" w:rsidRDefault="00CB4466">
            <w:pPr>
              <w:spacing w:line="240" w:lineRule="exact"/>
              <w:jc w:val="right"/>
              <w:rPr>
                <w:rFonts w:ascii="宋体" w:eastAsia="宋体" w:hAnsi="宋体" w:cs="宋体"/>
                <w:sz w:val="18"/>
                <w:szCs w:val="18"/>
              </w:rPr>
            </w:pPr>
            <w:r w:rsidRPr="00831C3C">
              <w:rPr>
                <w:rFonts w:ascii="宋体" w:eastAsia="宋体" w:hAnsi="宋体" w:cs="宋体"/>
                <w:sz w:val="18"/>
                <w:szCs w:val="18"/>
              </w:rPr>
              <w:t>187,352.33</w:t>
            </w:r>
          </w:p>
        </w:tc>
        <w:tc>
          <w:tcPr>
            <w:tcW w:w="3213" w:type="dxa"/>
            <w:tcBorders>
              <w:top w:val="single" w:sz="2" w:space="0" w:color="auto"/>
              <w:left w:val="single" w:sz="2" w:space="0" w:color="auto"/>
              <w:bottom w:val="single" w:sz="2" w:space="0" w:color="auto"/>
              <w:right w:val="single" w:sz="2" w:space="0" w:color="auto"/>
            </w:tcBorders>
          </w:tcPr>
          <w:p w:rsidR="00CB4466" w:rsidRPr="00831C3C" w:rsidRDefault="00CB4466" w:rsidP="00CB4466">
            <w:pPr>
              <w:jc w:val="right"/>
              <w:rPr>
                <w:rFonts w:asciiTheme="minorEastAsia" w:hAnsiTheme="minorEastAsia"/>
                <w:sz w:val="18"/>
                <w:szCs w:val="18"/>
              </w:rPr>
            </w:pPr>
            <w:r w:rsidRPr="00831C3C">
              <w:rPr>
                <w:rFonts w:asciiTheme="minorEastAsia" w:hAnsiTheme="minorEastAsia"/>
                <w:sz w:val="18"/>
                <w:szCs w:val="18"/>
              </w:rPr>
              <w:t>1%</w:t>
            </w:r>
          </w:p>
        </w:tc>
      </w:tr>
      <w:tr w:rsidR="00831C3C" w:rsidRPr="00831C3C" w:rsidTr="0088211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CB4466" w:rsidRPr="00831C3C" w:rsidRDefault="00CB4466" w:rsidP="00617E66">
            <w:pPr>
              <w:spacing w:line="240" w:lineRule="exact"/>
              <w:jc w:val="center"/>
              <w:rPr>
                <w:rFonts w:ascii="宋体" w:eastAsia="宋体" w:hAnsi="宋体" w:cs="宋体"/>
                <w:sz w:val="18"/>
                <w:szCs w:val="18"/>
              </w:rPr>
            </w:pPr>
            <w:r w:rsidRPr="00831C3C">
              <w:rPr>
                <w:rFonts w:ascii="宋体" w:eastAsia="宋体" w:hAnsi="宋体" w:cs="宋体"/>
                <w:sz w:val="18"/>
                <w:szCs w:val="18"/>
              </w:rPr>
              <w:t>爱库存</w:t>
            </w:r>
          </w:p>
        </w:tc>
        <w:tc>
          <w:tcPr>
            <w:tcW w:w="3213" w:type="dxa"/>
            <w:tcBorders>
              <w:top w:val="single" w:sz="2" w:space="0" w:color="auto"/>
              <w:left w:val="single" w:sz="2" w:space="0" w:color="auto"/>
              <w:bottom w:val="single" w:sz="2" w:space="0" w:color="auto"/>
              <w:right w:val="single" w:sz="2" w:space="0" w:color="auto"/>
            </w:tcBorders>
            <w:vAlign w:val="center"/>
          </w:tcPr>
          <w:p w:rsidR="00CB4466" w:rsidRPr="00831C3C" w:rsidRDefault="00CB4466">
            <w:pPr>
              <w:spacing w:line="240" w:lineRule="exact"/>
              <w:jc w:val="right"/>
              <w:rPr>
                <w:rFonts w:ascii="宋体" w:eastAsia="宋体" w:hAnsi="宋体" w:cs="宋体"/>
                <w:sz w:val="18"/>
                <w:szCs w:val="18"/>
              </w:rPr>
            </w:pPr>
            <w:r w:rsidRPr="00831C3C">
              <w:rPr>
                <w:rFonts w:ascii="宋体" w:eastAsia="宋体" w:hAnsi="宋体" w:cs="宋体"/>
                <w:sz w:val="18"/>
                <w:szCs w:val="18"/>
              </w:rPr>
              <w:t>33,630.57</w:t>
            </w:r>
          </w:p>
        </w:tc>
        <w:tc>
          <w:tcPr>
            <w:tcW w:w="3213" w:type="dxa"/>
            <w:tcBorders>
              <w:top w:val="single" w:sz="2" w:space="0" w:color="auto"/>
              <w:left w:val="single" w:sz="2" w:space="0" w:color="auto"/>
              <w:bottom w:val="single" w:sz="2" w:space="0" w:color="auto"/>
              <w:right w:val="single" w:sz="2" w:space="0" w:color="auto"/>
            </w:tcBorders>
          </w:tcPr>
          <w:p w:rsidR="00CB4466" w:rsidRPr="00831C3C" w:rsidRDefault="00CB4466" w:rsidP="00CB4466">
            <w:pPr>
              <w:jc w:val="right"/>
              <w:rPr>
                <w:rFonts w:asciiTheme="minorEastAsia" w:hAnsiTheme="minorEastAsia"/>
                <w:sz w:val="18"/>
                <w:szCs w:val="18"/>
              </w:rPr>
            </w:pPr>
            <w:r w:rsidRPr="00831C3C">
              <w:rPr>
                <w:rFonts w:asciiTheme="minorEastAsia" w:hAnsiTheme="minorEastAsia"/>
                <w:sz w:val="18"/>
                <w:szCs w:val="18"/>
              </w:rPr>
              <w:t>1%</w:t>
            </w:r>
          </w:p>
        </w:tc>
      </w:tr>
      <w:tr w:rsidR="00831C3C" w:rsidRPr="00831C3C" w:rsidTr="0088211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CB4466" w:rsidRPr="00831C3C" w:rsidRDefault="00CB4466" w:rsidP="00617E66">
            <w:pPr>
              <w:spacing w:line="240" w:lineRule="exact"/>
              <w:jc w:val="center"/>
              <w:rPr>
                <w:rFonts w:ascii="宋体" w:eastAsia="宋体" w:hAnsi="宋体" w:cs="宋体"/>
                <w:sz w:val="18"/>
                <w:szCs w:val="18"/>
              </w:rPr>
            </w:pPr>
            <w:r w:rsidRPr="00831C3C">
              <w:rPr>
                <w:rFonts w:ascii="宋体" w:eastAsia="宋体" w:hAnsi="宋体" w:cs="宋体"/>
                <w:sz w:val="18"/>
                <w:szCs w:val="18"/>
              </w:rPr>
              <w:t>东方甄选</w:t>
            </w:r>
          </w:p>
        </w:tc>
        <w:tc>
          <w:tcPr>
            <w:tcW w:w="3213" w:type="dxa"/>
            <w:tcBorders>
              <w:top w:val="single" w:sz="2" w:space="0" w:color="auto"/>
              <w:left w:val="single" w:sz="2" w:space="0" w:color="auto"/>
              <w:bottom w:val="single" w:sz="2" w:space="0" w:color="auto"/>
              <w:right w:val="single" w:sz="2" w:space="0" w:color="auto"/>
            </w:tcBorders>
            <w:vAlign w:val="center"/>
          </w:tcPr>
          <w:p w:rsidR="00CB4466" w:rsidRPr="00831C3C" w:rsidRDefault="00CB4466">
            <w:pPr>
              <w:spacing w:line="240" w:lineRule="exact"/>
              <w:jc w:val="right"/>
              <w:rPr>
                <w:rFonts w:ascii="宋体" w:eastAsia="宋体" w:hAnsi="宋体" w:cs="宋体"/>
                <w:sz w:val="18"/>
                <w:szCs w:val="18"/>
              </w:rPr>
            </w:pPr>
            <w:r w:rsidRPr="00831C3C">
              <w:rPr>
                <w:rFonts w:ascii="宋体" w:eastAsia="宋体" w:hAnsi="宋体" w:cs="宋体"/>
                <w:sz w:val="18"/>
                <w:szCs w:val="18"/>
              </w:rPr>
              <w:t>21,195.21</w:t>
            </w:r>
          </w:p>
        </w:tc>
        <w:tc>
          <w:tcPr>
            <w:tcW w:w="3213" w:type="dxa"/>
            <w:tcBorders>
              <w:top w:val="single" w:sz="2" w:space="0" w:color="auto"/>
              <w:left w:val="single" w:sz="2" w:space="0" w:color="auto"/>
              <w:bottom w:val="single" w:sz="2" w:space="0" w:color="auto"/>
              <w:right w:val="single" w:sz="2" w:space="0" w:color="auto"/>
            </w:tcBorders>
          </w:tcPr>
          <w:p w:rsidR="00CB4466" w:rsidRPr="00831C3C" w:rsidRDefault="00CB4466" w:rsidP="00CB4466">
            <w:pPr>
              <w:jc w:val="right"/>
              <w:rPr>
                <w:rFonts w:asciiTheme="minorEastAsia" w:hAnsiTheme="minorEastAsia"/>
                <w:sz w:val="18"/>
                <w:szCs w:val="18"/>
              </w:rPr>
            </w:pPr>
            <w:r w:rsidRPr="00831C3C">
              <w:rPr>
                <w:rFonts w:asciiTheme="minorEastAsia" w:hAnsiTheme="minorEastAsia"/>
                <w:sz w:val="18"/>
                <w:szCs w:val="18"/>
              </w:rPr>
              <w:t>1%</w:t>
            </w:r>
          </w:p>
        </w:tc>
      </w:tr>
      <w:tr w:rsidR="00831C3C" w:rsidRPr="00831C3C" w:rsidTr="0088211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CB4466" w:rsidRPr="00831C3C" w:rsidRDefault="00CB4466" w:rsidP="00617E66">
            <w:pPr>
              <w:spacing w:line="240" w:lineRule="exact"/>
              <w:jc w:val="center"/>
              <w:rPr>
                <w:rFonts w:ascii="宋体" w:eastAsia="宋体" w:hAnsi="宋体" w:cs="宋体"/>
                <w:sz w:val="18"/>
                <w:szCs w:val="18"/>
              </w:rPr>
            </w:pPr>
            <w:r w:rsidRPr="00831C3C">
              <w:rPr>
                <w:rFonts w:ascii="宋体" w:eastAsia="宋体" w:hAnsi="宋体" w:cs="宋体"/>
                <w:sz w:val="18"/>
                <w:szCs w:val="18"/>
              </w:rPr>
              <w:t>快团团</w:t>
            </w:r>
          </w:p>
        </w:tc>
        <w:tc>
          <w:tcPr>
            <w:tcW w:w="3213" w:type="dxa"/>
            <w:tcBorders>
              <w:top w:val="single" w:sz="2" w:space="0" w:color="auto"/>
              <w:left w:val="single" w:sz="2" w:space="0" w:color="auto"/>
              <w:bottom w:val="single" w:sz="2" w:space="0" w:color="auto"/>
              <w:right w:val="single" w:sz="2" w:space="0" w:color="auto"/>
            </w:tcBorders>
            <w:vAlign w:val="center"/>
          </w:tcPr>
          <w:p w:rsidR="00CB4466" w:rsidRPr="00831C3C" w:rsidRDefault="00CB4466">
            <w:pPr>
              <w:spacing w:line="240" w:lineRule="exact"/>
              <w:jc w:val="right"/>
              <w:rPr>
                <w:rFonts w:ascii="宋体" w:eastAsia="宋体" w:hAnsi="宋体" w:cs="宋体"/>
                <w:sz w:val="18"/>
                <w:szCs w:val="18"/>
              </w:rPr>
            </w:pPr>
            <w:r w:rsidRPr="00831C3C">
              <w:rPr>
                <w:rFonts w:ascii="宋体" w:eastAsia="宋体" w:hAnsi="宋体" w:cs="宋体"/>
                <w:sz w:val="18"/>
                <w:szCs w:val="18"/>
              </w:rPr>
              <w:t>13,469.02</w:t>
            </w:r>
          </w:p>
        </w:tc>
        <w:tc>
          <w:tcPr>
            <w:tcW w:w="3213" w:type="dxa"/>
            <w:tcBorders>
              <w:top w:val="single" w:sz="2" w:space="0" w:color="auto"/>
              <w:left w:val="single" w:sz="2" w:space="0" w:color="auto"/>
              <w:bottom w:val="single" w:sz="2" w:space="0" w:color="auto"/>
              <w:right w:val="single" w:sz="2" w:space="0" w:color="auto"/>
            </w:tcBorders>
          </w:tcPr>
          <w:p w:rsidR="00CB4466" w:rsidRPr="00831C3C" w:rsidRDefault="00CB4466" w:rsidP="00CB4466">
            <w:pPr>
              <w:jc w:val="right"/>
              <w:rPr>
                <w:rFonts w:asciiTheme="minorEastAsia" w:hAnsiTheme="minorEastAsia"/>
                <w:sz w:val="18"/>
                <w:szCs w:val="18"/>
              </w:rPr>
            </w:pPr>
            <w:r w:rsidRPr="00831C3C">
              <w:rPr>
                <w:rFonts w:asciiTheme="minorEastAsia" w:hAnsiTheme="minorEastAsia"/>
                <w:sz w:val="18"/>
                <w:szCs w:val="18"/>
              </w:rPr>
              <w:t>0%</w:t>
            </w:r>
          </w:p>
        </w:tc>
      </w:tr>
      <w:tr w:rsidR="00831C3C" w:rsidRPr="00831C3C" w:rsidTr="0088211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CB4466" w:rsidRPr="00831C3C" w:rsidRDefault="00CB4466" w:rsidP="00617E66">
            <w:pPr>
              <w:spacing w:line="240" w:lineRule="exact"/>
              <w:jc w:val="center"/>
              <w:rPr>
                <w:rFonts w:ascii="宋体" w:eastAsia="宋体" w:hAnsi="宋体" w:cs="宋体"/>
                <w:sz w:val="18"/>
                <w:szCs w:val="18"/>
              </w:rPr>
            </w:pPr>
            <w:proofErr w:type="gramStart"/>
            <w:r w:rsidRPr="00831C3C">
              <w:rPr>
                <w:rFonts w:ascii="宋体" w:eastAsia="宋体" w:hAnsi="宋体" w:cs="宋体"/>
                <w:sz w:val="18"/>
                <w:szCs w:val="18"/>
              </w:rPr>
              <w:t>微店</w:t>
            </w:r>
            <w:proofErr w:type="gramEnd"/>
          </w:p>
        </w:tc>
        <w:tc>
          <w:tcPr>
            <w:tcW w:w="3213" w:type="dxa"/>
            <w:tcBorders>
              <w:top w:val="single" w:sz="2" w:space="0" w:color="auto"/>
              <w:left w:val="single" w:sz="2" w:space="0" w:color="auto"/>
              <w:bottom w:val="single" w:sz="2" w:space="0" w:color="auto"/>
              <w:right w:val="single" w:sz="2" w:space="0" w:color="auto"/>
            </w:tcBorders>
            <w:vAlign w:val="center"/>
          </w:tcPr>
          <w:p w:rsidR="00CB4466" w:rsidRPr="00831C3C" w:rsidRDefault="00CB4466">
            <w:pPr>
              <w:spacing w:line="240" w:lineRule="exact"/>
              <w:jc w:val="right"/>
              <w:rPr>
                <w:rFonts w:ascii="宋体" w:eastAsia="宋体" w:hAnsi="宋体" w:cs="宋体"/>
                <w:sz w:val="18"/>
                <w:szCs w:val="18"/>
              </w:rPr>
            </w:pPr>
            <w:r w:rsidRPr="00831C3C">
              <w:rPr>
                <w:rFonts w:ascii="宋体" w:eastAsia="宋体" w:hAnsi="宋体" w:cs="宋体"/>
                <w:sz w:val="18"/>
                <w:szCs w:val="18"/>
              </w:rPr>
              <w:t>2,258.59</w:t>
            </w:r>
          </w:p>
        </w:tc>
        <w:tc>
          <w:tcPr>
            <w:tcW w:w="3213" w:type="dxa"/>
            <w:tcBorders>
              <w:top w:val="single" w:sz="2" w:space="0" w:color="auto"/>
              <w:left w:val="single" w:sz="2" w:space="0" w:color="auto"/>
              <w:bottom w:val="single" w:sz="2" w:space="0" w:color="auto"/>
              <w:right w:val="single" w:sz="2" w:space="0" w:color="auto"/>
            </w:tcBorders>
          </w:tcPr>
          <w:p w:rsidR="00CB4466" w:rsidRPr="00831C3C" w:rsidRDefault="00CB4466" w:rsidP="00CB4466">
            <w:pPr>
              <w:jc w:val="right"/>
              <w:rPr>
                <w:rFonts w:asciiTheme="minorEastAsia" w:hAnsiTheme="minorEastAsia"/>
                <w:sz w:val="18"/>
                <w:szCs w:val="18"/>
              </w:rPr>
            </w:pPr>
            <w:r w:rsidRPr="00831C3C">
              <w:rPr>
                <w:rFonts w:asciiTheme="minorEastAsia" w:hAnsiTheme="minorEastAsia"/>
                <w:sz w:val="18"/>
                <w:szCs w:val="18"/>
              </w:rPr>
              <w:t>1%</w:t>
            </w:r>
          </w:p>
        </w:tc>
      </w:tr>
      <w:tr w:rsidR="00831C3C" w:rsidRPr="00831C3C" w:rsidTr="0088211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CB4466" w:rsidRPr="00831C3C" w:rsidRDefault="00CB4466" w:rsidP="00617E66">
            <w:pPr>
              <w:spacing w:line="240" w:lineRule="exact"/>
              <w:jc w:val="center"/>
              <w:rPr>
                <w:rFonts w:ascii="宋体" w:eastAsia="宋体" w:hAnsi="宋体" w:cs="宋体"/>
                <w:sz w:val="18"/>
                <w:szCs w:val="18"/>
              </w:rPr>
            </w:pPr>
            <w:proofErr w:type="gramStart"/>
            <w:r w:rsidRPr="00831C3C">
              <w:rPr>
                <w:rFonts w:ascii="宋体" w:eastAsia="宋体" w:hAnsi="宋体" w:cs="宋体"/>
                <w:sz w:val="18"/>
                <w:szCs w:val="18"/>
              </w:rPr>
              <w:t>好衣库</w:t>
            </w:r>
            <w:proofErr w:type="gramEnd"/>
          </w:p>
        </w:tc>
        <w:tc>
          <w:tcPr>
            <w:tcW w:w="3213" w:type="dxa"/>
            <w:tcBorders>
              <w:top w:val="single" w:sz="2" w:space="0" w:color="auto"/>
              <w:left w:val="single" w:sz="2" w:space="0" w:color="auto"/>
              <w:bottom w:val="single" w:sz="2" w:space="0" w:color="auto"/>
              <w:right w:val="single" w:sz="2" w:space="0" w:color="auto"/>
            </w:tcBorders>
            <w:vAlign w:val="center"/>
          </w:tcPr>
          <w:p w:rsidR="00CB4466" w:rsidRPr="00831C3C" w:rsidRDefault="00CB4466">
            <w:pPr>
              <w:spacing w:line="240" w:lineRule="exact"/>
              <w:jc w:val="right"/>
              <w:rPr>
                <w:rFonts w:ascii="宋体" w:eastAsia="宋体" w:hAnsi="宋体" w:cs="宋体"/>
                <w:sz w:val="18"/>
                <w:szCs w:val="18"/>
              </w:rPr>
            </w:pPr>
            <w:r w:rsidRPr="00831C3C">
              <w:rPr>
                <w:rFonts w:ascii="宋体" w:eastAsia="宋体" w:hAnsi="宋体" w:cs="宋体"/>
                <w:sz w:val="18"/>
                <w:szCs w:val="18"/>
              </w:rPr>
              <w:t>1,200.31</w:t>
            </w:r>
          </w:p>
        </w:tc>
        <w:tc>
          <w:tcPr>
            <w:tcW w:w="3213" w:type="dxa"/>
            <w:tcBorders>
              <w:top w:val="single" w:sz="2" w:space="0" w:color="auto"/>
              <w:left w:val="single" w:sz="2" w:space="0" w:color="auto"/>
              <w:bottom w:val="single" w:sz="2" w:space="0" w:color="auto"/>
              <w:right w:val="single" w:sz="2" w:space="0" w:color="auto"/>
            </w:tcBorders>
          </w:tcPr>
          <w:p w:rsidR="00CB4466" w:rsidRPr="00831C3C" w:rsidRDefault="00CB4466" w:rsidP="00CB4466">
            <w:pPr>
              <w:jc w:val="right"/>
              <w:rPr>
                <w:rFonts w:asciiTheme="minorEastAsia" w:hAnsiTheme="minorEastAsia"/>
                <w:sz w:val="18"/>
                <w:szCs w:val="18"/>
              </w:rPr>
            </w:pPr>
            <w:r w:rsidRPr="00831C3C">
              <w:rPr>
                <w:rFonts w:asciiTheme="minorEastAsia" w:hAnsiTheme="minorEastAsia"/>
                <w:sz w:val="18"/>
                <w:szCs w:val="18"/>
              </w:rPr>
              <w:t>2%</w:t>
            </w:r>
          </w:p>
        </w:tc>
      </w:tr>
      <w:tr w:rsidR="00831C3C" w:rsidRPr="00831C3C" w:rsidTr="00882117">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CB4466" w:rsidRPr="00831C3C" w:rsidRDefault="00CB4466" w:rsidP="00617E66">
            <w:pPr>
              <w:spacing w:line="240" w:lineRule="exact"/>
              <w:jc w:val="center"/>
              <w:rPr>
                <w:rFonts w:ascii="宋体" w:eastAsia="宋体" w:hAnsi="宋体" w:cs="宋体"/>
                <w:sz w:val="18"/>
                <w:szCs w:val="18"/>
              </w:rPr>
            </w:pPr>
            <w:r w:rsidRPr="00831C3C">
              <w:rPr>
                <w:rFonts w:ascii="宋体" w:eastAsia="宋体" w:hAnsi="宋体" w:cs="宋体"/>
                <w:sz w:val="18"/>
                <w:szCs w:val="18"/>
              </w:rPr>
              <w:t>虎牙</w:t>
            </w:r>
          </w:p>
        </w:tc>
        <w:tc>
          <w:tcPr>
            <w:tcW w:w="3213" w:type="dxa"/>
            <w:tcBorders>
              <w:top w:val="single" w:sz="2" w:space="0" w:color="auto"/>
              <w:left w:val="single" w:sz="2" w:space="0" w:color="auto"/>
              <w:bottom w:val="single" w:sz="2" w:space="0" w:color="auto"/>
              <w:right w:val="single" w:sz="2" w:space="0" w:color="auto"/>
            </w:tcBorders>
            <w:vAlign w:val="center"/>
          </w:tcPr>
          <w:p w:rsidR="00CB4466" w:rsidRPr="00831C3C" w:rsidRDefault="00CB4466">
            <w:pPr>
              <w:spacing w:line="240" w:lineRule="exact"/>
              <w:jc w:val="right"/>
              <w:rPr>
                <w:rFonts w:ascii="宋体" w:eastAsia="宋体" w:hAnsi="宋体" w:cs="宋体"/>
                <w:sz w:val="18"/>
                <w:szCs w:val="18"/>
              </w:rPr>
            </w:pPr>
            <w:r w:rsidRPr="00831C3C">
              <w:rPr>
                <w:rFonts w:ascii="宋体" w:eastAsia="宋体" w:hAnsi="宋体" w:cs="宋体"/>
                <w:sz w:val="18"/>
                <w:szCs w:val="18"/>
              </w:rPr>
              <w:t>211.32</w:t>
            </w:r>
          </w:p>
        </w:tc>
        <w:tc>
          <w:tcPr>
            <w:tcW w:w="3213" w:type="dxa"/>
            <w:tcBorders>
              <w:top w:val="single" w:sz="2" w:space="0" w:color="auto"/>
              <w:left w:val="single" w:sz="2" w:space="0" w:color="auto"/>
              <w:bottom w:val="single" w:sz="2" w:space="0" w:color="auto"/>
              <w:right w:val="single" w:sz="2" w:space="0" w:color="auto"/>
            </w:tcBorders>
          </w:tcPr>
          <w:p w:rsidR="00CB4466" w:rsidRPr="00831C3C" w:rsidRDefault="00CB4466" w:rsidP="00CB4466">
            <w:pPr>
              <w:jc w:val="right"/>
              <w:rPr>
                <w:rFonts w:asciiTheme="minorEastAsia" w:hAnsiTheme="minorEastAsia"/>
                <w:sz w:val="18"/>
                <w:szCs w:val="18"/>
              </w:rPr>
            </w:pPr>
            <w:r w:rsidRPr="00831C3C">
              <w:rPr>
                <w:rFonts w:asciiTheme="minorEastAsia" w:hAnsiTheme="minorEastAsia"/>
                <w:sz w:val="18"/>
                <w:szCs w:val="18"/>
              </w:rPr>
              <w:t>0%</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公司开设或关闭线上销售渠道</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keepNext/>
        <w:keepLines/>
        <w:spacing w:before="300" w:after="300" w:line="280" w:lineRule="exact"/>
        <w:outlineLvl w:val="3"/>
        <w:rPr>
          <w:rFonts w:ascii="宋体" w:eastAsia="宋体" w:hAnsi="宋体" w:cs="宋体"/>
          <w:b/>
          <w:bCs/>
          <w:szCs w:val="21"/>
        </w:rPr>
      </w:pPr>
      <w:bookmarkStart w:id="34" w:name="_Toc988923"/>
      <w:r w:rsidRPr="00831C3C">
        <w:rPr>
          <w:rFonts w:ascii="宋体" w:eastAsia="宋体" w:hAnsi="宋体" w:cs="宋体"/>
          <w:b/>
          <w:bCs/>
          <w:szCs w:val="21"/>
        </w:rPr>
        <w:t>（5）代运营模式</w:t>
      </w:r>
      <w:bookmarkEnd w:id="34"/>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是否涉及代运营模式</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□是</w:t>
      </w:r>
      <w:r w:rsidRPr="00831C3C">
        <w:rPr>
          <w:rFonts w:ascii="宋体" w:eastAsia="宋体" w:hAnsi="宋体" w:cs="宋体"/>
          <w:sz w:val="18"/>
          <w:szCs w:val="18"/>
        </w:rPr>
        <w:sym w:font="Wingdings 2" w:char="F052"/>
      </w:r>
      <w:r w:rsidRPr="00831C3C">
        <w:rPr>
          <w:rFonts w:ascii="宋体" w:eastAsia="宋体" w:hAnsi="宋体" w:cs="宋体"/>
          <w:sz w:val="18"/>
          <w:szCs w:val="18"/>
        </w:rPr>
        <w:t>否</w:t>
      </w:r>
    </w:p>
    <w:p w:rsidR="00E23A97" w:rsidRPr="00831C3C" w:rsidRDefault="00C65FD5">
      <w:pPr>
        <w:keepNext/>
        <w:keepLines/>
        <w:spacing w:before="300" w:after="300" w:line="280" w:lineRule="exact"/>
        <w:outlineLvl w:val="3"/>
        <w:rPr>
          <w:rFonts w:ascii="宋体" w:eastAsia="宋体" w:hAnsi="宋体" w:cs="宋体"/>
          <w:b/>
          <w:bCs/>
          <w:szCs w:val="21"/>
        </w:rPr>
      </w:pPr>
      <w:bookmarkStart w:id="35" w:name="_Toc988924"/>
      <w:r w:rsidRPr="00831C3C">
        <w:rPr>
          <w:rFonts w:ascii="宋体" w:eastAsia="宋体" w:hAnsi="宋体" w:cs="宋体"/>
          <w:b/>
          <w:bCs/>
          <w:szCs w:val="21"/>
        </w:rPr>
        <w:t>（6）存货情况</w:t>
      </w:r>
      <w:bookmarkEnd w:id="35"/>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存货情况</w:t>
      </w:r>
    </w:p>
    <w:tbl>
      <w:tblPr>
        <w:tblW w:w="9639"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06"/>
        <w:gridCol w:w="1606"/>
        <w:gridCol w:w="1606"/>
        <w:gridCol w:w="1607"/>
        <w:gridCol w:w="1607"/>
        <w:gridCol w:w="1607"/>
      </w:tblGrid>
      <w:tr w:rsidR="00831C3C" w:rsidRPr="00831C3C" w:rsidTr="00617E66">
        <w:trPr>
          <w:trHeight w:val="240"/>
          <w:jc w:val="center"/>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主要产品</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存货周转天数</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存货数量</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proofErr w:type="gramStart"/>
            <w:r w:rsidRPr="00831C3C">
              <w:rPr>
                <w:rFonts w:ascii="宋体" w:eastAsia="宋体" w:hAnsi="宋体" w:cs="宋体"/>
                <w:sz w:val="18"/>
                <w:szCs w:val="18"/>
              </w:rPr>
              <w:t>存货库龄</w:t>
            </w:r>
            <w:proofErr w:type="gramEnd"/>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存货余额同比增减情况</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原因</w:t>
            </w:r>
          </w:p>
        </w:tc>
      </w:tr>
      <w:tr w:rsidR="00831C3C" w:rsidRPr="00831C3C" w:rsidTr="00617E66">
        <w:trPr>
          <w:trHeight w:val="240"/>
          <w:jc w:val="center"/>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纱线</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124</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60,204.00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-9.77%</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rsidTr="00617E66">
        <w:trPr>
          <w:trHeight w:val="240"/>
          <w:jc w:val="center"/>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原、色</w:t>
            </w:r>
            <w:proofErr w:type="gramStart"/>
            <w:r w:rsidRPr="00831C3C">
              <w:rPr>
                <w:rFonts w:ascii="宋体" w:eastAsia="宋体" w:hAnsi="宋体" w:cs="宋体"/>
                <w:sz w:val="18"/>
                <w:szCs w:val="18"/>
              </w:rPr>
              <w:t>纤</w:t>
            </w:r>
            <w:proofErr w:type="gramEnd"/>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111</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199,850.45</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9.62%</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存货跌价准备的计提情况</w:t>
      </w:r>
    </w:p>
    <w:tbl>
      <w:tblPr>
        <w:tblW w:w="9654" w:type="dxa"/>
        <w:tblCellMar>
          <w:left w:w="0" w:type="dxa"/>
          <w:right w:w="0" w:type="dxa"/>
        </w:tblCellMar>
        <w:tblLook w:val="04A0" w:firstRow="1" w:lastRow="0" w:firstColumn="1" w:lastColumn="0" w:noHBand="0" w:noVBand="1"/>
      </w:tblPr>
      <w:tblGrid>
        <w:gridCol w:w="973"/>
        <w:gridCol w:w="1272"/>
        <w:gridCol w:w="1816"/>
        <w:gridCol w:w="824"/>
        <w:gridCol w:w="1095"/>
        <w:gridCol w:w="1544"/>
        <w:gridCol w:w="930"/>
        <w:gridCol w:w="1200"/>
      </w:tblGrid>
      <w:tr w:rsidR="00831C3C" w:rsidRPr="00831C3C" w:rsidTr="00617E66">
        <w:trPr>
          <w:divId w:val="867723807"/>
          <w:trHeight w:val="285"/>
        </w:trPr>
        <w:tc>
          <w:tcPr>
            <w:tcW w:w="1008" w:type="dxa"/>
            <w:vMerge w:val="restart"/>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18"/>
                <w:szCs w:val="18"/>
              </w:rPr>
            </w:pPr>
            <w:r w:rsidRPr="00831C3C">
              <w:rPr>
                <w:rFonts w:hint="eastAsia"/>
                <w:sz w:val="18"/>
                <w:szCs w:val="18"/>
              </w:rPr>
              <w:t>项目</w:t>
            </w:r>
          </w:p>
        </w:tc>
        <w:tc>
          <w:tcPr>
            <w:tcW w:w="1275" w:type="dxa"/>
            <w:vMerge w:val="restart"/>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18"/>
                <w:szCs w:val="18"/>
              </w:rPr>
            </w:pPr>
            <w:r w:rsidRPr="00831C3C">
              <w:rPr>
                <w:rFonts w:hint="eastAsia"/>
                <w:sz w:val="18"/>
                <w:szCs w:val="18"/>
              </w:rPr>
              <w:t>期初余额</w:t>
            </w:r>
          </w:p>
        </w:tc>
        <w:tc>
          <w:tcPr>
            <w:tcW w:w="2694" w:type="dxa"/>
            <w:gridSpan w:val="2"/>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18"/>
                <w:szCs w:val="18"/>
              </w:rPr>
            </w:pPr>
            <w:r w:rsidRPr="00831C3C">
              <w:rPr>
                <w:rFonts w:hint="eastAsia"/>
                <w:sz w:val="18"/>
                <w:szCs w:val="18"/>
              </w:rPr>
              <w:t>本期增加金额</w:t>
            </w:r>
          </w:p>
        </w:tc>
        <w:tc>
          <w:tcPr>
            <w:tcW w:w="3544" w:type="dxa"/>
            <w:gridSpan w:val="3"/>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18"/>
                <w:szCs w:val="18"/>
              </w:rPr>
            </w:pPr>
            <w:r w:rsidRPr="00831C3C">
              <w:rPr>
                <w:rFonts w:hint="eastAsia"/>
                <w:sz w:val="18"/>
                <w:szCs w:val="18"/>
              </w:rPr>
              <w:t>本期减少金额</w:t>
            </w:r>
          </w:p>
        </w:tc>
        <w:tc>
          <w:tcPr>
            <w:tcW w:w="1133" w:type="dxa"/>
            <w:vMerge w:val="restart"/>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18"/>
                <w:szCs w:val="18"/>
              </w:rPr>
            </w:pPr>
            <w:r w:rsidRPr="00831C3C">
              <w:rPr>
                <w:rFonts w:hint="eastAsia"/>
                <w:sz w:val="18"/>
                <w:szCs w:val="18"/>
              </w:rPr>
              <w:t>期末余额</w:t>
            </w:r>
          </w:p>
        </w:tc>
      </w:tr>
      <w:tr w:rsidR="00831C3C" w:rsidRPr="00831C3C" w:rsidTr="00617E66">
        <w:trPr>
          <w:divId w:val="867723807"/>
          <w:trHeight w:val="285"/>
        </w:trPr>
        <w:tc>
          <w:tcPr>
            <w:tcW w:w="1008" w:type="dxa"/>
            <w:vMerge/>
            <w:tcBorders>
              <w:top w:val="single" w:sz="8" w:space="0" w:color="auto"/>
              <w:left w:val="single" w:sz="8" w:space="0" w:color="auto"/>
              <w:bottom w:val="single" w:sz="8" w:space="0" w:color="auto"/>
              <w:right w:val="single" w:sz="8" w:space="0" w:color="auto"/>
            </w:tcBorders>
            <w:vAlign w:val="center"/>
            <w:hideMark/>
          </w:tcPr>
          <w:p w:rsidR="00C65FD5" w:rsidRPr="00831C3C" w:rsidRDefault="00C65FD5">
            <w:pPr>
              <w:rPr>
                <w:rFonts w:ascii="宋体" w:eastAsia="宋体" w:hAnsi="宋体" w:cs="宋体"/>
                <w:sz w:val="18"/>
                <w:szCs w:val="18"/>
              </w:rPr>
            </w:pPr>
          </w:p>
        </w:tc>
        <w:tc>
          <w:tcPr>
            <w:tcW w:w="1275" w:type="dxa"/>
            <w:vMerge/>
            <w:tcBorders>
              <w:top w:val="single" w:sz="8" w:space="0" w:color="auto"/>
              <w:left w:val="nil"/>
              <w:bottom w:val="single" w:sz="8" w:space="0" w:color="auto"/>
              <w:right w:val="single" w:sz="8" w:space="0" w:color="auto"/>
            </w:tcBorders>
            <w:vAlign w:val="center"/>
            <w:hideMark/>
          </w:tcPr>
          <w:p w:rsidR="00C65FD5" w:rsidRPr="00831C3C" w:rsidRDefault="00C65FD5">
            <w:pPr>
              <w:rPr>
                <w:rFonts w:ascii="宋体" w:eastAsia="宋体" w:hAnsi="宋体" w:cs="宋体"/>
                <w:sz w:val="18"/>
                <w:szCs w:val="18"/>
              </w:rPr>
            </w:pPr>
          </w:p>
        </w:tc>
        <w:tc>
          <w:tcPr>
            <w:tcW w:w="1843"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18"/>
                <w:szCs w:val="18"/>
              </w:rPr>
            </w:pPr>
            <w:r w:rsidRPr="00831C3C">
              <w:rPr>
                <w:rFonts w:hint="eastAsia"/>
                <w:sz w:val="18"/>
                <w:szCs w:val="18"/>
              </w:rPr>
              <w:t>计提</w:t>
            </w:r>
          </w:p>
        </w:tc>
        <w:tc>
          <w:tcPr>
            <w:tcW w:w="8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18"/>
                <w:szCs w:val="18"/>
              </w:rPr>
            </w:pPr>
            <w:r w:rsidRPr="00831C3C">
              <w:rPr>
                <w:rFonts w:hint="eastAsia"/>
                <w:sz w:val="18"/>
                <w:szCs w:val="18"/>
              </w:rPr>
              <w:t>其他</w:t>
            </w:r>
          </w:p>
        </w:tc>
        <w:tc>
          <w:tcPr>
            <w:tcW w:w="11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18"/>
                <w:szCs w:val="18"/>
              </w:rPr>
            </w:pPr>
            <w:r w:rsidRPr="00831C3C">
              <w:rPr>
                <w:rFonts w:hint="eastAsia"/>
                <w:sz w:val="18"/>
                <w:szCs w:val="18"/>
              </w:rPr>
              <w:t>转回</w:t>
            </w:r>
          </w:p>
        </w:tc>
        <w:tc>
          <w:tcPr>
            <w:tcW w:w="155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18"/>
                <w:szCs w:val="18"/>
              </w:rPr>
            </w:pPr>
            <w:r w:rsidRPr="00831C3C">
              <w:rPr>
                <w:rFonts w:hint="eastAsia"/>
                <w:sz w:val="18"/>
                <w:szCs w:val="18"/>
              </w:rPr>
              <w:t>转销</w:t>
            </w:r>
          </w:p>
        </w:tc>
        <w:tc>
          <w:tcPr>
            <w:tcW w:w="8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18"/>
                <w:szCs w:val="18"/>
              </w:rPr>
            </w:pPr>
            <w:r w:rsidRPr="00831C3C">
              <w:rPr>
                <w:rFonts w:hint="eastAsia"/>
                <w:sz w:val="18"/>
                <w:szCs w:val="18"/>
              </w:rPr>
              <w:t>其他</w:t>
            </w:r>
          </w:p>
        </w:tc>
        <w:tc>
          <w:tcPr>
            <w:tcW w:w="1133" w:type="dxa"/>
            <w:vMerge/>
            <w:tcBorders>
              <w:top w:val="single" w:sz="8" w:space="0" w:color="auto"/>
              <w:left w:val="nil"/>
              <w:bottom w:val="single" w:sz="8" w:space="0" w:color="auto"/>
              <w:right w:val="single" w:sz="8" w:space="0" w:color="auto"/>
            </w:tcBorders>
            <w:vAlign w:val="center"/>
            <w:hideMark/>
          </w:tcPr>
          <w:p w:rsidR="00C65FD5" w:rsidRPr="00831C3C" w:rsidRDefault="00C65FD5">
            <w:pPr>
              <w:rPr>
                <w:rFonts w:ascii="宋体" w:eastAsia="宋体" w:hAnsi="宋体" w:cs="宋体"/>
                <w:sz w:val="18"/>
                <w:szCs w:val="18"/>
              </w:rPr>
            </w:pPr>
          </w:p>
        </w:tc>
      </w:tr>
      <w:tr w:rsidR="00831C3C" w:rsidRPr="00831C3C" w:rsidTr="00617E66">
        <w:trPr>
          <w:divId w:val="867723807"/>
          <w:trHeight w:val="285"/>
        </w:trPr>
        <w:tc>
          <w:tcPr>
            <w:tcW w:w="1008"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rPr>
                <w:rFonts w:ascii="宋体" w:eastAsia="宋体" w:hAnsi="宋体" w:cs="宋体"/>
                <w:sz w:val="18"/>
                <w:szCs w:val="18"/>
              </w:rPr>
            </w:pPr>
            <w:r w:rsidRPr="00831C3C">
              <w:rPr>
                <w:rFonts w:hint="eastAsia"/>
                <w:sz w:val="18"/>
                <w:szCs w:val="18"/>
              </w:rPr>
              <w:t>原材料</w:t>
            </w:r>
          </w:p>
        </w:tc>
        <w:tc>
          <w:tcPr>
            <w:tcW w:w="127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hint="eastAsia"/>
                <w:sz w:val="18"/>
                <w:szCs w:val="18"/>
              </w:rPr>
              <w:t>3,556,409.24</w:t>
            </w:r>
          </w:p>
        </w:tc>
        <w:tc>
          <w:tcPr>
            <w:tcW w:w="1843"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hint="eastAsia"/>
                <w:sz w:val="18"/>
                <w:szCs w:val="18"/>
              </w:rPr>
              <w:t>2,210,656.05</w:t>
            </w:r>
          </w:p>
        </w:tc>
        <w:tc>
          <w:tcPr>
            <w:tcW w:w="8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hint="eastAsia"/>
                <w:sz w:val="18"/>
                <w:szCs w:val="18"/>
              </w:rPr>
              <w:t xml:space="preserve">　</w:t>
            </w:r>
          </w:p>
        </w:tc>
        <w:tc>
          <w:tcPr>
            <w:tcW w:w="11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hint="eastAsia"/>
                <w:sz w:val="18"/>
                <w:szCs w:val="18"/>
              </w:rPr>
              <w:t xml:space="preserve">　</w:t>
            </w:r>
          </w:p>
        </w:tc>
        <w:tc>
          <w:tcPr>
            <w:tcW w:w="155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hint="eastAsia"/>
                <w:sz w:val="18"/>
                <w:szCs w:val="18"/>
              </w:rPr>
              <w:t xml:space="preserve">　</w:t>
            </w:r>
          </w:p>
        </w:tc>
        <w:tc>
          <w:tcPr>
            <w:tcW w:w="8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hint="eastAsia"/>
                <w:sz w:val="18"/>
                <w:szCs w:val="18"/>
              </w:rPr>
              <w:t>28,614.05</w:t>
            </w:r>
          </w:p>
        </w:tc>
        <w:tc>
          <w:tcPr>
            <w:tcW w:w="1133"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hint="eastAsia"/>
                <w:sz w:val="18"/>
                <w:szCs w:val="18"/>
              </w:rPr>
              <w:t>5,738,451.24</w:t>
            </w:r>
          </w:p>
        </w:tc>
      </w:tr>
      <w:tr w:rsidR="00831C3C" w:rsidRPr="00831C3C" w:rsidTr="00617E66">
        <w:trPr>
          <w:divId w:val="867723807"/>
          <w:trHeight w:val="465"/>
        </w:trPr>
        <w:tc>
          <w:tcPr>
            <w:tcW w:w="1008"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rPr>
                <w:rFonts w:ascii="宋体" w:eastAsia="宋体" w:hAnsi="宋体" w:cs="宋体"/>
                <w:sz w:val="18"/>
                <w:szCs w:val="18"/>
              </w:rPr>
            </w:pPr>
            <w:r w:rsidRPr="00831C3C">
              <w:rPr>
                <w:rFonts w:hint="eastAsia"/>
                <w:sz w:val="18"/>
                <w:szCs w:val="18"/>
              </w:rPr>
              <w:t>在产品</w:t>
            </w:r>
          </w:p>
        </w:tc>
        <w:tc>
          <w:tcPr>
            <w:tcW w:w="127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hint="eastAsia"/>
                <w:sz w:val="18"/>
                <w:szCs w:val="18"/>
              </w:rPr>
              <w:t>3,233,890.46</w:t>
            </w:r>
          </w:p>
        </w:tc>
        <w:tc>
          <w:tcPr>
            <w:tcW w:w="1843"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hint="eastAsia"/>
                <w:sz w:val="18"/>
                <w:szCs w:val="18"/>
              </w:rPr>
              <w:t>2,042,437.07</w:t>
            </w:r>
          </w:p>
        </w:tc>
        <w:tc>
          <w:tcPr>
            <w:tcW w:w="8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hint="eastAsia"/>
                <w:sz w:val="18"/>
                <w:szCs w:val="18"/>
              </w:rPr>
              <w:t xml:space="preserve">　</w:t>
            </w:r>
          </w:p>
        </w:tc>
        <w:tc>
          <w:tcPr>
            <w:tcW w:w="11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hint="eastAsia"/>
                <w:sz w:val="18"/>
                <w:szCs w:val="18"/>
              </w:rPr>
              <w:t xml:space="preserve">　</w:t>
            </w:r>
          </w:p>
        </w:tc>
        <w:tc>
          <w:tcPr>
            <w:tcW w:w="155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hint="eastAsia"/>
                <w:sz w:val="18"/>
                <w:szCs w:val="18"/>
              </w:rPr>
              <w:t>408,280.62</w:t>
            </w:r>
          </w:p>
        </w:tc>
        <w:tc>
          <w:tcPr>
            <w:tcW w:w="8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hint="eastAsia"/>
                <w:sz w:val="18"/>
                <w:szCs w:val="18"/>
              </w:rPr>
              <w:t xml:space="preserve">　</w:t>
            </w:r>
          </w:p>
        </w:tc>
        <w:tc>
          <w:tcPr>
            <w:tcW w:w="1133"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hint="eastAsia"/>
                <w:sz w:val="18"/>
                <w:szCs w:val="18"/>
              </w:rPr>
              <w:t>4,868,046.91</w:t>
            </w:r>
          </w:p>
        </w:tc>
      </w:tr>
      <w:tr w:rsidR="00831C3C" w:rsidRPr="00831C3C" w:rsidTr="00617E66">
        <w:trPr>
          <w:divId w:val="867723807"/>
          <w:trHeight w:val="285"/>
        </w:trPr>
        <w:tc>
          <w:tcPr>
            <w:tcW w:w="1008"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rPr>
                <w:rFonts w:ascii="宋体" w:eastAsia="宋体" w:hAnsi="宋体" w:cs="宋体"/>
                <w:sz w:val="18"/>
                <w:szCs w:val="18"/>
              </w:rPr>
            </w:pPr>
            <w:r w:rsidRPr="00831C3C">
              <w:rPr>
                <w:rFonts w:hint="eastAsia"/>
                <w:sz w:val="18"/>
                <w:szCs w:val="18"/>
              </w:rPr>
              <w:lastRenderedPageBreak/>
              <w:t>库存商品</w:t>
            </w:r>
          </w:p>
        </w:tc>
        <w:tc>
          <w:tcPr>
            <w:tcW w:w="127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hint="eastAsia"/>
                <w:sz w:val="18"/>
                <w:szCs w:val="18"/>
              </w:rPr>
              <w:t>66,423,579.54</w:t>
            </w:r>
          </w:p>
        </w:tc>
        <w:tc>
          <w:tcPr>
            <w:tcW w:w="1843"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hint="eastAsia"/>
                <w:sz w:val="18"/>
                <w:szCs w:val="18"/>
              </w:rPr>
              <w:t>62,038,268.73</w:t>
            </w:r>
          </w:p>
        </w:tc>
        <w:tc>
          <w:tcPr>
            <w:tcW w:w="8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hint="eastAsia"/>
                <w:sz w:val="18"/>
                <w:szCs w:val="18"/>
              </w:rPr>
              <w:t xml:space="preserve">　</w:t>
            </w:r>
          </w:p>
        </w:tc>
        <w:tc>
          <w:tcPr>
            <w:tcW w:w="11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hint="eastAsia"/>
                <w:sz w:val="18"/>
                <w:szCs w:val="18"/>
              </w:rPr>
              <w:t xml:space="preserve">　</w:t>
            </w:r>
          </w:p>
        </w:tc>
        <w:tc>
          <w:tcPr>
            <w:tcW w:w="155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hint="eastAsia"/>
                <w:sz w:val="18"/>
                <w:szCs w:val="18"/>
              </w:rPr>
              <w:t>52,791,711.31</w:t>
            </w:r>
          </w:p>
        </w:tc>
        <w:tc>
          <w:tcPr>
            <w:tcW w:w="8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hint="eastAsia"/>
                <w:sz w:val="18"/>
                <w:szCs w:val="18"/>
              </w:rPr>
              <w:t>289,504.28</w:t>
            </w:r>
          </w:p>
        </w:tc>
        <w:tc>
          <w:tcPr>
            <w:tcW w:w="1133"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hint="eastAsia"/>
                <w:sz w:val="18"/>
                <w:szCs w:val="18"/>
              </w:rPr>
              <w:t>75,380,632.68</w:t>
            </w:r>
          </w:p>
        </w:tc>
      </w:tr>
      <w:tr w:rsidR="00831C3C" w:rsidRPr="00831C3C" w:rsidTr="00617E66">
        <w:trPr>
          <w:divId w:val="867723807"/>
          <w:trHeight w:val="285"/>
        </w:trPr>
        <w:tc>
          <w:tcPr>
            <w:tcW w:w="1008"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18"/>
                <w:szCs w:val="18"/>
              </w:rPr>
            </w:pPr>
            <w:r w:rsidRPr="00831C3C">
              <w:rPr>
                <w:rFonts w:hint="eastAsia"/>
                <w:sz w:val="18"/>
                <w:szCs w:val="18"/>
              </w:rPr>
              <w:t>合计</w:t>
            </w:r>
          </w:p>
        </w:tc>
        <w:tc>
          <w:tcPr>
            <w:tcW w:w="1275"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hint="eastAsia"/>
                <w:sz w:val="18"/>
                <w:szCs w:val="18"/>
              </w:rPr>
              <w:t>73,213,879.24</w:t>
            </w:r>
          </w:p>
        </w:tc>
        <w:tc>
          <w:tcPr>
            <w:tcW w:w="1843"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hint="eastAsia"/>
                <w:sz w:val="18"/>
                <w:szCs w:val="18"/>
              </w:rPr>
              <w:t>66,291,361.85</w:t>
            </w:r>
          </w:p>
        </w:tc>
        <w:tc>
          <w:tcPr>
            <w:tcW w:w="8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hint="eastAsia"/>
                <w:sz w:val="18"/>
                <w:szCs w:val="18"/>
              </w:rPr>
              <w:t xml:space="preserve">　</w:t>
            </w:r>
          </w:p>
        </w:tc>
        <w:tc>
          <w:tcPr>
            <w:tcW w:w="113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hint="eastAsia"/>
                <w:sz w:val="18"/>
                <w:szCs w:val="18"/>
              </w:rPr>
              <w:t xml:space="preserve">　</w:t>
            </w:r>
          </w:p>
        </w:tc>
        <w:tc>
          <w:tcPr>
            <w:tcW w:w="155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hint="eastAsia"/>
                <w:sz w:val="18"/>
                <w:szCs w:val="18"/>
              </w:rPr>
              <w:t>53,199,991.93</w:t>
            </w:r>
          </w:p>
        </w:tc>
        <w:tc>
          <w:tcPr>
            <w:tcW w:w="851"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hint="eastAsia"/>
                <w:sz w:val="18"/>
                <w:szCs w:val="18"/>
              </w:rPr>
              <w:t>318,118.33</w:t>
            </w:r>
          </w:p>
        </w:tc>
        <w:tc>
          <w:tcPr>
            <w:tcW w:w="1133"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hint="eastAsia"/>
                <w:sz w:val="18"/>
                <w:szCs w:val="18"/>
              </w:rPr>
              <w:t>85,987,130.83</w:t>
            </w:r>
          </w:p>
        </w:tc>
      </w:tr>
    </w:tbl>
    <w:p w:rsidR="00C65FD5" w:rsidRPr="00831C3C" w:rsidRDefault="00C65FD5" w:rsidP="00617E66">
      <w:pPr>
        <w:spacing w:before="100" w:after="100" w:line="240" w:lineRule="exact"/>
        <w:rPr>
          <w:rFonts w:ascii="宋体" w:eastAsia="宋体" w:hAnsi="宋体" w:cs="宋体"/>
          <w:sz w:val="18"/>
          <w:szCs w:val="18"/>
        </w:rPr>
      </w:pPr>
      <w:r w:rsidRPr="00831C3C">
        <w:rPr>
          <w:rFonts w:ascii="宋体" w:eastAsia="宋体" w:hAnsi="宋体" w:cs="宋体"/>
          <w:sz w:val="18"/>
          <w:szCs w:val="18"/>
        </w:rPr>
        <w:t>加盟或分销商等终端渠道的存货信息</w:t>
      </w:r>
      <w:r w:rsidR="00617E66" w:rsidRPr="00831C3C">
        <w:rPr>
          <w:rFonts w:ascii="宋体" w:eastAsia="宋体" w:hAnsi="宋体" w:cs="宋体" w:hint="eastAsia"/>
          <w:sz w:val="18"/>
          <w:szCs w:val="18"/>
        </w:rPr>
        <w:t>:</w:t>
      </w:r>
      <w:r w:rsidRPr="00831C3C">
        <w:rPr>
          <w:rFonts w:hint="eastAsia"/>
          <w:sz w:val="18"/>
          <w:szCs w:val="18"/>
        </w:rPr>
        <w:t>无。</w:t>
      </w:r>
    </w:p>
    <w:p w:rsidR="00E23A97" w:rsidRPr="00831C3C" w:rsidRDefault="00C65FD5">
      <w:pPr>
        <w:keepNext/>
        <w:keepLines/>
        <w:spacing w:before="300" w:after="300" w:line="280" w:lineRule="exact"/>
        <w:outlineLvl w:val="3"/>
        <w:rPr>
          <w:rFonts w:ascii="宋体" w:eastAsia="宋体" w:hAnsi="宋体" w:cs="宋体"/>
          <w:b/>
          <w:bCs/>
          <w:szCs w:val="21"/>
        </w:rPr>
      </w:pPr>
      <w:bookmarkStart w:id="36" w:name="_Toc988925"/>
      <w:r w:rsidRPr="00831C3C">
        <w:rPr>
          <w:rFonts w:ascii="宋体" w:eastAsia="宋体" w:hAnsi="宋体" w:cs="宋体"/>
          <w:b/>
          <w:bCs/>
          <w:szCs w:val="21"/>
        </w:rPr>
        <w:t>（7）品牌建设情况</w:t>
      </w:r>
      <w:bookmarkEnd w:id="36"/>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公司是否涉及生产和销售品牌服装、服饰以及家纺产品</w:t>
      </w:r>
    </w:p>
    <w:p w:rsidR="00E23A97" w:rsidRPr="00831C3C" w:rsidRDefault="00C65FD5">
      <w:pPr>
        <w:spacing w:before="100" w:after="4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是□否</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自有品牌</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204"/>
        <w:gridCol w:w="1205"/>
        <w:gridCol w:w="1205"/>
        <w:gridCol w:w="1205"/>
        <w:gridCol w:w="1205"/>
        <w:gridCol w:w="1205"/>
        <w:gridCol w:w="1205"/>
        <w:gridCol w:w="1205"/>
      </w:tblGrid>
      <w:tr w:rsidR="00831C3C" w:rsidRPr="00831C3C">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品牌名称</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商标名称</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主要产品类型</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特点</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目标客户群</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主要产品价格带</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主要销售区域</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城市级别</w:t>
            </w:r>
          </w:p>
        </w:tc>
      </w:tr>
      <w:tr w:rsidR="00831C3C" w:rsidRPr="00831C3C">
        <w:trPr>
          <w:trHeight w:val="240"/>
        </w:trPr>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carmalla</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carmalla</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袜子</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时尚可爱</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女性</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30-60</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全国</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一</w:t>
            </w:r>
            <w:proofErr w:type="gramEnd"/>
            <w:r w:rsidRPr="00831C3C">
              <w:rPr>
                <w:rFonts w:ascii="宋体" w:eastAsia="宋体" w:hAnsi="宋体" w:cs="宋体"/>
                <w:sz w:val="18"/>
                <w:szCs w:val="18"/>
              </w:rPr>
              <w:t>二线城市</w:t>
            </w:r>
          </w:p>
        </w:tc>
      </w:tr>
      <w:tr w:rsidR="00831C3C" w:rsidRPr="00831C3C">
        <w:trPr>
          <w:trHeight w:val="240"/>
        </w:trPr>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isku</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isku</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袜子</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酷潮</w:t>
            </w:r>
            <w:proofErr w:type="gramEnd"/>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男女</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50-80</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全国</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一</w:t>
            </w:r>
            <w:proofErr w:type="gramEnd"/>
            <w:r w:rsidRPr="00831C3C">
              <w:rPr>
                <w:rFonts w:ascii="宋体" w:eastAsia="宋体" w:hAnsi="宋体" w:cs="宋体"/>
                <w:sz w:val="18"/>
                <w:szCs w:val="18"/>
              </w:rPr>
              <w:t>二线城市</w:t>
            </w:r>
          </w:p>
        </w:tc>
      </w:tr>
      <w:tr w:rsidR="00831C3C" w:rsidRPr="00831C3C">
        <w:trPr>
          <w:trHeight w:val="240"/>
        </w:trPr>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ilooklike</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ilooklike</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袜子</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基础简约</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女性</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30-60</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全国</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一</w:t>
            </w:r>
            <w:proofErr w:type="gramEnd"/>
            <w:r w:rsidRPr="00831C3C">
              <w:rPr>
                <w:rFonts w:ascii="宋体" w:eastAsia="宋体" w:hAnsi="宋体" w:cs="宋体"/>
                <w:sz w:val="18"/>
                <w:szCs w:val="18"/>
              </w:rPr>
              <w:t>二线城市</w:t>
            </w:r>
          </w:p>
        </w:tc>
      </w:tr>
      <w:tr w:rsidR="00831C3C" w:rsidRPr="00831C3C">
        <w:trPr>
          <w:trHeight w:val="240"/>
        </w:trPr>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caramellakkids</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caramellakkids</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童袜</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可爱卡通</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女性</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30-60</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全国</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一</w:t>
            </w:r>
            <w:proofErr w:type="gramEnd"/>
            <w:r w:rsidRPr="00831C3C">
              <w:rPr>
                <w:rFonts w:ascii="宋体" w:eastAsia="宋体" w:hAnsi="宋体" w:cs="宋体"/>
                <w:sz w:val="18"/>
                <w:szCs w:val="18"/>
              </w:rPr>
              <w:t>二线城市</w:t>
            </w:r>
          </w:p>
        </w:tc>
      </w:tr>
      <w:tr w:rsidR="00831C3C" w:rsidRPr="00831C3C">
        <w:trPr>
          <w:trHeight w:val="240"/>
        </w:trPr>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整季</w:t>
            </w:r>
            <w:proofErr w:type="gramEnd"/>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整季</w:t>
            </w:r>
            <w:proofErr w:type="gramEnd"/>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袜子</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基础量贩</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男女</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100</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全国</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一二三四线城市</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合作品牌</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804"/>
        <w:gridCol w:w="804"/>
        <w:gridCol w:w="804"/>
        <w:gridCol w:w="803"/>
        <w:gridCol w:w="803"/>
        <w:gridCol w:w="803"/>
        <w:gridCol w:w="803"/>
        <w:gridCol w:w="803"/>
        <w:gridCol w:w="803"/>
        <w:gridCol w:w="803"/>
        <w:gridCol w:w="803"/>
        <w:gridCol w:w="803"/>
      </w:tblGrid>
      <w:tr w:rsidR="00831C3C" w:rsidRPr="00831C3C">
        <w:trPr>
          <w:trHeight w:val="240"/>
        </w:trPr>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品牌名称</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商标名称</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主要产品类型</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特点</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目标客户群</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主要产品价格带</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主要销售区域</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城市级别</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品牌及商标权权属</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合作方名称</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合作方式</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合作期限</w:t>
            </w:r>
          </w:p>
        </w:tc>
      </w:tr>
      <w:tr w:rsidR="00831C3C" w:rsidRPr="00831C3C">
        <w:trPr>
          <w:trHeight w:val="240"/>
        </w:trPr>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屈臣氏</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屈臣氏</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袜子</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年轻时尚</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女性</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30-60</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全国</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一</w:t>
            </w:r>
            <w:proofErr w:type="gramEnd"/>
            <w:r w:rsidRPr="00831C3C">
              <w:rPr>
                <w:rFonts w:ascii="宋体" w:eastAsia="宋体" w:hAnsi="宋体" w:cs="宋体"/>
                <w:sz w:val="18"/>
                <w:szCs w:val="18"/>
              </w:rPr>
              <w:t>二线城市</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品牌方</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屈臣氏</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OEM</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长期</w:t>
            </w:r>
          </w:p>
        </w:tc>
      </w:tr>
      <w:tr w:rsidR="00831C3C" w:rsidRPr="00831C3C">
        <w:trPr>
          <w:trHeight w:val="240"/>
        </w:trPr>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果壳</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果壳</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袜子</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年轻时尚</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女性</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20-40</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全国</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一</w:t>
            </w:r>
            <w:proofErr w:type="gramEnd"/>
            <w:r w:rsidRPr="00831C3C">
              <w:rPr>
                <w:rFonts w:ascii="宋体" w:eastAsia="宋体" w:hAnsi="宋体" w:cs="宋体"/>
                <w:sz w:val="18"/>
                <w:szCs w:val="18"/>
              </w:rPr>
              <w:t>二线城市</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品牌方</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果壳</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OEM</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长期</w:t>
            </w:r>
          </w:p>
        </w:tc>
      </w:tr>
      <w:tr w:rsidR="00831C3C" w:rsidRPr="00831C3C">
        <w:trPr>
          <w:trHeight w:val="240"/>
        </w:trPr>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植物王国</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植物王国</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袜子</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可爱卡通</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儿童</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20-40</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全国</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一</w:t>
            </w:r>
            <w:proofErr w:type="gramEnd"/>
            <w:r w:rsidRPr="00831C3C">
              <w:rPr>
                <w:rFonts w:ascii="宋体" w:eastAsia="宋体" w:hAnsi="宋体" w:cs="宋体"/>
                <w:sz w:val="18"/>
                <w:szCs w:val="18"/>
              </w:rPr>
              <w:t>二线城市</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品牌方</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孩子王</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OEM</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长期</w:t>
            </w:r>
          </w:p>
        </w:tc>
      </w:tr>
      <w:tr w:rsidR="00831C3C" w:rsidRPr="00831C3C">
        <w:trPr>
          <w:trHeight w:val="240"/>
        </w:trPr>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畹町</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畹町</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袜子</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年轻时尚</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女性</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20-40</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全国</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一</w:t>
            </w:r>
            <w:proofErr w:type="gramEnd"/>
            <w:r w:rsidRPr="00831C3C">
              <w:rPr>
                <w:rFonts w:ascii="宋体" w:eastAsia="宋体" w:hAnsi="宋体" w:cs="宋体"/>
                <w:sz w:val="18"/>
                <w:szCs w:val="18"/>
              </w:rPr>
              <w:t>二线城市</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品牌方</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热风时尚</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OEM</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长期</w:t>
            </w:r>
          </w:p>
        </w:tc>
      </w:tr>
      <w:tr w:rsidR="00831C3C" w:rsidRPr="00831C3C">
        <w:trPr>
          <w:trHeight w:val="240"/>
        </w:trPr>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KKV</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KKV</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袜子</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年轻时尚</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女性</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20-60</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全国</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一</w:t>
            </w:r>
            <w:proofErr w:type="gramEnd"/>
            <w:r w:rsidRPr="00831C3C">
              <w:rPr>
                <w:rFonts w:ascii="宋体" w:eastAsia="宋体" w:hAnsi="宋体" w:cs="宋体"/>
                <w:sz w:val="18"/>
                <w:szCs w:val="18"/>
              </w:rPr>
              <w:t>二线城市</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品牌方</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KKV</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OEM</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长期</w:t>
            </w:r>
          </w:p>
        </w:tc>
      </w:tr>
      <w:tr w:rsidR="00831C3C" w:rsidRPr="00831C3C">
        <w:trPr>
          <w:trHeight w:val="240"/>
        </w:trPr>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巴</w:t>
            </w:r>
            <w:proofErr w:type="gramStart"/>
            <w:r w:rsidRPr="00831C3C">
              <w:rPr>
                <w:rFonts w:ascii="宋体" w:eastAsia="宋体" w:hAnsi="宋体" w:cs="宋体"/>
                <w:sz w:val="18"/>
                <w:szCs w:val="18"/>
              </w:rPr>
              <w:t>拉巴拉</w:t>
            </w:r>
            <w:proofErr w:type="gramEnd"/>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巴</w:t>
            </w:r>
            <w:proofErr w:type="gramStart"/>
            <w:r w:rsidRPr="00831C3C">
              <w:rPr>
                <w:rFonts w:ascii="宋体" w:eastAsia="宋体" w:hAnsi="宋体" w:cs="宋体"/>
                <w:sz w:val="18"/>
                <w:szCs w:val="18"/>
              </w:rPr>
              <w:t>拉巴拉</w:t>
            </w:r>
            <w:proofErr w:type="gramEnd"/>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袜子</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年轻时尚</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女性</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30-60</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全国</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一</w:t>
            </w:r>
            <w:proofErr w:type="gramEnd"/>
            <w:r w:rsidRPr="00831C3C">
              <w:rPr>
                <w:rFonts w:ascii="宋体" w:eastAsia="宋体" w:hAnsi="宋体" w:cs="宋体"/>
                <w:sz w:val="18"/>
                <w:szCs w:val="18"/>
              </w:rPr>
              <w:t>二线城市</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品牌方</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浙江森马服饰股份有限公司</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OEM</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长期</w:t>
            </w:r>
          </w:p>
        </w:tc>
      </w:tr>
      <w:tr w:rsidR="00831C3C" w:rsidRPr="00831C3C">
        <w:trPr>
          <w:trHeight w:val="240"/>
        </w:trPr>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红豆</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红豆</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袜子</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年轻时尚</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女性</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20-50</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全国</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一二三线城市</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红豆</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微原（浙江）商业贸易有限公司</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OEM</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长期</w:t>
            </w:r>
          </w:p>
        </w:tc>
      </w:tr>
      <w:tr w:rsidR="00831C3C" w:rsidRPr="00831C3C">
        <w:trPr>
          <w:trHeight w:val="240"/>
        </w:trPr>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红红红</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红红红</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袜子</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年轻时尚</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女性</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20-50</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全国</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一二三线城市</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红红红</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汕头市</w:t>
            </w:r>
            <w:proofErr w:type="gramStart"/>
            <w:r w:rsidRPr="00831C3C">
              <w:rPr>
                <w:rFonts w:ascii="宋体" w:eastAsia="宋体" w:hAnsi="宋体" w:cs="宋体"/>
                <w:sz w:val="18"/>
                <w:szCs w:val="18"/>
              </w:rPr>
              <w:t>婷</w:t>
            </w:r>
            <w:proofErr w:type="gramEnd"/>
            <w:r w:rsidRPr="00831C3C">
              <w:rPr>
                <w:rFonts w:ascii="宋体" w:eastAsia="宋体" w:hAnsi="宋体" w:cs="宋体"/>
                <w:sz w:val="18"/>
                <w:szCs w:val="18"/>
              </w:rPr>
              <w:t>媚内衣实业有限公司</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OEM</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长期</w:t>
            </w:r>
          </w:p>
        </w:tc>
      </w:tr>
      <w:tr w:rsidR="00831C3C" w:rsidRPr="00831C3C">
        <w:trPr>
          <w:trHeight w:val="240"/>
        </w:trPr>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纯棉</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纯棉</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袜子</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年轻时尚</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女性</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20-50</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全国</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一二三线城市</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纯棉</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CA-广东纯棉居物医疗科技有限公司</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OEM</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长期</w:t>
            </w:r>
          </w:p>
        </w:tc>
      </w:tr>
      <w:tr w:rsidR="00831C3C" w:rsidRPr="00831C3C">
        <w:trPr>
          <w:trHeight w:val="240"/>
        </w:trPr>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lastRenderedPageBreak/>
              <w:t>欧度</w:t>
            </w:r>
            <w:proofErr w:type="gramEnd"/>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欧度</w:t>
            </w:r>
            <w:proofErr w:type="gramEnd"/>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袜子</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年轻时尚</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男性</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20-50</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全国</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一二三线城市</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欧度</w:t>
            </w:r>
            <w:proofErr w:type="gramEnd"/>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欧度控股</w:t>
            </w:r>
            <w:proofErr w:type="gramEnd"/>
            <w:r w:rsidRPr="00831C3C">
              <w:rPr>
                <w:rFonts w:ascii="宋体" w:eastAsia="宋体" w:hAnsi="宋体" w:cs="宋体"/>
                <w:sz w:val="18"/>
                <w:szCs w:val="18"/>
              </w:rPr>
              <w:t>有限公司</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ODM</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长期</w:t>
            </w:r>
          </w:p>
        </w:tc>
      </w:tr>
      <w:tr w:rsidR="00831C3C" w:rsidRPr="00831C3C">
        <w:trPr>
          <w:trHeight w:val="240"/>
        </w:trPr>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盒马</w:t>
            </w:r>
            <w:proofErr w:type="gramEnd"/>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盒马</w:t>
            </w:r>
            <w:proofErr w:type="gramEnd"/>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袜子</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年轻时尚</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女性</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30-60</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全国</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一</w:t>
            </w:r>
            <w:proofErr w:type="gramEnd"/>
            <w:r w:rsidRPr="00831C3C">
              <w:rPr>
                <w:rFonts w:ascii="宋体" w:eastAsia="宋体" w:hAnsi="宋体" w:cs="宋体"/>
                <w:sz w:val="18"/>
                <w:szCs w:val="18"/>
              </w:rPr>
              <w:t>二线城市</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品牌方</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盒马</w:t>
            </w:r>
            <w:proofErr w:type="gramEnd"/>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OEM</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长期</w:t>
            </w:r>
          </w:p>
        </w:tc>
      </w:tr>
      <w:tr w:rsidR="00831C3C" w:rsidRPr="00831C3C">
        <w:trPr>
          <w:trHeight w:val="240"/>
        </w:trPr>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三福百货</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三福百货</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袜子</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年轻时尚</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女性</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20-50</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全国</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一二三线城市</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三福百货</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福建三福服饰有限公司</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OEM</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长期</w:t>
            </w:r>
          </w:p>
        </w:tc>
      </w:tr>
      <w:tr w:rsidR="00831C3C" w:rsidRPr="00831C3C">
        <w:trPr>
          <w:trHeight w:val="240"/>
        </w:trPr>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奶糖派</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奶糖派</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袜子</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年轻时尚</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女性</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30-60</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全国</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一</w:t>
            </w:r>
            <w:proofErr w:type="gramEnd"/>
            <w:r w:rsidRPr="00831C3C">
              <w:rPr>
                <w:rFonts w:ascii="宋体" w:eastAsia="宋体" w:hAnsi="宋体" w:cs="宋体"/>
                <w:sz w:val="18"/>
                <w:szCs w:val="18"/>
              </w:rPr>
              <w:t>二线城市</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品牌方</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广州奶糖派服装有限公司</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OEM</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长期</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被授权品牌</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877"/>
        <w:gridCol w:w="877"/>
        <w:gridCol w:w="877"/>
        <w:gridCol w:w="876"/>
        <w:gridCol w:w="876"/>
        <w:gridCol w:w="876"/>
        <w:gridCol w:w="876"/>
        <w:gridCol w:w="876"/>
        <w:gridCol w:w="876"/>
        <w:gridCol w:w="876"/>
        <w:gridCol w:w="876"/>
      </w:tblGrid>
      <w:tr w:rsidR="00831C3C" w:rsidRPr="00831C3C">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品牌名称</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商标名称</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主要产品类型</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特点</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目标客户群</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主要产品价格带</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主要销售区域</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城市级别</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授权方</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授权期限</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是否为独家授权</w:t>
            </w:r>
          </w:p>
        </w:tc>
      </w:tr>
      <w:tr w:rsidR="00831C3C" w:rsidRPr="00831C3C">
        <w:trPr>
          <w:trHeight w:val="240"/>
        </w:trPr>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彼得兔</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彼得兔</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袜子</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可爱卡通</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女性</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30-60</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全国</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一</w:t>
            </w:r>
            <w:proofErr w:type="gramEnd"/>
            <w:r w:rsidRPr="00831C3C">
              <w:rPr>
                <w:rFonts w:ascii="宋体" w:eastAsia="宋体" w:hAnsi="宋体" w:cs="宋体"/>
                <w:sz w:val="18"/>
                <w:szCs w:val="18"/>
              </w:rPr>
              <w:t>二线城市</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品牌方</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3年</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是</w:t>
            </w:r>
          </w:p>
        </w:tc>
      </w:tr>
    </w:tbl>
    <w:p w:rsidR="00C65FD5" w:rsidRPr="00831C3C" w:rsidRDefault="00C65FD5" w:rsidP="00617E66">
      <w:pPr>
        <w:spacing w:before="100" w:after="100" w:line="240" w:lineRule="exact"/>
        <w:rPr>
          <w:rFonts w:ascii="宋体" w:eastAsia="宋体" w:hAnsi="宋体" w:cs="宋体"/>
          <w:sz w:val="18"/>
          <w:szCs w:val="18"/>
        </w:rPr>
      </w:pPr>
      <w:r w:rsidRPr="00831C3C">
        <w:rPr>
          <w:rFonts w:ascii="宋体" w:eastAsia="宋体" w:hAnsi="宋体" w:cs="宋体"/>
          <w:sz w:val="18"/>
          <w:szCs w:val="18"/>
        </w:rPr>
        <w:t>报告期内各品牌的营销与运营</w:t>
      </w:r>
      <w:r w:rsidR="00617E66" w:rsidRPr="00831C3C">
        <w:rPr>
          <w:rFonts w:ascii="宋体" w:eastAsia="宋体" w:hAnsi="宋体" w:cs="宋体" w:hint="eastAsia"/>
          <w:sz w:val="18"/>
          <w:szCs w:val="18"/>
        </w:rPr>
        <w:t>：</w:t>
      </w:r>
      <w:r w:rsidRPr="00831C3C">
        <w:rPr>
          <w:rFonts w:hint="eastAsia"/>
          <w:sz w:val="18"/>
          <w:szCs w:val="18"/>
        </w:rPr>
        <w:t>无。</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涉及商标权属纠纷等情况</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keepNext/>
        <w:keepLines/>
        <w:spacing w:before="300" w:after="300" w:line="280" w:lineRule="exact"/>
        <w:outlineLvl w:val="3"/>
        <w:rPr>
          <w:rFonts w:ascii="宋体" w:eastAsia="宋体" w:hAnsi="宋体" w:cs="宋体"/>
          <w:b/>
          <w:bCs/>
          <w:szCs w:val="21"/>
        </w:rPr>
      </w:pPr>
      <w:bookmarkStart w:id="37" w:name="_Toc988926"/>
      <w:r w:rsidRPr="00831C3C">
        <w:rPr>
          <w:rFonts w:ascii="宋体" w:eastAsia="宋体" w:hAnsi="宋体" w:cs="宋体"/>
          <w:b/>
          <w:bCs/>
          <w:szCs w:val="21"/>
        </w:rPr>
        <w:t>（8）其他</w:t>
      </w:r>
      <w:bookmarkEnd w:id="37"/>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公司是否从事服装设计相关业务</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是□否</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自有的服装设计师数量</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签约的服装设计师数量</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公司是否举办订货会</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□是</w:t>
      </w:r>
      <w:r w:rsidRPr="00831C3C">
        <w:rPr>
          <w:rFonts w:ascii="宋体" w:eastAsia="宋体" w:hAnsi="宋体" w:cs="宋体"/>
          <w:sz w:val="18"/>
          <w:szCs w:val="18"/>
        </w:rPr>
        <w:sym w:font="Wingdings 2" w:char="F052"/>
      </w:r>
      <w:r w:rsidRPr="00831C3C">
        <w:rPr>
          <w:rFonts w:ascii="宋体" w:eastAsia="宋体" w:hAnsi="宋体" w:cs="宋体"/>
          <w:sz w:val="18"/>
          <w:szCs w:val="18"/>
        </w:rPr>
        <w:t>否</w:t>
      </w:r>
    </w:p>
    <w:p w:rsidR="00E23A97" w:rsidRPr="00831C3C" w:rsidRDefault="00C65FD5">
      <w:pPr>
        <w:pStyle w:val="3"/>
        <w:spacing w:line="280" w:lineRule="exact"/>
        <w:jc w:val="left"/>
        <w:rPr>
          <w:rFonts w:ascii="宋体" w:hAnsi="宋体" w:cs="宋体"/>
          <w:b/>
          <w:bCs/>
        </w:rPr>
      </w:pPr>
      <w:bookmarkStart w:id="38" w:name="_Toc988927"/>
      <w:r w:rsidRPr="00831C3C">
        <w:rPr>
          <w:rFonts w:ascii="宋体" w:hAnsi="宋体" w:cs="宋体"/>
          <w:b/>
          <w:bCs/>
        </w:rPr>
        <w:t>5、研发投入</w:t>
      </w:r>
      <w:bookmarkEnd w:id="38"/>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适用□不适用</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主要研发项目名称</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项目目的</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项目进展</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拟达到的目标</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预计对公司未来发展的影响</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氨纶及长丝</w:t>
            </w:r>
            <w:proofErr w:type="gramStart"/>
            <w:r w:rsidRPr="00831C3C">
              <w:rPr>
                <w:rFonts w:ascii="宋体" w:eastAsia="宋体" w:hAnsi="宋体" w:cs="宋体"/>
                <w:sz w:val="18"/>
                <w:szCs w:val="18"/>
              </w:rPr>
              <w:t>包芯纱开发</w:t>
            </w:r>
            <w:proofErr w:type="gramEnd"/>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通过设备工艺创新，实现高品质氨纶包芯纱产品和</w:t>
            </w:r>
            <w:proofErr w:type="gramStart"/>
            <w:r w:rsidRPr="00831C3C">
              <w:rPr>
                <w:rFonts w:ascii="宋体" w:eastAsia="宋体" w:hAnsi="宋体" w:cs="宋体"/>
                <w:sz w:val="18"/>
                <w:szCs w:val="18"/>
              </w:rPr>
              <w:t>长丝包芯纱</w:t>
            </w:r>
            <w:proofErr w:type="gramEnd"/>
            <w:r w:rsidRPr="00831C3C">
              <w:rPr>
                <w:rFonts w:ascii="宋体" w:eastAsia="宋体" w:hAnsi="宋体" w:cs="宋体"/>
                <w:sz w:val="18"/>
                <w:szCs w:val="18"/>
              </w:rPr>
              <w:t>产品，具有抗起毛球、吸湿速干、舒适等功能。</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完成开发推广，销售中</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产品附加值高，在针织、梭织、毛衫等领域推广销售，为公司创造经济效益</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产品应用领域广泛，新品类可以拓展到牛仔产品、梭织裤装等领域，为公司产品销售提供新的增长点。</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防蚊防晒多功能吸湿速干产品开发</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通过纤维原料多功能性整理，引进高性能吸湿速干材料，集合纺纱技术创新，开发具有防蚊、防晒及吸湿速干多功能性的高级产品。</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完成开发，推广中</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新产品推广，取得较好的经济效益和社会效益。</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这个产品是多功能复合产品，很好的迎合当下户外和休闲消费趋势，满足消费者在不同场景下的功能需求，成为公司新产品销售增长点。</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莱赛尔产品开发</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莱赛尔纺纱性能试验，染色技术研究，</w:t>
            </w:r>
            <w:r w:rsidRPr="00831C3C">
              <w:rPr>
                <w:rFonts w:ascii="宋体" w:eastAsia="宋体" w:hAnsi="宋体" w:cs="宋体"/>
                <w:sz w:val="18"/>
                <w:szCs w:val="18"/>
              </w:rPr>
              <w:lastRenderedPageBreak/>
              <w:t>混纺工艺创新，增加穿着舒适感、提高抗起毛球性能。</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lastRenderedPageBreak/>
              <w:t>完成开发推广，销售中</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新产品推广，取得较好的经济效益和社会</w:t>
            </w:r>
            <w:r w:rsidRPr="00831C3C">
              <w:rPr>
                <w:rFonts w:ascii="宋体" w:eastAsia="宋体" w:hAnsi="宋体" w:cs="宋体"/>
                <w:sz w:val="18"/>
                <w:szCs w:val="18"/>
              </w:rPr>
              <w:lastRenderedPageBreak/>
              <w:t>效益。</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lastRenderedPageBreak/>
              <w:t>产品市场热销，产品既有环保概念，又有</w:t>
            </w:r>
            <w:r w:rsidRPr="00831C3C">
              <w:rPr>
                <w:rFonts w:ascii="宋体" w:eastAsia="宋体" w:hAnsi="宋体" w:cs="宋体"/>
                <w:sz w:val="18"/>
                <w:szCs w:val="18"/>
              </w:rPr>
              <w:lastRenderedPageBreak/>
              <w:t>优越的服用性能，通过独特的技术处理，解决了莱赛尔纤维易原纤化的痛点。为华孚的环保系列产品舔砖加瓦，倡导环保理念，扩大华</w:t>
            </w:r>
            <w:proofErr w:type="gramStart"/>
            <w:r w:rsidRPr="00831C3C">
              <w:rPr>
                <w:rFonts w:ascii="宋体" w:eastAsia="宋体" w:hAnsi="宋体" w:cs="宋体"/>
                <w:sz w:val="18"/>
                <w:szCs w:val="18"/>
              </w:rPr>
              <w:t>孚品牌</w:t>
            </w:r>
            <w:proofErr w:type="gramEnd"/>
            <w:r w:rsidRPr="00831C3C">
              <w:rPr>
                <w:rFonts w:ascii="宋体" w:eastAsia="宋体" w:hAnsi="宋体" w:cs="宋体"/>
                <w:sz w:val="18"/>
                <w:szCs w:val="18"/>
              </w:rPr>
              <w:t>影响力，同时取得良好的经济效益。</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lastRenderedPageBreak/>
              <w:t>轻薄保暖产品开发</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对现有棉纺设备进行改造，纺纱工艺创新，细</w:t>
            </w:r>
            <w:proofErr w:type="gramStart"/>
            <w:r w:rsidRPr="00831C3C">
              <w:rPr>
                <w:rFonts w:ascii="宋体" w:eastAsia="宋体" w:hAnsi="宋体" w:cs="宋体"/>
                <w:sz w:val="18"/>
                <w:szCs w:val="18"/>
              </w:rPr>
              <w:t>旦</w:t>
            </w:r>
            <w:proofErr w:type="gramEnd"/>
            <w:r w:rsidRPr="00831C3C">
              <w:rPr>
                <w:rFonts w:ascii="宋体" w:eastAsia="宋体" w:hAnsi="宋体" w:cs="宋体"/>
                <w:sz w:val="18"/>
                <w:szCs w:val="18"/>
              </w:rPr>
              <w:t>腈纶、异性聚酯纤维的染色技术开发，开发出多种材料混纺高支纱线，面料具有轻薄、柔软、弹性的手感。</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完成开发推广，销售中</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新产品推广，取得较好的经济效益和社会效益。</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人们生活水平提高带动了消费者对高品质纺织品的需求增加，开发轻薄保暖类内衣顺应了市场需求，为公司提供了更多的市场机会，带来了更大的发展潜力。</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高牢度、高饱和度</w:t>
            </w:r>
            <w:proofErr w:type="gramStart"/>
            <w:r w:rsidRPr="00831C3C">
              <w:rPr>
                <w:rFonts w:ascii="宋体" w:eastAsia="宋体" w:hAnsi="宋体" w:cs="宋体"/>
                <w:sz w:val="18"/>
                <w:szCs w:val="18"/>
              </w:rPr>
              <w:t>原液色</w:t>
            </w:r>
            <w:proofErr w:type="gramEnd"/>
            <w:r w:rsidRPr="00831C3C">
              <w:rPr>
                <w:rFonts w:ascii="宋体" w:eastAsia="宋体" w:hAnsi="宋体" w:cs="宋体"/>
                <w:sz w:val="18"/>
                <w:szCs w:val="18"/>
              </w:rPr>
              <w:t>纺纱产品开发</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染色技术研究提升纤维色牢度1级以上，将这些高饱和度染色纤维与原液纤维进行有记混合，解决原液无染纤维高温定型色变问题；开发系列无染、少染低碳环保时尚的色纺纱产品。</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完成开发，推广中</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新产品推广，取得较好的经济效益和社会效益。</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产品市场热销，产品质价比高，产品鲜、亮；既有原液产品环保特性，又能区别市场上同类产品。是未来趋势产品，通过环保产品的推广，倡导环保理念，取得品牌信任，扩大华</w:t>
            </w:r>
            <w:proofErr w:type="gramStart"/>
            <w:r w:rsidRPr="00831C3C">
              <w:rPr>
                <w:rFonts w:ascii="宋体" w:eastAsia="宋体" w:hAnsi="宋体" w:cs="宋体"/>
                <w:sz w:val="18"/>
                <w:szCs w:val="18"/>
              </w:rPr>
              <w:t>孚产品</w:t>
            </w:r>
            <w:proofErr w:type="gramEnd"/>
            <w:r w:rsidRPr="00831C3C">
              <w:rPr>
                <w:rFonts w:ascii="宋体" w:eastAsia="宋体" w:hAnsi="宋体" w:cs="宋体"/>
                <w:sz w:val="18"/>
                <w:szCs w:val="18"/>
              </w:rPr>
              <w:t>影响力。</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公司研发人员情况</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2024年</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2023年</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变动比例</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研发人员数量（人）</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811</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734</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10.49%</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研发人员数量占比</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5.89%</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4.81%</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1.08%</w:t>
            </w:r>
          </w:p>
        </w:tc>
      </w:tr>
      <w:tr w:rsidR="00831C3C" w:rsidRPr="00831C3C">
        <w:trPr>
          <w:trHeight w:val="240"/>
        </w:trPr>
        <w:tc>
          <w:tcPr>
            <w:tcW w:w="9639"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研发人员学历结构</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本科</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98</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84</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16.67%</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硕士</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17.65%</w:t>
            </w:r>
          </w:p>
        </w:tc>
      </w:tr>
      <w:tr w:rsidR="00831C3C" w:rsidRPr="00831C3C">
        <w:trPr>
          <w:trHeight w:val="240"/>
        </w:trPr>
        <w:tc>
          <w:tcPr>
            <w:tcW w:w="9639"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研发人员年龄构成</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30岁以下</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342</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10.32%</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30~40岁</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189</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187</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1.07%</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公司研发投入情况</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2024年</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2023年</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变动比例</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研发投入金额（元）</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150,806,512.44</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141,374,827.24</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6.67%</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研发投入占营业收入比例</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1.03%</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0.37%</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研发投入资本化的金额（元）</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0.00%</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资本化研发投入占研发投入的比例</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0.00%</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公司研发人员构成发生重大变化的原因及影响</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研发投入总额占营业收入的比重较上年发生显著变化的原因</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lastRenderedPageBreak/>
        <w:t>研发投入资本化率大幅变动的原因及其合理性说明</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pStyle w:val="3"/>
        <w:spacing w:line="280" w:lineRule="exact"/>
        <w:jc w:val="left"/>
        <w:rPr>
          <w:rFonts w:ascii="宋体" w:hAnsi="宋体" w:cs="宋体"/>
          <w:b/>
          <w:bCs/>
        </w:rPr>
      </w:pPr>
      <w:bookmarkStart w:id="39" w:name="_Toc988928"/>
      <w:r w:rsidRPr="00831C3C">
        <w:rPr>
          <w:rFonts w:ascii="宋体" w:hAnsi="宋体" w:cs="宋体"/>
          <w:b/>
          <w:bCs/>
        </w:rPr>
        <w:t>6、现金流</w:t>
      </w:r>
      <w:bookmarkEnd w:id="39"/>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2024年</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2023年</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同比增减</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经营活动现金流入小计</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11,853,609,904.63</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15,229,935,367.53</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-22.17%</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经营活动现金流出小计</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11,581,395,469.24</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14,372,162,146.14</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-19.42%</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经营活动产生的现金流量净额</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272,214,435.39</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857,773,221.39</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-68.26%</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投资活动现金流入小计</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727,205,770.57</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2,631,874,937.71</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-72.37%</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投资活动现金流出小计</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1,390,968,493.42</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2,624,683,063.31</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-47.00%</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投资活动产生的现金流量净额</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-663,762,722.85</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7,191,874.40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-9,329.34%</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筹资活动现金流入小计</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6,977,074,908.75</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6,187,553,565.07</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12.76%</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筹资活动现金流出小计</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6,592,539,227.72</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6,746,019,684.86</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-2.28%</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筹资活动产生的现金流量净额</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384,535,681.03</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-558,466,119.79</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168.86%</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现金及现金等价物净增加额</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-26,672,611.41</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342,062,003.92</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-107.80%</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相关数据同比发生重大变动的主要影响因素说明</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适用□不适用</w:t>
      </w:r>
    </w:p>
    <w:tbl>
      <w:tblPr>
        <w:tblW w:w="10080" w:type="dxa"/>
        <w:tblCellMar>
          <w:left w:w="0" w:type="dxa"/>
          <w:right w:w="0" w:type="dxa"/>
        </w:tblCellMar>
        <w:tblLook w:val="04A0" w:firstRow="1" w:lastRow="0" w:firstColumn="1" w:lastColumn="0" w:noHBand="0" w:noVBand="1"/>
      </w:tblPr>
      <w:tblGrid>
        <w:gridCol w:w="2567"/>
        <w:gridCol w:w="1606"/>
        <w:gridCol w:w="1606"/>
        <w:gridCol w:w="1607"/>
        <w:gridCol w:w="2694"/>
      </w:tblGrid>
      <w:tr w:rsidR="00831C3C" w:rsidRPr="00831C3C" w:rsidTr="00617E66">
        <w:trPr>
          <w:divId w:val="300232127"/>
          <w:trHeight w:val="465"/>
        </w:trPr>
        <w:tc>
          <w:tcPr>
            <w:tcW w:w="2567"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18"/>
                <w:szCs w:val="18"/>
              </w:rPr>
            </w:pPr>
            <w:r w:rsidRPr="00831C3C">
              <w:rPr>
                <w:rFonts w:hint="eastAsia"/>
                <w:sz w:val="18"/>
                <w:szCs w:val="18"/>
              </w:rPr>
              <w:t>项目</w:t>
            </w:r>
          </w:p>
        </w:tc>
        <w:tc>
          <w:tcPr>
            <w:tcW w:w="1606"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18"/>
                <w:szCs w:val="18"/>
              </w:rPr>
            </w:pPr>
            <w:r w:rsidRPr="00831C3C">
              <w:rPr>
                <w:rFonts w:hint="eastAsia"/>
                <w:sz w:val="18"/>
                <w:szCs w:val="18"/>
              </w:rPr>
              <w:t>2024</w:t>
            </w:r>
            <w:r w:rsidRPr="00831C3C">
              <w:rPr>
                <w:rFonts w:hint="eastAsia"/>
                <w:sz w:val="18"/>
                <w:szCs w:val="18"/>
              </w:rPr>
              <w:t>年</w:t>
            </w:r>
          </w:p>
        </w:tc>
        <w:tc>
          <w:tcPr>
            <w:tcW w:w="1606"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18"/>
                <w:szCs w:val="18"/>
              </w:rPr>
            </w:pPr>
            <w:r w:rsidRPr="00831C3C">
              <w:rPr>
                <w:rFonts w:hint="eastAsia"/>
                <w:sz w:val="18"/>
                <w:szCs w:val="18"/>
              </w:rPr>
              <w:t>2023</w:t>
            </w:r>
            <w:r w:rsidRPr="00831C3C">
              <w:rPr>
                <w:rFonts w:hint="eastAsia"/>
                <w:sz w:val="18"/>
                <w:szCs w:val="18"/>
              </w:rPr>
              <w:t>年</w:t>
            </w:r>
          </w:p>
        </w:tc>
        <w:tc>
          <w:tcPr>
            <w:tcW w:w="1607"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18"/>
                <w:szCs w:val="18"/>
              </w:rPr>
            </w:pPr>
            <w:r w:rsidRPr="00831C3C">
              <w:rPr>
                <w:rFonts w:hint="eastAsia"/>
                <w:sz w:val="18"/>
                <w:szCs w:val="18"/>
              </w:rPr>
              <w:t>同比增减</w:t>
            </w:r>
          </w:p>
        </w:tc>
        <w:tc>
          <w:tcPr>
            <w:tcW w:w="2694" w:type="dxa"/>
            <w:tcBorders>
              <w:top w:val="single" w:sz="8" w:space="0" w:color="auto"/>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18"/>
                <w:szCs w:val="18"/>
              </w:rPr>
            </w:pPr>
            <w:r w:rsidRPr="00831C3C">
              <w:rPr>
                <w:rFonts w:hint="eastAsia"/>
                <w:sz w:val="18"/>
                <w:szCs w:val="18"/>
              </w:rPr>
              <w:t>重大变动原因说明</w:t>
            </w:r>
          </w:p>
        </w:tc>
      </w:tr>
      <w:tr w:rsidR="00831C3C" w:rsidRPr="00831C3C" w:rsidTr="00617E66">
        <w:trPr>
          <w:divId w:val="300232127"/>
          <w:trHeight w:val="60"/>
        </w:trPr>
        <w:tc>
          <w:tcPr>
            <w:tcW w:w="2567"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rsidP="00617E66">
            <w:pPr>
              <w:jc w:val="both"/>
              <w:rPr>
                <w:rFonts w:ascii="宋体" w:eastAsia="宋体" w:hAnsi="宋体" w:cs="宋体"/>
                <w:sz w:val="18"/>
                <w:szCs w:val="18"/>
              </w:rPr>
            </w:pPr>
            <w:r w:rsidRPr="00831C3C">
              <w:rPr>
                <w:rFonts w:hint="eastAsia"/>
                <w:sz w:val="18"/>
                <w:szCs w:val="18"/>
              </w:rPr>
              <w:t>经营活动产生的现金流量净额</w:t>
            </w:r>
          </w:p>
        </w:tc>
        <w:tc>
          <w:tcPr>
            <w:tcW w:w="1606"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hint="eastAsia"/>
                <w:sz w:val="18"/>
                <w:szCs w:val="18"/>
              </w:rPr>
              <w:t>272,214,435.39</w:t>
            </w:r>
          </w:p>
        </w:tc>
        <w:tc>
          <w:tcPr>
            <w:tcW w:w="1606"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hint="eastAsia"/>
                <w:sz w:val="18"/>
                <w:szCs w:val="18"/>
              </w:rPr>
              <w:t>857,773,221.39</w:t>
            </w:r>
          </w:p>
        </w:tc>
        <w:tc>
          <w:tcPr>
            <w:tcW w:w="160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hint="eastAsia"/>
                <w:sz w:val="18"/>
                <w:szCs w:val="18"/>
              </w:rPr>
              <w:t>-68.26%</w:t>
            </w:r>
          </w:p>
        </w:tc>
        <w:tc>
          <w:tcPr>
            <w:tcW w:w="269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rsidP="00617E66">
            <w:pPr>
              <w:jc w:val="both"/>
              <w:rPr>
                <w:rFonts w:ascii="宋体" w:eastAsia="宋体" w:hAnsi="宋体" w:cs="宋体"/>
                <w:sz w:val="18"/>
                <w:szCs w:val="18"/>
              </w:rPr>
            </w:pPr>
            <w:r w:rsidRPr="00831C3C">
              <w:rPr>
                <w:rFonts w:hint="eastAsia"/>
                <w:sz w:val="18"/>
                <w:szCs w:val="18"/>
              </w:rPr>
              <w:t>主要</w:t>
            </w:r>
            <w:proofErr w:type="gramStart"/>
            <w:r w:rsidRPr="00831C3C">
              <w:rPr>
                <w:rFonts w:hint="eastAsia"/>
                <w:sz w:val="18"/>
                <w:szCs w:val="18"/>
              </w:rPr>
              <w:t>系客户</w:t>
            </w:r>
            <w:proofErr w:type="gramEnd"/>
            <w:r w:rsidRPr="00831C3C">
              <w:rPr>
                <w:rFonts w:hint="eastAsia"/>
                <w:sz w:val="18"/>
                <w:szCs w:val="18"/>
              </w:rPr>
              <w:t>信用政策变化所致。</w:t>
            </w:r>
          </w:p>
        </w:tc>
      </w:tr>
      <w:tr w:rsidR="00831C3C" w:rsidRPr="00831C3C" w:rsidTr="00617E66">
        <w:trPr>
          <w:divId w:val="300232127"/>
          <w:trHeight w:val="112"/>
        </w:trPr>
        <w:tc>
          <w:tcPr>
            <w:tcW w:w="2567"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rsidP="00617E66">
            <w:pPr>
              <w:jc w:val="both"/>
              <w:rPr>
                <w:rFonts w:ascii="宋体" w:eastAsia="宋体" w:hAnsi="宋体" w:cs="宋体"/>
                <w:sz w:val="18"/>
                <w:szCs w:val="18"/>
              </w:rPr>
            </w:pPr>
            <w:r w:rsidRPr="00831C3C">
              <w:rPr>
                <w:rFonts w:hint="eastAsia"/>
                <w:sz w:val="18"/>
                <w:szCs w:val="18"/>
              </w:rPr>
              <w:t>投资活动产生的现金流量净额</w:t>
            </w:r>
          </w:p>
        </w:tc>
        <w:tc>
          <w:tcPr>
            <w:tcW w:w="1606"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hint="eastAsia"/>
                <w:sz w:val="18"/>
                <w:szCs w:val="18"/>
              </w:rPr>
              <w:t>-663,762,722.85</w:t>
            </w:r>
          </w:p>
        </w:tc>
        <w:tc>
          <w:tcPr>
            <w:tcW w:w="1606"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hint="eastAsia"/>
                <w:sz w:val="18"/>
                <w:szCs w:val="18"/>
              </w:rPr>
              <w:t>7,191,874.40</w:t>
            </w:r>
          </w:p>
        </w:tc>
        <w:tc>
          <w:tcPr>
            <w:tcW w:w="160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hint="eastAsia"/>
                <w:sz w:val="18"/>
                <w:szCs w:val="18"/>
              </w:rPr>
              <w:t>9329.34%</w:t>
            </w:r>
          </w:p>
        </w:tc>
        <w:tc>
          <w:tcPr>
            <w:tcW w:w="269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rsidP="00617E66">
            <w:pPr>
              <w:jc w:val="both"/>
              <w:rPr>
                <w:rFonts w:ascii="宋体" w:eastAsia="宋体" w:hAnsi="宋体" w:cs="宋体"/>
                <w:sz w:val="18"/>
                <w:szCs w:val="18"/>
              </w:rPr>
            </w:pPr>
            <w:r w:rsidRPr="00831C3C">
              <w:rPr>
                <w:rFonts w:hint="eastAsia"/>
                <w:sz w:val="18"/>
                <w:szCs w:val="18"/>
              </w:rPr>
              <w:t>主要系固定资产投资增加所致。</w:t>
            </w:r>
          </w:p>
        </w:tc>
      </w:tr>
      <w:tr w:rsidR="00831C3C" w:rsidRPr="00831C3C" w:rsidTr="00617E66">
        <w:trPr>
          <w:divId w:val="300232127"/>
          <w:trHeight w:val="285"/>
        </w:trPr>
        <w:tc>
          <w:tcPr>
            <w:tcW w:w="2567" w:type="dxa"/>
            <w:tcBorders>
              <w:top w:val="nil"/>
              <w:left w:val="single" w:sz="8" w:space="0" w:color="auto"/>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rsidP="00617E66">
            <w:pPr>
              <w:jc w:val="both"/>
              <w:rPr>
                <w:rFonts w:ascii="宋体" w:eastAsia="宋体" w:hAnsi="宋体" w:cs="宋体"/>
                <w:sz w:val="18"/>
                <w:szCs w:val="18"/>
              </w:rPr>
            </w:pPr>
            <w:r w:rsidRPr="00831C3C">
              <w:rPr>
                <w:rFonts w:hint="eastAsia"/>
                <w:sz w:val="18"/>
                <w:szCs w:val="18"/>
              </w:rPr>
              <w:t>筹资活动产生的现金流量净额</w:t>
            </w:r>
          </w:p>
        </w:tc>
        <w:tc>
          <w:tcPr>
            <w:tcW w:w="1606"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hint="eastAsia"/>
                <w:sz w:val="18"/>
                <w:szCs w:val="18"/>
              </w:rPr>
              <w:t>384,535,681.03</w:t>
            </w:r>
          </w:p>
        </w:tc>
        <w:tc>
          <w:tcPr>
            <w:tcW w:w="1606"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hint="eastAsia"/>
                <w:sz w:val="18"/>
                <w:szCs w:val="18"/>
              </w:rPr>
              <w:t>-558,466,119.79</w:t>
            </w:r>
          </w:p>
        </w:tc>
        <w:tc>
          <w:tcPr>
            <w:tcW w:w="160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rsidP="00617E66">
            <w:pPr>
              <w:spacing w:line="240" w:lineRule="exact"/>
              <w:jc w:val="right"/>
              <w:rPr>
                <w:rFonts w:ascii="宋体" w:eastAsia="宋体" w:hAnsi="宋体" w:cs="宋体"/>
                <w:sz w:val="18"/>
                <w:szCs w:val="18"/>
              </w:rPr>
            </w:pPr>
            <w:r w:rsidRPr="00831C3C">
              <w:rPr>
                <w:rFonts w:ascii="宋体" w:eastAsia="宋体" w:hAnsi="宋体" w:cs="宋体" w:hint="eastAsia"/>
                <w:sz w:val="18"/>
                <w:szCs w:val="18"/>
              </w:rPr>
              <w:t>168.86%</w:t>
            </w:r>
          </w:p>
        </w:tc>
        <w:tc>
          <w:tcPr>
            <w:tcW w:w="2694"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rsidP="00617E66">
            <w:pPr>
              <w:jc w:val="both"/>
              <w:rPr>
                <w:rFonts w:ascii="宋体" w:eastAsia="宋体" w:hAnsi="宋体" w:cs="宋体"/>
                <w:sz w:val="18"/>
                <w:szCs w:val="18"/>
              </w:rPr>
            </w:pPr>
            <w:r w:rsidRPr="00831C3C">
              <w:rPr>
                <w:rFonts w:hint="eastAsia"/>
                <w:sz w:val="18"/>
                <w:szCs w:val="18"/>
              </w:rPr>
              <w:t>主要系银行借款增加所致。</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报告期内公司经营活动产生的现金净流量与本年度净利润存在重大差异的原因说明</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适用□不适用</w:t>
      </w:r>
    </w:p>
    <w:p w:rsidR="00C65FD5" w:rsidRPr="00831C3C" w:rsidRDefault="00C65FD5">
      <w:pPr>
        <w:pStyle w:val="a3"/>
        <w:divId w:val="202180930"/>
      </w:pPr>
      <w:r w:rsidRPr="00831C3C">
        <w:rPr>
          <w:rFonts w:hint="eastAsia"/>
          <w:sz w:val="18"/>
          <w:szCs w:val="18"/>
        </w:rPr>
        <w:t>报告期内公司经营活动产生的现金净流里与本年度净利润存在重大差异的原因主要是存货减少所致。</w:t>
      </w:r>
    </w:p>
    <w:p w:rsidR="00E23A97" w:rsidRPr="00831C3C" w:rsidRDefault="00C65FD5">
      <w:pPr>
        <w:pStyle w:val="2"/>
        <w:spacing w:before="300" w:after="300" w:line="320" w:lineRule="exact"/>
        <w:rPr>
          <w:rFonts w:ascii="宋体" w:eastAsia="宋体" w:hAnsi="宋体" w:cs="宋体"/>
          <w:b/>
          <w:bCs/>
          <w:sz w:val="24"/>
          <w:szCs w:val="24"/>
        </w:rPr>
      </w:pPr>
      <w:bookmarkStart w:id="40" w:name="_Toc988929"/>
      <w:r w:rsidRPr="00831C3C">
        <w:rPr>
          <w:rFonts w:ascii="宋体" w:eastAsia="宋体" w:hAnsi="宋体" w:cs="宋体"/>
          <w:b/>
          <w:bCs/>
          <w:sz w:val="24"/>
          <w:szCs w:val="24"/>
        </w:rPr>
        <w:t>五、非主营业务分析</w:t>
      </w:r>
      <w:bookmarkEnd w:id="40"/>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适用□不适用</w:t>
      </w:r>
    </w:p>
    <w:p w:rsidR="00E23A97" w:rsidRPr="00831C3C" w:rsidRDefault="00C65FD5">
      <w:pPr>
        <w:spacing w:before="120" w:after="12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68"/>
        <w:gridCol w:w="1701"/>
        <w:gridCol w:w="1701"/>
        <w:gridCol w:w="2641"/>
        <w:gridCol w:w="1928"/>
      </w:tblGrid>
      <w:tr w:rsidR="00831C3C" w:rsidRPr="00831C3C" w:rsidTr="00617E66">
        <w:trPr>
          <w:trHeight w:val="240"/>
        </w:trPr>
        <w:tc>
          <w:tcPr>
            <w:tcW w:w="166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70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金额</w:t>
            </w:r>
          </w:p>
        </w:tc>
        <w:tc>
          <w:tcPr>
            <w:tcW w:w="170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占利润总额比例</w:t>
            </w:r>
          </w:p>
        </w:tc>
        <w:tc>
          <w:tcPr>
            <w:tcW w:w="26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形成原因说明</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是否具有可持续性</w:t>
            </w:r>
          </w:p>
        </w:tc>
      </w:tr>
      <w:tr w:rsidR="00831C3C" w:rsidRPr="00831C3C" w:rsidTr="00617E66">
        <w:trPr>
          <w:trHeight w:val="240"/>
        </w:trPr>
        <w:tc>
          <w:tcPr>
            <w:tcW w:w="166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投资收益</w:t>
            </w:r>
          </w:p>
        </w:tc>
        <w:tc>
          <w:tcPr>
            <w:tcW w:w="170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37,787,529.55</w:t>
            </w:r>
          </w:p>
        </w:tc>
        <w:tc>
          <w:tcPr>
            <w:tcW w:w="170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-17.93%</w:t>
            </w:r>
          </w:p>
        </w:tc>
        <w:tc>
          <w:tcPr>
            <w:tcW w:w="26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主要系处置子公司、理财产品等业务损益收益形成</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rsidTr="00617E66">
        <w:trPr>
          <w:trHeight w:val="240"/>
        </w:trPr>
        <w:tc>
          <w:tcPr>
            <w:tcW w:w="166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公允价值变动损益</w:t>
            </w:r>
          </w:p>
        </w:tc>
        <w:tc>
          <w:tcPr>
            <w:tcW w:w="170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207,118.39</w:t>
            </w:r>
          </w:p>
        </w:tc>
        <w:tc>
          <w:tcPr>
            <w:tcW w:w="170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-0.10%</w:t>
            </w:r>
          </w:p>
        </w:tc>
        <w:tc>
          <w:tcPr>
            <w:tcW w:w="26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rsidTr="00617E66">
        <w:trPr>
          <w:trHeight w:val="240"/>
        </w:trPr>
        <w:tc>
          <w:tcPr>
            <w:tcW w:w="166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资产减值</w:t>
            </w:r>
          </w:p>
        </w:tc>
        <w:tc>
          <w:tcPr>
            <w:tcW w:w="170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-86,122,674.99</w:t>
            </w:r>
          </w:p>
        </w:tc>
        <w:tc>
          <w:tcPr>
            <w:tcW w:w="170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40.86%</w:t>
            </w:r>
          </w:p>
        </w:tc>
        <w:tc>
          <w:tcPr>
            <w:tcW w:w="26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主要系存货跌价准备、商誉减值准备计提所致</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rsidTr="00617E66">
        <w:trPr>
          <w:trHeight w:val="240"/>
        </w:trPr>
        <w:tc>
          <w:tcPr>
            <w:tcW w:w="166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营业外收入</w:t>
            </w:r>
          </w:p>
        </w:tc>
        <w:tc>
          <w:tcPr>
            <w:tcW w:w="170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11,805,981.25</w:t>
            </w:r>
          </w:p>
        </w:tc>
        <w:tc>
          <w:tcPr>
            <w:tcW w:w="170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-5.60%</w:t>
            </w:r>
          </w:p>
        </w:tc>
        <w:tc>
          <w:tcPr>
            <w:tcW w:w="26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rsidTr="00617E66">
        <w:trPr>
          <w:trHeight w:val="240"/>
        </w:trPr>
        <w:tc>
          <w:tcPr>
            <w:tcW w:w="166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营业外支出</w:t>
            </w:r>
          </w:p>
        </w:tc>
        <w:tc>
          <w:tcPr>
            <w:tcW w:w="170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4,388,839.90</w:t>
            </w:r>
          </w:p>
        </w:tc>
        <w:tc>
          <w:tcPr>
            <w:tcW w:w="170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-2.08%</w:t>
            </w:r>
          </w:p>
        </w:tc>
        <w:tc>
          <w:tcPr>
            <w:tcW w:w="26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bl>
    <w:p w:rsidR="00E23A97" w:rsidRPr="00831C3C" w:rsidRDefault="00C65FD5">
      <w:pPr>
        <w:pStyle w:val="2"/>
        <w:spacing w:before="300" w:after="300" w:line="320" w:lineRule="exact"/>
        <w:rPr>
          <w:rFonts w:ascii="宋体" w:eastAsia="宋体" w:hAnsi="宋体" w:cs="宋体"/>
          <w:b/>
          <w:bCs/>
          <w:sz w:val="24"/>
          <w:szCs w:val="24"/>
        </w:rPr>
      </w:pPr>
      <w:bookmarkStart w:id="41" w:name="_Toc988930"/>
      <w:r w:rsidRPr="00831C3C">
        <w:rPr>
          <w:rFonts w:ascii="宋体" w:eastAsia="宋体" w:hAnsi="宋体" w:cs="宋体"/>
          <w:b/>
          <w:bCs/>
          <w:sz w:val="24"/>
          <w:szCs w:val="24"/>
        </w:rPr>
        <w:lastRenderedPageBreak/>
        <w:t>六、资产及负债状况分析</w:t>
      </w:r>
      <w:bookmarkEnd w:id="41"/>
    </w:p>
    <w:p w:rsidR="00E23A97" w:rsidRPr="00831C3C" w:rsidRDefault="00C65FD5">
      <w:pPr>
        <w:pStyle w:val="3"/>
        <w:spacing w:line="280" w:lineRule="exact"/>
        <w:jc w:val="left"/>
        <w:rPr>
          <w:rFonts w:ascii="宋体" w:hAnsi="宋体" w:cs="宋体"/>
          <w:b/>
          <w:bCs/>
        </w:rPr>
      </w:pPr>
      <w:bookmarkStart w:id="42" w:name="_Toc988931"/>
      <w:r w:rsidRPr="00831C3C">
        <w:rPr>
          <w:rFonts w:ascii="宋体" w:hAnsi="宋体" w:cs="宋体"/>
          <w:b/>
          <w:bCs/>
        </w:rPr>
        <w:t>1、资产构成重大变动情况</w:t>
      </w:r>
      <w:bookmarkEnd w:id="42"/>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850"/>
        <w:gridCol w:w="904"/>
        <w:gridCol w:w="1931"/>
        <w:gridCol w:w="823"/>
        <w:gridCol w:w="1161"/>
        <w:gridCol w:w="1593"/>
      </w:tblGrid>
      <w:tr w:rsidR="00831C3C" w:rsidRPr="00831C3C" w:rsidTr="00617E66">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275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2024年末</w:t>
            </w:r>
          </w:p>
        </w:tc>
        <w:tc>
          <w:tcPr>
            <w:tcW w:w="275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2024年初</w:t>
            </w:r>
          </w:p>
        </w:tc>
        <w:tc>
          <w:tcPr>
            <w:tcW w:w="116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比重增减</w:t>
            </w:r>
          </w:p>
        </w:tc>
        <w:tc>
          <w:tcPr>
            <w:tcW w:w="159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重大变动说明</w:t>
            </w:r>
          </w:p>
        </w:tc>
      </w:tr>
      <w:tr w:rsidR="00831C3C" w:rsidRPr="00831C3C" w:rsidTr="00617E66">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85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金额</w:t>
            </w:r>
          </w:p>
        </w:tc>
        <w:tc>
          <w:tcPr>
            <w:tcW w:w="904"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占总资产比例</w:t>
            </w:r>
          </w:p>
        </w:tc>
        <w:tc>
          <w:tcPr>
            <w:tcW w:w="193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金额</w:t>
            </w:r>
          </w:p>
        </w:tc>
        <w:tc>
          <w:tcPr>
            <w:tcW w:w="82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占总资产比例</w:t>
            </w:r>
          </w:p>
        </w:tc>
        <w:tc>
          <w:tcPr>
            <w:tcW w:w="116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59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rsidTr="00617E66">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货币资金</w:t>
            </w:r>
          </w:p>
        </w:tc>
        <w:tc>
          <w:tcPr>
            <w:tcW w:w="185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2,495,550,845.58</w:t>
            </w:r>
          </w:p>
        </w:tc>
        <w:tc>
          <w:tcPr>
            <w:tcW w:w="90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14.53%</w:t>
            </w:r>
          </w:p>
        </w:tc>
        <w:tc>
          <w:tcPr>
            <w:tcW w:w="193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2,636,623,050.27</w:t>
            </w:r>
          </w:p>
        </w:tc>
        <w:tc>
          <w:tcPr>
            <w:tcW w:w="82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15.47%</w:t>
            </w:r>
          </w:p>
        </w:tc>
        <w:tc>
          <w:tcPr>
            <w:tcW w:w="116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-0.94%</w:t>
            </w:r>
          </w:p>
        </w:tc>
        <w:tc>
          <w:tcPr>
            <w:tcW w:w="159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rsidTr="00617E66">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应收账款</w:t>
            </w:r>
          </w:p>
        </w:tc>
        <w:tc>
          <w:tcPr>
            <w:tcW w:w="185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1,457,626,076.42</w:t>
            </w:r>
          </w:p>
        </w:tc>
        <w:tc>
          <w:tcPr>
            <w:tcW w:w="90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8.48%</w:t>
            </w:r>
          </w:p>
        </w:tc>
        <w:tc>
          <w:tcPr>
            <w:tcW w:w="193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1,004,058,465.64</w:t>
            </w:r>
          </w:p>
        </w:tc>
        <w:tc>
          <w:tcPr>
            <w:tcW w:w="82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5.89%</w:t>
            </w:r>
          </w:p>
        </w:tc>
        <w:tc>
          <w:tcPr>
            <w:tcW w:w="116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2.59%</w:t>
            </w:r>
          </w:p>
        </w:tc>
        <w:tc>
          <w:tcPr>
            <w:tcW w:w="15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主要</w:t>
            </w:r>
            <w:proofErr w:type="gramStart"/>
            <w:r w:rsidRPr="00831C3C">
              <w:rPr>
                <w:rFonts w:ascii="宋体" w:eastAsia="宋体" w:hAnsi="宋体" w:cs="宋体"/>
                <w:sz w:val="18"/>
                <w:szCs w:val="18"/>
              </w:rPr>
              <w:t>系客户</w:t>
            </w:r>
            <w:proofErr w:type="gramEnd"/>
            <w:r w:rsidRPr="00831C3C">
              <w:rPr>
                <w:rFonts w:ascii="宋体" w:eastAsia="宋体" w:hAnsi="宋体" w:cs="宋体"/>
                <w:sz w:val="18"/>
                <w:szCs w:val="18"/>
              </w:rPr>
              <w:t>信用政策变化所致</w:t>
            </w:r>
          </w:p>
        </w:tc>
      </w:tr>
      <w:tr w:rsidR="00831C3C" w:rsidRPr="00831C3C" w:rsidTr="00617E66">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存货</w:t>
            </w:r>
          </w:p>
        </w:tc>
        <w:tc>
          <w:tcPr>
            <w:tcW w:w="185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4,761,974,722.16</w:t>
            </w:r>
          </w:p>
        </w:tc>
        <w:tc>
          <w:tcPr>
            <w:tcW w:w="90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27.72%</w:t>
            </w:r>
          </w:p>
        </w:tc>
        <w:tc>
          <w:tcPr>
            <w:tcW w:w="193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5,007,466,587.13</w:t>
            </w:r>
          </w:p>
        </w:tc>
        <w:tc>
          <w:tcPr>
            <w:tcW w:w="82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29.38%</w:t>
            </w:r>
          </w:p>
        </w:tc>
        <w:tc>
          <w:tcPr>
            <w:tcW w:w="116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-1.66%</w:t>
            </w:r>
          </w:p>
        </w:tc>
        <w:tc>
          <w:tcPr>
            <w:tcW w:w="159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rsidTr="00617E66">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投资性房地产</w:t>
            </w:r>
          </w:p>
        </w:tc>
        <w:tc>
          <w:tcPr>
            <w:tcW w:w="185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134,209,836.72</w:t>
            </w:r>
          </w:p>
        </w:tc>
        <w:tc>
          <w:tcPr>
            <w:tcW w:w="90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0.78%</w:t>
            </w:r>
          </w:p>
        </w:tc>
        <w:tc>
          <w:tcPr>
            <w:tcW w:w="193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132,702,829.02</w:t>
            </w:r>
          </w:p>
        </w:tc>
        <w:tc>
          <w:tcPr>
            <w:tcW w:w="82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0.78%</w:t>
            </w:r>
          </w:p>
        </w:tc>
        <w:tc>
          <w:tcPr>
            <w:tcW w:w="116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0.00%</w:t>
            </w:r>
          </w:p>
        </w:tc>
        <w:tc>
          <w:tcPr>
            <w:tcW w:w="159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rsidTr="00617E66">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长期股权投资</w:t>
            </w:r>
          </w:p>
        </w:tc>
        <w:tc>
          <w:tcPr>
            <w:tcW w:w="185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331,632,535.71</w:t>
            </w:r>
          </w:p>
        </w:tc>
        <w:tc>
          <w:tcPr>
            <w:tcW w:w="90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1.93%</w:t>
            </w:r>
          </w:p>
        </w:tc>
        <w:tc>
          <w:tcPr>
            <w:tcW w:w="193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326,084,172.45</w:t>
            </w:r>
          </w:p>
        </w:tc>
        <w:tc>
          <w:tcPr>
            <w:tcW w:w="82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1.91%</w:t>
            </w:r>
          </w:p>
        </w:tc>
        <w:tc>
          <w:tcPr>
            <w:tcW w:w="116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0.02%</w:t>
            </w:r>
          </w:p>
        </w:tc>
        <w:tc>
          <w:tcPr>
            <w:tcW w:w="159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rsidTr="00617E66">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固定资产</w:t>
            </w:r>
          </w:p>
        </w:tc>
        <w:tc>
          <w:tcPr>
            <w:tcW w:w="185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4,700,798,389.13</w:t>
            </w:r>
          </w:p>
        </w:tc>
        <w:tc>
          <w:tcPr>
            <w:tcW w:w="90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27.36%</w:t>
            </w:r>
          </w:p>
        </w:tc>
        <w:tc>
          <w:tcPr>
            <w:tcW w:w="193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4,675,835,696.14</w:t>
            </w:r>
          </w:p>
        </w:tc>
        <w:tc>
          <w:tcPr>
            <w:tcW w:w="82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27.44%</w:t>
            </w:r>
          </w:p>
        </w:tc>
        <w:tc>
          <w:tcPr>
            <w:tcW w:w="116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-0.08%</w:t>
            </w:r>
          </w:p>
        </w:tc>
        <w:tc>
          <w:tcPr>
            <w:tcW w:w="159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rsidTr="00617E66">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在建工程</w:t>
            </w:r>
          </w:p>
        </w:tc>
        <w:tc>
          <w:tcPr>
            <w:tcW w:w="185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324,546,393.57</w:t>
            </w:r>
          </w:p>
        </w:tc>
        <w:tc>
          <w:tcPr>
            <w:tcW w:w="90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1.89%</w:t>
            </w:r>
          </w:p>
        </w:tc>
        <w:tc>
          <w:tcPr>
            <w:tcW w:w="193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475,059,478.07</w:t>
            </w:r>
          </w:p>
        </w:tc>
        <w:tc>
          <w:tcPr>
            <w:tcW w:w="82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2.79%</w:t>
            </w:r>
          </w:p>
        </w:tc>
        <w:tc>
          <w:tcPr>
            <w:tcW w:w="116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-0.90%</w:t>
            </w:r>
          </w:p>
        </w:tc>
        <w:tc>
          <w:tcPr>
            <w:tcW w:w="15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主要系在建工程结转固定资产增加所致</w:t>
            </w:r>
          </w:p>
        </w:tc>
      </w:tr>
      <w:tr w:rsidR="00831C3C" w:rsidRPr="00831C3C" w:rsidTr="00617E66">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使用权资产</w:t>
            </w:r>
          </w:p>
        </w:tc>
        <w:tc>
          <w:tcPr>
            <w:tcW w:w="185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29,160,426.37</w:t>
            </w:r>
          </w:p>
        </w:tc>
        <w:tc>
          <w:tcPr>
            <w:tcW w:w="90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0.17%</w:t>
            </w:r>
          </w:p>
        </w:tc>
        <w:tc>
          <w:tcPr>
            <w:tcW w:w="193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27,243,799.27</w:t>
            </w:r>
          </w:p>
        </w:tc>
        <w:tc>
          <w:tcPr>
            <w:tcW w:w="82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0.16%</w:t>
            </w:r>
          </w:p>
        </w:tc>
        <w:tc>
          <w:tcPr>
            <w:tcW w:w="116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0.01%</w:t>
            </w:r>
          </w:p>
        </w:tc>
        <w:tc>
          <w:tcPr>
            <w:tcW w:w="159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rsidTr="00617E66">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短期借款</w:t>
            </w:r>
          </w:p>
        </w:tc>
        <w:tc>
          <w:tcPr>
            <w:tcW w:w="185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7,771,483,075.58</w:t>
            </w:r>
          </w:p>
        </w:tc>
        <w:tc>
          <w:tcPr>
            <w:tcW w:w="90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45.24%</w:t>
            </w:r>
          </w:p>
        </w:tc>
        <w:tc>
          <w:tcPr>
            <w:tcW w:w="193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7,083,948,407.58</w:t>
            </w:r>
          </w:p>
        </w:tc>
        <w:tc>
          <w:tcPr>
            <w:tcW w:w="82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41.57%</w:t>
            </w:r>
          </w:p>
        </w:tc>
        <w:tc>
          <w:tcPr>
            <w:tcW w:w="116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3.67%</w:t>
            </w:r>
          </w:p>
        </w:tc>
        <w:tc>
          <w:tcPr>
            <w:tcW w:w="159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rsidTr="00617E66">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合同负债</w:t>
            </w:r>
          </w:p>
        </w:tc>
        <w:tc>
          <w:tcPr>
            <w:tcW w:w="185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557,556,525.74</w:t>
            </w:r>
          </w:p>
        </w:tc>
        <w:tc>
          <w:tcPr>
            <w:tcW w:w="90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3.25%</w:t>
            </w:r>
          </w:p>
        </w:tc>
        <w:tc>
          <w:tcPr>
            <w:tcW w:w="193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715,430,170.40</w:t>
            </w:r>
          </w:p>
        </w:tc>
        <w:tc>
          <w:tcPr>
            <w:tcW w:w="82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4.20%</w:t>
            </w:r>
          </w:p>
        </w:tc>
        <w:tc>
          <w:tcPr>
            <w:tcW w:w="116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-0.95%</w:t>
            </w:r>
          </w:p>
        </w:tc>
        <w:tc>
          <w:tcPr>
            <w:tcW w:w="159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rsidTr="00617E66">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长期借款</w:t>
            </w:r>
          </w:p>
        </w:tc>
        <w:tc>
          <w:tcPr>
            <w:tcW w:w="185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818,855,854.27</w:t>
            </w:r>
          </w:p>
        </w:tc>
        <w:tc>
          <w:tcPr>
            <w:tcW w:w="90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4.77%</w:t>
            </w:r>
          </w:p>
        </w:tc>
        <w:tc>
          <w:tcPr>
            <w:tcW w:w="193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726,461,232.31</w:t>
            </w:r>
          </w:p>
        </w:tc>
        <w:tc>
          <w:tcPr>
            <w:tcW w:w="82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4.26%</w:t>
            </w:r>
          </w:p>
        </w:tc>
        <w:tc>
          <w:tcPr>
            <w:tcW w:w="116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0.51%</w:t>
            </w:r>
          </w:p>
        </w:tc>
        <w:tc>
          <w:tcPr>
            <w:tcW w:w="159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rsidTr="00617E66">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租赁负债</w:t>
            </w:r>
          </w:p>
        </w:tc>
        <w:tc>
          <w:tcPr>
            <w:tcW w:w="185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23,335,579.97</w:t>
            </w:r>
          </w:p>
        </w:tc>
        <w:tc>
          <w:tcPr>
            <w:tcW w:w="90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0.14%</w:t>
            </w:r>
          </w:p>
        </w:tc>
        <w:tc>
          <w:tcPr>
            <w:tcW w:w="193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15,991,096.53</w:t>
            </w:r>
          </w:p>
        </w:tc>
        <w:tc>
          <w:tcPr>
            <w:tcW w:w="82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0.09%</w:t>
            </w:r>
          </w:p>
        </w:tc>
        <w:tc>
          <w:tcPr>
            <w:tcW w:w="116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0.05%</w:t>
            </w:r>
          </w:p>
        </w:tc>
        <w:tc>
          <w:tcPr>
            <w:tcW w:w="159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境外资产</w:t>
      </w:r>
      <w:proofErr w:type="gramStart"/>
      <w:r w:rsidRPr="00831C3C">
        <w:rPr>
          <w:rFonts w:ascii="宋体" w:eastAsia="宋体" w:hAnsi="宋体" w:cs="宋体"/>
          <w:sz w:val="18"/>
          <w:szCs w:val="18"/>
        </w:rPr>
        <w:t>占比较</w:t>
      </w:r>
      <w:proofErr w:type="gramEnd"/>
      <w:r w:rsidRPr="00831C3C">
        <w:rPr>
          <w:rFonts w:ascii="宋体" w:eastAsia="宋体" w:hAnsi="宋体" w:cs="宋体"/>
          <w:sz w:val="18"/>
          <w:szCs w:val="18"/>
        </w:rPr>
        <w:t>高</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pStyle w:val="3"/>
        <w:spacing w:line="280" w:lineRule="exact"/>
        <w:jc w:val="left"/>
        <w:rPr>
          <w:rFonts w:ascii="宋体" w:hAnsi="宋体" w:cs="宋体"/>
          <w:b/>
          <w:bCs/>
        </w:rPr>
      </w:pPr>
      <w:bookmarkStart w:id="43" w:name="_Toc988932"/>
      <w:r w:rsidRPr="00831C3C">
        <w:rPr>
          <w:rFonts w:ascii="宋体" w:hAnsi="宋体" w:cs="宋体"/>
          <w:b/>
          <w:bCs/>
        </w:rPr>
        <w:t>2、以公允价值计量的资产和负债</w:t>
      </w:r>
      <w:bookmarkEnd w:id="43"/>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适用□不适用</w:t>
      </w:r>
    </w:p>
    <w:p w:rsidR="00E23A97" w:rsidRPr="00831C3C" w:rsidRDefault="00C65FD5">
      <w:pPr>
        <w:spacing w:before="120" w:after="12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071"/>
        <w:gridCol w:w="1071"/>
        <w:gridCol w:w="1071"/>
        <w:gridCol w:w="1071"/>
        <w:gridCol w:w="1071"/>
        <w:gridCol w:w="1071"/>
        <w:gridCol w:w="1071"/>
        <w:gridCol w:w="1071"/>
        <w:gridCol w:w="1071"/>
      </w:tblGrid>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期初数</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本期公允价值变动损益</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计入权益的累计公允价值变动</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本期计提的减值</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本期购买金额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本期出售金额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其他变动</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期末数</w:t>
            </w:r>
          </w:p>
        </w:tc>
      </w:tr>
      <w:tr w:rsidR="00831C3C" w:rsidRPr="00831C3C">
        <w:trPr>
          <w:trHeight w:val="240"/>
        </w:trPr>
        <w:tc>
          <w:tcPr>
            <w:tcW w:w="9639" w:type="dxa"/>
            <w:gridSpan w:val="9"/>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金融资产</w:t>
            </w: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1.交易性金融资产（不含衍生金融资产）</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-737,364.79</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159,329,095.31</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50,000,000.00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108,591,730.53</w:t>
            </w: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2.衍生金融资产</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121,648,424.05</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1,740,812.79</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316,610,475.83</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376,046,652.55</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63,953,060.12</w:t>
            </w: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4.其他权益工具投资</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54,754,746.91</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3,558,401.03</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58,313,147.94</w:t>
            </w: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金融资产小计</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176,403,170.96</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1,003,448.00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3,558,401.03</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475,939,571.14</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426,046,652.55</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230,857,938.58</w:t>
            </w: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理财产品</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59,592,74</w:t>
            </w:r>
            <w:r w:rsidRPr="00831C3C">
              <w:rPr>
                <w:rFonts w:ascii="宋体" w:eastAsia="宋体" w:hAnsi="宋体" w:cs="宋体"/>
                <w:sz w:val="18"/>
                <w:szCs w:val="18"/>
              </w:rPr>
              <w:lastRenderedPageBreak/>
              <w:t>3.55</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lastRenderedPageBreak/>
              <w:t>2,267,593</w:t>
            </w:r>
            <w:r w:rsidRPr="00831C3C">
              <w:rPr>
                <w:rFonts w:ascii="宋体" w:eastAsia="宋体" w:hAnsi="宋体" w:cs="宋体"/>
                <w:sz w:val="18"/>
                <w:szCs w:val="18"/>
              </w:rPr>
              <w:lastRenderedPageBreak/>
              <w:t>.43</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521,746,5</w:t>
            </w:r>
            <w:r w:rsidRPr="00831C3C">
              <w:rPr>
                <w:rFonts w:ascii="宋体" w:eastAsia="宋体" w:hAnsi="宋体" w:cs="宋体"/>
                <w:sz w:val="18"/>
                <w:szCs w:val="18"/>
              </w:rPr>
              <w:lastRenderedPageBreak/>
              <w:t>08.69</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lastRenderedPageBreak/>
              <w:t>524,164,6</w:t>
            </w:r>
            <w:r w:rsidRPr="00831C3C">
              <w:rPr>
                <w:rFonts w:ascii="宋体" w:eastAsia="宋体" w:hAnsi="宋体" w:cs="宋体"/>
                <w:sz w:val="18"/>
                <w:szCs w:val="18"/>
              </w:rPr>
              <w:lastRenderedPageBreak/>
              <w:t>44.79</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59,442,20</w:t>
            </w:r>
            <w:r w:rsidRPr="00831C3C">
              <w:rPr>
                <w:rFonts w:ascii="宋体" w:eastAsia="宋体" w:hAnsi="宋体" w:cs="宋体"/>
                <w:sz w:val="18"/>
                <w:szCs w:val="18"/>
              </w:rPr>
              <w:lastRenderedPageBreak/>
              <w:t>0.88</w:t>
            </w: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lastRenderedPageBreak/>
              <w:t>上述合计</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235,995,914.51</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3,271,041.43</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3,558,401.03</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997,686,079.83</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950,211,297.34</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290,300,139.46</w:t>
            </w: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金融负债</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199,494.26</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199,494.26</w:t>
            </w:r>
          </w:p>
        </w:tc>
      </w:tr>
    </w:tbl>
    <w:p w:rsidR="00C65FD5" w:rsidRPr="00831C3C" w:rsidRDefault="00C65FD5" w:rsidP="00617E66">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其他变动的内容</w:t>
      </w:r>
      <w:r w:rsidR="00617E66" w:rsidRPr="00831C3C">
        <w:rPr>
          <w:rFonts w:hint="eastAsia"/>
          <w:sz w:val="18"/>
          <w:szCs w:val="18"/>
        </w:rPr>
        <w:t>：</w:t>
      </w:r>
      <w:r w:rsidRPr="00831C3C">
        <w:rPr>
          <w:rFonts w:hint="eastAsia"/>
          <w:sz w:val="18"/>
          <w:szCs w:val="18"/>
        </w:rPr>
        <w:t>无。</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报告期内公司主要资产计量属性是否发生重大变化</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□是</w:t>
      </w:r>
      <w:r w:rsidRPr="00831C3C">
        <w:rPr>
          <w:rFonts w:ascii="宋体" w:eastAsia="宋体" w:hAnsi="宋体" w:cs="宋体"/>
          <w:sz w:val="18"/>
          <w:szCs w:val="18"/>
        </w:rPr>
        <w:sym w:font="Wingdings 2" w:char="F052"/>
      </w:r>
      <w:r w:rsidRPr="00831C3C">
        <w:rPr>
          <w:rFonts w:ascii="宋体" w:eastAsia="宋体" w:hAnsi="宋体" w:cs="宋体"/>
          <w:sz w:val="18"/>
          <w:szCs w:val="18"/>
        </w:rPr>
        <w:t>否</w:t>
      </w:r>
    </w:p>
    <w:p w:rsidR="00E23A97" w:rsidRPr="00831C3C" w:rsidRDefault="00C65FD5">
      <w:pPr>
        <w:pStyle w:val="3"/>
        <w:spacing w:line="280" w:lineRule="exact"/>
        <w:jc w:val="left"/>
        <w:rPr>
          <w:rFonts w:ascii="宋体" w:hAnsi="宋体" w:cs="宋体"/>
          <w:b/>
          <w:bCs/>
        </w:rPr>
      </w:pPr>
      <w:bookmarkStart w:id="44" w:name="_Toc988933"/>
      <w:r w:rsidRPr="00831C3C">
        <w:rPr>
          <w:rFonts w:ascii="宋体" w:hAnsi="宋体" w:cs="宋体"/>
          <w:b/>
          <w:bCs/>
        </w:rPr>
        <w:t>3、截至报告期末的资产权利受限情况</w:t>
      </w:r>
      <w:bookmarkEnd w:id="44"/>
    </w:p>
    <w:tbl>
      <w:tblPr>
        <w:tblW w:w="9572" w:type="dxa"/>
        <w:tblCellMar>
          <w:left w:w="0" w:type="dxa"/>
          <w:right w:w="0" w:type="dxa"/>
        </w:tblCellMar>
        <w:tblLook w:val="04A0" w:firstRow="1" w:lastRow="0" w:firstColumn="1" w:lastColumn="0" w:noHBand="0" w:noVBand="1"/>
      </w:tblPr>
      <w:tblGrid>
        <w:gridCol w:w="1776"/>
        <w:gridCol w:w="1855"/>
        <w:gridCol w:w="1815"/>
        <w:gridCol w:w="4126"/>
      </w:tblGrid>
      <w:tr w:rsidR="00831C3C" w:rsidRPr="00831C3C" w:rsidTr="00617E66">
        <w:trPr>
          <w:divId w:val="129783340"/>
          <w:trHeight w:val="354"/>
          <w:tblHeader/>
        </w:trPr>
        <w:tc>
          <w:tcPr>
            <w:tcW w:w="17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项目</w:t>
            </w:r>
          </w:p>
        </w:tc>
        <w:tc>
          <w:tcPr>
            <w:tcW w:w="18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期末账面余额</w:t>
            </w:r>
          </w:p>
        </w:tc>
        <w:tc>
          <w:tcPr>
            <w:tcW w:w="18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期末账面价值</w:t>
            </w:r>
          </w:p>
        </w:tc>
        <w:tc>
          <w:tcPr>
            <w:tcW w:w="4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受限情况</w:t>
            </w:r>
          </w:p>
        </w:tc>
      </w:tr>
      <w:tr w:rsidR="00831C3C" w:rsidRPr="00831C3C" w:rsidTr="009D064F">
        <w:trPr>
          <w:divId w:val="129783340"/>
          <w:trHeight w:val="60"/>
        </w:trPr>
        <w:tc>
          <w:tcPr>
            <w:tcW w:w="17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货币资金</w:t>
            </w:r>
          </w:p>
        </w:tc>
        <w:tc>
          <w:tcPr>
            <w:tcW w:w="1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rsidP="009D064F">
            <w:pPr>
              <w:spacing w:line="240" w:lineRule="exact"/>
              <w:jc w:val="right"/>
              <w:rPr>
                <w:rFonts w:ascii="宋体" w:eastAsia="宋体" w:hAnsi="宋体" w:cs="宋体"/>
                <w:sz w:val="18"/>
                <w:szCs w:val="18"/>
              </w:rPr>
            </w:pPr>
            <w:r w:rsidRPr="00831C3C">
              <w:rPr>
                <w:rFonts w:ascii="宋体" w:eastAsia="宋体" w:hAnsi="宋体" w:cs="宋体"/>
                <w:sz w:val="18"/>
                <w:szCs w:val="18"/>
              </w:rPr>
              <w:t>338,342,899.49</w:t>
            </w:r>
          </w:p>
        </w:tc>
        <w:tc>
          <w:tcPr>
            <w:tcW w:w="18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rsidP="009D064F">
            <w:pPr>
              <w:spacing w:line="240" w:lineRule="exact"/>
              <w:jc w:val="right"/>
              <w:rPr>
                <w:rFonts w:ascii="宋体" w:eastAsia="宋体" w:hAnsi="宋体" w:cs="宋体"/>
                <w:sz w:val="18"/>
                <w:szCs w:val="18"/>
              </w:rPr>
            </w:pPr>
            <w:r w:rsidRPr="00831C3C">
              <w:rPr>
                <w:rFonts w:ascii="宋体" w:eastAsia="宋体" w:hAnsi="宋体" w:cs="宋体"/>
                <w:sz w:val="18"/>
                <w:szCs w:val="18"/>
              </w:rPr>
              <w:t>338,342,899.49</w:t>
            </w:r>
          </w:p>
        </w:tc>
        <w:tc>
          <w:tcPr>
            <w:tcW w:w="4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票据及借款等保证金</w:t>
            </w:r>
          </w:p>
        </w:tc>
      </w:tr>
      <w:tr w:rsidR="00831C3C" w:rsidRPr="00831C3C" w:rsidTr="009D064F">
        <w:trPr>
          <w:divId w:val="129783340"/>
          <w:trHeight w:val="60"/>
        </w:trPr>
        <w:tc>
          <w:tcPr>
            <w:tcW w:w="17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应收票据</w:t>
            </w:r>
          </w:p>
        </w:tc>
        <w:tc>
          <w:tcPr>
            <w:tcW w:w="1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rsidP="009D064F">
            <w:pPr>
              <w:spacing w:line="240" w:lineRule="exact"/>
              <w:jc w:val="right"/>
              <w:rPr>
                <w:rFonts w:ascii="宋体" w:eastAsia="宋体" w:hAnsi="宋体" w:cs="宋体"/>
                <w:sz w:val="18"/>
                <w:szCs w:val="18"/>
              </w:rPr>
            </w:pPr>
            <w:r w:rsidRPr="00831C3C">
              <w:rPr>
                <w:rFonts w:ascii="宋体" w:eastAsia="宋体" w:hAnsi="宋体" w:cs="宋体"/>
                <w:sz w:val="18"/>
                <w:szCs w:val="18"/>
              </w:rPr>
              <w:t>17,303,319.98</w:t>
            </w:r>
          </w:p>
        </w:tc>
        <w:tc>
          <w:tcPr>
            <w:tcW w:w="18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rsidP="009D064F">
            <w:pPr>
              <w:spacing w:line="240" w:lineRule="exact"/>
              <w:jc w:val="right"/>
              <w:rPr>
                <w:rFonts w:ascii="宋体" w:eastAsia="宋体" w:hAnsi="宋体" w:cs="宋体"/>
                <w:sz w:val="18"/>
                <w:szCs w:val="18"/>
              </w:rPr>
            </w:pPr>
            <w:r w:rsidRPr="00831C3C">
              <w:rPr>
                <w:rFonts w:ascii="宋体" w:eastAsia="宋体" w:hAnsi="宋体" w:cs="宋体"/>
                <w:sz w:val="18"/>
                <w:szCs w:val="18"/>
              </w:rPr>
              <w:t>17,303,319.98</w:t>
            </w:r>
          </w:p>
        </w:tc>
        <w:tc>
          <w:tcPr>
            <w:tcW w:w="4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应收票据质押借款</w:t>
            </w:r>
          </w:p>
        </w:tc>
      </w:tr>
      <w:tr w:rsidR="00831C3C" w:rsidRPr="00831C3C" w:rsidTr="009D064F">
        <w:trPr>
          <w:divId w:val="129783340"/>
          <w:trHeight w:val="60"/>
        </w:trPr>
        <w:tc>
          <w:tcPr>
            <w:tcW w:w="17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固定资产</w:t>
            </w:r>
          </w:p>
        </w:tc>
        <w:tc>
          <w:tcPr>
            <w:tcW w:w="1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rsidP="009D064F">
            <w:pPr>
              <w:spacing w:line="240" w:lineRule="exact"/>
              <w:jc w:val="right"/>
              <w:rPr>
                <w:rFonts w:ascii="宋体" w:eastAsia="宋体" w:hAnsi="宋体" w:cs="宋体"/>
                <w:sz w:val="18"/>
                <w:szCs w:val="18"/>
              </w:rPr>
            </w:pPr>
            <w:r w:rsidRPr="00831C3C">
              <w:rPr>
                <w:rFonts w:ascii="宋体" w:eastAsia="宋体" w:hAnsi="宋体" w:cs="宋体"/>
                <w:sz w:val="18"/>
                <w:szCs w:val="18"/>
              </w:rPr>
              <w:t>3,534,281,575.43</w:t>
            </w:r>
          </w:p>
        </w:tc>
        <w:tc>
          <w:tcPr>
            <w:tcW w:w="18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rsidP="009D064F">
            <w:pPr>
              <w:spacing w:line="240" w:lineRule="exact"/>
              <w:jc w:val="right"/>
              <w:rPr>
                <w:rFonts w:ascii="宋体" w:eastAsia="宋体" w:hAnsi="宋体" w:cs="宋体"/>
                <w:sz w:val="18"/>
                <w:szCs w:val="18"/>
              </w:rPr>
            </w:pPr>
            <w:r w:rsidRPr="00831C3C">
              <w:rPr>
                <w:rFonts w:ascii="宋体" w:eastAsia="宋体" w:hAnsi="宋体" w:cs="宋体"/>
                <w:sz w:val="18"/>
                <w:szCs w:val="18"/>
              </w:rPr>
              <w:t>1,959,719,011.79</w:t>
            </w:r>
          </w:p>
        </w:tc>
        <w:tc>
          <w:tcPr>
            <w:tcW w:w="4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抵押贷款</w:t>
            </w:r>
          </w:p>
        </w:tc>
      </w:tr>
      <w:tr w:rsidR="00831C3C" w:rsidRPr="00831C3C" w:rsidTr="009D064F">
        <w:trPr>
          <w:divId w:val="129783340"/>
          <w:trHeight w:val="60"/>
        </w:trPr>
        <w:tc>
          <w:tcPr>
            <w:tcW w:w="17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无形资产</w:t>
            </w:r>
          </w:p>
        </w:tc>
        <w:tc>
          <w:tcPr>
            <w:tcW w:w="1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rsidP="009D064F">
            <w:pPr>
              <w:spacing w:line="240" w:lineRule="exact"/>
              <w:jc w:val="right"/>
              <w:rPr>
                <w:rFonts w:ascii="宋体" w:eastAsia="宋体" w:hAnsi="宋体" w:cs="宋体"/>
                <w:sz w:val="18"/>
                <w:szCs w:val="18"/>
              </w:rPr>
            </w:pPr>
            <w:r w:rsidRPr="00831C3C">
              <w:rPr>
                <w:rFonts w:ascii="宋体" w:eastAsia="宋体" w:hAnsi="宋体" w:cs="宋体"/>
                <w:sz w:val="18"/>
                <w:szCs w:val="18"/>
              </w:rPr>
              <w:t>79,338,472.99</w:t>
            </w:r>
          </w:p>
        </w:tc>
        <w:tc>
          <w:tcPr>
            <w:tcW w:w="18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rsidP="009D064F">
            <w:pPr>
              <w:spacing w:line="240" w:lineRule="exact"/>
              <w:jc w:val="right"/>
              <w:rPr>
                <w:rFonts w:ascii="宋体" w:eastAsia="宋体" w:hAnsi="宋体" w:cs="宋体"/>
                <w:sz w:val="18"/>
                <w:szCs w:val="18"/>
              </w:rPr>
            </w:pPr>
            <w:r w:rsidRPr="00831C3C">
              <w:rPr>
                <w:rFonts w:ascii="宋体" w:eastAsia="宋体" w:hAnsi="宋体" w:cs="宋体"/>
                <w:sz w:val="18"/>
                <w:szCs w:val="18"/>
              </w:rPr>
              <w:t>60,296,927.65</w:t>
            </w:r>
          </w:p>
        </w:tc>
        <w:tc>
          <w:tcPr>
            <w:tcW w:w="4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抵押贷款</w:t>
            </w:r>
          </w:p>
        </w:tc>
      </w:tr>
      <w:tr w:rsidR="00831C3C" w:rsidRPr="00831C3C" w:rsidTr="009D064F">
        <w:trPr>
          <w:divId w:val="129783340"/>
          <w:trHeight w:val="60"/>
        </w:trPr>
        <w:tc>
          <w:tcPr>
            <w:tcW w:w="17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合计</w:t>
            </w:r>
          </w:p>
        </w:tc>
        <w:tc>
          <w:tcPr>
            <w:tcW w:w="185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rsidP="009D064F">
            <w:pPr>
              <w:spacing w:line="240" w:lineRule="exact"/>
              <w:jc w:val="right"/>
              <w:rPr>
                <w:rFonts w:ascii="宋体" w:eastAsia="宋体" w:hAnsi="宋体" w:cs="宋体"/>
                <w:sz w:val="18"/>
                <w:szCs w:val="18"/>
              </w:rPr>
            </w:pPr>
            <w:r w:rsidRPr="00831C3C">
              <w:rPr>
                <w:rFonts w:ascii="宋体" w:eastAsia="宋体" w:hAnsi="宋体" w:cs="宋体"/>
                <w:sz w:val="18"/>
                <w:szCs w:val="18"/>
              </w:rPr>
              <w:t>3,969,266,267.89</w:t>
            </w:r>
          </w:p>
        </w:tc>
        <w:tc>
          <w:tcPr>
            <w:tcW w:w="18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rsidP="009D064F">
            <w:pPr>
              <w:spacing w:line="240" w:lineRule="exact"/>
              <w:jc w:val="right"/>
              <w:rPr>
                <w:rFonts w:ascii="宋体" w:eastAsia="宋体" w:hAnsi="宋体" w:cs="宋体"/>
                <w:sz w:val="18"/>
                <w:szCs w:val="18"/>
              </w:rPr>
            </w:pPr>
            <w:r w:rsidRPr="00831C3C">
              <w:rPr>
                <w:rFonts w:ascii="宋体" w:eastAsia="宋体" w:hAnsi="宋体" w:cs="宋体"/>
                <w:sz w:val="18"/>
                <w:szCs w:val="18"/>
              </w:rPr>
              <w:t>2,375,662,158.91</w:t>
            </w:r>
          </w:p>
        </w:tc>
        <w:tc>
          <w:tcPr>
            <w:tcW w:w="4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p>
        </w:tc>
      </w:tr>
    </w:tbl>
    <w:p w:rsidR="00E23A97" w:rsidRPr="00831C3C" w:rsidRDefault="00C65FD5">
      <w:pPr>
        <w:pStyle w:val="2"/>
        <w:spacing w:before="300" w:after="300" w:line="320" w:lineRule="exact"/>
        <w:rPr>
          <w:rFonts w:ascii="宋体" w:eastAsia="宋体" w:hAnsi="宋体" w:cs="宋体"/>
          <w:b/>
          <w:bCs/>
          <w:sz w:val="24"/>
          <w:szCs w:val="24"/>
        </w:rPr>
      </w:pPr>
      <w:bookmarkStart w:id="45" w:name="_Toc988934"/>
      <w:r w:rsidRPr="00831C3C">
        <w:rPr>
          <w:rFonts w:ascii="宋体" w:eastAsia="宋体" w:hAnsi="宋体" w:cs="宋体"/>
          <w:b/>
          <w:bCs/>
          <w:sz w:val="24"/>
          <w:szCs w:val="24"/>
        </w:rPr>
        <w:t>七、投资状况分析</w:t>
      </w:r>
      <w:bookmarkEnd w:id="45"/>
    </w:p>
    <w:p w:rsidR="00E23A97" w:rsidRPr="00831C3C" w:rsidRDefault="00C65FD5">
      <w:pPr>
        <w:pStyle w:val="3"/>
        <w:spacing w:line="280" w:lineRule="exact"/>
        <w:jc w:val="left"/>
        <w:rPr>
          <w:rFonts w:ascii="宋体" w:hAnsi="宋体" w:cs="宋体"/>
          <w:b/>
          <w:bCs/>
        </w:rPr>
      </w:pPr>
      <w:bookmarkStart w:id="46" w:name="_Toc988935"/>
      <w:r w:rsidRPr="00831C3C">
        <w:rPr>
          <w:rFonts w:ascii="宋体" w:hAnsi="宋体" w:cs="宋体"/>
          <w:b/>
          <w:bCs/>
        </w:rPr>
        <w:t>1、总体情况</w:t>
      </w:r>
      <w:bookmarkEnd w:id="46"/>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pStyle w:val="3"/>
        <w:spacing w:line="280" w:lineRule="exact"/>
        <w:jc w:val="left"/>
        <w:rPr>
          <w:rFonts w:ascii="宋体" w:hAnsi="宋体" w:cs="宋体"/>
          <w:b/>
          <w:bCs/>
        </w:rPr>
      </w:pPr>
      <w:bookmarkStart w:id="47" w:name="_Toc988936"/>
      <w:r w:rsidRPr="00831C3C">
        <w:rPr>
          <w:rFonts w:ascii="宋体" w:hAnsi="宋体" w:cs="宋体"/>
          <w:b/>
          <w:bCs/>
        </w:rPr>
        <w:t>2、报告期内获取的重大的股权投资情况</w:t>
      </w:r>
      <w:bookmarkEnd w:id="47"/>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pStyle w:val="3"/>
        <w:spacing w:line="280" w:lineRule="exact"/>
        <w:jc w:val="left"/>
        <w:rPr>
          <w:rFonts w:ascii="宋体" w:hAnsi="宋体" w:cs="宋体"/>
          <w:b/>
          <w:bCs/>
        </w:rPr>
      </w:pPr>
      <w:bookmarkStart w:id="48" w:name="_Toc988937"/>
      <w:r w:rsidRPr="00831C3C">
        <w:rPr>
          <w:rFonts w:ascii="宋体" w:hAnsi="宋体" w:cs="宋体"/>
          <w:b/>
          <w:bCs/>
        </w:rPr>
        <w:t>3、报告期内正在进行的重大的非股权投资情况</w:t>
      </w:r>
      <w:bookmarkEnd w:id="48"/>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pStyle w:val="3"/>
        <w:spacing w:line="280" w:lineRule="exact"/>
        <w:jc w:val="left"/>
        <w:rPr>
          <w:rFonts w:ascii="宋体" w:hAnsi="宋体" w:cs="宋体"/>
          <w:b/>
          <w:bCs/>
        </w:rPr>
      </w:pPr>
      <w:bookmarkStart w:id="49" w:name="_Toc988938"/>
      <w:r w:rsidRPr="00831C3C">
        <w:rPr>
          <w:rFonts w:ascii="宋体" w:hAnsi="宋体" w:cs="宋体"/>
          <w:b/>
          <w:bCs/>
        </w:rPr>
        <w:t>4、金融资产投资</w:t>
      </w:r>
      <w:bookmarkEnd w:id="49"/>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50" w:name="_Toc988939"/>
      <w:r w:rsidRPr="00831C3C">
        <w:rPr>
          <w:rFonts w:ascii="宋体" w:eastAsia="宋体" w:hAnsi="宋体" w:cs="宋体"/>
          <w:b/>
          <w:bCs/>
          <w:sz w:val="18"/>
          <w:szCs w:val="18"/>
        </w:rPr>
        <w:t>（1）证券投资情况</w:t>
      </w:r>
      <w:bookmarkEnd w:id="50"/>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公司报告期不存在证券投资。</w:t>
      </w:r>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51" w:name="_Toc988940"/>
      <w:r w:rsidRPr="00831C3C">
        <w:rPr>
          <w:rFonts w:ascii="宋体" w:eastAsia="宋体" w:hAnsi="宋体" w:cs="宋体"/>
          <w:b/>
          <w:bCs/>
          <w:sz w:val="18"/>
          <w:szCs w:val="18"/>
        </w:rPr>
        <w:t>（2）衍生</w:t>
      </w:r>
      <w:proofErr w:type="gramStart"/>
      <w:r w:rsidRPr="00831C3C">
        <w:rPr>
          <w:rFonts w:ascii="宋体" w:eastAsia="宋体" w:hAnsi="宋体" w:cs="宋体"/>
          <w:b/>
          <w:bCs/>
          <w:sz w:val="18"/>
          <w:szCs w:val="18"/>
        </w:rPr>
        <w:t>品投资</w:t>
      </w:r>
      <w:proofErr w:type="gramEnd"/>
      <w:r w:rsidRPr="00831C3C">
        <w:rPr>
          <w:rFonts w:ascii="宋体" w:eastAsia="宋体" w:hAnsi="宋体" w:cs="宋体"/>
          <w:b/>
          <w:bCs/>
          <w:sz w:val="18"/>
          <w:szCs w:val="18"/>
        </w:rPr>
        <w:t>情况</w:t>
      </w:r>
      <w:bookmarkEnd w:id="51"/>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适用□不适用</w:t>
      </w:r>
    </w:p>
    <w:p w:rsidR="00E23A97" w:rsidRPr="00831C3C" w:rsidRDefault="00C65FD5">
      <w:pPr>
        <w:keepNext/>
        <w:keepLines/>
        <w:spacing w:before="300" w:after="300" w:line="280" w:lineRule="exact"/>
        <w:outlineLvl w:val="4"/>
        <w:rPr>
          <w:rFonts w:ascii="宋体" w:eastAsia="宋体" w:hAnsi="宋体" w:cs="宋体"/>
          <w:b/>
          <w:bCs/>
          <w:szCs w:val="21"/>
        </w:rPr>
      </w:pPr>
      <w:bookmarkStart w:id="52" w:name="_Toc988941"/>
      <w:r w:rsidRPr="00831C3C">
        <w:rPr>
          <w:rFonts w:ascii="宋体" w:eastAsia="宋体" w:hAnsi="宋体" w:cs="宋体"/>
          <w:b/>
          <w:bCs/>
          <w:szCs w:val="21"/>
        </w:rPr>
        <w:t>1）报告期内以套期保值为目的的衍生品投资</w:t>
      </w:r>
      <w:bookmarkEnd w:id="52"/>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适用□不适用</w:t>
      </w:r>
    </w:p>
    <w:p w:rsidR="00E23A97" w:rsidRPr="00831C3C" w:rsidRDefault="00C65FD5">
      <w:pPr>
        <w:spacing w:before="120" w:after="120" w:line="240" w:lineRule="exact"/>
        <w:jc w:val="right"/>
        <w:rPr>
          <w:rFonts w:ascii="宋体" w:eastAsia="宋体" w:hAnsi="宋体" w:cs="宋体"/>
          <w:sz w:val="18"/>
          <w:szCs w:val="18"/>
        </w:rPr>
      </w:pPr>
      <w:r w:rsidRPr="00831C3C">
        <w:rPr>
          <w:rFonts w:ascii="宋体" w:eastAsia="宋体" w:hAnsi="宋体" w:cs="宋体"/>
          <w:sz w:val="18"/>
          <w:szCs w:val="18"/>
        </w:rPr>
        <w:t>单位：万元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071"/>
        <w:gridCol w:w="1071"/>
        <w:gridCol w:w="1071"/>
        <w:gridCol w:w="1148"/>
        <w:gridCol w:w="994"/>
        <w:gridCol w:w="1071"/>
        <w:gridCol w:w="1071"/>
        <w:gridCol w:w="1071"/>
        <w:gridCol w:w="1071"/>
      </w:tblGrid>
      <w:tr w:rsidR="00831C3C" w:rsidRPr="00831C3C" w:rsidTr="009D064F">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衍生</w:t>
            </w:r>
            <w:proofErr w:type="gramStart"/>
            <w:r w:rsidRPr="00831C3C">
              <w:rPr>
                <w:rFonts w:ascii="宋体" w:eastAsia="宋体" w:hAnsi="宋体" w:cs="宋体"/>
                <w:sz w:val="18"/>
                <w:szCs w:val="18"/>
              </w:rPr>
              <w:t>品投</w:t>
            </w:r>
            <w:r w:rsidRPr="00831C3C">
              <w:rPr>
                <w:rFonts w:ascii="宋体" w:eastAsia="宋体" w:hAnsi="宋体" w:cs="宋体"/>
                <w:sz w:val="18"/>
                <w:szCs w:val="18"/>
              </w:rPr>
              <w:lastRenderedPageBreak/>
              <w:t>资</w:t>
            </w:r>
            <w:proofErr w:type="gramEnd"/>
            <w:r w:rsidRPr="00831C3C">
              <w:rPr>
                <w:rFonts w:ascii="宋体" w:eastAsia="宋体" w:hAnsi="宋体" w:cs="宋体"/>
                <w:sz w:val="18"/>
                <w:szCs w:val="18"/>
              </w:rPr>
              <w:t>类型</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lastRenderedPageBreak/>
              <w:t>初始投资</w:t>
            </w:r>
            <w:r w:rsidRPr="00831C3C">
              <w:rPr>
                <w:rFonts w:ascii="宋体" w:eastAsia="宋体" w:hAnsi="宋体" w:cs="宋体"/>
                <w:sz w:val="18"/>
                <w:szCs w:val="18"/>
              </w:rPr>
              <w:lastRenderedPageBreak/>
              <w:t>金额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lastRenderedPageBreak/>
              <w:t>期</w:t>
            </w:r>
            <w:proofErr w:type="gramStart"/>
            <w:r w:rsidRPr="00831C3C">
              <w:rPr>
                <w:rFonts w:ascii="宋体" w:eastAsia="宋体" w:hAnsi="宋体" w:cs="宋体"/>
                <w:sz w:val="18"/>
                <w:szCs w:val="18"/>
              </w:rPr>
              <w:t>初金额</w:t>
            </w:r>
            <w:proofErr w:type="gramEnd"/>
          </w:p>
        </w:tc>
        <w:tc>
          <w:tcPr>
            <w:tcW w:w="114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本期公允价</w:t>
            </w:r>
            <w:r w:rsidRPr="00831C3C">
              <w:rPr>
                <w:rFonts w:ascii="宋体" w:eastAsia="宋体" w:hAnsi="宋体" w:cs="宋体"/>
                <w:sz w:val="18"/>
                <w:szCs w:val="18"/>
              </w:rPr>
              <w:lastRenderedPageBreak/>
              <w:t>值变动损益</w:t>
            </w:r>
          </w:p>
        </w:tc>
        <w:tc>
          <w:tcPr>
            <w:tcW w:w="994"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lastRenderedPageBreak/>
              <w:t>计入权益</w:t>
            </w:r>
            <w:r w:rsidRPr="00831C3C">
              <w:rPr>
                <w:rFonts w:ascii="宋体" w:eastAsia="宋体" w:hAnsi="宋体" w:cs="宋体"/>
                <w:sz w:val="18"/>
                <w:szCs w:val="18"/>
              </w:rPr>
              <w:lastRenderedPageBreak/>
              <w:t>的累计公允价值变动</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lastRenderedPageBreak/>
              <w:t>报告期内</w:t>
            </w:r>
            <w:r w:rsidRPr="00831C3C">
              <w:rPr>
                <w:rFonts w:ascii="宋体" w:eastAsia="宋体" w:hAnsi="宋体" w:cs="宋体"/>
                <w:sz w:val="18"/>
                <w:szCs w:val="18"/>
              </w:rPr>
              <w:lastRenderedPageBreak/>
              <w:t>购入金额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lastRenderedPageBreak/>
              <w:t>报告期内</w:t>
            </w:r>
            <w:r w:rsidRPr="00831C3C">
              <w:rPr>
                <w:rFonts w:ascii="宋体" w:eastAsia="宋体" w:hAnsi="宋体" w:cs="宋体"/>
                <w:sz w:val="18"/>
                <w:szCs w:val="18"/>
              </w:rPr>
              <w:lastRenderedPageBreak/>
              <w:t>售出金额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lastRenderedPageBreak/>
              <w:t>期末金额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期末投资</w:t>
            </w:r>
            <w:r w:rsidRPr="00831C3C">
              <w:rPr>
                <w:rFonts w:ascii="宋体" w:eastAsia="宋体" w:hAnsi="宋体" w:cs="宋体"/>
                <w:sz w:val="18"/>
                <w:szCs w:val="18"/>
              </w:rPr>
              <w:lastRenderedPageBreak/>
              <w:t>金额占公司报告期末净资产比例</w:t>
            </w:r>
          </w:p>
        </w:tc>
      </w:tr>
      <w:tr w:rsidR="00831C3C" w:rsidRPr="00831C3C" w:rsidTr="009D064F">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lastRenderedPageBreak/>
              <w:t>期货合约</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10,863.13</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12,164.84</w:t>
            </w:r>
          </w:p>
        </w:tc>
        <w:tc>
          <w:tcPr>
            <w:tcW w:w="114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174.08</w:t>
            </w:r>
          </w:p>
        </w:tc>
        <w:tc>
          <w:tcPr>
            <w:tcW w:w="99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31,661.05</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37,604.67</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5,093.59</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0.84%</w:t>
            </w:r>
          </w:p>
        </w:tc>
      </w:tr>
      <w:tr w:rsidR="00831C3C" w:rsidRPr="00831C3C" w:rsidTr="009D064F">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10,863.13</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12,164.84</w:t>
            </w:r>
          </w:p>
        </w:tc>
        <w:tc>
          <w:tcPr>
            <w:tcW w:w="114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174.08</w:t>
            </w:r>
          </w:p>
        </w:tc>
        <w:tc>
          <w:tcPr>
            <w:tcW w:w="99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31,661.05</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37,604.67</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5,093.59</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0.84%</w:t>
            </w:r>
          </w:p>
        </w:tc>
      </w:tr>
      <w:tr w:rsidR="00831C3C" w:rsidRPr="00831C3C" w:rsidTr="009D064F">
        <w:trPr>
          <w:trHeight w:val="240"/>
        </w:trPr>
        <w:tc>
          <w:tcPr>
            <w:tcW w:w="4361"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报告期内套期保值业务的会计政策、会计核算具体原则，以及与上</w:t>
            </w:r>
            <w:proofErr w:type="gramStart"/>
            <w:r w:rsidRPr="00831C3C">
              <w:rPr>
                <w:rFonts w:ascii="宋体" w:eastAsia="宋体" w:hAnsi="宋体" w:cs="宋体"/>
                <w:sz w:val="18"/>
                <w:szCs w:val="18"/>
              </w:rPr>
              <w:t>一报告</w:t>
            </w:r>
            <w:proofErr w:type="gramEnd"/>
            <w:r w:rsidRPr="00831C3C">
              <w:rPr>
                <w:rFonts w:ascii="宋体" w:eastAsia="宋体" w:hAnsi="宋体" w:cs="宋体"/>
                <w:sz w:val="18"/>
                <w:szCs w:val="18"/>
              </w:rPr>
              <w:t>期相比是否发生重大变化的说明</w:t>
            </w:r>
          </w:p>
        </w:tc>
        <w:tc>
          <w:tcPr>
            <w:tcW w:w="5278" w:type="dxa"/>
            <w:gridSpan w:val="5"/>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报告期内套期保值业务的会计政策、会计核算具体原则：详见第十节、财务报告的“附注五、重要会计政策及会计估计”的“10、金融工具”。与上</w:t>
            </w:r>
            <w:proofErr w:type="gramStart"/>
            <w:r w:rsidRPr="00831C3C">
              <w:rPr>
                <w:rFonts w:ascii="宋体" w:eastAsia="宋体" w:hAnsi="宋体" w:cs="宋体"/>
                <w:sz w:val="18"/>
                <w:szCs w:val="18"/>
              </w:rPr>
              <w:t>一报告</w:t>
            </w:r>
            <w:proofErr w:type="gramEnd"/>
            <w:r w:rsidRPr="00831C3C">
              <w:rPr>
                <w:rFonts w:ascii="宋体" w:eastAsia="宋体" w:hAnsi="宋体" w:cs="宋体"/>
                <w:sz w:val="18"/>
                <w:szCs w:val="18"/>
              </w:rPr>
              <w:t>期相比未发生重大变化。</w:t>
            </w:r>
          </w:p>
        </w:tc>
      </w:tr>
      <w:tr w:rsidR="00831C3C" w:rsidRPr="00831C3C" w:rsidTr="009D064F">
        <w:trPr>
          <w:trHeight w:val="240"/>
        </w:trPr>
        <w:tc>
          <w:tcPr>
            <w:tcW w:w="4361"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报告期实际损益情况的说明</w:t>
            </w:r>
          </w:p>
        </w:tc>
        <w:tc>
          <w:tcPr>
            <w:tcW w:w="5278" w:type="dxa"/>
            <w:gridSpan w:val="5"/>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报告期实际损益金额合计1173.51万元。</w:t>
            </w:r>
          </w:p>
        </w:tc>
      </w:tr>
      <w:tr w:rsidR="00831C3C" w:rsidRPr="00831C3C" w:rsidTr="009D064F">
        <w:trPr>
          <w:trHeight w:val="240"/>
        </w:trPr>
        <w:tc>
          <w:tcPr>
            <w:tcW w:w="4361"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套期保值效果的说明</w:t>
            </w:r>
          </w:p>
        </w:tc>
        <w:tc>
          <w:tcPr>
            <w:tcW w:w="5278" w:type="dxa"/>
            <w:gridSpan w:val="5"/>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为规避生产经营中原材料价格波动带来的风险，有效拓宽原材料备货渠道，保持公司经营业绩的稳定性和</w:t>
            </w:r>
            <w:proofErr w:type="gramStart"/>
            <w:r w:rsidRPr="00831C3C">
              <w:rPr>
                <w:rFonts w:ascii="宋体" w:eastAsia="宋体" w:hAnsi="宋体" w:cs="宋体"/>
                <w:sz w:val="18"/>
                <w:szCs w:val="18"/>
              </w:rPr>
              <w:t>可</w:t>
            </w:r>
            <w:proofErr w:type="gramEnd"/>
            <w:r w:rsidRPr="00831C3C">
              <w:rPr>
                <w:rFonts w:ascii="宋体" w:eastAsia="宋体" w:hAnsi="宋体" w:cs="宋体"/>
                <w:sz w:val="18"/>
                <w:szCs w:val="18"/>
              </w:rPr>
              <w:t>持续性，公司通过期货市场买入套期保值交易锁定部分棉花原料价格。</w:t>
            </w:r>
          </w:p>
        </w:tc>
      </w:tr>
      <w:tr w:rsidR="00831C3C" w:rsidRPr="00831C3C" w:rsidTr="009D064F">
        <w:trPr>
          <w:trHeight w:val="240"/>
        </w:trPr>
        <w:tc>
          <w:tcPr>
            <w:tcW w:w="4361"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衍生</w:t>
            </w:r>
            <w:proofErr w:type="gramStart"/>
            <w:r w:rsidRPr="00831C3C">
              <w:rPr>
                <w:rFonts w:ascii="宋体" w:eastAsia="宋体" w:hAnsi="宋体" w:cs="宋体"/>
                <w:sz w:val="18"/>
                <w:szCs w:val="18"/>
              </w:rPr>
              <w:t>品投资</w:t>
            </w:r>
            <w:proofErr w:type="gramEnd"/>
            <w:r w:rsidRPr="00831C3C">
              <w:rPr>
                <w:rFonts w:ascii="宋体" w:eastAsia="宋体" w:hAnsi="宋体" w:cs="宋体"/>
                <w:sz w:val="18"/>
                <w:szCs w:val="18"/>
              </w:rPr>
              <w:t>资金来源</w:t>
            </w:r>
          </w:p>
        </w:tc>
        <w:tc>
          <w:tcPr>
            <w:tcW w:w="5278" w:type="dxa"/>
            <w:gridSpan w:val="5"/>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自有资金</w:t>
            </w:r>
          </w:p>
        </w:tc>
      </w:tr>
      <w:tr w:rsidR="00831C3C" w:rsidRPr="00831C3C" w:rsidTr="009D064F">
        <w:trPr>
          <w:trHeight w:val="240"/>
        </w:trPr>
        <w:tc>
          <w:tcPr>
            <w:tcW w:w="4361"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报告期衍生品持仓的风险分析及控制措施说明（包括但不限于市场风险、流动性风险、信用风险、操作风险、法律风险等）</w:t>
            </w:r>
          </w:p>
        </w:tc>
        <w:tc>
          <w:tcPr>
            <w:tcW w:w="5278" w:type="dxa"/>
            <w:gridSpan w:val="5"/>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（一）主要风险分析</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1、市场风险：期货等衍生品行情变动较大时，可能产生价格波动风险，造成交易损失。</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2、操作风险：由于无法控制或不可预测的系统、网络、通讯故障等造成交易系统非正常运行，使交易指令出现延迟、中断或数据错误等问题，从而带来相应风险。</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3、政策风险：期货等衍生品市场的法律法规政策如发生重大变化，可能引起市场波动或无法交易带来的风险</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4、法律风险：违反法律法规和监管部门的相关规定的风险。</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（二）风险控制措施</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1、公司的棉花期货交易是以棉花库存和订单情况为基本面，结合行情判断来决定买卖方向和</w:t>
            </w:r>
            <w:proofErr w:type="gramStart"/>
            <w:r w:rsidRPr="00831C3C">
              <w:rPr>
                <w:rFonts w:ascii="宋体" w:eastAsia="宋体" w:hAnsi="宋体" w:cs="宋体"/>
                <w:sz w:val="18"/>
                <w:szCs w:val="18"/>
              </w:rPr>
              <w:t>套保点位</w:t>
            </w:r>
            <w:proofErr w:type="gramEnd"/>
            <w:r w:rsidRPr="00831C3C">
              <w:rPr>
                <w:rFonts w:ascii="宋体" w:eastAsia="宋体" w:hAnsi="宋体" w:cs="宋体"/>
                <w:sz w:val="18"/>
                <w:szCs w:val="18"/>
              </w:rPr>
              <w:t>，以满足公司日常</w:t>
            </w:r>
            <w:proofErr w:type="gramStart"/>
            <w:r w:rsidRPr="00831C3C">
              <w:rPr>
                <w:rFonts w:ascii="宋体" w:eastAsia="宋体" w:hAnsi="宋体" w:cs="宋体"/>
                <w:sz w:val="18"/>
                <w:szCs w:val="18"/>
              </w:rPr>
              <w:t>网链业务</w:t>
            </w:r>
            <w:proofErr w:type="gramEnd"/>
            <w:r w:rsidRPr="00831C3C">
              <w:rPr>
                <w:rFonts w:ascii="宋体" w:eastAsia="宋体" w:hAnsi="宋体" w:cs="宋体"/>
                <w:sz w:val="18"/>
                <w:szCs w:val="18"/>
              </w:rPr>
              <w:t>价格风险对冲和平抑棉花库存成本的目的，在持仓规模上严格按照采购量控制，规避投机损失风险。针对棉花期货业务制定《期货投资管理作业指导书》以规范期货操作流程发挥期货套期保值功能，规避经营风险。</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2、在遵循合法、审慎、安全、有效的原则上，制定严格的决策程序、报告制度和监控措施，明确授权范围、操作要点与信息披露等具体要求，配备投资决策、策略分析、业务操作、风险监管等专业人员。</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3、根据总体采购策略和库存成本结构，跟踪行业信息，分析市场趋势，及时编制提报期货交易方案。根据公司库存和订单情况，结合风险承受能力和行情判断确定价格区间、开仓比例、止损点位，严格执行开平仓和止损操作。并定期向管理层和董事会提交期货交易授权执行情况。</w:t>
            </w:r>
          </w:p>
        </w:tc>
      </w:tr>
      <w:tr w:rsidR="00831C3C" w:rsidRPr="00831C3C" w:rsidTr="009D064F">
        <w:trPr>
          <w:trHeight w:val="240"/>
        </w:trPr>
        <w:tc>
          <w:tcPr>
            <w:tcW w:w="4361"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已投资衍生</w:t>
            </w:r>
            <w:proofErr w:type="gramStart"/>
            <w:r w:rsidRPr="00831C3C">
              <w:rPr>
                <w:rFonts w:ascii="宋体" w:eastAsia="宋体" w:hAnsi="宋体" w:cs="宋体"/>
                <w:sz w:val="18"/>
                <w:szCs w:val="18"/>
              </w:rPr>
              <w:t>品报告</w:t>
            </w:r>
            <w:proofErr w:type="gramEnd"/>
            <w:r w:rsidRPr="00831C3C">
              <w:rPr>
                <w:rFonts w:ascii="宋体" w:eastAsia="宋体" w:hAnsi="宋体" w:cs="宋体"/>
                <w:sz w:val="18"/>
                <w:szCs w:val="18"/>
              </w:rPr>
              <w:t>期内市场价格或产品公允价值变动的情况，对衍生品公允价值的分析应披露具体使用的方法及相关假设与参数的设定</w:t>
            </w:r>
          </w:p>
        </w:tc>
        <w:tc>
          <w:tcPr>
            <w:tcW w:w="5278" w:type="dxa"/>
            <w:gridSpan w:val="5"/>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公司持有的期货合约的公允价值依据期货交易所相应合约的结算价确定。</w:t>
            </w:r>
          </w:p>
        </w:tc>
      </w:tr>
      <w:tr w:rsidR="00831C3C" w:rsidRPr="00831C3C" w:rsidTr="009D064F">
        <w:trPr>
          <w:trHeight w:val="240"/>
        </w:trPr>
        <w:tc>
          <w:tcPr>
            <w:tcW w:w="4361"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涉诉情况（如适用）</w:t>
            </w:r>
          </w:p>
        </w:tc>
        <w:tc>
          <w:tcPr>
            <w:tcW w:w="5278" w:type="dxa"/>
            <w:gridSpan w:val="5"/>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不适用</w:t>
            </w:r>
          </w:p>
        </w:tc>
      </w:tr>
      <w:tr w:rsidR="00831C3C" w:rsidRPr="00831C3C" w:rsidTr="009D064F">
        <w:trPr>
          <w:trHeight w:val="240"/>
        </w:trPr>
        <w:tc>
          <w:tcPr>
            <w:tcW w:w="4361"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衍生</w:t>
            </w:r>
            <w:proofErr w:type="gramStart"/>
            <w:r w:rsidRPr="00831C3C">
              <w:rPr>
                <w:rFonts w:ascii="宋体" w:eastAsia="宋体" w:hAnsi="宋体" w:cs="宋体"/>
                <w:sz w:val="18"/>
                <w:szCs w:val="18"/>
              </w:rPr>
              <w:t>品投资</w:t>
            </w:r>
            <w:proofErr w:type="gramEnd"/>
            <w:r w:rsidRPr="00831C3C">
              <w:rPr>
                <w:rFonts w:ascii="宋体" w:eastAsia="宋体" w:hAnsi="宋体" w:cs="宋体"/>
                <w:sz w:val="18"/>
                <w:szCs w:val="18"/>
              </w:rPr>
              <w:t>审批董事会公告披露日期（如有）</w:t>
            </w:r>
          </w:p>
        </w:tc>
        <w:tc>
          <w:tcPr>
            <w:tcW w:w="5278" w:type="dxa"/>
            <w:gridSpan w:val="5"/>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2024年04月27日</w:t>
            </w:r>
          </w:p>
        </w:tc>
      </w:tr>
      <w:tr w:rsidR="00831C3C" w:rsidRPr="00831C3C" w:rsidTr="009D064F">
        <w:trPr>
          <w:trHeight w:val="240"/>
        </w:trPr>
        <w:tc>
          <w:tcPr>
            <w:tcW w:w="4361"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衍生</w:t>
            </w:r>
            <w:proofErr w:type="gramStart"/>
            <w:r w:rsidRPr="00831C3C">
              <w:rPr>
                <w:rFonts w:ascii="宋体" w:eastAsia="宋体" w:hAnsi="宋体" w:cs="宋体"/>
                <w:sz w:val="18"/>
                <w:szCs w:val="18"/>
              </w:rPr>
              <w:t>品投资</w:t>
            </w:r>
            <w:proofErr w:type="gramEnd"/>
            <w:r w:rsidRPr="00831C3C">
              <w:rPr>
                <w:rFonts w:ascii="宋体" w:eastAsia="宋体" w:hAnsi="宋体" w:cs="宋体"/>
                <w:sz w:val="18"/>
                <w:szCs w:val="18"/>
              </w:rPr>
              <w:t>审批股东会公告披露日期（如有）</w:t>
            </w:r>
          </w:p>
        </w:tc>
        <w:tc>
          <w:tcPr>
            <w:tcW w:w="5278" w:type="dxa"/>
            <w:gridSpan w:val="5"/>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2024年04月27日</w:t>
            </w:r>
          </w:p>
        </w:tc>
      </w:tr>
    </w:tbl>
    <w:p w:rsidR="00E23A97" w:rsidRPr="00831C3C" w:rsidRDefault="00C65FD5">
      <w:pPr>
        <w:keepNext/>
        <w:keepLines/>
        <w:spacing w:before="300" w:after="300" w:line="280" w:lineRule="exact"/>
        <w:outlineLvl w:val="4"/>
        <w:rPr>
          <w:rFonts w:ascii="宋体" w:eastAsia="宋体" w:hAnsi="宋体" w:cs="宋体"/>
          <w:b/>
          <w:bCs/>
          <w:sz w:val="18"/>
          <w:szCs w:val="18"/>
        </w:rPr>
      </w:pPr>
      <w:bookmarkStart w:id="53" w:name="_Toc988942"/>
      <w:r w:rsidRPr="00831C3C">
        <w:rPr>
          <w:rFonts w:ascii="宋体" w:eastAsia="宋体" w:hAnsi="宋体" w:cs="宋体"/>
          <w:b/>
          <w:bCs/>
          <w:sz w:val="18"/>
          <w:szCs w:val="18"/>
        </w:rPr>
        <w:t>2）报告期内以投机为目的的衍生品投资</w:t>
      </w:r>
      <w:bookmarkEnd w:id="53"/>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公司报告期不存在以投机为目的的衍生品投资。</w:t>
      </w:r>
    </w:p>
    <w:p w:rsidR="00E23A97" w:rsidRPr="00831C3C" w:rsidRDefault="00C65FD5">
      <w:pPr>
        <w:pStyle w:val="3"/>
        <w:spacing w:line="280" w:lineRule="exact"/>
        <w:jc w:val="left"/>
        <w:rPr>
          <w:rFonts w:ascii="宋体" w:hAnsi="宋体" w:cs="宋体"/>
          <w:b/>
          <w:bCs/>
        </w:rPr>
      </w:pPr>
      <w:bookmarkStart w:id="54" w:name="_Toc988943"/>
      <w:r w:rsidRPr="00831C3C">
        <w:rPr>
          <w:rFonts w:ascii="宋体" w:hAnsi="宋体" w:cs="宋体"/>
          <w:b/>
          <w:bCs/>
        </w:rPr>
        <w:lastRenderedPageBreak/>
        <w:t>5、募集资金使用情况</w:t>
      </w:r>
      <w:bookmarkEnd w:id="54"/>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适用□不适用</w:t>
      </w:r>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55" w:name="_Toc988944"/>
      <w:r w:rsidRPr="00831C3C">
        <w:rPr>
          <w:rFonts w:ascii="宋体" w:eastAsia="宋体" w:hAnsi="宋体" w:cs="宋体"/>
          <w:b/>
          <w:bCs/>
          <w:sz w:val="18"/>
          <w:szCs w:val="18"/>
        </w:rPr>
        <w:t>（1）募集资金总体使用情况</w:t>
      </w:r>
      <w:bookmarkEnd w:id="55"/>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适用□不适用</w:t>
      </w:r>
    </w:p>
    <w:p w:rsidR="00E23A97" w:rsidRPr="00831C3C" w:rsidRDefault="00C65FD5">
      <w:pPr>
        <w:spacing w:before="120" w:after="120" w:line="240" w:lineRule="exact"/>
        <w:jc w:val="right"/>
        <w:rPr>
          <w:rFonts w:ascii="宋体" w:eastAsia="宋体" w:hAnsi="宋体" w:cs="宋体"/>
          <w:sz w:val="18"/>
          <w:szCs w:val="18"/>
        </w:rPr>
      </w:pPr>
      <w:r w:rsidRPr="00831C3C">
        <w:rPr>
          <w:rFonts w:ascii="宋体" w:eastAsia="宋体" w:hAnsi="宋体" w:cs="宋体"/>
          <w:sz w:val="18"/>
          <w:szCs w:val="18"/>
        </w:rPr>
        <w:t>单位：万元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689"/>
        <w:gridCol w:w="689"/>
        <w:gridCol w:w="689"/>
        <w:gridCol w:w="689"/>
        <w:gridCol w:w="689"/>
        <w:gridCol w:w="689"/>
        <w:gridCol w:w="689"/>
        <w:gridCol w:w="688"/>
        <w:gridCol w:w="688"/>
        <w:gridCol w:w="688"/>
        <w:gridCol w:w="688"/>
        <w:gridCol w:w="688"/>
        <w:gridCol w:w="688"/>
        <w:gridCol w:w="688"/>
      </w:tblGrid>
      <w:tr w:rsidR="00831C3C" w:rsidRPr="00831C3C">
        <w:trPr>
          <w:trHeight w:val="240"/>
        </w:trPr>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募集年份</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募集方式</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证券上市日期</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募集资金总额</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募集资金净额（1）</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本期已使用募集资金总额</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已累计使用募集资金总额（2）</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报告期末募集资金使用比例（3）=（2）/（1）</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报告期内变更用途的募集资金总额</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累计变更用途的募集资金总额</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累计变更用途的募集资金总额比例</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尚未使用募集资金总额</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尚未使用募集资金用途及去向</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闲置两年以上募集资金金额</w:t>
            </w:r>
          </w:p>
        </w:tc>
      </w:tr>
      <w:tr w:rsidR="00831C3C" w:rsidRPr="00831C3C">
        <w:trPr>
          <w:trHeight w:val="240"/>
        </w:trPr>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2021年</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非公开发行</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2021年10月14日</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112,637.54</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112,637.54</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164.92</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113,685.68</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0.21%</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78,846.28</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78,846.28</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70.00%</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0.19</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存放于募集资金专户</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r>
      <w:tr w:rsidR="00831C3C" w:rsidRPr="00831C3C">
        <w:trPr>
          <w:trHeight w:val="240"/>
        </w:trPr>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合计</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112,637.54</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112,637.54</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164.92</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113,685.68</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0.21%</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78,846.28</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78,846.28</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70.00%</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0.19</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r>
      <w:tr w:rsidR="00831C3C" w:rsidRPr="00831C3C">
        <w:trPr>
          <w:trHeight w:val="240"/>
        </w:trPr>
        <w:tc>
          <w:tcPr>
            <w:tcW w:w="9639" w:type="dxa"/>
            <w:gridSpan w:val="14"/>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募集资金总体使用情况说明</w:t>
            </w:r>
          </w:p>
        </w:tc>
      </w:tr>
      <w:tr w:rsidR="00831C3C" w:rsidRPr="00831C3C">
        <w:trPr>
          <w:trHeight w:val="240"/>
        </w:trPr>
        <w:tc>
          <w:tcPr>
            <w:tcW w:w="9639" w:type="dxa"/>
            <w:gridSpan w:val="14"/>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详见2025年4月26日披露于巨潮资讯网（www.cninfo.com.cn）上的《公司2024年度募集资金存放和实际使用情况的专项报告》。</w:t>
            </w:r>
          </w:p>
        </w:tc>
      </w:tr>
    </w:tbl>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56" w:name="_Toc988945"/>
      <w:r w:rsidRPr="00831C3C">
        <w:rPr>
          <w:rFonts w:ascii="宋体" w:eastAsia="宋体" w:hAnsi="宋体" w:cs="宋体"/>
          <w:b/>
          <w:bCs/>
          <w:sz w:val="18"/>
          <w:szCs w:val="18"/>
        </w:rPr>
        <w:t>（2）募集资金承诺项目情况</w:t>
      </w:r>
      <w:bookmarkEnd w:id="56"/>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适用□不适用</w:t>
      </w:r>
    </w:p>
    <w:p w:rsidR="00E23A97" w:rsidRPr="00831C3C" w:rsidRDefault="00C65FD5">
      <w:pPr>
        <w:spacing w:before="120" w:after="120" w:line="240" w:lineRule="exact"/>
        <w:jc w:val="right"/>
        <w:rPr>
          <w:rFonts w:ascii="宋体" w:eastAsia="宋体" w:hAnsi="宋体" w:cs="宋体"/>
          <w:sz w:val="18"/>
          <w:szCs w:val="18"/>
        </w:rPr>
      </w:pPr>
      <w:r w:rsidRPr="00831C3C">
        <w:rPr>
          <w:rFonts w:ascii="宋体" w:eastAsia="宋体" w:hAnsi="宋体" w:cs="宋体"/>
          <w:sz w:val="18"/>
          <w:szCs w:val="18"/>
        </w:rPr>
        <w:t>单位：万元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642"/>
        <w:gridCol w:w="642"/>
        <w:gridCol w:w="642"/>
        <w:gridCol w:w="642"/>
        <w:gridCol w:w="642"/>
        <w:gridCol w:w="17"/>
        <w:gridCol w:w="625"/>
        <w:gridCol w:w="643"/>
        <w:gridCol w:w="643"/>
        <w:gridCol w:w="643"/>
        <w:gridCol w:w="643"/>
        <w:gridCol w:w="643"/>
        <w:gridCol w:w="643"/>
        <w:gridCol w:w="643"/>
        <w:gridCol w:w="643"/>
        <w:gridCol w:w="643"/>
      </w:tblGrid>
      <w:tr w:rsidR="00831C3C" w:rsidRPr="00831C3C" w:rsidTr="00896FFD">
        <w:trPr>
          <w:trHeight w:val="240"/>
        </w:trPr>
        <w:tc>
          <w:tcPr>
            <w:tcW w:w="64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融资项目名称</w:t>
            </w:r>
          </w:p>
        </w:tc>
        <w:tc>
          <w:tcPr>
            <w:tcW w:w="64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证券上市日期</w:t>
            </w:r>
          </w:p>
        </w:tc>
        <w:tc>
          <w:tcPr>
            <w:tcW w:w="64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承诺投资项目和超募资金投向</w:t>
            </w:r>
          </w:p>
        </w:tc>
        <w:tc>
          <w:tcPr>
            <w:tcW w:w="64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项目性质</w:t>
            </w:r>
          </w:p>
        </w:tc>
        <w:tc>
          <w:tcPr>
            <w:tcW w:w="64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是否已变更项目(含部分变更)</w:t>
            </w:r>
          </w:p>
        </w:tc>
        <w:tc>
          <w:tcPr>
            <w:tcW w:w="64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募集资金承诺投资总额</w:t>
            </w:r>
          </w:p>
        </w:tc>
        <w:tc>
          <w:tcPr>
            <w:tcW w:w="64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调整后投资总额(1)</w:t>
            </w:r>
          </w:p>
        </w:tc>
        <w:tc>
          <w:tcPr>
            <w:tcW w:w="64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本报告期投入金额</w:t>
            </w:r>
          </w:p>
        </w:tc>
        <w:tc>
          <w:tcPr>
            <w:tcW w:w="64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截至期末累计投入金额(2)</w:t>
            </w:r>
          </w:p>
        </w:tc>
        <w:tc>
          <w:tcPr>
            <w:tcW w:w="64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截至期末投资进度(3)＝(2)/(1)</w:t>
            </w:r>
          </w:p>
        </w:tc>
        <w:tc>
          <w:tcPr>
            <w:tcW w:w="64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项目达到预定可使用状态日期</w:t>
            </w:r>
          </w:p>
        </w:tc>
        <w:tc>
          <w:tcPr>
            <w:tcW w:w="64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本报告</w:t>
            </w:r>
            <w:proofErr w:type="gramStart"/>
            <w:r w:rsidRPr="00831C3C">
              <w:rPr>
                <w:rFonts w:ascii="宋体" w:eastAsia="宋体" w:hAnsi="宋体" w:cs="宋体"/>
                <w:sz w:val="18"/>
                <w:szCs w:val="18"/>
              </w:rPr>
              <w:t>期实现</w:t>
            </w:r>
            <w:proofErr w:type="gramEnd"/>
            <w:r w:rsidRPr="00831C3C">
              <w:rPr>
                <w:rFonts w:ascii="宋体" w:eastAsia="宋体" w:hAnsi="宋体" w:cs="宋体"/>
                <w:sz w:val="18"/>
                <w:szCs w:val="18"/>
              </w:rPr>
              <w:t>的效益</w:t>
            </w:r>
          </w:p>
        </w:tc>
        <w:tc>
          <w:tcPr>
            <w:tcW w:w="64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截止报告期末累计实现的效益</w:t>
            </w:r>
          </w:p>
        </w:tc>
        <w:tc>
          <w:tcPr>
            <w:tcW w:w="64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是否达到预计效益</w:t>
            </w:r>
          </w:p>
        </w:tc>
        <w:tc>
          <w:tcPr>
            <w:tcW w:w="64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项目可行性是否发生重大变化</w:t>
            </w:r>
          </w:p>
        </w:tc>
      </w:tr>
      <w:tr w:rsidR="00831C3C" w:rsidRPr="00831C3C">
        <w:trPr>
          <w:trHeight w:val="240"/>
        </w:trPr>
        <w:tc>
          <w:tcPr>
            <w:tcW w:w="9639" w:type="dxa"/>
            <w:gridSpan w:val="16"/>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承诺投资项目</w:t>
            </w:r>
          </w:p>
        </w:tc>
      </w:tr>
      <w:tr w:rsidR="00831C3C" w:rsidRPr="00831C3C" w:rsidTr="00896FFD">
        <w:trPr>
          <w:trHeight w:val="240"/>
        </w:trPr>
        <w:tc>
          <w:tcPr>
            <w:tcW w:w="6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华孚（越南）50万锭新型纱线项目（一</w:t>
            </w:r>
            <w:r w:rsidRPr="00831C3C">
              <w:rPr>
                <w:rFonts w:ascii="宋体" w:eastAsia="宋体" w:hAnsi="宋体" w:cs="宋体"/>
                <w:sz w:val="18"/>
                <w:szCs w:val="18"/>
              </w:rPr>
              <w:lastRenderedPageBreak/>
              <w:t>期)</w:t>
            </w:r>
          </w:p>
        </w:tc>
        <w:tc>
          <w:tcPr>
            <w:tcW w:w="6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lastRenderedPageBreak/>
              <w:t>2021年10月14日</w:t>
            </w:r>
          </w:p>
        </w:tc>
        <w:tc>
          <w:tcPr>
            <w:tcW w:w="6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华孚（越南）50万锭新型纱线项目（一</w:t>
            </w:r>
            <w:r w:rsidRPr="00831C3C">
              <w:rPr>
                <w:rFonts w:ascii="宋体" w:eastAsia="宋体" w:hAnsi="宋体" w:cs="宋体"/>
                <w:sz w:val="18"/>
                <w:szCs w:val="18"/>
              </w:rPr>
              <w:lastRenderedPageBreak/>
              <w:t>期)</w:t>
            </w:r>
          </w:p>
        </w:tc>
        <w:tc>
          <w:tcPr>
            <w:tcW w:w="6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lastRenderedPageBreak/>
              <w:t>生产建设</w:t>
            </w:r>
          </w:p>
        </w:tc>
        <w:tc>
          <w:tcPr>
            <w:tcW w:w="6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是</w:t>
            </w:r>
          </w:p>
        </w:tc>
        <w:tc>
          <w:tcPr>
            <w:tcW w:w="642"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105,000</w:t>
            </w: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不适用</w:t>
            </w: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是</w:t>
            </w:r>
          </w:p>
        </w:tc>
      </w:tr>
      <w:tr w:rsidR="00831C3C" w:rsidRPr="00831C3C" w:rsidTr="00896FFD">
        <w:trPr>
          <w:trHeight w:val="240"/>
        </w:trPr>
        <w:tc>
          <w:tcPr>
            <w:tcW w:w="6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lastRenderedPageBreak/>
              <w:t>30万锭智能纺纱产业园项目)</w:t>
            </w:r>
          </w:p>
        </w:tc>
        <w:tc>
          <w:tcPr>
            <w:tcW w:w="6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2021年10月14日</w:t>
            </w:r>
          </w:p>
        </w:tc>
        <w:tc>
          <w:tcPr>
            <w:tcW w:w="6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30万锭智能纺纱产业园项目)</w:t>
            </w:r>
          </w:p>
        </w:tc>
        <w:tc>
          <w:tcPr>
            <w:tcW w:w="6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生产建设</w:t>
            </w:r>
          </w:p>
        </w:tc>
        <w:tc>
          <w:tcPr>
            <w:tcW w:w="6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是</w:t>
            </w:r>
          </w:p>
        </w:tc>
        <w:tc>
          <w:tcPr>
            <w:tcW w:w="642"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78,846.28</w:t>
            </w: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5,827.92</w:t>
            </w: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79,894.42</w:t>
            </w: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101.33%</w:t>
            </w: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2025年06月30日</w:t>
            </w: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1,540.86</w:t>
            </w: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2,462.38</w:t>
            </w: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是</w:t>
            </w: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rsidTr="00896FFD">
        <w:trPr>
          <w:trHeight w:val="240"/>
        </w:trPr>
        <w:tc>
          <w:tcPr>
            <w:tcW w:w="6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补充流动资金</w:t>
            </w:r>
          </w:p>
        </w:tc>
        <w:tc>
          <w:tcPr>
            <w:tcW w:w="6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2021年10月14日</w:t>
            </w:r>
          </w:p>
        </w:tc>
        <w:tc>
          <w:tcPr>
            <w:tcW w:w="6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补充流动资金</w:t>
            </w:r>
          </w:p>
        </w:tc>
        <w:tc>
          <w:tcPr>
            <w:tcW w:w="6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补流</w:t>
            </w:r>
          </w:p>
        </w:tc>
        <w:tc>
          <w:tcPr>
            <w:tcW w:w="6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c>
          <w:tcPr>
            <w:tcW w:w="642"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45,000</w:t>
            </w: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33,791.26</w:t>
            </w: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33,791.26</w:t>
            </w: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w:t>
            </w: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不适用</w:t>
            </w: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rsidTr="00896FFD">
        <w:trPr>
          <w:trHeight w:val="240"/>
        </w:trPr>
        <w:tc>
          <w:tcPr>
            <w:tcW w:w="6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临时性补充流动资金</w:t>
            </w:r>
          </w:p>
        </w:tc>
        <w:tc>
          <w:tcPr>
            <w:tcW w:w="6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2021年10月14日</w:t>
            </w:r>
          </w:p>
        </w:tc>
        <w:tc>
          <w:tcPr>
            <w:tcW w:w="6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临时性补充流动资金</w:t>
            </w:r>
          </w:p>
        </w:tc>
        <w:tc>
          <w:tcPr>
            <w:tcW w:w="6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补流</w:t>
            </w:r>
          </w:p>
        </w:tc>
        <w:tc>
          <w:tcPr>
            <w:tcW w:w="6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是</w:t>
            </w:r>
          </w:p>
        </w:tc>
        <w:tc>
          <w:tcPr>
            <w:tcW w:w="642"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-5,663</w:t>
            </w: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不适用</w:t>
            </w: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rsidTr="00896FFD">
        <w:trPr>
          <w:trHeight w:val="240"/>
        </w:trPr>
        <w:tc>
          <w:tcPr>
            <w:tcW w:w="2568"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承诺投资项目小计</w:t>
            </w:r>
          </w:p>
        </w:tc>
        <w:tc>
          <w:tcPr>
            <w:tcW w:w="64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c>
          <w:tcPr>
            <w:tcW w:w="642"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150,000</w:t>
            </w: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112,637.54</w:t>
            </w: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164.92</w:t>
            </w: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113,685.68</w:t>
            </w:r>
          </w:p>
        </w:tc>
        <w:tc>
          <w:tcPr>
            <w:tcW w:w="64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c>
          <w:tcPr>
            <w:tcW w:w="64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1,540.86</w:t>
            </w: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2,462.38</w:t>
            </w:r>
          </w:p>
        </w:tc>
        <w:tc>
          <w:tcPr>
            <w:tcW w:w="64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c>
          <w:tcPr>
            <w:tcW w:w="64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r>
      <w:tr w:rsidR="00831C3C" w:rsidRPr="00831C3C">
        <w:trPr>
          <w:trHeight w:val="240"/>
        </w:trPr>
        <w:tc>
          <w:tcPr>
            <w:tcW w:w="9639" w:type="dxa"/>
            <w:gridSpan w:val="16"/>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超募资金投向</w:t>
            </w:r>
          </w:p>
        </w:tc>
      </w:tr>
      <w:tr w:rsidR="00831C3C" w:rsidRPr="00831C3C" w:rsidTr="00896FFD">
        <w:trPr>
          <w:trHeight w:val="240"/>
        </w:trPr>
        <w:tc>
          <w:tcPr>
            <w:tcW w:w="6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c>
          <w:tcPr>
            <w:tcW w:w="64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64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64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64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642"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rsidTr="00896FFD">
        <w:trPr>
          <w:trHeight w:val="240"/>
        </w:trPr>
        <w:tc>
          <w:tcPr>
            <w:tcW w:w="2568"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64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c>
          <w:tcPr>
            <w:tcW w:w="642"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150,000</w:t>
            </w: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112,637.54</w:t>
            </w: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164.92</w:t>
            </w: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113,685.68</w:t>
            </w:r>
          </w:p>
        </w:tc>
        <w:tc>
          <w:tcPr>
            <w:tcW w:w="64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c>
          <w:tcPr>
            <w:tcW w:w="64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1,540.86</w:t>
            </w:r>
          </w:p>
        </w:tc>
        <w:tc>
          <w:tcPr>
            <w:tcW w:w="64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2,462.38</w:t>
            </w:r>
          </w:p>
        </w:tc>
        <w:tc>
          <w:tcPr>
            <w:tcW w:w="64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c>
          <w:tcPr>
            <w:tcW w:w="64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r>
      <w:tr w:rsidR="00831C3C" w:rsidRPr="00831C3C" w:rsidTr="00896FFD">
        <w:trPr>
          <w:trHeight w:val="240"/>
        </w:trPr>
        <w:tc>
          <w:tcPr>
            <w:tcW w:w="3227"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分项目说明未达到计划进度、预计收益的情况和原因（含“是否达到预计效益”选择“不适用”的原因）</w:t>
            </w:r>
          </w:p>
        </w:tc>
        <w:tc>
          <w:tcPr>
            <w:tcW w:w="6412" w:type="dxa"/>
            <w:gridSpan w:val="10"/>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公司于2024年10月30日召开第八届董事会第九次会议、第八届监事会第二十四次会议，审议通过了《关于募投项目延期的议案》，公司在</w:t>
            </w:r>
            <w:proofErr w:type="gramStart"/>
            <w:r w:rsidRPr="00831C3C">
              <w:rPr>
                <w:rFonts w:ascii="宋体" w:eastAsia="宋体" w:hAnsi="宋体" w:cs="宋体"/>
                <w:sz w:val="18"/>
                <w:szCs w:val="18"/>
              </w:rPr>
              <w:t>募投项目</w:t>
            </w:r>
            <w:proofErr w:type="gramEnd"/>
            <w:r w:rsidRPr="00831C3C">
              <w:rPr>
                <w:rFonts w:ascii="宋体" w:eastAsia="宋体" w:hAnsi="宋体" w:cs="宋体"/>
                <w:sz w:val="18"/>
                <w:szCs w:val="18"/>
              </w:rPr>
              <w:t>实施主体、实施方式、投资总额不发生变更的情况下，根据实际情况决定对</w:t>
            </w:r>
            <w:proofErr w:type="gramStart"/>
            <w:r w:rsidRPr="00831C3C">
              <w:rPr>
                <w:rFonts w:ascii="宋体" w:eastAsia="宋体" w:hAnsi="宋体" w:cs="宋体"/>
                <w:sz w:val="18"/>
                <w:szCs w:val="18"/>
              </w:rPr>
              <w:t>募投项目</w:t>
            </w:r>
            <w:proofErr w:type="gramEnd"/>
            <w:r w:rsidRPr="00831C3C">
              <w:rPr>
                <w:rFonts w:ascii="宋体" w:eastAsia="宋体" w:hAnsi="宋体" w:cs="宋体"/>
                <w:sz w:val="18"/>
                <w:szCs w:val="18"/>
              </w:rPr>
              <w:t>进行延期。由于宏观环境因素影响，项目整体进度放缓，预计无法在原定计划内完成建设。结合目前</w:t>
            </w:r>
            <w:proofErr w:type="gramStart"/>
            <w:r w:rsidRPr="00831C3C">
              <w:rPr>
                <w:rFonts w:ascii="宋体" w:eastAsia="宋体" w:hAnsi="宋体" w:cs="宋体"/>
                <w:sz w:val="18"/>
                <w:szCs w:val="18"/>
              </w:rPr>
              <w:t>募投项目</w:t>
            </w:r>
            <w:proofErr w:type="gramEnd"/>
            <w:r w:rsidRPr="00831C3C">
              <w:rPr>
                <w:rFonts w:ascii="宋体" w:eastAsia="宋体" w:hAnsi="宋体" w:cs="宋体"/>
                <w:sz w:val="18"/>
                <w:szCs w:val="18"/>
              </w:rPr>
              <w:t>的实施进展以及公司业务发展规划，经审慎研究，公司决定将</w:t>
            </w:r>
            <w:proofErr w:type="gramStart"/>
            <w:r w:rsidRPr="00831C3C">
              <w:rPr>
                <w:rFonts w:ascii="宋体" w:eastAsia="宋体" w:hAnsi="宋体" w:cs="宋体"/>
                <w:sz w:val="18"/>
                <w:szCs w:val="18"/>
              </w:rPr>
              <w:t>募投项目</w:t>
            </w:r>
            <w:proofErr w:type="gramEnd"/>
            <w:r w:rsidRPr="00831C3C">
              <w:rPr>
                <w:rFonts w:ascii="宋体" w:eastAsia="宋体" w:hAnsi="宋体" w:cs="宋体"/>
                <w:sz w:val="18"/>
                <w:szCs w:val="18"/>
              </w:rPr>
              <w:t>达到预定可使用状态的时间延长至2025年6月30日。</w:t>
            </w:r>
          </w:p>
        </w:tc>
      </w:tr>
      <w:tr w:rsidR="00831C3C" w:rsidRPr="00831C3C" w:rsidTr="00896FFD">
        <w:trPr>
          <w:trHeight w:val="240"/>
        </w:trPr>
        <w:tc>
          <w:tcPr>
            <w:tcW w:w="3227"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项目可行性发生重大变化的情况说明</w:t>
            </w:r>
          </w:p>
        </w:tc>
        <w:tc>
          <w:tcPr>
            <w:tcW w:w="6412" w:type="dxa"/>
            <w:gridSpan w:val="10"/>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本次募集资金投资项目在前期虽然经过了充分的可行性论证,但由于宏观环境因素影响，项目整体进度放缓，预计无法在原定计划内完成建设。结合目前</w:t>
            </w:r>
            <w:proofErr w:type="gramStart"/>
            <w:r w:rsidRPr="00831C3C">
              <w:rPr>
                <w:rFonts w:ascii="宋体" w:eastAsia="宋体" w:hAnsi="宋体" w:cs="宋体"/>
                <w:sz w:val="18"/>
                <w:szCs w:val="18"/>
              </w:rPr>
              <w:t>募投项目</w:t>
            </w:r>
            <w:proofErr w:type="gramEnd"/>
            <w:r w:rsidRPr="00831C3C">
              <w:rPr>
                <w:rFonts w:ascii="宋体" w:eastAsia="宋体" w:hAnsi="宋体" w:cs="宋体"/>
                <w:sz w:val="18"/>
                <w:szCs w:val="18"/>
              </w:rPr>
              <w:t>的实施进展以及公司业务发展规划，经审慎研究，公司决定将</w:t>
            </w:r>
            <w:proofErr w:type="gramStart"/>
            <w:r w:rsidRPr="00831C3C">
              <w:rPr>
                <w:rFonts w:ascii="宋体" w:eastAsia="宋体" w:hAnsi="宋体" w:cs="宋体"/>
                <w:sz w:val="18"/>
                <w:szCs w:val="18"/>
              </w:rPr>
              <w:t>募投项目</w:t>
            </w:r>
            <w:proofErr w:type="gramEnd"/>
            <w:r w:rsidRPr="00831C3C">
              <w:rPr>
                <w:rFonts w:ascii="宋体" w:eastAsia="宋体" w:hAnsi="宋体" w:cs="宋体"/>
                <w:sz w:val="18"/>
                <w:szCs w:val="18"/>
              </w:rPr>
              <w:t>达到预定可使用状态的时间延长至2025年6月30日。</w:t>
            </w:r>
          </w:p>
        </w:tc>
      </w:tr>
      <w:tr w:rsidR="00831C3C" w:rsidRPr="00831C3C" w:rsidTr="00896FFD">
        <w:trPr>
          <w:trHeight w:val="240"/>
        </w:trPr>
        <w:tc>
          <w:tcPr>
            <w:tcW w:w="3227"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超募资金的金额、用途及使用进展情况</w:t>
            </w:r>
          </w:p>
        </w:tc>
        <w:tc>
          <w:tcPr>
            <w:tcW w:w="6412" w:type="dxa"/>
            <w:gridSpan w:val="10"/>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不适用</w:t>
            </w:r>
          </w:p>
        </w:tc>
      </w:tr>
      <w:tr w:rsidR="00831C3C" w:rsidRPr="00831C3C" w:rsidTr="00896FFD">
        <w:trPr>
          <w:trHeight w:val="240"/>
        </w:trPr>
        <w:tc>
          <w:tcPr>
            <w:tcW w:w="3227"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募集资金投资项目实施地点变更情况</w:t>
            </w:r>
          </w:p>
        </w:tc>
        <w:tc>
          <w:tcPr>
            <w:tcW w:w="6412" w:type="dxa"/>
            <w:gridSpan w:val="10"/>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不适用</w:t>
            </w:r>
          </w:p>
        </w:tc>
      </w:tr>
      <w:tr w:rsidR="00831C3C" w:rsidRPr="00831C3C" w:rsidTr="00896FFD">
        <w:trPr>
          <w:trHeight w:val="240"/>
        </w:trPr>
        <w:tc>
          <w:tcPr>
            <w:tcW w:w="3227"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募集资金投资项目实施方式调整情况</w:t>
            </w:r>
          </w:p>
        </w:tc>
        <w:tc>
          <w:tcPr>
            <w:tcW w:w="6412" w:type="dxa"/>
            <w:gridSpan w:val="10"/>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不适用</w:t>
            </w:r>
          </w:p>
        </w:tc>
      </w:tr>
      <w:tr w:rsidR="00831C3C" w:rsidRPr="00831C3C" w:rsidTr="00896FFD">
        <w:trPr>
          <w:trHeight w:val="240"/>
        </w:trPr>
        <w:tc>
          <w:tcPr>
            <w:tcW w:w="3227" w:type="dxa"/>
            <w:gridSpan w:val="6"/>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募集资金投资项目先期投入及置换情况</w:t>
            </w:r>
          </w:p>
        </w:tc>
        <w:tc>
          <w:tcPr>
            <w:tcW w:w="6412" w:type="dxa"/>
            <w:gridSpan w:val="10"/>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适用</w:t>
            </w:r>
          </w:p>
        </w:tc>
      </w:tr>
      <w:tr w:rsidR="00831C3C" w:rsidRPr="00831C3C" w:rsidTr="00896FFD">
        <w:trPr>
          <w:trHeight w:val="240"/>
        </w:trPr>
        <w:tc>
          <w:tcPr>
            <w:tcW w:w="3227" w:type="dxa"/>
            <w:gridSpan w:val="6"/>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6412" w:type="dxa"/>
            <w:gridSpan w:val="10"/>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2024年度，公司不存在募集资金投资项目先期投入及置换情况.</w:t>
            </w:r>
          </w:p>
        </w:tc>
      </w:tr>
      <w:tr w:rsidR="00831C3C" w:rsidRPr="00831C3C" w:rsidTr="00896FFD">
        <w:trPr>
          <w:trHeight w:val="240"/>
        </w:trPr>
        <w:tc>
          <w:tcPr>
            <w:tcW w:w="3227" w:type="dxa"/>
            <w:gridSpan w:val="6"/>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用闲置募集资金暂时补充流动资金情况</w:t>
            </w:r>
          </w:p>
        </w:tc>
        <w:tc>
          <w:tcPr>
            <w:tcW w:w="6412" w:type="dxa"/>
            <w:gridSpan w:val="10"/>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适用</w:t>
            </w:r>
          </w:p>
        </w:tc>
      </w:tr>
      <w:tr w:rsidR="00831C3C" w:rsidRPr="00831C3C" w:rsidTr="00896FFD">
        <w:trPr>
          <w:trHeight w:val="240"/>
        </w:trPr>
        <w:tc>
          <w:tcPr>
            <w:tcW w:w="3227" w:type="dxa"/>
            <w:gridSpan w:val="6"/>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6412" w:type="dxa"/>
            <w:gridSpan w:val="10"/>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公司于2023年9月19日召开第八届董事会2023年第三次临时会议、第八届监事会第十五次会议，审议通过了《关于使用部分闲置募集资金暂时补充流动资金的议案》，同意公司使用不超过1.8亿元人民币的闲置募集资金暂时补充流动资金，使用期限自董事会审议通过之日起不超过十二个月。在使用期间内，公司实际使用闲置募集资金1.7亿元人民币临时补充流动资金。本期公司归还5,663.00万，截至2024年8月28日，公司已将上述用于临时补充流动资金的募集资金全部归还至募集资金专户，使用期限未超过12个月，并将上述募集资金的归还情况通知了保荐机构及保荐代表人。</w:t>
            </w:r>
          </w:p>
        </w:tc>
      </w:tr>
      <w:tr w:rsidR="00831C3C" w:rsidRPr="00831C3C" w:rsidTr="00896FFD">
        <w:trPr>
          <w:trHeight w:val="240"/>
        </w:trPr>
        <w:tc>
          <w:tcPr>
            <w:tcW w:w="3227" w:type="dxa"/>
            <w:gridSpan w:val="6"/>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项目实施出现募集资金结余的金额及原因</w:t>
            </w:r>
          </w:p>
        </w:tc>
        <w:tc>
          <w:tcPr>
            <w:tcW w:w="6412" w:type="dxa"/>
            <w:gridSpan w:val="10"/>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适用</w:t>
            </w:r>
          </w:p>
        </w:tc>
      </w:tr>
      <w:tr w:rsidR="00831C3C" w:rsidRPr="00831C3C" w:rsidTr="00896FFD">
        <w:trPr>
          <w:trHeight w:val="240"/>
        </w:trPr>
        <w:tc>
          <w:tcPr>
            <w:tcW w:w="3227" w:type="dxa"/>
            <w:gridSpan w:val="6"/>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6412" w:type="dxa"/>
            <w:gridSpan w:val="10"/>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2024年度，公司不存在将募集资金投资项目节余资金用于其他募集资金投资项目或非募集资金投资项目情况。</w:t>
            </w:r>
          </w:p>
        </w:tc>
      </w:tr>
      <w:tr w:rsidR="00831C3C" w:rsidRPr="00831C3C" w:rsidTr="00896FFD">
        <w:trPr>
          <w:trHeight w:val="240"/>
        </w:trPr>
        <w:tc>
          <w:tcPr>
            <w:tcW w:w="3227"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尚未使用的募集资金用途及去向</w:t>
            </w:r>
          </w:p>
        </w:tc>
        <w:tc>
          <w:tcPr>
            <w:tcW w:w="6412" w:type="dxa"/>
            <w:gridSpan w:val="10"/>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2024年度，尚未使用的募集资金全部存放于募集资金专用账户。</w:t>
            </w:r>
          </w:p>
        </w:tc>
      </w:tr>
      <w:tr w:rsidR="00831C3C" w:rsidRPr="00831C3C" w:rsidTr="00896FFD">
        <w:trPr>
          <w:trHeight w:val="240"/>
        </w:trPr>
        <w:tc>
          <w:tcPr>
            <w:tcW w:w="3227"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lastRenderedPageBreak/>
              <w:t>募集资金使用及披露中存在的问题或其他情况</w:t>
            </w:r>
          </w:p>
        </w:tc>
        <w:tc>
          <w:tcPr>
            <w:tcW w:w="6412" w:type="dxa"/>
            <w:gridSpan w:val="10"/>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度，公司已按《深圳证券交易所上市公司自律监管指引第1号——主板上市公司规范运作》等相关法律法规的规定及时、真实、准确、完整披露募集资金的使用与存放情况，不存在募集资金管理违规的情况。公司对募集资金的投向和进展情况均如实履行了披露义务，公司募集资金使用及披露不存在重大问题。</w:t>
            </w:r>
          </w:p>
        </w:tc>
      </w:tr>
    </w:tbl>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57" w:name="_Toc988946"/>
      <w:r w:rsidRPr="00831C3C">
        <w:rPr>
          <w:rFonts w:ascii="宋体" w:eastAsia="宋体" w:hAnsi="宋体" w:cs="宋体"/>
          <w:b/>
          <w:bCs/>
          <w:sz w:val="18"/>
          <w:szCs w:val="18"/>
        </w:rPr>
        <w:t>（3）募集资金变更项目情况</w:t>
      </w:r>
      <w:bookmarkEnd w:id="57"/>
    </w:p>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适用□不适用</w:t>
      </w:r>
    </w:p>
    <w:p w:rsidR="00E23A97" w:rsidRPr="00831C3C" w:rsidRDefault="00C65FD5">
      <w:pPr>
        <w:spacing w:before="120" w:after="120" w:line="240" w:lineRule="exact"/>
        <w:jc w:val="right"/>
        <w:rPr>
          <w:rFonts w:ascii="宋体" w:eastAsia="宋体" w:hAnsi="宋体" w:cs="宋体"/>
          <w:sz w:val="18"/>
          <w:szCs w:val="18"/>
        </w:rPr>
      </w:pPr>
      <w:r w:rsidRPr="00831C3C">
        <w:rPr>
          <w:rFonts w:ascii="宋体" w:eastAsia="宋体" w:hAnsi="宋体" w:cs="宋体"/>
          <w:sz w:val="18"/>
          <w:szCs w:val="18"/>
        </w:rPr>
        <w:t>单位：万元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803"/>
        <w:gridCol w:w="803"/>
        <w:gridCol w:w="804"/>
        <w:gridCol w:w="803"/>
        <w:gridCol w:w="803"/>
        <w:gridCol w:w="803"/>
        <w:gridCol w:w="803"/>
        <w:gridCol w:w="803"/>
        <w:gridCol w:w="803"/>
        <w:gridCol w:w="803"/>
        <w:gridCol w:w="803"/>
        <w:gridCol w:w="805"/>
      </w:tblGrid>
      <w:tr w:rsidR="00831C3C" w:rsidRPr="00831C3C">
        <w:trPr>
          <w:trHeight w:val="240"/>
        </w:trPr>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融资项目名称</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募集方式</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变更后的项目</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对应的原承诺项目</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变更后项目拟投入募集资金总额(1)</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本报告期实际投入金额</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截至期末实际累计投入金额(2)</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截至期末投资进度(3)=(2)/(1)</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项目达到预定可使用状态日期</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本报告</w:t>
            </w:r>
            <w:proofErr w:type="gramStart"/>
            <w:r w:rsidRPr="00831C3C">
              <w:rPr>
                <w:rFonts w:ascii="宋体" w:eastAsia="宋体" w:hAnsi="宋体" w:cs="宋体"/>
                <w:sz w:val="18"/>
                <w:szCs w:val="18"/>
              </w:rPr>
              <w:t>期实现</w:t>
            </w:r>
            <w:proofErr w:type="gramEnd"/>
            <w:r w:rsidRPr="00831C3C">
              <w:rPr>
                <w:rFonts w:ascii="宋体" w:eastAsia="宋体" w:hAnsi="宋体" w:cs="宋体"/>
                <w:sz w:val="18"/>
                <w:szCs w:val="18"/>
              </w:rPr>
              <w:t>的效益</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是否达到预计效益</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变更后的项目可行性是否发生重大变化</w:t>
            </w:r>
          </w:p>
        </w:tc>
      </w:tr>
      <w:tr w:rsidR="00831C3C" w:rsidRPr="00831C3C">
        <w:trPr>
          <w:trHeight w:val="240"/>
        </w:trPr>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淮北30万锭智能纺纱产业园项目</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非公开发行公司债券</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淮北30万锭智能纺纱产业园项目</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华孚（越南）50万锭新型纱线项目（一期)</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78,846.28</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5,827.92</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79,894.42</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101.33%</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1,540.86</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是</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trPr>
          <w:trHeight w:val="240"/>
        </w:trPr>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临时性补充流动资金</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临时性补充流动资金</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-5,663</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不适用</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trPr>
          <w:trHeight w:val="240"/>
        </w:trPr>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78,846.28</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164.92</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79,894.42</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1,540.86</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r>
      <w:tr w:rsidR="00831C3C" w:rsidRPr="00831C3C">
        <w:trPr>
          <w:trHeight w:val="240"/>
        </w:trPr>
        <w:tc>
          <w:tcPr>
            <w:tcW w:w="2410"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变更原因、决策程序及信息披露情况说明(</w:t>
            </w:r>
            <w:proofErr w:type="gramStart"/>
            <w:r w:rsidRPr="00831C3C">
              <w:rPr>
                <w:rFonts w:ascii="宋体" w:eastAsia="宋体" w:hAnsi="宋体" w:cs="宋体"/>
                <w:sz w:val="18"/>
                <w:szCs w:val="18"/>
              </w:rPr>
              <w:t>分具体</w:t>
            </w:r>
            <w:proofErr w:type="gramEnd"/>
            <w:r w:rsidRPr="00831C3C">
              <w:rPr>
                <w:rFonts w:ascii="宋体" w:eastAsia="宋体" w:hAnsi="宋体" w:cs="宋体"/>
                <w:sz w:val="18"/>
                <w:szCs w:val="18"/>
              </w:rPr>
              <w:t>项目)</w:t>
            </w:r>
          </w:p>
        </w:tc>
        <w:tc>
          <w:tcPr>
            <w:tcW w:w="7229" w:type="dxa"/>
            <w:gridSpan w:val="9"/>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1、因外部市场环境变化，原项目建设进度有所延缓，实施周期被动拉长，存在投资收益不达预期的风险。因此，经公司于</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2022年1月10日召开的2022年第一次股东大会审议通过，同意将公司2021年非公开发行股票募集资金投资</w:t>
            </w:r>
            <w:proofErr w:type="gramStart"/>
            <w:r w:rsidRPr="00831C3C">
              <w:rPr>
                <w:rFonts w:ascii="宋体" w:eastAsia="宋体" w:hAnsi="宋体" w:cs="宋体"/>
                <w:sz w:val="18"/>
                <w:szCs w:val="18"/>
              </w:rPr>
              <w:t>项目华</w:t>
            </w:r>
            <w:proofErr w:type="gramEnd"/>
            <w:r w:rsidRPr="00831C3C">
              <w:rPr>
                <w:rFonts w:ascii="宋体" w:eastAsia="宋体" w:hAnsi="宋体" w:cs="宋体"/>
                <w:sz w:val="18"/>
                <w:szCs w:val="18"/>
              </w:rPr>
              <w:t>孚（越南）50万锭新型纱线项目（一期）变更为30万锭智能纺纱产业园项目（项目实施地在安徽省淮北市）。</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2023年9月19日召开第八届董事会2023年第三次临时会议、第八届监事会第十五次会议，审议通过了《关于使用部分闲置募集资金暂时补充流动资金的议案》，同意公司使用不超过1.8亿元人民币的闲置募集资金暂时补充流动资金，使用期限自董事会审议通过之日起不超过十二个月。</w:t>
            </w:r>
          </w:p>
        </w:tc>
      </w:tr>
      <w:tr w:rsidR="00831C3C" w:rsidRPr="00831C3C">
        <w:trPr>
          <w:trHeight w:val="240"/>
        </w:trPr>
        <w:tc>
          <w:tcPr>
            <w:tcW w:w="2410"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未达到计划进度或预计收益的情况和原因(</w:t>
            </w:r>
            <w:proofErr w:type="gramStart"/>
            <w:r w:rsidRPr="00831C3C">
              <w:rPr>
                <w:rFonts w:ascii="宋体" w:eastAsia="宋体" w:hAnsi="宋体" w:cs="宋体"/>
                <w:sz w:val="18"/>
                <w:szCs w:val="18"/>
              </w:rPr>
              <w:t>分具体</w:t>
            </w:r>
            <w:proofErr w:type="gramEnd"/>
            <w:r w:rsidRPr="00831C3C">
              <w:rPr>
                <w:rFonts w:ascii="宋体" w:eastAsia="宋体" w:hAnsi="宋体" w:cs="宋体"/>
                <w:sz w:val="18"/>
                <w:szCs w:val="18"/>
              </w:rPr>
              <w:t>项目)</w:t>
            </w:r>
          </w:p>
        </w:tc>
        <w:tc>
          <w:tcPr>
            <w:tcW w:w="7229" w:type="dxa"/>
            <w:gridSpan w:val="9"/>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公司于2024年10月30日召开第八届董事会第九次会议、第八届监事会第二十四次会议，审议通过了《关于募投项目延期的议案》，公司在</w:t>
            </w:r>
            <w:proofErr w:type="gramStart"/>
            <w:r w:rsidRPr="00831C3C">
              <w:rPr>
                <w:rFonts w:ascii="宋体" w:eastAsia="宋体" w:hAnsi="宋体" w:cs="宋体"/>
                <w:sz w:val="18"/>
                <w:szCs w:val="18"/>
              </w:rPr>
              <w:t>募投项目</w:t>
            </w:r>
            <w:proofErr w:type="gramEnd"/>
            <w:r w:rsidRPr="00831C3C">
              <w:rPr>
                <w:rFonts w:ascii="宋体" w:eastAsia="宋体" w:hAnsi="宋体" w:cs="宋体"/>
                <w:sz w:val="18"/>
                <w:szCs w:val="18"/>
              </w:rPr>
              <w:t>实施主体、实施方式、投资总额不发生变更的情况下，根据实际情况决定对</w:t>
            </w:r>
            <w:proofErr w:type="gramStart"/>
            <w:r w:rsidRPr="00831C3C">
              <w:rPr>
                <w:rFonts w:ascii="宋体" w:eastAsia="宋体" w:hAnsi="宋体" w:cs="宋体"/>
                <w:sz w:val="18"/>
                <w:szCs w:val="18"/>
              </w:rPr>
              <w:t>募投项目</w:t>
            </w:r>
            <w:proofErr w:type="gramEnd"/>
            <w:r w:rsidRPr="00831C3C">
              <w:rPr>
                <w:rFonts w:ascii="宋体" w:eastAsia="宋体" w:hAnsi="宋体" w:cs="宋体"/>
                <w:sz w:val="18"/>
                <w:szCs w:val="18"/>
              </w:rPr>
              <w:t>进行延期。由于宏观环境因素影响，项目整体进度放缓，预计无法在原定计划内完成建设。结合目前</w:t>
            </w:r>
            <w:proofErr w:type="gramStart"/>
            <w:r w:rsidRPr="00831C3C">
              <w:rPr>
                <w:rFonts w:ascii="宋体" w:eastAsia="宋体" w:hAnsi="宋体" w:cs="宋体"/>
                <w:sz w:val="18"/>
                <w:szCs w:val="18"/>
              </w:rPr>
              <w:t>募投项目</w:t>
            </w:r>
            <w:proofErr w:type="gramEnd"/>
            <w:r w:rsidRPr="00831C3C">
              <w:rPr>
                <w:rFonts w:ascii="宋体" w:eastAsia="宋体" w:hAnsi="宋体" w:cs="宋体"/>
                <w:sz w:val="18"/>
                <w:szCs w:val="18"/>
              </w:rPr>
              <w:t>的实施进展以及公司业务发展规划，经审慎研究，公司决定将</w:t>
            </w:r>
            <w:proofErr w:type="gramStart"/>
            <w:r w:rsidRPr="00831C3C">
              <w:rPr>
                <w:rFonts w:ascii="宋体" w:eastAsia="宋体" w:hAnsi="宋体" w:cs="宋体"/>
                <w:sz w:val="18"/>
                <w:szCs w:val="18"/>
              </w:rPr>
              <w:t>募投项目</w:t>
            </w:r>
            <w:proofErr w:type="gramEnd"/>
            <w:r w:rsidRPr="00831C3C">
              <w:rPr>
                <w:rFonts w:ascii="宋体" w:eastAsia="宋体" w:hAnsi="宋体" w:cs="宋体"/>
                <w:sz w:val="18"/>
                <w:szCs w:val="18"/>
              </w:rPr>
              <w:t>达到预定可使用状态的时间延长至2025年6月30日。</w:t>
            </w:r>
          </w:p>
        </w:tc>
      </w:tr>
      <w:tr w:rsidR="00831C3C" w:rsidRPr="00831C3C">
        <w:trPr>
          <w:trHeight w:val="240"/>
        </w:trPr>
        <w:tc>
          <w:tcPr>
            <w:tcW w:w="2410"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变更后的项目可行性发生重大变化的情况说明</w:t>
            </w:r>
          </w:p>
        </w:tc>
        <w:tc>
          <w:tcPr>
            <w:tcW w:w="7229" w:type="dxa"/>
            <w:gridSpan w:val="9"/>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不适用</w:t>
            </w:r>
          </w:p>
        </w:tc>
      </w:tr>
    </w:tbl>
    <w:p w:rsidR="00E23A97" w:rsidRPr="00831C3C" w:rsidRDefault="00C65FD5">
      <w:pPr>
        <w:pStyle w:val="2"/>
        <w:spacing w:before="300" w:after="300" w:line="320" w:lineRule="exact"/>
        <w:rPr>
          <w:rFonts w:ascii="宋体" w:eastAsia="宋体" w:hAnsi="宋体" w:cs="宋体"/>
          <w:b/>
          <w:bCs/>
          <w:sz w:val="24"/>
          <w:szCs w:val="24"/>
        </w:rPr>
      </w:pPr>
      <w:bookmarkStart w:id="58" w:name="_Toc988947"/>
      <w:r w:rsidRPr="00831C3C">
        <w:rPr>
          <w:rFonts w:ascii="宋体" w:eastAsia="宋体" w:hAnsi="宋体" w:cs="宋体"/>
          <w:b/>
          <w:bCs/>
          <w:sz w:val="24"/>
          <w:szCs w:val="24"/>
        </w:rPr>
        <w:t>八、重大资产和股权出售</w:t>
      </w:r>
      <w:bookmarkEnd w:id="58"/>
    </w:p>
    <w:p w:rsidR="00E23A97" w:rsidRPr="00831C3C" w:rsidRDefault="00C65FD5">
      <w:pPr>
        <w:pStyle w:val="3"/>
        <w:spacing w:line="280" w:lineRule="exact"/>
        <w:jc w:val="left"/>
        <w:rPr>
          <w:rFonts w:ascii="宋体" w:hAnsi="宋体" w:cs="宋体"/>
          <w:b/>
          <w:bCs/>
        </w:rPr>
      </w:pPr>
      <w:bookmarkStart w:id="59" w:name="_Toc988948"/>
      <w:r w:rsidRPr="00831C3C">
        <w:rPr>
          <w:rFonts w:ascii="宋体" w:hAnsi="宋体" w:cs="宋体"/>
          <w:b/>
          <w:bCs/>
        </w:rPr>
        <w:t>1、出售重大资产情况</w:t>
      </w:r>
      <w:bookmarkEnd w:id="59"/>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公司报告期未出售重大资产。</w:t>
      </w:r>
    </w:p>
    <w:p w:rsidR="00E23A97" w:rsidRPr="00831C3C" w:rsidRDefault="00C65FD5">
      <w:pPr>
        <w:pStyle w:val="3"/>
        <w:spacing w:line="280" w:lineRule="exact"/>
        <w:jc w:val="left"/>
        <w:rPr>
          <w:rFonts w:ascii="宋体" w:hAnsi="宋体" w:cs="宋体"/>
          <w:b/>
          <w:bCs/>
        </w:rPr>
      </w:pPr>
      <w:bookmarkStart w:id="60" w:name="_Toc988949"/>
      <w:r w:rsidRPr="00831C3C">
        <w:rPr>
          <w:rFonts w:ascii="宋体" w:hAnsi="宋体" w:cs="宋体"/>
          <w:b/>
          <w:bCs/>
        </w:rPr>
        <w:lastRenderedPageBreak/>
        <w:t>2、出售重大股权情况</w:t>
      </w:r>
      <w:bookmarkEnd w:id="60"/>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pStyle w:val="2"/>
        <w:spacing w:before="300" w:after="300" w:line="320" w:lineRule="exact"/>
        <w:rPr>
          <w:rFonts w:ascii="宋体" w:eastAsia="宋体" w:hAnsi="宋体" w:cs="宋体"/>
          <w:b/>
          <w:bCs/>
          <w:sz w:val="24"/>
          <w:szCs w:val="24"/>
        </w:rPr>
      </w:pPr>
      <w:bookmarkStart w:id="61" w:name="_Toc988950"/>
      <w:r w:rsidRPr="00831C3C">
        <w:rPr>
          <w:rFonts w:ascii="宋体" w:eastAsia="宋体" w:hAnsi="宋体" w:cs="宋体"/>
          <w:b/>
          <w:bCs/>
          <w:sz w:val="24"/>
          <w:szCs w:val="24"/>
        </w:rPr>
        <w:t>九、主要控股参股公司分析</w:t>
      </w:r>
      <w:bookmarkEnd w:id="61"/>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适用□不适用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主要子公司及对公司净利润</w:t>
      </w:r>
      <w:proofErr w:type="gramStart"/>
      <w:r w:rsidRPr="00831C3C">
        <w:rPr>
          <w:rFonts w:ascii="宋体" w:eastAsia="宋体" w:hAnsi="宋体" w:cs="宋体"/>
          <w:sz w:val="18"/>
          <w:szCs w:val="18"/>
        </w:rPr>
        <w:t>影响达</w:t>
      </w:r>
      <w:proofErr w:type="gramEnd"/>
      <w:r w:rsidRPr="00831C3C">
        <w:rPr>
          <w:rFonts w:ascii="宋体" w:eastAsia="宋体" w:hAnsi="宋体" w:cs="宋体"/>
          <w:sz w:val="18"/>
          <w:szCs w:val="18"/>
        </w:rPr>
        <w:t>10%以上的参股公司情况</w:t>
      </w:r>
    </w:p>
    <w:p w:rsidR="00E23A97" w:rsidRPr="00831C3C" w:rsidRDefault="00C65FD5">
      <w:pPr>
        <w:spacing w:before="120" w:after="12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071"/>
        <w:gridCol w:w="1071"/>
        <w:gridCol w:w="1071"/>
        <w:gridCol w:w="1071"/>
        <w:gridCol w:w="1071"/>
        <w:gridCol w:w="1071"/>
        <w:gridCol w:w="1071"/>
        <w:gridCol w:w="1071"/>
        <w:gridCol w:w="1071"/>
      </w:tblGrid>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公司名称</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公司类型</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主要业务</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注册资本</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总资产</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净资产</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营业收入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营业利润</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净利润</w:t>
            </w: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深圳市华孚进出口有限公司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子公司</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国内商业、物资供销业(不含专营、专控、专卖商品)；进出口业务(按深贸管审证字第628号</w:t>
            </w:r>
            <w:proofErr w:type="gramStart"/>
            <w:r w:rsidRPr="00831C3C">
              <w:rPr>
                <w:rFonts w:ascii="宋体" w:eastAsia="宋体" w:hAnsi="宋体" w:cs="宋体"/>
                <w:sz w:val="18"/>
                <w:szCs w:val="18"/>
              </w:rPr>
              <w:t>文办理</w:t>
            </w:r>
            <w:proofErr w:type="gramEnd"/>
            <w:r w:rsidRPr="00831C3C">
              <w:rPr>
                <w:rFonts w:ascii="宋体" w:eastAsia="宋体" w:hAnsi="宋体" w:cs="宋体"/>
                <w:sz w:val="18"/>
                <w:szCs w:val="18"/>
              </w:rPr>
              <w:t>)。企业信息咨询(不含限制项目)。</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1,500,000,000.00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6,043,805,179.04</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1,970,153,064.35</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3,481,186,679.13</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41,819,236.38</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60,127,966.55</w:t>
            </w: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浙江华孚色纺有限公司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子公司</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高档织物面料的织染及后整理加工，特种纤维、纱线、面料、混色纺纱线、染色纤维、染色筒纱、服装的生产、加工、销售</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620,560,889.03</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2,262,493,303.39</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749,703,407.38</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833,772,026.98</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-52,928,741.60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-53,274,374.28</w:t>
            </w: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香港华孚有限公司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子公司</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从事色纱线产品的销售和投资业务</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887,849,696.34</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2,114,257,874.46</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1,355,685,416.55</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315,511,154.37</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315,511,154.37</w:t>
            </w: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阿克苏华孚色纺有限公司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子公司</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纺织品、纺织器材的制造销售，纺织技术培训，出口本企业的纺织品和服装，进口企业所需的原</w:t>
            </w:r>
            <w:r w:rsidRPr="00831C3C">
              <w:rPr>
                <w:rFonts w:ascii="宋体" w:eastAsia="宋体" w:hAnsi="宋体" w:cs="宋体"/>
                <w:sz w:val="18"/>
                <w:szCs w:val="18"/>
              </w:rPr>
              <w:lastRenderedPageBreak/>
              <w:t>料、机器设备、仪器和配件，棉麻收购及销售</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lastRenderedPageBreak/>
              <w:t>2,634,516,140.00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5,169,377,631.89</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2,419,598,319.36</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4,146,671,689.02</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-8,537,771.41</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2,691,232.06</w:t>
            </w: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lastRenderedPageBreak/>
              <w:t>宁波华孚东</w:t>
            </w:r>
            <w:proofErr w:type="gramStart"/>
            <w:r w:rsidRPr="00831C3C">
              <w:rPr>
                <w:rFonts w:ascii="宋体" w:eastAsia="宋体" w:hAnsi="宋体" w:cs="宋体"/>
                <w:sz w:val="18"/>
                <w:szCs w:val="18"/>
              </w:rPr>
              <w:t>浩</w:t>
            </w:r>
            <w:proofErr w:type="gramEnd"/>
            <w:r w:rsidRPr="00831C3C">
              <w:rPr>
                <w:rFonts w:ascii="宋体" w:eastAsia="宋体" w:hAnsi="宋体" w:cs="宋体"/>
                <w:sz w:val="18"/>
                <w:szCs w:val="18"/>
              </w:rPr>
              <w:t>实业有限公司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子公司</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色纺纱、高新坯纱、OE纱等棉纺织品的批发，进出口业务</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50,000,000.00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1,287,752,635.20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-157,452,461.60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3,139,310,415.32</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44,659,803.97</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20,550,957.55</w:t>
            </w: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新疆六孚纺织工业</w:t>
            </w:r>
            <w:proofErr w:type="gramEnd"/>
            <w:r w:rsidRPr="00831C3C">
              <w:rPr>
                <w:rFonts w:ascii="宋体" w:eastAsia="宋体" w:hAnsi="宋体" w:cs="宋体"/>
                <w:sz w:val="18"/>
                <w:szCs w:val="18"/>
              </w:rPr>
              <w:t>园有限公司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子公司</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特种纤维、纱线、混色纺纱线、染色纤维、</w:t>
            </w:r>
            <w:proofErr w:type="gramStart"/>
            <w:r w:rsidRPr="00831C3C">
              <w:rPr>
                <w:rFonts w:ascii="宋体" w:eastAsia="宋体" w:hAnsi="宋体" w:cs="宋体"/>
                <w:sz w:val="18"/>
                <w:szCs w:val="18"/>
              </w:rPr>
              <w:t>染色筒纱的</w:t>
            </w:r>
            <w:proofErr w:type="gramEnd"/>
            <w:r w:rsidRPr="00831C3C">
              <w:rPr>
                <w:rFonts w:ascii="宋体" w:eastAsia="宋体" w:hAnsi="宋体" w:cs="宋体"/>
                <w:sz w:val="18"/>
                <w:szCs w:val="18"/>
              </w:rPr>
              <w:t>生产、加工销售；污水处理；一般货物与技术进出口；棉花纺织原料的购进与销售；棉花加工；废棉销售；机器设备与零配件的购进与销售</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338,250,000.00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671,093,309.37</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333,059,297.95</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429,325,939.98</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-26,772,701.21</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-26,789,980.54</w:t>
            </w: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阿克苏</w:t>
            </w:r>
            <w:proofErr w:type="gramStart"/>
            <w:r w:rsidRPr="00831C3C">
              <w:rPr>
                <w:rFonts w:ascii="宋体" w:eastAsia="宋体" w:hAnsi="宋体" w:cs="宋体"/>
                <w:sz w:val="18"/>
                <w:szCs w:val="18"/>
              </w:rPr>
              <w:t>标信纤维</w:t>
            </w:r>
            <w:proofErr w:type="gramEnd"/>
            <w:r w:rsidRPr="00831C3C">
              <w:rPr>
                <w:rFonts w:ascii="宋体" w:eastAsia="宋体" w:hAnsi="宋体" w:cs="宋体"/>
                <w:sz w:val="18"/>
                <w:szCs w:val="18"/>
              </w:rPr>
              <w:t>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子公司</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棉花加工；面料印染加工；纺纱加工；面料纺织加工</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220,000,000.00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409,035,629.09</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166,692,506.43</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238,240,478.65</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-26,062,309.02</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-22,390,316.00</w:t>
            </w: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香港华孚贸易有限公司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子公司</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从事色纱线产品的销售</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513,543,923.92</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316,663,298.98</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204,666,419.30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13,948,764.20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35,571,380.14</w:t>
            </w: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新疆华孚棉业集团有限公司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子公司</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农产品初加工服务；社会经济咨询；股权投资；棉花种植，谷物种植，货物与技术的进出口（国家禁</w:t>
            </w:r>
            <w:r w:rsidRPr="00831C3C">
              <w:rPr>
                <w:rFonts w:ascii="宋体" w:eastAsia="宋体" w:hAnsi="宋体" w:cs="宋体"/>
                <w:sz w:val="18"/>
                <w:szCs w:val="18"/>
              </w:rPr>
              <w:lastRenderedPageBreak/>
              <w:t>止或涉及行政审批的货物和技术进出口除外）；销售：食品、农副产品，纺织品、针织品及原料，服装鞋帽，纸浆，棉花，橡胶制品，棉纱，化工产品（危险化学品除外）</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lastRenderedPageBreak/>
              <w:t>1,000,000,000.00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2,787,454,418.55</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1,077,935,700.78</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2,968,367,268.62</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26,938,185.60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26,322,992.99</w:t>
            </w: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lastRenderedPageBreak/>
              <w:t>新疆华孚纺织有限公司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子公司</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棉花加工；道路货物运输（不含危险货物）。棉花收购；棉、麻销售；针纺织品销售；纺织专用设备制造；纺织专用设备销售；业务培训（不含教育培训、职业技能培训等需取得许可的培训）；货物进出口；仪器仪表销售；机械设备销售；棉花加工机械销售；塑料制品销售；塑料制品制造；塑料包装箱及容器制造；合成纤维销售。</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50,000,000.00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308,452,719.33</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88,097,723.22</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217,880,326.83</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-30,818,225.43</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-34,375,643.18</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lastRenderedPageBreak/>
        <w:t>报告期内取得和处置子公司的情况</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适用□不适用</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公司名称</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报告期内取得和处置子公司方式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对整体生产经营和业绩的影响</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华</w:t>
            </w:r>
            <w:proofErr w:type="gramStart"/>
            <w:r w:rsidRPr="00831C3C">
              <w:rPr>
                <w:rFonts w:ascii="宋体" w:eastAsia="宋体" w:hAnsi="宋体" w:cs="宋体"/>
                <w:sz w:val="18"/>
                <w:szCs w:val="18"/>
              </w:rPr>
              <w:t>孚智算</w:t>
            </w:r>
            <w:proofErr w:type="gramEnd"/>
            <w:r w:rsidRPr="00831C3C">
              <w:rPr>
                <w:rFonts w:ascii="宋体" w:eastAsia="宋体" w:hAnsi="宋体" w:cs="宋体"/>
                <w:sz w:val="18"/>
                <w:szCs w:val="18"/>
              </w:rPr>
              <w:t>（上海）网络有限公司</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新疆华孚人工智能科技有限公司</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绍兴</w:t>
            </w:r>
            <w:proofErr w:type="gramStart"/>
            <w:r w:rsidRPr="00831C3C">
              <w:rPr>
                <w:rFonts w:ascii="宋体" w:eastAsia="宋体" w:hAnsi="宋体" w:cs="宋体"/>
                <w:sz w:val="18"/>
                <w:szCs w:val="18"/>
              </w:rPr>
              <w:t>智宽科技</w:t>
            </w:r>
            <w:proofErr w:type="gramEnd"/>
            <w:r w:rsidRPr="00831C3C">
              <w:rPr>
                <w:rFonts w:ascii="宋体" w:eastAsia="宋体" w:hAnsi="宋体" w:cs="宋体"/>
                <w:sz w:val="18"/>
                <w:szCs w:val="18"/>
              </w:rPr>
              <w:t>有限公司</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新疆华孚智算科技有限公司</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绍兴华孚智算</w:t>
            </w:r>
            <w:proofErr w:type="gramEnd"/>
            <w:r w:rsidRPr="00831C3C">
              <w:rPr>
                <w:rFonts w:ascii="宋体" w:eastAsia="宋体" w:hAnsi="宋体" w:cs="宋体"/>
                <w:sz w:val="18"/>
                <w:szCs w:val="18"/>
              </w:rPr>
              <w:t>科技有限公司</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喀什</w:t>
            </w:r>
            <w:proofErr w:type="gramStart"/>
            <w:r w:rsidRPr="00831C3C">
              <w:rPr>
                <w:rFonts w:ascii="宋体" w:eastAsia="宋体" w:hAnsi="宋体" w:cs="宋体"/>
                <w:sz w:val="18"/>
                <w:szCs w:val="18"/>
              </w:rPr>
              <w:t>暄</w:t>
            </w:r>
            <w:proofErr w:type="gramEnd"/>
            <w:r w:rsidRPr="00831C3C">
              <w:rPr>
                <w:rFonts w:ascii="宋体" w:eastAsia="宋体" w:hAnsi="宋体" w:cs="宋体"/>
                <w:sz w:val="18"/>
                <w:szCs w:val="18"/>
              </w:rPr>
              <w:t>纺棉花有限公司</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兰溪市</w:t>
            </w:r>
            <w:proofErr w:type="gramStart"/>
            <w:r w:rsidRPr="00831C3C">
              <w:rPr>
                <w:rFonts w:ascii="宋体" w:eastAsia="宋体" w:hAnsi="宋体" w:cs="宋体"/>
                <w:sz w:val="18"/>
                <w:szCs w:val="18"/>
              </w:rPr>
              <w:t>菁英数字</w:t>
            </w:r>
            <w:proofErr w:type="gramEnd"/>
            <w:r w:rsidRPr="00831C3C">
              <w:rPr>
                <w:rFonts w:ascii="宋体" w:eastAsia="宋体" w:hAnsi="宋体" w:cs="宋体"/>
                <w:sz w:val="18"/>
                <w:szCs w:val="18"/>
              </w:rPr>
              <w:t>产业发展有限公司</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新疆华孚种业科技股份有限公司</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东阳市广厦</w:t>
            </w:r>
            <w:proofErr w:type="gramStart"/>
            <w:r w:rsidRPr="00831C3C">
              <w:rPr>
                <w:rFonts w:ascii="宋体" w:eastAsia="宋体" w:hAnsi="宋体" w:cs="宋体"/>
                <w:sz w:val="18"/>
                <w:szCs w:val="18"/>
              </w:rPr>
              <w:t>菁英创业</w:t>
            </w:r>
            <w:proofErr w:type="gramEnd"/>
            <w:r w:rsidRPr="00831C3C">
              <w:rPr>
                <w:rFonts w:ascii="宋体" w:eastAsia="宋体" w:hAnsi="宋体" w:cs="宋体"/>
                <w:sz w:val="18"/>
                <w:szCs w:val="18"/>
              </w:rPr>
              <w:t>服务有限公司</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浙江尚春酒店有限公司</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阿瓦提华</w:t>
            </w:r>
            <w:proofErr w:type="gramStart"/>
            <w:r w:rsidRPr="00831C3C">
              <w:rPr>
                <w:rFonts w:ascii="宋体" w:eastAsia="宋体" w:hAnsi="宋体" w:cs="宋体"/>
                <w:sz w:val="18"/>
                <w:szCs w:val="18"/>
              </w:rPr>
              <w:t>孚</w:t>
            </w:r>
            <w:proofErr w:type="gramEnd"/>
            <w:r w:rsidRPr="00831C3C">
              <w:rPr>
                <w:rFonts w:ascii="宋体" w:eastAsia="宋体" w:hAnsi="宋体" w:cs="宋体"/>
                <w:sz w:val="18"/>
                <w:szCs w:val="18"/>
              </w:rPr>
              <w:t>纺织有限公司</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注销</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浙江缙云华孚纺织有限公司</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注销</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余姚华</w:t>
            </w:r>
            <w:proofErr w:type="gramStart"/>
            <w:r w:rsidRPr="00831C3C">
              <w:rPr>
                <w:rFonts w:ascii="宋体" w:eastAsia="宋体" w:hAnsi="宋体" w:cs="宋体"/>
                <w:sz w:val="18"/>
                <w:szCs w:val="18"/>
              </w:rPr>
              <w:t>孚</w:t>
            </w:r>
            <w:proofErr w:type="gramEnd"/>
            <w:r w:rsidRPr="00831C3C">
              <w:rPr>
                <w:rFonts w:ascii="宋体" w:eastAsia="宋体" w:hAnsi="宋体" w:cs="宋体"/>
                <w:sz w:val="18"/>
                <w:szCs w:val="18"/>
              </w:rPr>
              <w:t>纺织有限公司</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注销</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浙江服人网络科技有限公司</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注销</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上海清澄时尚生活用品有限公司</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注销</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江苏</w:t>
            </w:r>
            <w:proofErr w:type="gramStart"/>
            <w:r w:rsidRPr="00831C3C">
              <w:rPr>
                <w:rFonts w:ascii="宋体" w:eastAsia="宋体" w:hAnsi="宋体" w:cs="宋体"/>
                <w:sz w:val="18"/>
                <w:szCs w:val="18"/>
              </w:rPr>
              <w:t>清澄家</w:t>
            </w:r>
            <w:proofErr w:type="gramEnd"/>
            <w:r w:rsidRPr="00831C3C">
              <w:rPr>
                <w:rFonts w:ascii="宋体" w:eastAsia="宋体" w:hAnsi="宋体" w:cs="宋体"/>
                <w:sz w:val="18"/>
                <w:szCs w:val="18"/>
              </w:rPr>
              <w:t>生活用品有限公司</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注销</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喀什</w:t>
            </w:r>
            <w:proofErr w:type="gramStart"/>
            <w:r w:rsidRPr="00831C3C">
              <w:rPr>
                <w:rFonts w:ascii="宋体" w:eastAsia="宋体" w:hAnsi="宋体" w:cs="宋体"/>
                <w:sz w:val="18"/>
                <w:szCs w:val="18"/>
              </w:rPr>
              <w:t>暄</w:t>
            </w:r>
            <w:proofErr w:type="gramEnd"/>
            <w:r w:rsidRPr="00831C3C">
              <w:rPr>
                <w:rFonts w:ascii="宋体" w:eastAsia="宋体" w:hAnsi="宋体" w:cs="宋体"/>
                <w:sz w:val="18"/>
                <w:szCs w:val="18"/>
              </w:rPr>
              <w:t>纺棉花有限公司</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非同控转让</w:t>
            </w:r>
            <w:proofErr w:type="gramEnd"/>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深圳市天计数</w:t>
            </w:r>
            <w:proofErr w:type="gramStart"/>
            <w:r w:rsidRPr="00831C3C">
              <w:rPr>
                <w:rFonts w:ascii="宋体" w:eastAsia="宋体" w:hAnsi="宋体" w:cs="宋体"/>
                <w:sz w:val="18"/>
                <w:szCs w:val="18"/>
              </w:rPr>
              <w:t>智科技</w:t>
            </w:r>
            <w:proofErr w:type="gramEnd"/>
            <w:r w:rsidRPr="00831C3C">
              <w:rPr>
                <w:rFonts w:ascii="宋体" w:eastAsia="宋体" w:hAnsi="宋体" w:cs="宋体"/>
                <w:sz w:val="18"/>
                <w:szCs w:val="18"/>
              </w:rPr>
              <w:t>有限公司</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非同控转让</w:t>
            </w:r>
            <w:proofErr w:type="gramEnd"/>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新疆泽孚棉花有限公司</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非同控转让</w:t>
            </w:r>
            <w:proofErr w:type="gramEnd"/>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bl>
    <w:p w:rsidR="00C65FD5" w:rsidRPr="00831C3C" w:rsidRDefault="00C65FD5" w:rsidP="00896FFD">
      <w:pPr>
        <w:spacing w:before="100" w:after="100" w:line="240" w:lineRule="exact"/>
        <w:rPr>
          <w:rFonts w:ascii="宋体" w:eastAsia="宋体" w:hAnsi="宋体" w:cs="宋体"/>
          <w:sz w:val="18"/>
          <w:szCs w:val="18"/>
        </w:rPr>
      </w:pPr>
      <w:r w:rsidRPr="00831C3C">
        <w:rPr>
          <w:rFonts w:ascii="宋体" w:eastAsia="宋体" w:hAnsi="宋体" w:cs="宋体"/>
          <w:sz w:val="18"/>
          <w:szCs w:val="18"/>
        </w:rPr>
        <w:t>主要控股参股公司情况说明</w:t>
      </w:r>
      <w:r w:rsidR="00896FFD" w:rsidRPr="00831C3C">
        <w:rPr>
          <w:rFonts w:ascii="宋体" w:eastAsia="宋体" w:hAnsi="宋体" w:cs="宋体" w:hint="eastAsia"/>
          <w:sz w:val="18"/>
          <w:szCs w:val="18"/>
        </w:rPr>
        <w:t>：</w:t>
      </w:r>
      <w:r w:rsidRPr="00831C3C">
        <w:rPr>
          <w:rFonts w:hint="eastAsia"/>
          <w:sz w:val="18"/>
          <w:szCs w:val="18"/>
        </w:rPr>
        <w:t>无。</w:t>
      </w:r>
    </w:p>
    <w:p w:rsidR="00E23A97" w:rsidRPr="00831C3C" w:rsidRDefault="00C65FD5">
      <w:pPr>
        <w:pStyle w:val="2"/>
        <w:spacing w:before="300" w:after="300" w:line="320" w:lineRule="exact"/>
        <w:rPr>
          <w:rFonts w:ascii="宋体" w:eastAsia="宋体" w:hAnsi="宋体" w:cs="宋体"/>
          <w:b/>
          <w:bCs/>
          <w:sz w:val="24"/>
          <w:szCs w:val="24"/>
        </w:rPr>
      </w:pPr>
      <w:bookmarkStart w:id="62" w:name="_Toc988951"/>
      <w:r w:rsidRPr="00831C3C">
        <w:rPr>
          <w:rFonts w:ascii="宋体" w:eastAsia="宋体" w:hAnsi="宋体" w:cs="宋体"/>
          <w:b/>
          <w:bCs/>
          <w:sz w:val="24"/>
          <w:szCs w:val="24"/>
        </w:rPr>
        <w:t>十、公司控制的结构化主体情况</w:t>
      </w:r>
      <w:bookmarkEnd w:id="62"/>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pStyle w:val="2"/>
        <w:spacing w:before="300" w:after="300" w:line="320" w:lineRule="exact"/>
        <w:rPr>
          <w:rFonts w:ascii="宋体" w:eastAsia="宋体" w:hAnsi="宋体" w:cs="宋体"/>
          <w:b/>
          <w:bCs/>
          <w:sz w:val="24"/>
          <w:szCs w:val="24"/>
        </w:rPr>
      </w:pPr>
      <w:bookmarkStart w:id="63" w:name="_Toc988952"/>
      <w:r w:rsidRPr="00831C3C">
        <w:rPr>
          <w:rFonts w:ascii="宋体" w:eastAsia="宋体" w:hAnsi="宋体" w:cs="宋体"/>
          <w:b/>
          <w:bCs/>
          <w:sz w:val="24"/>
          <w:szCs w:val="24"/>
        </w:rPr>
        <w:t>十一、公司未来发展的展望</w:t>
      </w:r>
      <w:bookmarkEnd w:id="63"/>
    </w:p>
    <w:p w:rsidR="00C65FD5" w:rsidRPr="00831C3C" w:rsidRDefault="00C65FD5" w:rsidP="00896FFD">
      <w:pPr>
        <w:pStyle w:val="a3"/>
        <w:spacing w:before="0" w:beforeAutospacing="0" w:after="0" w:afterAutospacing="0"/>
        <w:ind w:firstLine="357"/>
        <w:divId w:val="913205781"/>
        <w:rPr>
          <w:rFonts w:ascii="Times New Roman" w:hAnsi="Times New Roman" w:cs="Times New Roman"/>
        </w:rPr>
      </w:pPr>
      <w:r w:rsidRPr="00831C3C">
        <w:rPr>
          <w:rFonts w:cs="Times New Roman" w:hint="eastAsia"/>
          <w:sz w:val="18"/>
          <w:szCs w:val="18"/>
        </w:rPr>
        <w:t>（一）行业趋势</w:t>
      </w:r>
    </w:p>
    <w:p w:rsidR="00C65FD5" w:rsidRPr="00831C3C" w:rsidRDefault="00C65FD5" w:rsidP="00896FFD">
      <w:pPr>
        <w:pStyle w:val="a3"/>
        <w:spacing w:before="0" w:beforeAutospacing="0" w:after="0" w:afterAutospacing="0"/>
        <w:ind w:firstLine="357"/>
        <w:divId w:val="913205781"/>
        <w:rPr>
          <w:rFonts w:ascii="Times New Roman" w:hAnsi="Times New Roman" w:cs="Times New Roman"/>
        </w:rPr>
      </w:pPr>
      <w:r w:rsidRPr="00831C3C">
        <w:rPr>
          <w:rFonts w:cs="Times New Roman" w:hint="eastAsia"/>
          <w:sz w:val="18"/>
          <w:szCs w:val="18"/>
        </w:rPr>
        <w:t>展望</w:t>
      </w:r>
      <w:r w:rsidRPr="00831C3C">
        <w:rPr>
          <w:rFonts w:ascii="Times New Roman" w:hAnsi="Times New Roman" w:cs="Times New Roman"/>
          <w:sz w:val="18"/>
          <w:szCs w:val="18"/>
        </w:rPr>
        <w:t>2025</w:t>
      </w:r>
      <w:r w:rsidRPr="00831C3C">
        <w:rPr>
          <w:rFonts w:cs="Times New Roman" w:hint="eastAsia"/>
          <w:sz w:val="18"/>
          <w:szCs w:val="18"/>
        </w:rPr>
        <w:t>年，国家大力提振消费，全方位扩大国内需求，随着国内经济回升向好、消费信心和市场活力逐步增强，服装内销市场将呈现平稳向好态势。</w:t>
      </w:r>
    </w:p>
    <w:p w:rsidR="00C65FD5" w:rsidRPr="00831C3C" w:rsidRDefault="00C65FD5" w:rsidP="00896FFD">
      <w:pPr>
        <w:pStyle w:val="a3"/>
        <w:spacing w:before="0" w:beforeAutospacing="0" w:after="0" w:afterAutospacing="0"/>
        <w:ind w:firstLine="357"/>
        <w:divId w:val="913205781"/>
        <w:rPr>
          <w:rFonts w:ascii="Times New Roman" w:hAnsi="Times New Roman" w:cs="Times New Roman"/>
        </w:rPr>
      </w:pPr>
      <w:r w:rsidRPr="00831C3C">
        <w:rPr>
          <w:rFonts w:cs="Times New Roman" w:hint="eastAsia"/>
          <w:sz w:val="18"/>
          <w:szCs w:val="18"/>
        </w:rPr>
        <w:t>国际贸易方面，国际市场需求复苏动力不足，发达经济体补库存周期进入尾声</w:t>
      </w:r>
      <w:r w:rsidR="00954343">
        <w:rPr>
          <w:rFonts w:cs="Times New Roman" w:hint="eastAsia"/>
          <w:sz w:val="18"/>
          <w:szCs w:val="18"/>
        </w:rPr>
        <w:t>，</w:t>
      </w:r>
      <w:r w:rsidRPr="00831C3C">
        <w:rPr>
          <w:rFonts w:cs="Times New Roman" w:hint="eastAsia"/>
          <w:sz w:val="18"/>
          <w:szCs w:val="18"/>
        </w:rPr>
        <w:t>不确定的因素增加，将会对行业出口产生不利影响。国内企业也在加快全球化产能布局，积极应对贸易风险。受益于我国完善的纺织服装产业链优势、现代化制造能力和多元化市场的强大韧性，以及跨境电商等新业态的有力拉动，行业出口仍存在较强支撑。</w:t>
      </w:r>
    </w:p>
    <w:p w:rsidR="00C65FD5" w:rsidRPr="00831C3C" w:rsidRDefault="00C65FD5" w:rsidP="00896FFD">
      <w:pPr>
        <w:pStyle w:val="a3"/>
        <w:spacing w:before="0" w:beforeAutospacing="0" w:after="0" w:afterAutospacing="0"/>
        <w:ind w:firstLine="357"/>
        <w:divId w:val="913205781"/>
        <w:rPr>
          <w:rFonts w:ascii="Times New Roman" w:hAnsi="Times New Roman" w:cs="Times New Roman"/>
        </w:rPr>
      </w:pPr>
      <w:r w:rsidRPr="00831C3C">
        <w:rPr>
          <w:rFonts w:cs="Times New Roman" w:hint="eastAsia"/>
          <w:sz w:val="18"/>
          <w:szCs w:val="18"/>
        </w:rPr>
        <w:t>总体来看，</w:t>
      </w:r>
      <w:r w:rsidRPr="00831C3C">
        <w:rPr>
          <w:rFonts w:ascii="Times New Roman" w:hAnsi="Times New Roman" w:cs="Times New Roman"/>
          <w:sz w:val="18"/>
          <w:szCs w:val="18"/>
        </w:rPr>
        <w:t>2025</w:t>
      </w:r>
      <w:r w:rsidRPr="00831C3C">
        <w:rPr>
          <w:rFonts w:cs="Times New Roman" w:hint="eastAsia"/>
          <w:sz w:val="18"/>
          <w:szCs w:val="18"/>
        </w:rPr>
        <w:t>年，行业仍面临复杂多变的宏观形势带来的挑战，但多重利好因素支撑内需持续回暖，出口韧性较强，数转智改、绿色发展与业</w:t>
      </w:r>
      <w:proofErr w:type="gramStart"/>
      <w:r w:rsidRPr="00831C3C">
        <w:rPr>
          <w:rFonts w:cs="Times New Roman" w:hint="eastAsia"/>
          <w:sz w:val="18"/>
          <w:szCs w:val="18"/>
        </w:rPr>
        <w:t>态创新</w:t>
      </w:r>
      <w:proofErr w:type="gramEnd"/>
      <w:r w:rsidRPr="00831C3C">
        <w:rPr>
          <w:rFonts w:cs="Times New Roman" w:hint="eastAsia"/>
          <w:sz w:val="18"/>
          <w:szCs w:val="18"/>
        </w:rPr>
        <w:t>等转型升级存在巨大机遇，推动行业经济稳步向好。</w:t>
      </w:r>
    </w:p>
    <w:p w:rsidR="00C65FD5" w:rsidRPr="00831C3C" w:rsidRDefault="00C65FD5" w:rsidP="00896FFD">
      <w:pPr>
        <w:pStyle w:val="a3"/>
        <w:spacing w:before="0" w:beforeAutospacing="0" w:after="0" w:afterAutospacing="0"/>
        <w:ind w:firstLine="357"/>
        <w:divId w:val="913205781"/>
        <w:rPr>
          <w:rFonts w:ascii="Times New Roman" w:hAnsi="Times New Roman" w:cs="Times New Roman"/>
        </w:rPr>
      </w:pPr>
      <w:r w:rsidRPr="00831C3C">
        <w:rPr>
          <w:rFonts w:cs="Times New Roman" w:hint="eastAsia"/>
          <w:sz w:val="18"/>
          <w:szCs w:val="18"/>
        </w:rPr>
        <w:t>（二）公司发展战略</w:t>
      </w:r>
    </w:p>
    <w:p w:rsidR="00C65FD5" w:rsidRPr="00831C3C" w:rsidRDefault="00C65FD5" w:rsidP="00896FFD">
      <w:pPr>
        <w:pStyle w:val="a3"/>
        <w:spacing w:before="0" w:beforeAutospacing="0" w:after="0" w:afterAutospacing="0"/>
        <w:ind w:firstLine="357"/>
        <w:divId w:val="913205781"/>
        <w:rPr>
          <w:rFonts w:ascii="Times New Roman" w:hAnsi="Times New Roman" w:cs="Times New Roman"/>
        </w:rPr>
      </w:pPr>
      <w:r w:rsidRPr="00831C3C">
        <w:rPr>
          <w:rFonts w:cs="Times New Roman" w:hint="eastAsia"/>
          <w:sz w:val="18"/>
          <w:szCs w:val="18"/>
        </w:rPr>
        <w:t>继续实施“坚持主业、共享产业、发展新业”的战略主题，在产品创新、营销创新、管理创新的基础上，做宽、做厚纱线主业的护城河，同时，通过业务模式创新、金融创新、机制创新，强化公司多元业务的优势、补足业务的短板、拉通三业。</w:t>
      </w:r>
    </w:p>
    <w:p w:rsidR="00C65FD5" w:rsidRPr="00831C3C" w:rsidRDefault="00C65FD5" w:rsidP="00896FFD">
      <w:pPr>
        <w:pStyle w:val="a3"/>
        <w:spacing w:before="0" w:beforeAutospacing="0" w:after="0" w:afterAutospacing="0"/>
        <w:ind w:firstLine="357"/>
        <w:divId w:val="913205781"/>
        <w:rPr>
          <w:rFonts w:ascii="Times New Roman" w:hAnsi="Times New Roman" w:cs="Times New Roman"/>
        </w:rPr>
      </w:pPr>
      <w:r w:rsidRPr="00831C3C">
        <w:rPr>
          <w:rFonts w:cs="Times New Roman" w:hint="eastAsia"/>
          <w:sz w:val="18"/>
          <w:szCs w:val="18"/>
        </w:rPr>
        <w:t>主营纱线，公司进行产品细分、市场开拓、区域渗透，实施双循环战略，实现海外、国内市场均衡发展。公司</w:t>
      </w:r>
      <w:proofErr w:type="gramStart"/>
      <w:r w:rsidRPr="00831C3C">
        <w:rPr>
          <w:rFonts w:cs="Times New Roman" w:hint="eastAsia"/>
          <w:sz w:val="18"/>
          <w:szCs w:val="18"/>
        </w:rPr>
        <w:t>运用三纱合一</w:t>
      </w:r>
      <w:proofErr w:type="gramEnd"/>
      <w:r w:rsidRPr="00831C3C">
        <w:rPr>
          <w:rFonts w:cs="Times New Roman" w:hint="eastAsia"/>
          <w:sz w:val="18"/>
          <w:szCs w:val="18"/>
        </w:rPr>
        <w:t>综合优势，利用新疆资源做品牌竞争力，做强全棉产品，着力创新非棉产品，建立长周期中位线原料购销机制，提高公司对整体库存的风险规避能力。</w:t>
      </w:r>
    </w:p>
    <w:p w:rsidR="00C65FD5" w:rsidRPr="00831C3C" w:rsidRDefault="00C65FD5" w:rsidP="00896FFD">
      <w:pPr>
        <w:pStyle w:val="a3"/>
        <w:spacing w:before="0" w:beforeAutospacing="0" w:after="0" w:afterAutospacing="0"/>
        <w:ind w:firstLine="357"/>
        <w:divId w:val="913205781"/>
        <w:rPr>
          <w:rFonts w:ascii="Times New Roman" w:hAnsi="Times New Roman" w:cs="Times New Roman"/>
        </w:rPr>
      </w:pPr>
      <w:r w:rsidRPr="00831C3C">
        <w:rPr>
          <w:rFonts w:cs="Times New Roman" w:hint="eastAsia"/>
          <w:sz w:val="18"/>
          <w:szCs w:val="18"/>
        </w:rPr>
        <w:t>共享产业，以有充分竞争力的纱线品类为线索，贯穿纺织服装全链运营，实现从一朵棉花到一双袜子、一件衣服的</w:t>
      </w:r>
      <w:proofErr w:type="gramStart"/>
      <w:r w:rsidRPr="00831C3C">
        <w:rPr>
          <w:rFonts w:cs="Times New Roman" w:hint="eastAsia"/>
          <w:sz w:val="18"/>
          <w:szCs w:val="18"/>
        </w:rPr>
        <w:t>全供应</w:t>
      </w:r>
      <w:proofErr w:type="gramEnd"/>
      <w:r w:rsidRPr="00831C3C">
        <w:rPr>
          <w:rFonts w:cs="Times New Roman" w:hint="eastAsia"/>
          <w:sz w:val="18"/>
          <w:szCs w:val="18"/>
        </w:rPr>
        <w:t>链业务。</w:t>
      </w:r>
    </w:p>
    <w:p w:rsidR="00C65FD5" w:rsidRPr="00831C3C" w:rsidRDefault="00C65FD5" w:rsidP="00896FFD">
      <w:pPr>
        <w:pStyle w:val="a3"/>
        <w:spacing w:before="0" w:beforeAutospacing="0" w:after="0" w:afterAutospacing="0"/>
        <w:ind w:firstLine="357"/>
        <w:divId w:val="913205781"/>
        <w:rPr>
          <w:rFonts w:ascii="Times New Roman" w:hAnsi="Times New Roman" w:cs="Times New Roman"/>
        </w:rPr>
      </w:pPr>
      <w:r w:rsidRPr="00831C3C">
        <w:rPr>
          <w:rFonts w:cs="Times New Roman" w:hint="eastAsia"/>
          <w:sz w:val="18"/>
          <w:szCs w:val="18"/>
        </w:rPr>
        <w:lastRenderedPageBreak/>
        <w:t>公司着力打造上虞</w:t>
      </w:r>
      <w:r w:rsidRPr="00831C3C">
        <w:rPr>
          <w:rFonts w:ascii="Times New Roman" w:hAnsi="Times New Roman" w:cs="Times New Roman"/>
          <w:sz w:val="18"/>
          <w:szCs w:val="18"/>
        </w:rPr>
        <w:t>AIGC</w:t>
      </w:r>
      <w:proofErr w:type="gramStart"/>
      <w:r w:rsidRPr="00831C3C">
        <w:rPr>
          <w:rFonts w:cs="Times New Roman" w:hint="eastAsia"/>
          <w:sz w:val="18"/>
          <w:szCs w:val="18"/>
        </w:rPr>
        <w:t>智算中心</w:t>
      </w:r>
      <w:proofErr w:type="gramEnd"/>
      <w:r w:rsidRPr="00831C3C">
        <w:rPr>
          <w:rFonts w:cs="Times New Roman" w:hint="eastAsia"/>
          <w:sz w:val="18"/>
          <w:szCs w:val="18"/>
        </w:rPr>
        <w:t>项目及新疆阿克苏城市</w:t>
      </w:r>
      <w:proofErr w:type="gramStart"/>
      <w:r w:rsidRPr="00831C3C">
        <w:rPr>
          <w:rFonts w:cs="Times New Roman" w:hint="eastAsia"/>
          <w:sz w:val="18"/>
          <w:szCs w:val="18"/>
        </w:rPr>
        <w:t>公共算力平台</w:t>
      </w:r>
      <w:proofErr w:type="gramEnd"/>
      <w:r w:rsidRPr="00831C3C">
        <w:rPr>
          <w:rFonts w:cs="Times New Roman" w:hint="eastAsia"/>
          <w:sz w:val="18"/>
          <w:szCs w:val="18"/>
        </w:rPr>
        <w:t>项目，</w:t>
      </w:r>
      <w:proofErr w:type="gramStart"/>
      <w:r w:rsidRPr="00831C3C">
        <w:rPr>
          <w:rFonts w:cs="Times New Roman" w:hint="eastAsia"/>
          <w:sz w:val="18"/>
          <w:szCs w:val="18"/>
        </w:rPr>
        <w:t>提供算力租赁</w:t>
      </w:r>
      <w:proofErr w:type="gramEnd"/>
      <w:r w:rsidRPr="00831C3C">
        <w:rPr>
          <w:rFonts w:cs="Times New Roman" w:hint="eastAsia"/>
          <w:sz w:val="18"/>
          <w:szCs w:val="18"/>
        </w:rPr>
        <w:t>服务；同时，公司</w:t>
      </w:r>
      <w:proofErr w:type="gramStart"/>
      <w:r w:rsidRPr="00831C3C">
        <w:rPr>
          <w:rFonts w:cs="Times New Roman" w:hint="eastAsia"/>
          <w:sz w:val="18"/>
          <w:szCs w:val="18"/>
        </w:rPr>
        <w:t>通过智算中心的算力支持</w:t>
      </w:r>
      <w:proofErr w:type="gramEnd"/>
      <w:r w:rsidRPr="00831C3C">
        <w:rPr>
          <w:rFonts w:cs="Times New Roman" w:hint="eastAsia"/>
          <w:sz w:val="18"/>
          <w:szCs w:val="18"/>
        </w:rPr>
        <w:t>，将数字化和虚拟化技术应用于纺织服装设计和生产领域，形成人工智能产业技术研发与商业应用闭环。</w:t>
      </w:r>
    </w:p>
    <w:p w:rsidR="00C65FD5" w:rsidRPr="00831C3C" w:rsidRDefault="00C65FD5" w:rsidP="00896FFD">
      <w:pPr>
        <w:pStyle w:val="a3"/>
        <w:spacing w:before="0" w:beforeAutospacing="0" w:after="0" w:afterAutospacing="0"/>
        <w:ind w:firstLine="357"/>
        <w:divId w:val="913205781"/>
        <w:rPr>
          <w:rFonts w:ascii="Times New Roman" w:hAnsi="Times New Roman" w:cs="Times New Roman"/>
        </w:rPr>
      </w:pPr>
      <w:r w:rsidRPr="00831C3C">
        <w:rPr>
          <w:rFonts w:cs="Times New Roman" w:hint="eastAsia"/>
          <w:sz w:val="18"/>
          <w:szCs w:val="18"/>
        </w:rPr>
        <w:t>（三）可能面临的风险</w:t>
      </w:r>
    </w:p>
    <w:p w:rsidR="00C65FD5" w:rsidRPr="00831C3C" w:rsidRDefault="00C65FD5" w:rsidP="00896FFD">
      <w:pPr>
        <w:pStyle w:val="a3"/>
        <w:spacing w:before="0" w:beforeAutospacing="0" w:after="0" w:afterAutospacing="0"/>
        <w:ind w:firstLine="357"/>
        <w:divId w:val="913205781"/>
        <w:rPr>
          <w:rFonts w:ascii="Times New Roman" w:hAnsi="Times New Roman" w:cs="Times New Roman"/>
        </w:rPr>
      </w:pPr>
      <w:r w:rsidRPr="00831C3C">
        <w:rPr>
          <w:rFonts w:ascii="Times New Roman" w:hAnsi="Times New Roman" w:cs="Times New Roman"/>
          <w:sz w:val="18"/>
          <w:szCs w:val="18"/>
        </w:rPr>
        <w:t>1</w:t>
      </w:r>
      <w:r w:rsidRPr="00831C3C">
        <w:rPr>
          <w:rFonts w:cs="Times New Roman" w:hint="eastAsia"/>
          <w:sz w:val="18"/>
          <w:szCs w:val="18"/>
        </w:rPr>
        <w:t>、原材料价格波动风险：棉花成本占总成本</w:t>
      </w:r>
      <w:r w:rsidRPr="00831C3C">
        <w:rPr>
          <w:rFonts w:ascii="Times New Roman" w:hAnsi="Times New Roman" w:cs="Times New Roman"/>
          <w:sz w:val="18"/>
          <w:szCs w:val="18"/>
        </w:rPr>
        <w:t>60%</w:t>
      </w:r>
      <w:bookmarkStart w:id="64" w:name="_GoBack"/>
      <w:bookmarkEnd w:id="64"/>
      <w:r w:rsidRPr="00831C3C">
        <w:rPr>
          <w:rFonts w:cs="Times New Roman" w:hint="eastAsia"/>
          <w:sz w:val="18"/>
          <w:szCs w:val="18"/>
        </w:rPr>
        <w:t>以上，棉花等原料的金融属性加强，价格波动幅度增大。</w:t>
      </w:r>
    </w:p>
    <w:p w:rsidR="00C65FD5" w:rsidRPr="00831C3C" w:rsidRDefault="00C65FD5" w:rsidP="00896FFD">
      <w:pPr>
        <w:pStyle w:val="a3"/>
        <w:spacing w:before="0" w:beforeAutospacing="0" w:after="0" w:afterAutospacing="0"/>
        <w:ind w:firstLine="357"/>
        <w:divId w:val="913205781"/>
        <w:rPr>
          <w:rFonts w:ascii="Times New Roman" w:hAnsi="Times New Roman" w:cs="Times New Roman"/>
        </w:rPr>
      </w:pPr>
      <w:r w:rsidRPr="00831C3C">
        <w:rPr>
          <w:rFonts w:ascii="Times New Roman" w:hAnsi="Times New Roman" w:cs="Times New Roman"/>
          <w:sz w:val="18"/>
          <w:szCs w:val="18"/>
        </w:rPr>
        <w:t>2</w:t>
      </w:r>
      <w:r w:rsidRPr="00831C3C">
        <w:rPr>
          <w:rFonts w:cs="Times New Roman" w:hint="eastAsia"/>
          <w:sz w:val="18"/>
          <w:szCs w:val="18"/>
        </w:rPr>
        <w:t>、人民币汇率风险：本公司棉花部分为从国际市场采购、纺织产品部分以直接或间接方式出口海外，利用境外融资平台配置有美元外债，公司也有境外项目投资，人民币汇率的波动将对公司生产成本、营业收入以及汇兑损益产生一定影响。</w:t>
      </w:r>
    </w:p>
    <w:p w:rsidR="00C65FD5" w:rsidRPr="00831C3C" w:rsidRDefault="00C65FD5" w:rsidP="00896FFD">
      <w:pPr>
        <w:pStyle w:val="a3"/>
        <w:spacing w:before="0" w:beforeAutospacing="0" w:after="0" w:afterAutospacing="0"/>
        <w:ind w:firstLine="357"/>
        <w:divId w:val="913205781"/>
        <w:rPr>
          <w:rFonts w:ascii="Times New Roman" w:hAnsi="Times New Roman" w:cs="Times New Roman"/>
        </w:rPr>
      </w:pPr>
      <w:r w:rsidRPr="00831C3C">
        <w:rPr>
          <w:rFonts w:ascii="Times New Roman" w:hAnsi="Times New Roman" w:cs="Times New Roman"/>
          <w:sz w:val="18"/>
          <w:szCs w:val="18"/>
        </w:rPr>
        <w:t>3</w:t>
      </w:r>
      <w:r w:rsidRPr="00831C3C">
        <w:rPr>
          <w:rFonts w:cs="Times New Roman" w:hint="eastAsia"/>
          <w:sz w:val="18"/>
          <w:szCs w:val="18"/>
        </w:rPr>
        <w:t>、政治博弈带来订单波动的风险：继</w:t>
      </w:r>
      <w:r w:rsidRPr="00831C3C">
        <w:rPr>
          <w:rFonts w:ascii="Times New Roman" w:hAnsi="Times New Roman" w:cs="Times New Roman"/>
          <w:sz w:val="18"/>
          <w:szCs w:val="18"/>
        </w:rPr>
        <w:t>2020</w:t>
      </w:r>
      <w:r w:rsidRPr="00831C3C">
        <w:rPr>
          <w:rFonts w:cs="Times New Roman" w:hint="eastAsia"/>
          <w:sz w:val="18"/>
          <w:szCs w:val="18"/>
        </w:rPr>
        <w:t>年公司子公司阿克苏华孚被美国商务部纳入实体清单、</w:t>
      </w:r>
      <w:r w:rsidRPr="00831C3C">
        <w:rPr>
          <w:rFonts w:ascii="Times New Roman" w:hAnsi="Times New Roman" w:cs="Times New Roman"/>
          <w:sz w:val="18"/>
          <w:szCs w:val="18"/>
        </w:rPr>
        <w:t>2022</w:t>
      </w:r>
      <w:r w:rsidRPr="00831C3C">
        <w:rPr>
          <w:rFonts w:cs="Times New Roman" w:hint="eastAsia"/>
          <w:sz w:val="18"/>
          <w:szCs w:val="18"/>
        </w:rPr>
        <w:t>年被列入</w:t>
      </w:r>
      <w:r w:rsidRPr="00831C3C">
        <w:rPr>
          <w:rFonts w:ascii="Times New Roman" w:hAnsi="Times New Roman" w:cs="Times New Roman"/>
          <w:sz w:val="18"/>
          <w:szCs w:val="18"/>
        </w:rPr>
        <w:t>“</w:t>
      </w:r>
      <w:r w:rsidRPr="00831C3C">
        <w:rPr>
          <w:rFonts w:cs="Times New Roman" w:hint="eastAsia"/>
          <w:sz w:val="18"/>
          <w:szCs w:val="18"/>
        </w:rPr>
        <w:t>维吾尔强迫劳动预防法实体清单</w:t>
      </w:r>
      <w:r w:rsidRPr="00831C3C">
        <w:rPr>
          <w:rFonts w:ascii="Times New Roman" w:hAnsi="Times New Roman" w:cs="Times New Roman"/>
          <w:sz w:val="18"/>
          <w:szCs w:val="18"/>
        </w:rPr>
        <w:t>”</w:t>
      </w:r>
      <w:r w:rsidRPr="00831C3C">
        <w:rPr>
          <w:rFonts w:cs="Times New Roman" w:hint="eastAsia"/>
          <w:sz w:val="18"/>
          <w:szCs w:val="18"/>
        </w:rPr>
        <w:t>后，</w:t>
      </w:r>
      <w:r w:rsidRPr="00831C3C">
        <w:rPr>
          <w:rFonts w:ascii="Times New Roman" w:hAnsi="Times New Roman" w:cs="Times New Roman"/>
          <w:sz w:val="18"/>
          <w:szCs w:val="18"/>
        </w:rPr>
        <w:t>2025</w:t>
      </w:r>
      <w:r w:rsidRPr="00831C3C">
        <w:rPr>
          <w:rFonts w:cs="Times New Roman" w:hint="eastAsia"/>
          <w:sz w:val="18"/>
          <w:szCs w:val="18"/>
        </w:rPr>
        <w:t>年</w:t>
      </w:r>
      <w:r w:rsidRPr="00831C3C">
        <w:rPr>
          <w:rFonts w:ascii="Times New Roman" w:hAnsi="Times New Roman" w:cs="Times New Roman"/>
          <w:sz w:val="18"/>
          <w:szCs w:val="18"/>
        </w:rPr>
        <w:t>1</w:t>
      </w:r>
      <w:r w:rsidRPr="00831C3C">
        <w:rPr>
          <w:rFonts w:cs="Times New Roman" w:hint="eastAsia"/>
          <w:sz w:val="18"/>
          <w:szCs w:val="18"/>
        </w:rPr>
        <w:t>月华</w:t>
      </w:r>
      <w:proofErr w:type="gramStart"/>
      <w:r w:rsidRPr="00831C3C">
        <w:rPr>
          <w:rFonts w:cs="Times New Roman" w:hint="eastAsia"/>
          <w:sz w:val="18"/>
          <w:szCs w:val="18"/>
        </w:rPr>
        <w:t>孚</w:t>
      </w:r>
      <w:proofErr w:type="gramEnd"/>
      <w:r w:rsidRPr="00831C3C">
        <w:rPr>
          <w:rFonts w:cs="Times New Roman" w:hint="eastAsia"/>
          <w:sz w:val="18"/>
          <w:szCs w:val="18"/>
        </w:rPr>
        <w:t>时尚及</w:t>
      </w:r>
      <w:r w:rsidRPr="00831C3C">
        <w:rPr>
          <w:rFonts w:ascii="Times New Roman" w:hAnsi="Times New Roman" w:cs="Times New Roman"/>
          <w:sz w:val="18"/>
          <w:szCs w:val="18"/>
        </w:rPr>
        <w:t>25</w:t>
      </w:r>
      <w:r w:rsidRPr="00831C3C">
        <w:rPr>
          <w:rFonts w:cs="Times New Roman" w:hint="eastAsia"/>
          <w:sz w:val="18"/>
          <w:szCs w:val="18"/>
        </w:rPr>
        <w:t>家子公司被美国国土安全部列入实体清单事件将导致外部经营环境不确定性增加，带来订单波动加大的风险。公司通过积极开发国内及非美市场，以规避订单波动带来的风险。</w:t>
      </w:r>
    </w:p>
    <w:p w:rsidR="00C65FD5" w:rsidRPr="00831C3C" w:rsidRDefault="00C65FD5" w:rsidP="00896FFD">
      <w:pPr>
        <w:pStyle w:val="a3"/>
        <w:spacing w:before="0" w:beforeAutospacing="0" w:after="0" w:afterAutospacing="0"/>
        <w:ind w:firstLine="357"/>
        <w:divId w:val="913205781"/>
        <w:rPr>
          <w:rFonts w:ascii="Times New Roman" w:hAnsi="Times New Roman" w:cs="Times New Roman"/>
        </w:rPr>
      </w:pPr>
      <w:r w:rsidRPr="00831C3C">
        <w:rPr>
          <w:rFonts w:cs="Times New Roman" w:hint="eastAsia"/>
          <w:sz w:val="18"/>
          <w:szCs w:val="18"/>
        </w:rPr>
        <w:t>（四）公司</w:t>
      </w:r>
      <w:r w:rsidRPr="00831C3C">
        <w:rPr>
          <w:rFonts w:ascii="Times New Roman" w:hAnsi="Times New Roman" w:cs="Times New Roman"/>
          <w:sz w:val="18"/>
          <w:szCs w:val="18"/>
        </w:rPr>
        <w:t>2025</w:t>
      </w:r>
      <w:r w:rsidRPr="00831C3C">
        <w:rPr>
          <w:rFonts w:cs="Times New Roman" w:hint="eastAsia"/>
          <w:sz w:val="18"/>
          <w:szCs w:val="18"/>
        </w:rPr>
        <w:t>年经营计划和工作措施</w:t>
      </w:r>
    </w:p>
    <w:p w:rsidR="00C65FD5" w:rsidRPr="00831C3C" w:rsidRDefault="00C65FD5" w:rsidP="00896FFD">
      <w:pPr>
        <w:pStyle w:val="a3"/>
        <w:spacing w:before="0" w:beforeAutospacing="0" w:after="0" w:afterAutospacing="0"/>
        <w:ind w:firstLine="357"/>
        <w:divId w:val="913205781"/>
        <w:rPr>
          <w:rFonts w:ascii="Times New Roman" w:hAnsi="Times New Roman" w:cs="Times New Roman"/>
        </w:rPr>
      </w:pPr>
      <w:r w:rsidRPr="00831C3C">
        <w:rPr>
          <w:rFonts w:ascii="Times New Roman" w:hAnsi="Times New Roman" w:cs="Times New Roman"/>
          <w:sz w:val="18"/>
          <w:szCs w:val="18"/>
        </w:rPr>
        <w:t>1</w:t>
      </w:r>
      <w:r w:rsidRPr="00831C3C">
        <w:rPr>
          <w:rFonts w:cs="Times New Roman" w:hint="eastAsia"/>
          <w:sz w:val="18"/>
          <w:szCs w:val="18"/>
        </w:rPr>
        <w:t>、保持战略定力。继续实行“坚持主业，共享产业，发展新业”的战略，以纱线贯穿纺织服装产业，以产业互联网与柔性供应</w:t>
      </w:r>
      <w:proofErr w:type="gramStart"/>
      <w:r w:rsidRPr="00831C3C">
        <w:rPr>
          <w:rFonts w:cs="Times New Roman" w:hint="eastAsia"/>
          <w:sz w:val="18"/>
          <w:szCs w:val="18"/>
        </w:rPr>
        <w:t>链实现</w:t>
      </w:r>
      <w:proofErr w:type="gramEnd"/>
      <w:r w:rsidRPr="00831C3C">
        <w:rPr>
          <w:rFonts w:cs="Times New Roman" w:hint="eastAsia"/>
          <w:sz w:val="18"/>
          <w:szCs w:val="18"/>
        </w:rPr>
        <w:t>产业转型，实现“原材料</w:t>
      </w:r>
      <w:r w:rsidRPr="00831C3C">
        <w:rPr>
          <w:rFonts w:ascii="Times New Roman" w:hAnsi="Times New Roman" w:cs="Times New Roman"/>
          <w:sz w:val="18"/>
          <w:szCs w:val="18"/>
        </w:rPr>
        <w:t>-</w:t>
      </w:r>
      <w:r w:rsidRPr="00831C3C">
        <w:rPr>
          <w:rFonts w:cs="Times New Roman" w:hint="eastAsia"/>
          <w:sz w:val="18"/>
          <w:szCs w:val="18"/>
        </w:rPr>
        <w:t>纺纱</w:t>
      </w:r>
      <w:r w:rsidRPr="00831C3C">
        <w:rPr>
          <w:rFonts w:ascii="Times New Roman" w:hAnsi="Times New Roman" w:cs="Times New Roman"/>
          <w:sz w:val="18"/>
          <w:szCs w:val="18"/>
        </w:rPr>
        <w:t>-</w:t>
      </w:r>
      <w:r w:rsidRPr="00831C3C">
        <w:rPr>
          <w:rFonts w:cs="Times New Roman" w:hint="eastAsia"/>
          <w:sz w:val="18"/>
          <w:szCs w:val="18"/>
        </w:rPr>
        <w:t>面料</w:t>
      </w:r>
      <w:r w:rsidRPr="00831C3C">
        <w:rPr>
          <w:rFonts w:ascii="Times New Roman" w:hAnsi="Times New Roman" w:cs="Times New Roman"/>
          <w:sz w:val="18"/>
          <w:szCs w:val="18"/>
        </w:rPr>
        <w:t>-</w:t>
      </w:r>
      <w:r w:rsidRPr="00831C3C">
        <w:rPr>
          <w:rFonts w:cs="Times New Roman" w:hint="eastAsia"/>
          <w:sz w:val="18"/>
          <w:szCs w:val="18"/>
        </w:rPr>
        <w:t>成衣”全产业链覆盖，实现从时尚制造商向时尚运营商的转型。</w:t>
      </w:r>
    </w:p>
    <w:p w:rsidR="00C65FD5" w:rsidRPr="00831C3C" w:rsidRDefault="00C65FD5" w:rsidP="00896FFD">
      <w:pPr>
        <w:pStyle w:val="a3"/>
        <w:spacing w:before="0" w:beforeAutospacing="0" w:after="0" w:afterAutospacing="0"/>
        <w:ind w:firstLine="357"/>
        <w:divId w:val="913205781"/>
        <w:rPr>
          <w:rFonts w:ascii="Times New Roman" w:hAnsi="Times New Roman" w:cs="Times New Roman"/>
        </w:rPr>
      </w:pPr>
      <w:r w:rsidRPr="00831C3C">
        <w:rPr>
          <w:rFonts w:ascii="Times New Roman" w:hAnsi="Times New Roman" w:cs="Times New Roman"/>
          <w:sz w:val="18"/>
          <w:szCs w:val="18"/>
        </w:rPr>
        <w:t>2</w:t>
      </w:r>
      <w:r w:rsidRPr="00831C3C">
        <w:rPr>
          <w:rFonts w:cs="Times New Roman" w:hint="eastAsia"/>
          <w:sz w:val="18"/>
          <w:szCs w:val="18"/>
        </w:rPr>
        <w:t>、实施双循环战略，实现海外、国内市场均衡发展。抓住中国市场规模大、消费升级的历史机遇，发挥公司创新快反、优良服务、资源整合的优势，系统对</w:t>
      </w:r>
      <w:proofErr w:type="gramStart"/>
      <w:r w:rsidRPr="00831C3C">
        <w:rPr>
          <w:rFonts w:cs="Times New Roman" w:hint="eastAsia"/>
          <w:sz w:val="18"/>
          <w:szCs w:val="18"/>
        </w:rPr>
        <w:t>接头部国潮</w:t>
      </w:r>
      <w:proofErr w:type="gramEnd"/>
      <w:r w:rsidRPr="00831C3C">
        <w:rPr>
          <w:rFonts w:cs="Times New Roman" w:hint="eastAsia"/>
          <w:sz w:val="18"/>
          <w:szCs w:val="18"/>
        </w:rPr>
        <w:t>品牌、电商新锐品牌、专项市场供应链，深化区域市场开发、深耕细分市场，挖掘价值客户，持续巩固和扩大国内市场占有率。</w:t>
      </w:r>
    </w:p>
    <w:p w:rsidR="00C65FD5" w:rsidRPr="00831C3C" w:rsidRDefault="00C65FD5" w:rsidP="00896FFD">
      <w:pPr>
        <w:pStyle w:val="a3"/>
        <w:spacing w:before="0" w:beforeAutospacing="0" w:after="0" w:afterAutospacing="0"/>
        <w:ind w:firstLine="357"/>
        <w:divId w:val="913205781"/>
        <w:rPr>
          <w:rFonts w:ascii="Times New Roman" w:hAnsi="Times New Roman" w:cs="Times New Roman"/>
        </w:rPr>
      </w:pPr>
      <w:r w:rsidRPr="00831C3C">
        <w:rPr>
          <w:rFonts w:ascii="Times New Roman" w:hAnsi="Times New Roman" w:cs="Times New Roman"/>
          <w:sz w:val="18"/>
          <w:szCs w:val="18"/>
        </w:rPr>
        <w:t>3</w:t>
      </w:r>
      <w:r w:rsidRPr="00831C3C">
        <w:rPr>
          <w:rFonts w:cs="Times New Roman" w:hint="eastAsia"/>
          <w:sz w:val="18"/>
          <w:szCs w:val="18"/>
        </w:rPr>
        <w:t>、</w:t>
      </w:r>
      <w:proofErr w:type="gramStart"/>
      <w:r w:rsidRPr="00831C3C">
        <w:rPr>
          <w:rFonts w:cs="Times New Roman" w:hint="eastAsia"/>
          <w:sz w:val="18"/>
          <w:szCs w:val="18"/>
        </w:rPr>
        <w:t>数智化</w:t>
      </w:r>
      <w:proofErr w:type="gramEnd"/>
      <w:r w:rsidRPr="00831C3C">
        <w:rPr>
          <w:rFonts w:cs="Times New Roman" w:hint="eastAsia"/>
          <w:sz w:val="18"/>
          <w:szCs w:val="18"/>
        </w:rPr>
        <w:t>升级。积极推行生产数据化管理，充分挖掘数据价值，扩大应用广度深度，通过流程再造、组织变革、标准改进、操作优化，提质、提效、降耗。同时，积极推进贯通产业的</w:t>
      </w:r>
      <w:proofErr w:type="gramStart"/>
      <w:r w:rsidRPr="00831C3C">
        <w:rPr>
          <w:rFonts w:cs="Times New Roman" w:hint="eastAsia"/>
          <w:sz w:val="18"/>
          <w:szCs w:val="18"/>
        </w:rPr>
        <w:t>网链业务数智</w:t>
      </w:r>
      <w:proofErr w:type="gramEnd"/>
      <w:r w:rsidRPr="00831C3C">
        <w:rPr>
          <w:rFonts w:cs="Times New Roman" w:hint="eastAsia"/>
          <w:sz w:val="18"/>
          <w:szCs w:val="18"/>
        </w:rPr>
        <w:t>化平台建设，为共享产业打下基础。</w:t>
      </w:r>
    </w:p>
    <w:p w:rsidR="00C65FD5" w:rsidRPr="00831C3C" w:rsidRDefault="00C65FD5" w:rsidP="00896FFD">
      <w:pPr>
        <w:pStyle w:val="a3"/>
        <w:spacing w:before="0" w:beforeAutospacing="0" w:after="0" w:afterAutospacing="0"/>
        <w:ind w:firstLine="357"/>
        <w:divId w:val="913205781"/>
        <w:rPr>
          <w:rFonts w:ascii="Times New Roman" w:hAnsi="Times New Roman" w:cs="Times New Roman"/>
        </w:rPr>
      </w:pPr>
      <w:r w:rsidRPr="00831C3C">
        <w:rPr>
          <w:rFonts w:ascii="Times New Roman" w:hAnsi="Times New Roman" w:cs="Times New Roman"/>
          <w:sz w:val="18"/>
          <w:szCs w:val="18"/>
        </w:rPr>
        <w:t>4</w:t>
      </w:r>
      <w:r w:rsidRPr="00831C3C">
        <w:rPr>
          <w:rFonts w:cs="Times New Roman" w:hint="eastAsia"/>
          <w:sz w:val="18"/>
          <w:szCs w:val="18"/>
        </w:rPr>
        <w:t>、实施绿色低碳战略。从原料替代、产品开发、循环利用、能效提升等维</w:t>
      </w:r>
      <w:proofErr w:type="gramStart"/>
      <w:r w:rsidRPr="00831C3C">
        <w:rPr>
          <w:rFonts w:cs="Times New Roman" w:hint="eastAsia"/>
          <w:sz w:val="18"/>
          <w:szCs w:val="18"/>
        </w:rPr>
        <w:t>度全面</w:t>
      </w:r>
      <w:proofErr w:type="gramEnd"/>
      <w:r w:rsidRPr="00831C3C">
        <w:rPr>
          <w:rFonts w:cs="Times New Roman" w:hint="eastAsia"/>
          <w:sz w:val="18"/>
          <w:szCs w:val="18"/>
        </w:rPr>
        <w:t>推进绿色低碳战略实施，按既定计划推进清洁用能。</w:t>
      </w:r>
    </w:p>
    <w:p w:rsidR="00C65FD5" w:rsidRPr="00831C3C" w:rsidRDefault="00C65FD5" w:rsidP="00896FFD">
      <w:pPr>
        <w:pStyle w:val="a3"/>
        <w:spacing w:before="0" w:beforeAutospacing="0" w:after="0" w:afterAutospacing="0"/>
        <w:ind w:firstLine="357"/>
        <w:divId w:val="913205781"/>
        <w:rPr>
          <w:rFonts w:ascii="Times New Roman" w:hAnsi="Times New Roman" w:cs="Times New Roman"/>
        </w:rPr>
      </w:pPr>
      <w:r w:rsidRPr="00831C3C">
        <w:rPr>
          <w:rFonts w:ascii="Times New Roman" w:hAnsi="Times New Roman" w:cs="Times New Roman"/>
          <w:sz w:val="18"/>
          <w:szCs w:val="18"/>
        </w:rPr>
        <w:t>5</w:t>
      </w:r>
      <w:r w:rsidRPr="00831C3C">
        <w:rPr>
          <w:rFonts w:cs="Times New Roman" w:hint="eastAsia"/>
          <w:sz w:val="18"/>
          <w:szCs w:val="18"/>
        </w:rPr>
        <w:t>、布局人工智能新赛道。投资建设上虞</w:t>
      </w:r>
      <w:r w:rsidRPr="00831C3C">
        <w:rPr>
          <w:rFonts w:ascii="Times New Roman" w:hAnsi="Times New Roman" w:cs="Times New Roman"/>
          <w:sz w:val="18"/>
          <w:szCs w:val="18"/>
        </w:rPr>
        <w:t>AIGC</w:t>
      </w:r>
      <w:proofErr w:type="gramStart"/>
      <w:r w:rsidRPr="00831C3C">
        <w:rPr>
          <w:rFonts w:cs="Times New Roman" w:hint="eastAsia"/>
          <w:sz w:val="18"/>
          <w:szCs w:val="18"/>
        </w:rPr>
        <w:t>智算中心</w:t>
      </w:r>
      <w:proofErr w:type="gramEnd"/>
      <w:r w:rsidRPr="00831C3C">
        <w:rPr>
          <w:rFonts w:cs="Times New Roman" w:hint="eastAsia"/>
          <w:sz w:val="18"/>
          <w:szCs w:val="18"/>
        </w:rPr>
        <w:t>项目及新疆阿克苏城市</w:t>
      </w:r>
      <w:proofErr w:type="gramStart"/>
      <w:r w:rsidRPr="00831C3C">
        <w:rPr>
          <w:rFonts w:cs="Times New Roman" w:hint="eastAsia"/>
          <w:sz w:val="18"/>
          <w:szCs w:val="18"/>
        </w:rPr>
        <w:t>公共算力平台</w:t>
      </w:r>
      <w:proofErr w:type="gramEnd"/>
      <w:r w:rsidRPr="00831C3C">
        <w:rPr>
          <w:rFonts w:cs="Times New Roman" w:hint="eastAsia"/>
          <w:sz w:val="18"/>
          <w:szCs w:val="18"/>
        </w:rPr>
        <w:t>项目，建成后将通过加强与高校、科研院所、行业各领域优势企业合作，</w:t>
      </w:r>
      <w:proofErr w:type="gramStart"/>
      <w:r w:rsidRPr="00831C3C">
        <w:rPr>
          <w:rFonts w:cs="Times New Roman" w:hint="eastAsia"/>
          <w:sz w:val="18"/>
          <w:szCs w:val="18"/>
        </w:rPr>
        <w:t>提供算力租赁</w:t>
      </w:r>
      <w:proofErr w:type="gramEnd"/>
      <w:r w:rsidRPr="00831C3C">
        <w:rPr>
          <w:rFonts w:cs="Times New Roman" w:hint="eastAsia"/>
          <w:sz w:val="18"/>
          <w:szCs w:val="18"/>
        </w:rPr>
        <w:t>服务；同时，公司将吸纳培育数据处理、数据分析、运营服务等领域的人才，将数字化和虚拟化技术应用于纺织服装设计和生产领域。</w:t>
      </w:r>
    </w:p>
    <w:p w:rsidR="00E23A97" w:rsidRPr="00831C3C" w:rsidRDefault="00C65FD5">
      <w:pPr>
        <w:pStyle w:val="2"/>
        <w:spacing w:before="300" w:after="300" w:line="320" w:lineRule="exact"/>
        <w:rPr>
          <w:rFonts w:ascii="宋体" w:eastAsia="宋体" w:hAnsi="宋体" w:cs="宋体"/>
          <w:b/>
          <w:bCs/>
          <w:sz w:val="24"/>
          <w:szCs w:val="24"/>
        </w:rPr>
      </w:pPr>
      <w:bookmarkStart w:id="65" w:name="_Toc988953"/>
      <w:r w:rsidRPr="00831C3C">
        <w:rPr>
          <w:rFonts w:ascii="宋体" w:eastAsia="宋体" w:hAnsi="宋体" w:cs="宋体"/>
          <w:b/>
          <w:bCs/>
          <w:sz w:val="24"/>
          <w:szCs w:val="24"/>
        </w:rPr>
        <w:t>十二、报告期内接待调研、沟通、采访等活动</w:t>
      </w:r>
      <w:bookmarkEnd w:id="65"/>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适用□不适用</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127"/>
        <w:gridCol w:w="1127"/>
        <w:gridCol w:w="1128"/>
        <w:gridCol w:w="1127"/>
        <w:gridCol w:w="1128"/>
        <w:gridCol w:w="2001"/>
        <w:gridCol w:w="2001"/>
      </w:tblGrid>
      <w:tr w:rsidR="00831C3C" w:rsidRPr="00831C3C" w:rsidTr="00896FFD">
        <w:trPr>
          <w:trHeight w:val="240"/>
        </w:trPr>
        <w:tc>
          <w:tcPr>
            <w:tcW w:w="112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接待时间</w:t>
            </w:r>
          </w:p>
        </w:tc>
        <w:tc>
          <w:tcPr>
            <w:tcW w:w="112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接待地点</w:t>
            </w:r>
          </w:p>
        </w:tc>
        <w:tc>
          <w:tcPr>
            <w:tcW w:w="11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接待方式</w:t>
            </w:r>
          </w:p>
        </w:tc>
        <w:tc>
          <w:tcPr>
            <w:tcW w:w="112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接待对象类型</w:t>
            </w:r>
          </w:p>
        </w:tc>
        <w:tc>
          <w:tcPr>
            <w:tcW w:w="11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接待对象</w:t>
            </w:r>
          </w:p>
        </w:tc>
        <w:tc>
          <w:tcPr>
            <w:tcW w:w="200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谈论的主要内容及提供的资料</w:t>
            </w:r>
          </w:p>
        </w:tc>
        <w:tc>
          <w:tcPr>
            <w:tcW w:w="200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调研的基本情况索引</w:t>
            </w:r>
          </w:p>
        </w:tc>
      </w:tr>
      <w:tr w:rsidR="00831C3C" w:rsidRPr="00831C3C" w:rsidTr="00896FFD">
        <w:trPr>
          <w:trHeight w:val="240"/>
        </w:trPr>
        <w:tc>
          <w:tcPr>
            <w:tcW w:w="112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2024年05月10日</w:t>
            </w:r>
          </w:p>
        </w:tc>
        <w:tc>
          <w:tcPr>
            <w:tcW w:w="112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全景网（https://ir</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.p5w.net）</w:t>
            </w:r>
          </w:p>
        </w:tc>
        <w:tc>
          <w:tcPr>
            <w:tcW w:w="11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网络平台线上交流</w:t>
            </w:r>
          </w:p>
        </w:tc>
        <w:tc>
          <w:tcPr>
            <w:tcW w:w="112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其他</w:t>
            </w:r>
          </w:p>
        </w:tc>
        <w:tc>
          <w:tcPr>
            <w:tcW w:w="11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参与公司2023年度网上业绩说明会的投资</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者</w:t>
            </w:r>
          </w:p>
        </w:tc>
        <w:tc>
          <w:tcPr>
            <w:tcW w:w="200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1、公司2023年度业绩情况；2、公司新疆、上虞两大</w:t>
            </w:r>
            <w:proofErr w:type="gramStart"/>
            <w:r w:rsidRPr="00831C3C">
              <w:rPr>
                <w:rFonts w:ascii="宋体" w:eastAsia="宋体" w:hAnsi="宋体" w:cs="宋体"/>
                <w:sz w:val="18"/>
                <w:szCs w:val="18"/>
              </w:rPr>
              <w:t>算力中心</w:t>
            </w:r>
            <w:proofErr w:type="gramEnd"/>
            <w:r w:rsidRPr="00831C3C">
              <w:rPr>
                <w:rFonts w:ascii="宋体" w:eastAsia="宋体" w:hAnsi="宋体" w:cs="宋体"/>
                <w:sz w:val="18"/>
                <w:szCs w:val="18"/>
              </w:rPr>
              <w:t>相关情况等</w:t>
            </w:r>
          </w:p>
        </w:tc>
        <w:tc>
          <w:tcPr>
            <w:tcW w:w="200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详见公司于2024年5月10日刊登在巨潮资讯网（http://www</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.cninfo.com.cn）的《2024年5月10日投资者关系活动记录表》。</w:t>
            </w:r>
          </w:p>
        </w:tc>
      </w:tr>
    </w:tbl>
    <w:p w:rsidR="00E23A97" w:rsidRPr="00831C3C" w:rsidRDefault="00C65FD5">
      <w:pPr>
        <w:pStyle w:val="2"/>
        <w:spacing w:before="300" w:after="300" w:line="320" w:lineRule="exact"/>
        <w:rPr>
          <w:rFonts w:ascii="宋体" w:eastAsia="宋体" w:hAnsi="宋体" w:cs="宋体"/>
          <w:b/>
          <w:bCs/>
          <w:sz w:val="24"/>
          <w:szCs w:val="24"/>
        </w:rPr>
      </w:pPr>
      <w:bookmarkStart w:id="66" w:name="_Toc988954"/>
      <w:r w:rsidRPr="00831C3C">
        <w:rPr>
          <w:rFonts w:ascii="宋体" w:eastAsia="宋体" w:hAnsi="宋体" w:cs="宋体"/>
          <w:b/>
          <w:bCs/>
          <w:sz w:val="24"/>
          <w:szCs w:val="24"/>
        </w:rPr>
        <w:t>十三、市值管理制度和估值提升计划的制定落实情况</w:t>
      </w:r>
      <w:bookmarkEnd w:id="66"/>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公司是否制定了市值管理制度。</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□是</w:t>
      </w:r>
      <w:r w:rsidRPr="00831C3C">
        <w:rPr>
          <w:rFonts w:ascii="宋体" w:eastAsia="宋体" w:hAnsi="宋体" w:cs="宋体"/>
          <w:sz w:val="18"/>
          <w:szCs w:val="18"/>
        </w:rPr>
        <w:sym w:font="Wingdings 2" w:char="F052"/>
      </w:r>
      <w:r w:rsidRPr="00831C3C">
        <w:rPr>
          <w:rFonts w:ascii="宋体" w:eastAsia="宋体" w:hAnsi="宋体" w:cs="宋体"/>
          <w:sz w:val="18"/>
          <w:szCs w:val="18"/>
        </w:rPr>
        <w:t>否</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公司是否披露了估值提升计划。</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□是</w:t>
      </w:r>
      <w:r w:rsidRPr="00831C3C">
        <w:rPr>
          <w:rFonts w:ascii="宋体" w:eastAsia="宋体" w:hAnsi="宋体" w:cs="宋体"/>
          <w:sz w:val="18"/>
          <w:szCs w:val="18"/>
        </w:rPr>
        <w:sym w:font="Wingdings 2" w:char="F052"/>
      </w:r>
      <w:r w:rsidRPr="00831C3C">
        <w:rPr>
          <w:rFonts w:ascii="宋体" w:eastAsia="宋体" w:hAnsi="宋体" w:cs="宋体"/>
          <w:sz w:val="18"/>
          <w:szCs w:val="18"/>
        </w:rPr>
        <w:t>否</w:t>
      </w:r>
    </w:p>
    <w:p w:rsidR="00E23A97" w:rsidRPr="00831C3C" w:rsidRDefault="00C65FD5">
      <w:pPr>
        <w:pStyle w:val="2"/>
        <w:spacing w:before="300" w:after="300" w:line="320" w:lineRule="exact"/>
        <w:rPr>
          <w:rFonts w:ascii="宋体" w:eastAsia="宋体" w:hAnsi="宋体" w:cs="宋体"/>
          <w:b/>
          <w:bCs/>
          <w:sz w:val="24"/>
          <w:szCs w:val="24"/>
        </w:rPr>
      </w:pPr>
      <w:bookmarkStart w:id="67" w:name="_Toc988955"/>
      <w:r w:rsidRPr="00831C3C">
        <w:rPr>
          <w:rFonts w:ascii="宋体" w:eastAsia="宋体" w:hAnsi="宋体" w:cs="宋体"/>
          <w:b/>
          <w:bCs/>
          <w:sz w:val="24"/>
          <w:szCs w:val="24"/>
        </w:rPr>
        <w:lastRenderedPageBreak/>
        <w:t>十四、“质量回报双提升”行动方案贯彻落实情况</w:t>
      </w:r>
      <w:bookmarkEnd w:id="67"/>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公司是否披露了“质量回报双提升”行动方案公告。</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□是</w:t>
      </w:r>
      <w:r w:rsidRPr="00831C3C">
        <w:rPr>
          <w:rFonts w:ascii="宋体" w:eastAsia="宋体" w:hAnsi="宋体" w:cs="宋体"/>
          <w:sz w:val="18"/>
          <w:szCs w:val="18"/>
        </w:rPr>
        <w:sym w:font="Wingdings 2" w:char="F052"/>
      </w:r>
      <w:r w:rsidRPr="00831C3C">
        <w:rPr>
          <w:rFonts w:ascii="宋体" w:eastAsia="宋体" w:hAnsi="宋体" w:cs="宋体"/>
          <w:sz w:val="18"/>
          <w:szCs w:val="18"/>
        </w:rPr>
        <w:t>否</w:t>
      </w:r>
    </w:p>
    <w:p w:rsidR="00E23A97" w:rsidRPr="00831C3C" w:rsidRDefault="00C65FD5">
      <w:r w:rsidRPr="00831C3C">
        <w:br w:type="page"/>
      </w:r>
    </w:p>
    <w:p w:rsidR="00E23A97" w:rsidRPr="00831C3C" w:rsidRDefault="00C65FD5">
      <w:pPr>
        <w:pStyle w:val="headingh1"/>
        <w:spacing w:before="340" w:after="330" w:line="773" w:lineRule="exact"/>
        <w:jc w:val="center"/>
        <w:rPr>
          <w:rFonts w:ascii="宋体" w:eastAsia="宋体" w:hAnsi="宋体" w:cs="宋体"/>
          <w:b/>
          <w:bCs/>
          <w:sz w:val="32"/>
          <w:szCs w:val="32"/>
        </w:rPr>
      </w:pPr>
      <w:bookmarkStart w:id="68" w:name="_Toc988956"/>
      <w:r w:rsidRPr="00831C3C">
        <w:rPr>
          <w:rFonts w:ascii="宋体" w:eastAsia="宋体" w:hAnsi="宋体" w:cs="宋体"/>
          <w:b/>
          <w:bCs/>
          <w:sz w:val="32"/>
          <w:szCs w:val="32"/>
        </w:rPr>
        <w:lastRenderedPageBreak/>
        <w:t>第四节公司治理</w:t>
      </w:r>
      <w:bookmarkEnd w:id="68"/>
    </w:p>
    <w:p w:rsidR="00E23A97" w:rsidRPr="00831C3C" w:rsidRDefault="00C65FD5">
      <w:pPr>
        <w:pStyle w:val="2"/>
        <w:spacing w:before="300" w:after="300" w:line="320" w:lineRule="exact"/>
        <w:rPr>
          <w:rFonts w:ascii="宋体" w:eastAsia="宋体" w:hAnsi="宋体" w:cs="宋体"/>
          <w:b/>
          <w:bCs/>
          <w:sz w:val="24"/>
          <w:szCs w:val="24"/>
        </w:rPr>
      </w:pPr>
      <w:bookmarkStart w:id="69" w:name="_Toc988957"/>
      <w:r w:rsidRPr="00831C3C">
        <w:rPr>
          <w:rFonts w:ascii="宋体" w:eastAsia="宋体" w:hAnsi="宋体" w:cs="宋体"/>
          <w:b/>
          <w:bCs/>
          <w:sz w:val="24"/>
          <w:szCs w:val="24"/>
        </w:rPr>
        <w:t>一、公司治理的基本状况</w:t>
      </w:r>
      <w:bookmarkEnd w:id="69"/>
    </w:p>
    <w:p w:rsidR="00C65FD5" w:rsidRPr="00831C3C" w:rsidRDefault="00C65FD5">
      <w:pPr>
        <w:pStyle w:val="a3"/>
        <w:spacing w:before="0" w:beforeAutospacing="0" w:after="0" w:afterAutospacing="0"/>
        <w:ind w:firstLine="360"/>
        <w:divId w:val="1468864405"/>
      </w:pPr>
      <w:r w:rsidRPr="00831C3C">
        <w:rPr>
          <w:rFonts w:hint="eastAsia"/>
          <w:sz w:val="18"/>
          <w:szCs w:val="18"/>
        </w:rPr>
        <w:t>公司严格按照《公司法》、《证券法》、《上市公司治理准则》、《深圳证券交易所股票上市规则》及中国证监会、深圳证券交易所的有关规定和要求，规范公司运作，不断完善公司的法人治理结构，建立健全内部管理和控制制度，持续深入开展公司治理活动，严格进行信息披露工作，保护广大投资者利益，进一步提高了公司治理水平。截至报告期末，公司法人治理实际情况与中国证监会《上市公司治理准则》等有关法规不存在差异。</w:t>
      </w:r>
    </w:p>
    <w:p w:rsidR="00C65FD5" w:rsidRPr="00831C3C" w:rsidRDefault="00C65FD5">
      <w:pPr>
        <w:pStyle w:val="a3"/>
        <w:spacing w:before="0" w:beforeAutospacing="0" w:after="0" w:afterAutospacing="0"/>
        <w:ind w:firstLine="360"/>
        <w:divId w:val="1468864405"/>
      </w:pPr>
      <w:r w:rsidRPr="00831C3C">
        <w:rPr>
          <w:rFonts w:ascii="Times New Roman" w:hAnsi="Times New Roman" w:cs="Times New Roman"/>
          <w:sz w:val="18"/>
          <w:szCs w:val="18"/>
        </w:rPr>
        <w:t>1</w:t>
      </w:r>
      <w:r w:rsidRPr="00831C3C">
        <w:rPr>
          <w:rFonts w:hint="eastAsia"/>
          <w:sz w:val="18"/>
          <w:szCs w:val="18"/>
        </w:rPr>
        <w:t>、关于股东与股东大会：公司根据《上市公司股东大会规则》、公司《股东大会议事规则》等规定，规范地召集、召开股东大会，并聘请律师对股东大会的合法性出具法律意见书，平等对待所有股东，特别是保证中小股东享有平等地位，充分行使自己的权利。</w:t>
      </w:r>
    </w:p>
    <w:p w:rsidR="00C65FD5" w:rsidRPr="00831C3C" w:rsidRDefault="00C65FD5">
      <w:pPr>
        <w:pStyle w:val="a3"/>
        <w:spacing w:before="0" w:beforeAutospacing="0" w:after="0" w:afterAutospacing="0"/>
        <w:ind w:firstLine="360"/>
        <w:divId w:val="1468864405"/>
      </w:pPr>
      <w:r w:rsidRPr="00831C3C">
        <w:rPr>
          <w:rFonts w:ascii="Times New Roman" w:hAnsi="Times New Roman" w:cs="Times New Roman"/>
          <w:sz w:val="18"/>
          <w:szCs w:val="18"/>
        </w:rPr>
        <w:t>2</w:t>
      </w:r>
      <w:r w:rsidRPr="00831C3C">
        <w:rPr>
          <w:rFonts w:hint="eastAsia"/>
          <w:sz w:val="18"/>
          <w:szCs w:val="18"/>
        </w:rPr>
        <w:t>、关于控股股东与上市公司的关系：控股股东对公司依法通过股东大会行使出资人的权利，没有超越股东大会直接或间接干预公司决策和经营活动。公司与控股股东实行人员、资产、财务分开，机构、业务独立，各自独立核算、独立承担责任和风险，公司董事会、监事会和内部机构独立运作。</w:t>
      </w:r>
    </w:p>
    <w:p w:rsidR="00C65FD5" w:rsidRPr="00831C3C" w:rsidRDefault="00C65FD5">
      <w:pPr>
        <w:pStyle w:val="a3"/>
        <w:spacing w:before="0" w:beforeAutospacing="0" w:after="0" w:afterAutospacing="0"/>
        <w:ind w:firstLine="360"/>
        <w:divId w:val="1468864405"/>
      </w:pPr>
      <w:r w:rsidRPr="00831C3C">
        <w:rPr>
          <w:rFonts w:ascii="Times New Roman" w:hAnsi="Times New Roman" w:cs="Times New Roman"/>
          <w:sz w:val="18"/>
          <w:szCs w:val="18"/>
        </w:rPr>
        <w:t>3</w:t>
      </w:r>
      <w:r w:rsidRPr="00831C3C">
        <w:rPr>
          <w:rFonts w:hint="eastAsia"/>
          <w:sz w:val="18"/>
          <w:szCs w:val="18"/>
        </w:rPr>
        <w:t>、关于董事与董事会：公司严格按照《公司章程》所规定的董事选聘程序选聘董事，董事会的人数和人员构成符合法律、法规和《公司章程》的要求。公司董事能够以认真负责的态度出席董事会和股东大会，积极参加有关培训，学习有关法律法规，以诚信、勤勉、尽责的态度履行职责。董事会下设提名、战略、薪酬与考核、审计等专门委员会，各尽其责，提高了董事会办事效率。</w:t>
      </w:r>
    </w:p>
    <w:p w:rsidR="00C65FD5" w:rsidRPr="00831C3C" w:rsidRDefault="00C65FD5">
      <w:pPr>
        <w:pStyle w:val="a3"/>
        <w:spacing w:before="0" w:beforeAutospacing="0" w:after="0" w:afterAutospacing="0"/>
        <w:ind w:firstLine="360"/>
        <w:divId w:val="1468864405"/>
      </w:pPr>
      <w:r w:rsidRPr="00831C3C">
        <w:rPr>
          <w:rFonts w:ascii="Times New Roman" w:hAnsi="Times New Roman" w:cs="Times New Roman"/>
          <w:sz w:val="18"/>
          <w:szCs w:val="18"/>
        </w:rPr>
        <w:t>4</w:t>
      </w:r>
      <w:r w:rsidRPr="00831C3C">
        <w:rPr>
          <w:rFonts w:hint="eastAsia"/>
          <w:sz w:val="18"/>
          <w:szCs w:val="18"/>
        </w:rPr>
        <w:t>、关于监事与监事会：公司严格按照《公司章程》所规定的监事选聘程序选聘监事。监事会的人数和人员构成符合法律、法规和《公司章程》的要求。公司各位监事积极参加有关培训，学习有关法律法规知识，本着对股东负责的精神认真履行职责，对公司财务以及公司董事、总裁和其它高级管理人员履行职责的合法合</w:t>
      </w:r>
      <w:proofErr w:type="gramStart"/>
      <w:r w:rsidRPr="00831C3C">
        <w:rPr>
          <w:rFonts w:hint="eastAsia"/>
          <w:sz w:val="18"/>
          <w:szCs w:val="18"/>
        </w:rPr>
        <w:t>规</w:t>
      </w:r>
      <w:proofErr w:type="gramEnd"/>
      <w:r w:rsidRPr="00831C3C">
        <w:rPr>
          <w:rFonts w:hint="eastAsia"/>
          <w:sz w:val="18"/>
          <w:szCs w:val="18"/>
        </w:rPr>
        <w:t>性进行监督，并发表独立意见书，维护公司及股东的合法权益。</w:t>
      </w:r>
    </w:p>
    <w:p w:rsidR="00C65FD5" w:rsidRPr="00831C3C" w:rsidRDefault="00C65FD5">
      <w:pPr>
        <w:pStyle w:val="a3"/>
        <w:spacing w:before="0" w:beforeAutospacing="0" w:after="0" w:afterAutospacing="0"/>
        <w:ind w:firstLine="360"/>
        <w:divId w:val="1468864405"/>
      </w:pPr>
      <w:r w:rsidRPr="00831C3C">
        <w:rPr>
          <w:rFonts w:ascii="Times New Roman" w:hAnsi="Times New Roman" w:cs="Times New Roman"/>
          <w:sz w:val="18"/>
          <w:szCs w:val="18"/>
        </w:rPr>
        <w:t>5</w:t>
      </w:r>
      <w:r w:rsidRPr="00831C3C">
        <w:rPr>
          <w:rFonts w:hint="eastAsia"/>
          <w:sz w:val="18"/>
          <w:szCs w:val="18"/>
        </w:rPr>
        <w:t>、关于绩效评价与激励约束机制：公司正逐步建立和完善公正、透明的董事、监事和经理人员的绩效评价标准和激励约束机制，经理人员的聘任公开、透明，符合法律法规的规定。</w:t>
      </w:r>
    </w:p>
    <w:p w:rsidR="00C65FD5" w:rsidRPr="00831C3C" w:rsidRDefault="00C65FD5">
      <w:pPr>
        <w:pStyle w:val="a3"/>
        <w:spacing w:before="0" w:beforeAutospacing="0" w:after="0" w:afterAutospacing="0"/>
        <w:ind w:firstLine="360"/>
        <w:divId w:val="1468864405"/>
      </w:pPr>
      <w:r w:rsidRPr="00831C3C">
        <w:rPr>
          <w:rFonts w:ascii="Times New Roman" w:hAnsi="Times New Roman" w:cs="Times New Roman"/>
          <w:sz w:val="18"/>
          <w:szCs w:val="18"/>
        </w:rPr>
        <w:t>6</w:t>
      </w:r>
      <w:r w:rsidRPr="00831C3C">
        <w:rPr>
          <w:rFonts w:hint="eastAsia"/>
          <w:sz w:val="18"/>
          <w:szCs w:val="18"/>
        </w:rPr>
        <w:t>、关于相关利益者：公司制定并发布了《华孚时尚股份有限公司</w:t>
      </w:r>
      <w:r w:rsidRPr="00831C3C">
        <w:rPr>
          <w:rFonts w:ascii="Times New Roman" w:hAnsi="Times New Roman" w:cs="Times New Roman"/>
          <w:sz w:val="18"/>
          <w:szCs w:val="18"/>
        </w:rPr>
        <w:t>2024</w:t>
      </w:r>
      <w:r w:rsidRPr="00831C3C">
        <w:rPr>
          <w:rFonts w:hint="eastAsia"/>
          <w:sz w:val="18"/>
          <w:szCs w:val="18"/>
        </w:rPr>
        <w:t>年度社会责任报告》，积极履行社会责任，充分尊重和维护供应商、银行等债权人及员工、客户、消费者、社区等其它利益相关者的合法权益；能够关注环境保护、公益事业等问题，力求公司持续、稳定、健康地发展。</w:t>
      </w:r>
    </w:p>
    <w:p w:rsidR="00C65FD5" w:rsidRPr="00831C3C" w:rsidRDefault="00C65FD5">
      <w:pPr>
        <w:pStyle w:val="a3"/>
        <w:spacing w:before="0" w:beforeAutospacing="0" w:after="0" w:afterAutospacing="0"/>
        <w:ind w:firstLine="360"/>
        <w:divId w:val="1468864405"/>
      </w:pPr>
      <w:r w:rsidRPr="00831C3C">
        <w:rPr>
          <w:rFonts w:ascii="Times New Roman" w:hAnsi="Times New Roman" w:cs="Times New Roman"/>
          <w:sz w:val="18"/>
          <w:szCs w:val="18"/>
        </w:rPr>
        <w:t>7</w:t>
      </w:r>
      <w:r w:rsidRPr="00831C3C">
        <w:rPr>
          <w:rFonts w:hint="eastAsia"/>
          <w:sz w:val="18"/>
          <w:szCs w:val="18"/>
        </w:rPr>
        <w:t>、关于信息披露与透明度：公司严格按照《上市公司信息披露管理办法》和《深圳证券交易所股票上市规则》的要求，真实、准确、及时和完整地披露相关信息，确保公司所有股东能够以平等的机会获得信息。</w:t>
      </w:r>
    </w:p>
    <w:p w:rsidR="00C65FD5" w:rsidRPr="00831C3C" w:rsidRDefault="00C65FD5">
      <w:pPr>
        <w:pStyle w:val="a3"/>
        <w:spacing w:before="0" w:beforeAutospacing="0" w:after="0" w:afterAutospacing="0"/>
        <w:ind w:firstLine="360"/>
        <w:divId w:val="1468864405"/>
      </w:pPr>
      <w:r w:rsidRPr="00831C3C">
        <w:rPr>
          <w:rFonts w:ascii="Times New Roman" w:hAnsi="Times New Roman" w:cs="Times New Roman"/>
          <w:sz w:val="18"/>
          <w:szCs w:val="18"/>
        </w:rPr>
        <w:t>8</w:t>
      </w:r>
      <w:r w:rsidRPr="00831C3C">
        <w:rPr>
          <w:rFonts w:hint="eastAsia"/>
          <w:sz w:val="18"/>
          <w:szCs w:val="18"/>
        </w:rPr>
        <w:t>、关于内幕信息知情人的管理：报告期内，公司严格按照《内幕信息知情人登记制度》的要求，对公司利润分配预案、定期报告等重大事项，做好内幕信息管理以及内幕信息知情人登记工作，如实、完整的记录内幕信息知情人在公开披露前的报告、传递、编制、审核、披露等各个环节所有内幕信息知情人名单，杜绝相关人员利用内幕信息从事内幕交易，维护广大投资者尤其是中小投资者的利益。</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公司治理的实际状况与法律、行政法规和中国证监会发布的关于上市公司治理的规定是否存在重大差异</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□是</w:t>
      </w:r>
      <w:r w:rsidRPr="00831C3C">
        <w:rPr>
          <w:rFonts w:ascii="宋体" w:eastAsia="宋体" w:hAnsi="宋体" w:cs="宋体"/>
          <w:sz w:val="18"/>
          <w:szCs w:val="18"/>
        </w:rPr>
        <w:sym w:font="Wingdings 2" w:char="F052"/>
      </w:r>
      <w:r w:rsidRPr="00831C3C">
        <w:rPr>
          <w:rFonts w:ascii="宋体" w:eastAsia="宋体" w:hAnsi="宋体" w:cs="宋体"/>
          <w:sz w:val="18"/>
          <w:szCs w:val="18"/>
        </w:rPr>
        <w:t>否</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公司治理的实际状况与法律、行政法规和中国证监会发布的关于上市公司治理的规定不存在重大差异。</w:t>
      </w:r>
    </w:p>
    <w:p w:rsidR="00E23A97" w:rsidRPr="00831C3C" w:rsidRDefault="00C65FD5">
      <w:pPr>
        <w:pStyle w:val="2"/>
        <w:spacing w:before="300" w:after="300" w:line="320" w:lineRule="exact"/>
        <w:rPr>
          <w:rFonts w:ascii="宋体" w:eastAsia="宋体" w:hAnsi="宋体" w:cs="宋体"/>
          <w:b/>
          <w:bCs/>
          <w:sz w:val="24"/>
          <w:szCs w:val="24"/>
        </w:rPr>
      </w:pPr>
      <w:bookmarkStart w:id="70" w:name="_Toc988958"/>
      <w:r w:rsidRPr="00831C3C">
        <w:rPr>
          <w:rFonts w:ascii="宋体" w:eastAsia="宋体" w:hAnsi="宋体" w:cs="宋体"/>
          <w:b/>
          <w:bCs/>
          <w:sz w:val="24"/>
          <w:szCs w:val="24"/>
        </w:rPr>
        <w:t>二、公司相对于控股股东、实际控制人在保证公司资产、人员、财务、机构、业务等方面的独立情况</w:t>
      </w:r>
      <w:bookmarkEnd w:id="70"/>
    </w:p>
    <w:p w:rsidR="00C65FD5" w:rsidRPr="00831C3C" w:rsidRDefault="00C65FD5">
      <w:pPr>
        <w:pStyle w:val="a3"/>
        <w:spacing w:before="0" w:beforeAutospacing="0" w:after="0" w:afterAutospacing="0"/>
        <w:ind w:firstLine="360"/>
        <w:divId w:val="746807155"/>
      </w:pPr>
      <w:r w:rsidRPr="00831C3C">
        <w:rPr>
          <w:rFonts w:hint="eastAsia"/>
          <w:sz w:val="18"/>
          <w:szCs w:val="18"/>
        </w:rPr>
        <w:t>报告期内，公司严格按照《公司法》、《证券法》、《公司章程》等要求，建立健全各项内部控制管理制度，规范与公司实际控制人之间的关系，独立运作，自主经营，独立承担责任和风险。具体情况如下：</w:t>
      </w:r>
    </w:p>
    <w:p w:rsidR="00C65FD5" w:rsidRPr="00831C3C" w:rsidRDefault="00C65FD5">
      <w:pPr>
        <w:pStyle w:val="a3"/>
        <w:spacing w:before="40" w:beforeAutospacing="0" w:after="40" w:afterAutospacing="0"/>
        <w:ind w:firstLine="360"/>
        <w:jc w:val="both"/>
        <w:divId w:val="746807155"/>
      </w:pPr>
      <w:r w:rsidRPr="00831C3C">
        <w:rPr>
          <w:rFonts w:ascii="Times New Roman" w:hAnsi="Times New Roman" w:cs="Times New Roman"/>
          <w:sz w:val="18"/>
          <w:szCs w:val="18"/>
        </w:rPr>
        <w:lastRenderedPageBreak/>
        <w:t>1</w:t>
      </w:r>
      <w:r w:rsidRPr="00831C3C">
        <w:rPr>
          <w:rFonts w:hint="eastAsia"/>
          <w:sz w:val="18"/>
          <w:szCs w:val="18"/>
        </w:rPr>
        <w:t>、业务方面：公司业务结构完整，自主独立经营，与控股股东之间无同业竞争，控股股东未曾利用控股股东地位干涉公司决策和生产经营活动。</w:t>
      </w:r>
    </w:p>
    <w:p w:rsidR="00C65FD5" w:rsidRPr="00831C3C" w:rsidRDefault="00C65FD5">
      <w:pPr>
        <w:pStyle w:val="a3"/>
        <w:spacing w:before="40" w:beforeAutospacing="0" w:after="40" w:afterAutospacing="0"/>
        <w:ind w:firstLine="360"/>
        <w:jc w:val="both"/>
        <w:divId w:val="746807155"/>
      </w:pPr>
      <w:r w:rsidRPr="00831C3C">
        <w:rPr>
          <w:rFonts w:ascii="Times New Roman" w:hAnsi="Times New Roman" w:cs="Times New Roman"/>
          <w:sz w:val="18"/>
          <w:szCs w:val="18"/>
        </w:rPr>
        <w:t>2</w:t>
      </w:r>
      <w:r w:rsidRPr="00831C3C">
        <w:rPr>
          <w:rFonts w:hint="eastAsia"/>
          <w:sz w:val="18"/>
          <w:szCs w:val="18"/>
        </w:rPr>
        <w:t>、人员方面：公司在劳动、人事及工资管理等各方面均独立于控股股东。总裁、副总裁、董事会秘书、财务负责人等高级管理人员均在公司领取报酬，未在控股股东或股东关联单位担任除董事以外的任何职务。</w:t>
      </w:r>
    </w:p>
    <w:p w:rsidR="00C65FD5" w:rsidRPr="00831C3C" w:rsidRDefault="00C65FD5">
      <w:pPr>
        <w:pStyle w:val="a3"/>
        <w:spacing w:before="40" w:beforeAutospacing="0" w:after="40" w:afterAutospacing="0"/>
        <w:ind w:firstLine="360"/>
        <w:jc w:val="both"/>
        <w:divId w:val="746807155"/>
      </w:pPr>
      <w:r w:rsidRPr="00831C3C">
        <w:rPr>
          <w:rFonts w:ascii="Times New Roman" w:hAnsi="Times New Roman" w:cs="Times New Roman"/>
          <w:sz w:val="18"/>
          <w:szCs w:val="18"/>
        </w:rPr>
        <w:t>3</w:t>
      </w:r>
      <w:r w:rsidRPr="00831C3C">
        <w:rPr>
          <w:rFonts w:hint="eastAsia"/>
          <w:sz w:val="18"/>
          <w:szCs w:val="18"/>
        </w:rPr>
        <w:t>、资产方面：公司有独立的办公场地，拥有独立完整的生产、供应、销售体系及辅助配套设施，拥有独立的工业产权、商标、非专利技术等无形资产。</w:t>
      </w:r>
    </w:p>
    <w:p w:rsidR="00C65FD5" w:rsidRPr="00831C3C" w:rsidRDefault="00C65FD5">
      <w:pPr>
        <w:pStyle w:val="a3"/>
        <w:spacing w:before="0" w:beforeAutospacing="0" w:after="0" w:afterAutospacing="0"/>
        <w:ind w:firstLine="360"/>
        <w:divId w:val="746807155"/>
      </w:pPr>
      <w:r w:rsidRPr="00831C3C">
        <w:rPr>
          <w:rFonts w:ascii="Times New Roman" w:hAnsi="Times New Roman" w:cs="Times New Roman"/>
          <w:sz w:val="18"/>
          <w:szCs w:val="18"/>
        </w:rPr>
        <w:t>4</w:t>
      </w:r>
      <w:r w:rsidRPr="00831C3C">
        <w:rPr>
          <w:rFonts w:hint="eastAsia"/>
          <w:sz w:val="18"/>
          <w:szCs w:val="18"/>
        </w:rPr>
        <w:t>、机构方面：公司设立了健全的组织体系，董事会、监事会、经理层、技术、生产等内部机构独立运作，不存在与控股股东之间的从属关系。</w:t>
      </w:r>
    </w:p>
    <w:p w:rsidR="00C65FD5" w:rsidRPr="00831C3C" w:rsidRDefault="00C65FD5">
      <w:pPr>
        <w:pStyle w:val="a3"/>
        <w:spacing w:before="0" w:beforeAutospacing="0" w:after="0" w:afterAutospacing="0"/>
        <w:ind w:firstLine="360"/>
        <w:divId w:val="746807155"/>
      </w:pPr>
      <w:r w:rsidRPr="00831C3C">
        <w:rPr>
          <w:rFonts w:ascii="Times New Roman" w:hAnsi="Times New Roman" w:cs="Times New Roman"/>
          <w:sz w:val="18"/>
          <w:szCs w:val="18"/>
        </w:rPr>
        <w:t>5</w:t>
      </w:r>
      <w:r w:rsidRPr="00831C3C">
        <w:rPr>
          <w:rFonts w:hint="eastAsia"/>
          <w:sz w:val="18"/>
          <w:szCs w:val="18"/>
        </w:rPr>
        <w:t>、财务方面：公司设有独立的财务部门，并建立了独立的会计核算体系和财务管理制度，独立在银行开户、并依法独立纳税。截止本报告签署之日，公司没有为股东及其下属企业、其他关联企业提供担保或将以本公司名义的借款转借给股东单位使用。</w:t>
      </w:r>
    </w:p>
    <w:p w:rsidR="00E23A97" w:rsidRPr="00831C3C" w:rsidRDefault="00C65FD5">
      <w:pPr>
        <w:pStyle w:val="2"/>
        <w:spacing w:before="300" w:after="300" w:line="320" w:lineRule="exact"/>
        <w:rPr>
          <w:rFonts w:ascii="宋体" w:eastAsia="宋体" w:hAnsi="宋体" w:cs="宋体"/>
          <w:b/>
          <w:bCs/>
          <w:sz w:val="24"/>
          <w:szCs w:val="24"/>
        </w:rPr>
      </w:pPr>
      <w:bookmarkStart w:id="71" w:name="_Toc988959"/>
      <w:r w:rsidRPr="00831C3C">
        <w:rPr>
          <w:rFonts w:ascii="宋体" w:eastAsia="宋体" w:hAnsi="宋体" w:cs="宋体"/>
          <w:b/>
          <w:bCs/>
          <w:sz w:val="24"/>
          <w:szCs w:val="24"/>
        </w:rPr>
        <w:t>三、同业竞争情况</w:t>
      </w:r>
      <w:bookmarkEnd w:id="71"/>
    </w:p>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pStyle w:val="2"/>
        <w:spacing w:before="300" w:after="300" w:line="320" w:lineRule="exact"/>
        <w:rPr>
          <w:rFonts w:ascii="宋体" w:eastAsia="宋体" w:hAnsi="宋体" w:cs="宋体"/>
          <w:b/>
          <w:bCs/>
          <w:sz w:val="24"/>
          <w:szCs w:val="24"/>
        </w:rPr>
      </w:pPr>
      <w:bookmarkStart w:id="72" w:name="_Toc988960"/>
      <w:r w:rsidRPr="00831C3C">
        <w:rPr>
          <w:rFonts w:ascii="宋体" w:eastAsia="宋体" w:hAnsi="宋体" w:cs="宋体"/>
          <w:b/>
          <w:bCs/>
          <w:sz w:val="24"/>
          <w:szCs w:val="24"/>
        </w:rPr>
        <w:t>四、报告期内召开的年度股东大会和临时股东大会的有关情况</w:t>
      </w:r>
      <w:bookmarkEnd w:id="72"/>
    </w:p>
    <w:p w:rsidR="00E23A97" w:rsidRPr="00831C3C" w:rsidRDefault="00C65FD5">
      <w:pPr>
        <w:pStyle w:val="3"/>
        <w:spacing w:line="280" w:lineRule="exact"/>
        <w:jc w:val="left"/>
        <w:rPr>
          <w:rFonts w:ascii="宋体" w:hAnsi="宋体" w:cs="宋体"/>
          <w:b/>
          <w:bCs/>
        </w:rPr>
      </w:pPr>
      <w:bookmarkStart w:id="73" w:name="_Toc988961"/>
      <w:r w:rsidRPr="00831C3C">
        <w:rPr>
          <w:rFonts w:ascii="宋体" w:hAnsi="宋体" w:cs="宋体"/>
          <w:b/>
          <w:bCs/>
        </w:rPr>
        <w:t>1、本报告期股东大会情况</w:t>
      </w:r>
      <w:bookmarkEnd w:id="73"/>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84"/>
        <w:gridCol w:w="1276"/>
        <w:gridCol w:w="1559"/>
        <w:gridCol w:w="1701"/>
        <w:gridCol w:w="1701"/>
        <w:gridCol w:w="2018"/>
      </w:tblGrid>
      <w:tr w:rsidR="00831C3C" w:rsidRPr="00831C3C" w:rsidTr="00896FFD">
        <w:trPr>
          <w:trHeight w:val="240"/>
        </w:trPr>
        <w:tc>
          <w:tcPr>
            <w:tcW w:w="1384"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会议届次</w:t>
            </w:r>
          </w:p>
        </w:tc>
        <w:tc>
          <w:tcPr>
            <w:tcW w:w="12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会议类型</w:t>
            </w:r>
          </w:p>
        </w:tc>
        <w:tc>
          <w:tcPr>
            <w:tcW w:w="155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投资者参与比例</w:t>
            </w:r>
          </w:p>
        </w:tc>
        <w:tc>
          <w:tcPr>
            <w:tcW w:w="170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召开日期</w:t>
            </w:r>
          </w:p>
        </w:tc>
        <w:tc>
          <w:tcPr>
            <w:tcW w:w="170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披露日期</w:t>
            </w:r>
          </w:p>
        </w:tc>
        <w:tc>
          <w:tcPr>
            <w:tcW w:w="201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会议决议</w:t>
            </w:r>
          </w:p>
        </w:tc>
      </w:tr>
      <w:tr w:rsidR="00831C3C" w:rsidRPr="00831C3C" w:rsidTr="00896FFD">
        <w:trPr>
          <w:trHeight w:val="240"/>
        </w:trPr>
        <w:tc>
          <w:tcPr>
            <w:tcW w:w="138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2023年年度股东大会</w:t>
            </w:r>
          </w:p>
        </w:tc>
        <w:tc>
          <w:tcPr>
            <w:tcW w:w="12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年度股东大会</w:t>
            </w:r>
          </w:p>
        </w:tc>
        <w:tc>
          <w:tcPr>
            <w:tcW w:w="155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43.02%</w:t>
            </w:r>
          </w:p>
        </w:tc>
        <w:tc>
          <w:tcPr>
            <w:tcW w:w="170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2024年05月24日</w:t>
            </w:r>
          </w:p>
        </w:tc>
        <w:tc>
          <w:tcPr>
            <w:tcW w:w="170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2024年05月25日</w:t>
            </w:r>
          </w:p>
        </w:tc>
        <w:tc>
          <w:tcPr>
            <w:tcW w:w="201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详情参考公司于2024年5月25日于《证券时报》、《中国证券报》及巨潮资讯网发布的《2023年年度股东大会决议公告》</w:t>
            </w:r>
          </w:p>
        </w:tc>
      </w:tr>
      <w:tr w:rsidR="00831C3C" w:rsidRPr="00831C3C" w:rsidTr="00896FFD">
        <w:trPr>
          <w:trHeight w:val="240"/>
        </w:trPr>
        <w:tc>
          <w:tcPr>
            <w:tcW w:w="138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2024年第一次临时股东大会</w:t>
            </w:r>
          </w:p>
        </w:tc>
        <w:tc>
          <w:tcPr>
            <w:tcW w:w="12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临时股东大会</w:t>
            </w:r>
          </w:p>
        </w:tc>
        <w:tc>
          <w:tcPr>
            <w:tcW w:w="155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43.26%</w:t>
            </w:r>
          </w:p>
        </w:tc>
        <w:tc>
          <w:tcPr>
            <w:tcW w:w="170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2024年11月15日</w:t>
            </w:r>
          </w:p>
        </w:tc>
        <w:tc>
          <w:tcPr>
            <w:tcW w:w="170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2024年11月16日</w:t>
            </w:r>
          </w:p>
        </w:tc>
        <w:tc>
          <w:tcPr>
            <w:tcW w:w="201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详情参考公司于2024年11月16日于《证券时报》、《中国证券报》及巨潮资讯网发布的《2024年第一次临时股东大会决议公告》</w:t>
            </w:r>
          </w:p>
        </w:tc>
      </w:tr>
      <w:tr w:rsidR="00831C3C" w:rsidRPr="00831C3C" w:rsidTr="00896FFD">
        <w:trPr>
          <w:trHeight w:val="240"/>
        </w:trPr>
        <w:tc>
          <w:tcPr>
            <w:tcW w:w="138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2024年第二次临时股东大会</w:t>
            </w:r>
          </w:p>
        </w:tc>
        <w:tc>
          <w:tcPr>
            <w:tcW w:w="12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临时股东大会</w:t>
            </w:r>
          </w:p>
        </w:tc>
        <w:tc>
          <w:tcPr>
            <w:tcW w:w="155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45.69%</w:t>
            </w:r>
          </w:p>
        </w:tc>
        <w:tc>
          <w:tcPr>
            <w:tcW w:w="170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2024年12月20日</w:t>
            </w:r>
          </w:p>
        </w:tc>
        <w:tc>
          <w:tcPr>
            <w:tcW w:w="170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2024年12月21日</w:t>
            </w:r>
          </w:p>
        </w:tc>
        <w:tc>
          <w:tcPr>
            <w:tcW w:w="201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详情参考公司于2024年12月21日于《证券时报》、《中国证券报》及巨潮资讯网发布的《2024年第二次临时股东大会决议公告》</w:t>
            </w:r>
          </w:p>
        </w:tc>
      </w:tr>
    </w:tbl>
    <w:p w:rsidR="00E23A97" w:rsidRPr="00831C3C" w:rsidRDefault="00C65FD5">
      <w:pPr>
        <w:pStyle w:val="3"/>
        <w:spacing w:line="280" w:lineRule="exact"/>
        <w:jc w:val="left"/>
        <w:rPr>
          <w:rFonts w:ascii="宋体" w:hAnsi="宋体" w:cs="宋体"/>
          <w:b/>
          <w:bCs/>
        </w:rPr>
      </w:pPr>
      <w:bookmarkStart w:id="74" w:name="_Toc988962"/>
      <w:r w:rsidRPr="00831C3C">
        <w:rPr>
          <w:rFonts w:ascii="宋体" w:hAnsi="宋体" w:cs="宋体"/>
          <w:b/>
          <w:bCs/>
        </w:rPr>
        <w:t>2、表决权恢复的优先股股东请求召开临时股东大会</w:t>
      </w:r>
      <w:bookmarkEnd w:id="74"/>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pStyle w:val="2"/>
        <w:spacing w:before="300" w:after="300" w:line="320" w:lineRule="exact"/>
        <w:rPr>
          <w:rFonts w:ascii="宋体" w:eastAsia="宋体" w:hAnsi="宋体" w:cs="宋体"/>
          <w:b/>
          <w:bCs/>
          <w:sz w:val="24"/>
          <w:szCs w:val="24"/>
        </w:rPr>
      </w:pPr>
      <w:bookmarkStart w:id="75" w:name="_Toc988963"/>
      <w:r w:rsidRPr="00831C3C">
        <w:rPr>
          <w:rFonts w:ascii="宋体" w:eastAsia="宋体" w:hAnsi="宋体" w:cs="宋体"/>
          <w:b/>
          <w:bCs/>
          <w:sz w:val="24"/>
          <w:szCs w:val="24"/>
        </w:rPr>
        <w:t>五、董事、监事和高级管理人员情况</w:t>
      </w:r>
      <w:bookmarkEnd w:id="75"/>
    </w:p>
    <w:p w:rsidR="00E23A97" w:rsidRPr="00831C3C" w:rsidRDefault="00C65FD5">
      <w:pPr>
        <w:pStyle w:val="3"/>
        <w:spacing w:line="280" w:lineRule="exact"/>
        <w:jc w:val="left"/>
        <w:rPr>
          <w:rFonts w:ascii="宋体" w:hAnsi="宋体" w:cs="宋体"/>
          <w:b/>
          <w:bCs/>
        </w:rPr>
      </w:pPr>
      <w:bookmarkStart w:id="76" w:name="_Toc988964"/>
      <w:r w:rsidRPr="00831C3C">
        <w:rPr>
          <w:rFonts w:ascii="宋体" w:hAnsi="宋体" w:cs="宋体"/>
          <w:b/>
          <w:bCs/>
        </w:rPr>
        <w:t>1、基本情况</w:t>
      </w:r>
      <w:bookmarkEnd w:id="76"/>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742"/>
        <w:gridCol w:w="742"/>
        <w:gridCol w:w="742"/>
        <w:gridCol w:w="742"/>
        <w:gridCol w:w="742"/>
        <w:gridCol w:w="742"/>
        <w:gridCol w:w="741"/>
        <w:gridCol w:w="741"/>
        <w:gridCol w:w="741"/>
        <w:gridCol w:w="741"/>
        <w:gridCol w:w="741"/>
        <w:gridCol w:w="741"/>
        <w:gridCol w:w="741"/>
      </w:tblGrid>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姓名</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性别</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年龄</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职务</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任职</w:t>
            </w:r>
            <w:r w:rsidRPr="00831C3C">
              <w:rPr>
                <w:rFonts w:ascii="宋体" w:eastAsia="宋体" w:hAnsi="宋体" w:cs="宋体"/>
                <w:sz w:val="18"/>
                <w:szCs w:val="18"/>
              </w:rPr>
              <w:lastRenderedPageBreak/>
              <w:t>状态</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lastRenderedPageBreak/>
              <w:t>任期</w:t>
            </w:r>
            <w:r w:rsidRPr="00831C3C">
              <w:rPr>
                <w:rFonts w:ascii="宋体" w:eastAsia="宋体" w:hAnsi="宋体" w:cs="宋体"/>
                <w:sz w:val="18"/>
                <w:szCs w:val="18"/>
              </w:rPr>
              <w:lastRenderedPageBreak/>
              <w:t>起始日期</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lastRenderedPageBreak/>
              <w:t>任期</w:t>
            </w:r>
            <w:r w:rsidRPr="00831C3C">
              <w:rPr>
                <w:rFonts w:ascii="宋体" w:eastAsia="宋体" w:hAnsi="宋体" w:cs="宋体"/>
                <w:sz w:val="18"/>
                <w:szCs w:val="18"/>
              </w:rPr>
              <w:lastRenderedPageBreak/>
              <w:t>终止日期</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lastRenderedPageBreak/>
              <w:t>期初</w:t>
            </w:r>
            <w:r w:rsidRPr="00831C3C">
              <w:rPr>
                <w:rFonts w:ascii="宋体" w:eastAsia="宋体" w:hAnsi="宋体" w:cs="宋体"/>
                <w:sz w:val="18"/>
                <w:szCs w:val="18"/>
              </w:rPr>
              <w:lastRenderedPageBreak/>
              <w:t>持股数（股）</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lastRenderedPageBreak/>
              <w:t>本期</w:t>
            </w:r>
            <w:r w:rsidRPr="00831C3C">
              <w:rPr>
                <w:rFonts w:ascii="宋体" w:eastAsia="宋体" w:hAnsi="宋体" w:cs="宋体"/>
                <w:sz w:val="18"/>
                <w:szCs w:val="18"/>
              </w:rPr>
              <w:lastRenderedPageBreak/>
              <w:t>增持股份数量（股）</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lastRenderedPageBreak/>
              <w:t>本期</w:t>
            </w:r>
            <w:r w:rsidRPr="00831C3C">
              <w:rPr>
                <w:rFonts w:ascii="宋体" w:eastAsia="宋体" w:hAnsi="宋体" w:cs="宋体"/>
                <w:sz w:val="18"/>
                <w:szCs w:val="18"/>
              </w:rPr>
              <w:lastRenderedPageBreak/>
              <w:t>减持股份数量（股）</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lastRenderedPageBreak/>
              <w:t>其他</w:t>
            </w:r>
            <w:r w:rsidRPr="00831C3C">
              <w:rPr>
                <w:rFonts w:ascii="宋体" w:eastAsia="宋体" w:hAnsi="宋体" w:cs="宋体"/>
                <w:sz w:val="18"/>
                <w:szCs w:val="18"/>
              </w:rPr>
              <w:lastRenderedPageBreak/>
              <w:t>增减变动（股）</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lastRenderedPageBreak/>
              <w:t>期末</w:t>
            </w:r>
            <w:r w:rsidRPr="00831C3C">
              <w:rPr>
                <w:rFonts w:ascii="宋体" w:eastAsia="宋体" w:hAnsi="宋体" w:cs="宋体"/>
                <w:sz w:val="18"/>
                <w:szCs w:val="18"/>
              </w:rPr>
              <w:lastRenderedPageBreak/>
              <w:t>持股数（股）</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lastRenderedPageBreak/>
              <w:t>股份</w:t>
            </w:r>
            <w:r w:rsidRPr="00831C3C">
              <w:rPr>
                <w:rFonts w:ascii="宋体" w:eastAsia="宋体" w:hAnsi="宋体" w:cs="宋体"/>
                <w:sz w:val="18"/>
                <w:szCs w:val="18"/>
              </w:rPr>
              <w:lastRenderedPageBreak/>
              <w:t>增减变动的原因</w:t>
            </w: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lastRenderedPageBreak/>
              <w:t>孙伟挺</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男</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62</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董事、董事长</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现任</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2008年02月28日</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2027年12月20日</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0</w:t>
            </w:r>
          </w:p>
        </w:tc>
      </w:tr>
      <w:tr w:rsidR="00831C3C" w:rsidRPr="00831C3C">
        <w:trPr>
          <w:trHeight w:val="240"/>
        </w:trPr>
        <w:tc>
          <w:tcPr>
            <w:tcW w:w="741" w:type="dxa"/>
            <w:vMerge w:val="restart"/>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陈玲芬</w:t>
            </w:r>
          </w:p>
        </w:tc>
        <w:tc>
          <w:tcPr>
            <w:tcW w:w="741" w:type="dxa"/>
            <w:vMerge w:val="restart"/>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女</w:t>
            </w:r>
          </w:p>
        </w:tc>
        <w:tc>
          <w:tcPr>
            <w:tcW w:w="741" w:type="dxa"/>
            <w:vMerge w:val="restart"/>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62</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董事、副董事长</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现任</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2008年02月28日</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2027年12月20日</w:t>
            </w:r>
          </w:p>
        </w:tc>
        <w:tc>
          <w:tcPr>
            <w:tcW w:w="741" w:type="dxa"/>
            <w:vMerge w:val="restart"/>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vMerge w:val="restart"/>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vMerge w:val="restart"/>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vMerge w:val="restart"/>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vMerge w:val="restart"/>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vMerge w:val="restart"/>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0</w:t>
            </w:r>
          </w:p>
        </w:tc>
      </w:tr>
      <w:tr w:rsidR="00831C3C" w:rsidRPr="00831C3C">
        <w:trPr>
          <w:trHeight w:val="240"/>
        </w:trPr>
        <w:tc>
          <w:tcPr>
            <w:tcW w:w="741" w:type="dxa"/>
            <w:vMerge/>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陈玲芬</w:t>
            </w:r>
          </w:p>
        </w:tc>
        <w:tc>
          <w:tcPr>
            <w:tcW w:w="741" w:type="dxa"/>
            <w:vMerge/>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女</w:t>
            </w:r>
          </w:p>
        </w:tc>
        <w:tc>
          <w:tcPr>
            <w:tcW w:w="741" w:type="dxa"/>
            <w:vMerge/>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62</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总裁</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现任</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2008年02月28日</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2027年12月31日</w:t>
            </w:r>
          </w:p>
        </w:tc>
        <w:tc>
          <w:tcPr>
            <w:tcW w:w="741" w:type="dxa"/>
            <w:vMerge/>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vMerge/>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vMerge/>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vMerge/>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vMerge/>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vMerge/>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0</w:t>
            </w: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孙小挺</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男</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57</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副总裁</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现任</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2024年12月31日</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2027年12月31日</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0</w:t>
            </w: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陈翰</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男</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36</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董事</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现任</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2021年12月16日</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2027年12月20日</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0</w:t>
            </w:r>
          </w:p>
        </w:tc>
      </w:tr>
      <w:tr w:rsidR="00831C3C" w:rsidRPr="00831C3C">
        <w:trPr>
          <w:trHeight w:val="240"/>
        </w:trPr>
        <w:tc>
          <w:tcPr>
            <w:tcW w:w="741" w:type="dxa"/>
            <w:vMerge w:val="restart"/>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程桂松</w:t>
            </w:r>
          </w:p>
        </w:tc>
        <w:tc>
          <w:tcPr>
            <w:tcW w:w="741" w:type="dxa"/>
            <w:vMerge w:val="restart"/>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男</w:t>
            </w:r>
          </w:p>
        </w:tc>
        <w:tc>
          <w:tcPr>
            <w:tcW w:w="741" w:type="dxa"/>
            <w:vMerge w:val="restart"/>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59</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董事</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现任</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2014年11月24日</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2027年12月20日</w:t>
            </w:r>
          </w:p>
        </w:tc>
        <w:tc>
          <w:tcPr>
            <w:tcW w:w="741" w:type="dxa"/>
            <w:vMerge w:val="restart"/>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vMerge w:val="restart"/>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vMerge w:val="restart"/>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vMerge w:val="restart"/>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vMerge w:val="restart"/>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vMerge w:val="restart"/>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0</w:t>
            </w:r>
          </w:p>
        </w:tc>
      </w:tr>
      <w:tr w:rsidR="00831C3C" w:rsidRPr="00831C3C">
        <w:trPr>
          <w:trHeight w:val="240"/>
        </w:trPr>
        <w:tc>
          <w:tcPr>
            <w:tcW w:w="741" w:type="dxa"/>
            <w:vMerge/>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程桂松</w:t>
            </w:r>
          </w:p>
        </w:tc>
        <w:tc>
          <w:tcPr>
            <w:tcW w:w="741" w:type="dxa"/>
            <w:vMerge/>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男</w:t>
            </w:r>
          </w:p>
        </w:tc>
        <w:tc>
          <w:tcPr>
            <w:tcW w:w="741" w:type="dxa"/>
            <w:vMerge/>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59</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副总裁</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现任</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2018年04月24日</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2027年12月31日</w:t>
            </w:r>
          </w:p>
        </w:tc>
        <w:tc>
          <w:tcPr>
            <w:tcW w:w="741" w:type="dxa"/>
            <w:vMerge/>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vMerge/>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vMerge/>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vMerge/>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vMerge/>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vMerge/>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0</w:t>
            </w:r>
          </w:p>
        </w:tc>
      </w:tr>
      <w:tr w:rsidR="00831C3C" w:rsidRPr="00831C3C">
        <w:trPr>
          <w:trHeight w:val="240"/>
        </w:trPr>
        <w:tc>
          <w:tcPr>
            <w:tcW w:w="741" w:type="dxa"/>
            <w:vMerge w:val="restart"/>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王国友</w:t>
            </w:r>
          </w:p>
        </w:tc>
        <w:tc>
          <w:tcPr>
            <w:tcW w:w="741" w:type="dxa"/>
            <w:vMerge w:val="restart"/>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男</w:t>
            </w:r>
          </w:p>
        </w:tc>
        <w:tc>
          <w:tcPr>
            <w:tcW w:w="741" w:type="dxa"/>
            <w:vMerge w:val="restart"/>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62</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董事</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现任</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2008年12月31日</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2027年12月20日</w:t>
            </w:r>
          </w:p>
        </w:tc>
        <w:tc>
          <w:tcPr>
            <w:tcW w:w="741" w:type="dxa"/>
            <w:vMerge w:val="restart"/>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vMerge w:val="restart"/>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vMerge w:val="restart"/>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vMerge w:val="restart"/>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vMerge w:val="restart"/>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vMerge w:val="restart"/>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0</w:t>
            </w:r>
          </w:p>
        </w:tc>
      </w:tr>
      <w:tr w:rsidR="00831C3C" w:rsidRPr="00831C3C">
        <w:trPr>
          <w:trHeight w:val="240"/>
        </w:trPr>
        <w:tc>
          <w:tcPr>
            <w:tcW w:w="741" w:type="dxa"/>
            <w:vMerge/>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王国友</w:t>
            </w:r>
          </w:p>
        </w:tc>
        <w:tc>
          <w:tcPr>
            <w:tcW w:w="741" w:type="dxa"/>
            <w:vMerge/>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男</w:t>
            </w:r>
          </w:p>
        </w:tc>
        <w:tc>
          <w:tcPr>
            <w:tcW w:w="741" w:type="dxa"/>
            <w:vMerge/>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62</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财务总监</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现任</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2015年04月13日</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2027年12月31日</w:t>
            </w:r>
          </w:p>
        </w:tc>
        <w:tc>
          <w:tcPr>
            <w:tcW w:w="741" w:type="dxa"/>
            <w:vMerge/>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vMerge/>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vMerge/>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vMerge/>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vMerge/>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vMerge/>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0</w:t>
            </w:r>
          </w:p>
        </w:tc>
      </w:tr>
      <w:tr w:rsidR="00831C3C" w:rsidRPr="00831C3C">
        <w:trPr>
          <w:trHeight w:val="240"/>
        </w:trPr>
        <w:tc>
          <w:tcPr>
            <w:tcW w:w="741" w:type="dxa"/>
            <w:vMerge w:val="restart"/>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张正</w:t>
            </w:r>
          </w:p>
        </w:tc>
        <w:tc>
          <w:tcPr>
            <w:tcW w:w="741" w:type="dxa"/>
            <w:vMerge w:val="restart"/>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男</w:t>
            </w:r>
          </w:p>
        </w:tc>
        <w:tc>
          <w:tcPr>
            <w:tcW w:w="741" w:type="dxa"/>
            <w:vMerge w:val="restart"/>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董事</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现任</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2020年07月10日</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2027年12月20日</w:t>
            </w:r>
          </w:p>
        </w:tc>
        <w:tc>
          <w:tcPr>
            <w:tcW w:w="741" w:type="dxa"/>
            <w:vMerge w:val="restart"/>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vMerge w:val="restart"/>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vMerge w:val="restart"/>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vMerge w:val="restart"/>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vMerge w:val="restart"/>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vMerge w:val="restart"/>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0</w:t>
            </w:r>
          </w:p>
        </w:tc>
      </w:tr>
      <w:tr w:rsidR="00831C3C" w:rsidRPr="00831C3C">
        <w:trPr>
          <w:trHeight w:val="240"/>
        </w:trPr>
        <w:tc>
          <w:tcPr>
            <w:tcW w:w="741" w:type="dxa"/>
            <w:vMerge/>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张正</w:t>
            </w:r>
          </w:p>
        </w:tc>
        <w:tc>
          <w:tcPr>
            <w:tcW w:w="741" w:type="dxa"/>
            <w:vMerge/>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男</w:t>
            </w:r>
          </w:p>
        </w:tc>
        <w:tc>
          <w:tcPr>
            <w:tcW w:w="741" w:type="dxa"/>
            <w:vMerge/>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董事会秘书、副总裁</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现任</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2017年10月23日</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2027年12月31日</w:t>
            </w:r>
          </w:p>
        </w:tc>
        <w:tc>
          <w:tcPr>
            <w:tcW w:w="741" w:type="dxa"/>
            <w:vMerge/>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vMerge/>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vMerge/>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vMerge/>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vMerge/>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vMerge/>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0</w:t>
            </w: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张宝春</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男</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45</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副总裁</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现任</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2024年08月29日</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2027年12月31日</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0</w:t>
            </w: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陈存福</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男</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副总裁</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现任</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2024年12月31</w:t>
            </w:r>
            <w:r w:rsidRPr="00831C3C">
              <w:rPr>
                <w:rFonts w:ascii="宋体" w:eastAsia="宋体" w:hAnsi="宋体" w:cs="宋体"/>
                <w:sz w:val="18"/>
                <w:szCs w:val="18"/>
              </w:rPr>
              <w:lastRenderedPageBreak/>
              <w:t>日</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lastRenderedPageBreak/>
              <w:t>2027年12月31</w:t>
            </w:r>
            <w:r w:rsidRPr="00831C3C">
              <w:rPr>
                <w:rFonts w:ascii="宋体" w:eastAsia="宋体" w:hAnsi="宋体" w:cs="宋体"/>
                <w:sz w:val="18"/>
                <w:szCs w:val="18"/>
              </w:rPr>
              <w:lastRenderedPageBreak/>
              <w:t>日</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lastRenderedPageBreak/>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0</w:t>
            </w: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lastRenderedPageBreak/>
              <w:t>刁英峰</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男</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54</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独立董事</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现任</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2023年10月09日</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2027年12月20日</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0</w:t>
            </w: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高卫东</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男</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66</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独立董事</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离任</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2018年07月21日</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2024年05月24日</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0</w:t>
            </w: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黄亚英</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男</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63</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独立董事</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现任</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2021年12月16日</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2027年12月20日</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0</w:t>
            </w: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宋海涛</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男</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39</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独立董事</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现任</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2024年05月24日</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2027年12月20日</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0</w:t>
            </w: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张际松</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男</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71</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监事、监事会主席</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现任</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2023年10月09日</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2027年12月20日</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0</w:t>
            </w: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熊旭锋</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男</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46</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职工代表监事</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现任</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2021年12月16日</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2027年12月20日</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0</w:t>
            </w: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宣刚江</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男</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41</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监事</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现任</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2020年01月14日</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2027年12月20日</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0</w:t>
            </w: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报告期是否存在任期内董事、监事离任和高级管理人员解聘的情况</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是□否</w:t>
      </w:r>
    </w:p>
    <w:p w:rsidR="00C65FD5" w:rsidRPr="00831C3C" w:rsidRDefault="00C65FD5">
      <w:pPr>
        <w:pStyle w:val="a3"/>
        <w:divId w:val="1539976753"/>
        <w:rPr>
          <w:rFonts w:ascii="Times New Roman" w:hAnsi="Times New Roman" w:cs="Times New Roman"/>
          <w:sz w:val="18"/>
          <w:szCs w:val="18"/>
        </w:rPr>
      </w:pPr>
      <w:r w:rsidRPr="00831C3C">
        <w:rPr>
          <w:rFonts w:ascii="Times New Roman" w:hAnsi="Times New Roman" w:cs="Times New Roman" w:hint="eastAsia"/>
          <w:sz w:val="18"/>
          <w:szCs w:val="18"/>
        </w:rPr>
        <w:t>报告期内，独立董事高卫东先生因个人原因申请辞去公司独立董事职务，同时一并辞去公司提名委员会召集人、战略与发展委员会委员的职务。辞职后，高卫东先生将不再担任公司任何职务。详见公司于</w:t>
      </w:r>
      <w:r w:rsidRPr="00831C3C">
        <w:rPr>
          <w:rFonts w:ascii="Times New Roman" w:hAnsi="Times New Roman" w:cs="Times New Roman" w:hint="eastAsia"/>
          <w:sz w:val="18"/>
          <w:szCs w:val="18"/>
        </w:rPr>
        <w:t>2024</w:t>
      </w:r>
      <w:r w:rsidRPr="00831C3C">
        <w:rPr>
          <w:rFonts w:ascii="Times New Roman" w:hAnsi="Times New Roman" w:cs="Times New Roman" w:hint="eastAsia"/>
          <w:sz w:val="18"/>
          <w:szCs w:val="18"/>
        </w:rPr>
        <w:t>年</w:t>
      </w:r>
      <w:r w:rsidRPr="00831C3C">
        <w:rPr>
          <w:rFonts w:ascii="Times New Roman" w:hAnsi="Times New Roman" w:cs="Times New Roman" w:hint="eastAsia"/>
          <w:sz w:val="18"/>
          <w:szCs w:val="18"/>
        </w:rPr>
        <w:t>4</w:t>
      </w:r>
      <w:r w:rsidRPr="00831C3C">
        <w:rPr>
          <w:rFonts w:ascii="Times New Roman" w:hAnsi="Times New Roman" w:cs="Times New Roman" w:hint="eastAsia"/>
          <w:sz w:val="18"/>
          <w:szCs w:val="18"/>
        </w:rPr>
        <w:t>月</w:t>
      </w:r>
      <w:r w:rsidRPr="00831C3C">
        <w:rPr>
          <w:rFonts w:ascii="Times New Roman" w:hAnsi="Times New Roman" w:cs="Times New Roman" w:hint="eastAsia"/>
          <w:sz w:val="18"/>
          <w:szCs w:val="18"/>
        </w:rPr>
        <w:t>17</w:t>
      </w:r>
      <w:r w:rsidRPr="00831C3C">
        <w:rPr>
          <w:rFonts w:ascii="Times New Roman" w:hAnsi="Times New Roman" w:cs="Times New Roman" w:hint="eastAsia"/>
          <w:sz w:val="18"/>
          <w:szCs w:val="18"/>
        </w:rPr>
        <w:t>日发布于《证券时报》、《中国证券报》及巨潮资讯网（</w:t>
      </w:r>
      <w:hyperlink r:id="rId9" w:history="1">
        <w:r w:rsidRPr="00831C3C">
          <w:rPr>
            <w:rFonts w:ascii="Times New Roman" w:hAnsi="Times New Roman" w:cs="Times New Roman" w:hint="eastAsia"/>
          </w:rPr>
          <w:t>http://www.cninfo.com.cn</w:t>
        </w:r>
      </w:hyperlink>
      <w:r w:rsidRPr="00831C3C">
        <w:rPr>
          <w:rFonts w:ascii="Times New Roman" w:hAnsi="Times New Roman" w:cs="Times New Roman" w:hint="eastAsia"/>
          <w:sz w:val="18"/>
          <w:szCs w:val="18"/>
        </w:rPr>
        <w:t>）上的《关于独立董事离任的公告》（</w:t>
      </w:r>
      <w:r w:rsidRPr="00831C3C">
        <w:rPr>
          <w:rFonts w:ascii="Times New Roman" w:hAnsi="Times New Roman" w:cs="Times New Roman" w:hint="eastAsia"/>
          <w:sz w:val="18"/>
          <w:szCs w:val="18"/>
        </w:rPr>
        <w:t>2024-17</w:t>
      </w:r>
      <w:r w:rsidRPr="00831C3C">
        <w:rPr>
          <w:rFonts w:ascii="Times New Roman" w:hAnsi="Times New Roman" w:cs="Times New Roman" w:hint="eastAsia"/>
          <w:sz w:val="18"/>
          <w:szCs w:val="18"/>
        </w:rPr>
        <w:t>）。</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公司董事、监事、高级管理人员变动情况</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适用□不适用</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31C3C" w:rsidRPr="00831C3C" w:rsidTr="00896FFD">
        <w:trPr>
          <w:trHeight w:val="240"/>
        </w:trPr>
        <w:tc>
          <w:tcPr>
            <w:tcW w:w="192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姓名</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担任的职务</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类型</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日期</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原因</w:t>
            </w:r>
          </w:p>
        </w:tc>
      </w:tr>
      <w:tr w:rsidR="00831C3C" w:rsidRPr="00831C3C" w:rsidTr="00896FFD">
        <w:trPr>
          <w:trHeight w:val="240"/>
        </w:trPr>
        <w:tc>
          <w:tcPr>
            <w:tcW w:w="192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高卫东</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独立董事</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离任</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2024年05月24日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个人原因</w:t>
            </w:r>
          </w:p>
        </w:tc>
      </w:tr>
      <w:tr w:rsidR="00831C3C" w:rsidRPr="00831C3C" w:rsidTr="00896FFD">
        <w:trPr>
          <w:trHeight w:val="240"/>
        </w:trPr>
        <w:tc>
          <w:tcPr>
            <w:tcW w:w="1927" w:type="dxa"/>
            <w:tcBorders>
              <w:top w:val="single" w:sz="2" w:space="0" w:color="auto"/>
              <w:left w:val="single" w:sz="2" w:space="0" w:color="auto"/>
              <w:bottom w:val="single" w:sz="2" w:space="0" w:color="auto"/>
              <w:right w:val="single" w:sz="2" w:space="0" w:color="auto"/>
            </w:tcBorders>
            <w:vAlign w:val="center"/>
          </w:tcPr>
          <w:p w:rsidR="00896FFD" w:rsidRPr="00831C3C" w:rsidRDefault="00896FFD">
            <w:pPr>
              <w:spacing w:line="240" w:lineRule="exact"/>
              <w:rPr>
                <w:rFonts w:ascii="宋体" w:eastAsia="宋体" w:hAnsi="宋体" w:cs="宋体"/>
                <w:sz w:val="18"/>
                <w:szCs w:val="18"/>
              </w:rPr>
            </w:pPr>
            <w:r w:rsidRPr="00831C3C">
              <w:rPr>
                <w:rFonts w:ascii="宋体" w:eastAsia="宋体" w:hAnsi="宋体" w:cs="宋体"/>
                <w:sz w:val="18"/>
                <w:szCs w:val="18"/>
              </w:rPr>
              <w:t>宋海涛</w:t>
            </w:r>
          </w:p>
        </w:tc>
        <w:tc>
          <w:tcPr>
            <w:tcW w:w="1928" w:type="dxa"/>
            <w:tcBorders>
              <w:top w:val="single" w:sz="2" w:space="0" w:color="auto"/>
              <w:left w:val="single" w:sz="2" w:space="0" w:color="auto"/>
              <w:bottom w:val="single" w:sz="2" w:space="0" w:color="auto"/>
              <w:right w:val="single" w:sz="2" w:space="0" w:color="auto"/>
            </w:tcBorders>
            <w:vAlign w:val="center"/>
          </w:tcPr>
          <w:p w:rsidR="00896FFD" w:rsidRPr="00831C3C" w:rsidRDefault="00896FFD">
            <w:pPr>
              <w:spacing w:line="240" w:lineRule="exact"/>
              <w:rPr>
                <w:rFonts w:ascii="宋体" w:eastAsia="宋体" w:hAnsi="宋体" w:cs="宋体"/>
                <w:sz w:val="18"/>
                <w:szCs w:val="18"/>
              </w:rPr>
            </w:pPr>
            <w:r w:rsidRPr="00831C3C">
              <w:rPr>
                <w:rFonts w:ascii="宋体" w:eastAsia="宋体" w:hAnsi="宋体" w:cs="宋体"/>
                <w:sz w:val="18"/>
                <w:szCs w:val="18"/>
              </w:rPr>
              <w:t>独立董事</w:t>
            </w:r>
          </w:p>
        </w:tc>
        <w:tc>
          <w:tcPr>
            <w:tcW w:w="1928" w:type="dxa"/>
            <w:tcBorders>
              <w:top w:val="single" w:sz="2" w:space="0" w:color="auto"/>
              <w:left w:val="single" w:sz="2" w:space="0" w:color="auto"/>
              <w:bottom w:val="single" w:sz="2" w:space="0" w:color="auto"/>
              <w:right w:val="single" w:sz="2" w:space="0" w:color="auto"/>
            </w:tcBorders>
            <w:vAlign w:val="center"/>
          </w:tcPr>
          <w:p w:rsidR="00896FFD" w:rsidRPr="00831C3C" w:rsidRDefault="00896FFD">
            <w:pPr>
              <w:spacing w:line="240" w:lineRule="exact"/>
              <w:rPr>
                <w:rFonts w:ascii="宋体" w:eastAsia="宋体" w:hAnsi="宋体" w:cs="宋体"/>
                <w:sz w:val="18"/>
                <w:szCs w:val="18"/>
              </w:rPr>
            </w:pPr>
            <w:r w:rsidRPr="00831C3C">
              <w:rPr>
                <w:rFonts w:ascii="宋体" w:eastAsia="宋体" w:hAnsi="宋体" w:cs="宋体"/>
                <w:sz w:val="18"/>
                <w:szCs w:val="18"/>
              </w:rPr>
              <w:t>被选举</w:t>
            </w:r>
          </w:p>
        </w:tc>
        <w:tc>
          <w:tcPr>
            <w:tcW w:w="1928" w:type="dxa"/>
            <w:tcBorders>
              <w:top w:val="single" w:sz="2" w:space="0" w:color="auto"/>
              <w:left w:val="single" w:sz="2" w:space="0" w:color="auto"/>
              <w:bottom w:val="single" w:sz="2" w:space="0" w:color="auto"/>
              <w:right w:val="single" w:sz="2" w:space="0" w:color="auto"/>
            </w:tcBorders>
            <w:vAlign w:val="center"/>
          </w:tcPr>
          <w:p w:rsidR="00896FFD" w:rsidRPr="00831C3C" w:rsidRDefault="00896FFD">
            <w:pPr>
              <w:spacing w:line="240" w:lineRule="exact"/>
              <w:rPr>
                <w:rFonts w:ascii="宋体" w:eastAsia="宋体" w:hAnsi="宋体" w:cs="宋体"/>
                <w:sz w:val="18"/>
                <w:szCs w:val="18"/>
              </w:rPr>
            </w:pPr>
            <w:r w:rsidRPr="00831C3C">
              <w:rPr>
                <w:rFonts w:ascii="宋体" w:eastAsia="宋体" w:hAnsi="宋体" w:cs="宋体"/>
                <w:sz w:val="18"/>
                <w:szCs w:val="18"/>
              </w:rPr>
              <w:t>2024年05月24日</w:t>
            </w:r>
          </w:p>
        </w:tc>
        <w:tc>
          <w:tcPr>
            <w:tcW w:w="1928" w:type="dxa"/>
            <w:tcBorders>
              <w:top w:val="single" w:sz="2" w:space="0" w:color="auto"/>
              <w:left w:val="single" w:sz="2" w:space="0" w:color="auto"/>
              <w:bottom w:val="single" w:sz="2" w:space="0" w:color="auto"/>
              <w:right w:val="single" w:sz="2" w:space="0" w:color="auto"/>
            </w:tcBorders>
            <w:vAlign w:val="center"/>
          </w:tcPr>
          <w:p w:rsidR="00896FFD" w:rsidRPr="00831C3C" w:rsidRDefault="00896FFD" w:rsidP="003D003F">
            <w:pPr>
              <w:spacing w:line="240" w:lineRule="exact"/>
              <w:rPr>
                <w:rFonts w:ascii="宋体" w:eastAsia="宋体" w:hAnsi="宋体" w:cs="宋体"/>
                <w:sz w:val="18"/>
                <w:szCs w:val="18"/>
              </w:rPr>
            </w:pPr>
            <w:r w:rsidRPr="00831C3C">
              <w:rPr>
                <w:rFonts w:ascii="宋体" w:eastAsia="宋体" w:hAnsi="宋体" w:cs="宋体"/>
                <w:sz w:val="18"/>
                <w:szCs w:val="18"/>
              </w:rPr>
              <w:t>被选举</w:t>
            </w:r>
          </w:p>
        </w:tc>
      </w:tr>
      <w:tr w:rsidR="00831C3C" w:rsidRPr="00831C3C" w:rsidTr="00896FFD">
        <w:trPr>
          <w:trHeight w:val="240"/>
        </w:trPr>
        <w:tc>
          <w:tcPr>
            <w:tcW w:w="1927" w:type="dxa"/>
            <w:tcBorders>
              <w:top w:val="single" w:sz="2" w:space="0" w:color="auto"/>
              <w:left w:val="single" w:sz="2" w:space="0" w:color="auto"/>
              <w:bottom w:val="single" w:sz="2" w:space="0" w:color="auto"/>
              <w:right w:val="single" w:sz="2" w:space="0" w:color="auto"/>
            </w:tcBorders>
            <w:vAlign w:val="center"/>
          </w:tcPr>
          <w:p w:rsidR="00896FFD" w:rsidRPr="00831C3C" w:rsidRDefault="00896FFD">
            <w:pPr>
              <w:spacing w:line="240" w:lineRule="exact"/>
              <w:rPr>
                <w:rFonts w:ascii="宋体" w:eastAsia="宋体" w:hAnsi="宋体" w:cs="宋体"/>
                <w:sz w:val="18"/>
                <w:szCs w:val="18"/>
              </w:rPr>
            </w:pPr>
            <w:r w:rsidRPr="00831C3C">
              <w:rPr>
                <w:rFonts w:ascii="宋体" w:eastAsia="宋体" w:hAnsi="宋体" w:cs="宋体"/>
                <w:sz w:val="18"/>
                <w:szCs w:val="18"/>
              </w:rPr>
              <w:t>张宝春</w:t>
            </w:r>
          </w:p>
        </w:tc>
        <w:tc>
          <w:tcPr>
            <w:tcW w:w="1928" w:type="dxa"/>
            <w:tcBorders>
              <w:top w:val="single" w:sz="2" w:space="0" w:color="auto"/>
              <w:left w:val="single" w:sz="2" w:space="0" w:color="auto"/>
              <w:bottom w:val="single" w:sz="2" w:space="0" w:color="auto"/>
              <w:right w:val="single" w:sz="2" w:space="0" w:color="auto"/>
            </w:tcBorders>
            <w:vAlign w:val="center"/>
          </w:tcPr>
          <w:p w:rsidR="00896FFD" w:rsidRPr="00831C3C" w:rsidRDefault="00896FFD">
            <w:pPr>
              <w:spacing w:line="240" w:lineRule="exact"/>
              <w:rPr>
                <w:rFonts w:ascii="宋体" w:eastAsia="宋体" w:hAnsi="宋体" w:cs="宋体"/>
                <w:sz w:val="18"/>
                <w:szCs w:val="18"/>
              </w:rPr>
            </w:pPr>
            <w:r w:rsidRPr="00831C3C">
              <w:rPr>
                <w:rFonts w:ascii="宋体" w:eastAsia="宋体" w:hAnsi="宋体" w:cs="宋体"/>
                <w:sz w:val="18"/>
                <w:szCs w:val="18"/>
              </w:rPr>
              <w:t>副总裁</w:t>
            </w:r>
          </w:p>
        </w:tc>
        <w:tc>
          <w:tcPr>
            <w:tcW w:w="1928" w:type="dxa"/>
            <w:tcBorders>
              <w:top w:val="single" w:sz="2" w:space="0" w:color="auto"/>
              <w:left w:val="single" w:sz="2" w:space="0" w:color="auto"/>
              <w:bottom w:val="single" w:sz="2" w:space="0" w:color="auto"/>
              <w:right w:val="single" w:sz="2" w:space="0" w:color="auto"/>
            </w:tcBorders>
            <w:vAlign w:val="center"/>
          </w:tcPr>
          <w:p w:rsidR="00896FFD" w:rsidRPr="00831C3C" w:rsidRDefault="00896FFD">
            <w:pPr>
              <w:spacing w:line="240" w:lineRule="exact"/>
              <w:rPr>
                <w:rFonts w:ascii="宋体" w:eastAsia="宋体" w:hAnsi="宋体" w:cs="宋体"/>
                <w:sz w:val="18"/>
                <w:szCs w:val="18"/>
              </w:rPr>
            </w:pPr>
            <w:r w:rsidRPr="00831C3C">
              <w:rPr>
                <w:rFonts w:ascii="宋体" w:eastAsia="宋体" w:hAnsi="宋体" w:cs="宋体"/>
                <w:sz w:val="18"/>
                <w:szCs w:val="18"/>
              </w:rPr>
              <w:t>聘任</w:t>
            </w:r>
          </w:p>
        </w:tc>
        <w:tc>
          <w:tcPr>
            <w:tcW w:w="1928" w:type="dxa"/>
            <w:tcBorders>
              <w:top w:val="single" w:sz="2" w:space="0" w:color="auto"/>
              <w:left w:val="single" w:sz="2" w:space="0" w:color="auto"/>
              <w:bottom w:val="single" w:sz="2" w:space="0" w:color="auto"/>
              <w:right w:val="single" w:sz="2" w:space="0" w:color="auto"/>
            </w:tcBorders>
            <w:vAlign w:val="center"/>
          </w:tcPr>
          <w:p w:rsidR="00896FFD" w:rsidRPr="00831C3C" w:rsidRDefault="00896FFD">
            <w:pPr>
              <w:spacing w:line="240" w:lineRule="exact"/>
              <w:rPr>
                <w:rFonts w:ascii="宋体" w:eastAsia="宋体" w:hAnsi="宋体" w:cs="宋体"/>
                <w:sz w:val="18"/>
                <w:szCs w:val="18"/>
              </w:rPr>
            </w:pPr>
            <w:r w:rsidRPr="00831C3C">
              <w:rPr>
                <w:rFonts w:ascii="宋体" w:eastAsia="宋体" w:hAnsi="宋体" w:cs="宋体"/>
                <w:sz w:val="18"/>
                <w:szCs w:val="18"/>
              </w:rPr>
              <w:t>2024年08月29日</w:t>
            </w:r>
          </w:p>
        </w:tc>
        <w:tc>
          <w:tcPr>
            <w:tcW w:w="1928" w:type="dxa"/>
            <w:tcBorders>
              <w:top w:val="single" w:sz="2" w:space="0" w:color="auto"/>
              <w:left w:val="single" w:sz="2" w:space="0" w:color="auto"/>
              <w:bottom w:val="single" w:sz="2" w:space="0" w:color="auto"/>
              <w:right w:val="single" w:sz="2" w:space="0" w:color="auto"/>
            </w:tcBorders>
            <w:vAlign w:val="center"/>
          </w:tcPr>
          <w:p w:rsidR="00896FFD" w:rsidRPr="00831C3C" w:rsidRDefault="00896FFD" w:rsidP="003D003F">
            <w:pPr>
              <w:spacing w:line="240" w:lineRule="exact"/>
              <w:rPr>
                <w:rFonts w:ascii="宋体" w:eastAsia="宋体" w:hAnsi="宋体" w:cs="宋体"/>
                <w:sz w:val="18"/>
                <w:szCs w:val="18"/>
              </w:rPr>
            </w:pPr>
            <w:r w:rsidRPr="00831C3C">
              <w:rPr>
                <w:rFonts w:ascii="宋体" w:eastAsia="宋体" w:hAnsi="宋体" w:cs="宋体"/>
                <w:sz w:val="18"/>
                <w:szCs w:val="18"/>
              </w:rPr>
              <w:t>聘任</w:t>
            </w:r>
          </w:p>
        </w:tc>
      </w:tr>
      <w:tr w:rsidR="00831C3C" w:rsidRPr="00831C3C" w:rsidTr="00896FFD">
        <w:trPr>
          <w:trHeight w:val="240"/>
        </w:trPr>
        <w:tc>
          <w:tcPr>
            <w:tcW w:w="1927" w:type="dxa"/>
            <w:tcBorders>
              <w:top w:val="single" w:sz="2" w:space="0" w:color="auto"/>
              <w:left w:val="single" w:sz="2" w:space="0" w:color="auto"/>
              <w:bottom w:val="single" w:sz="2" w:space="0" w:color="auto"/>
              <w:right w:val="single" w:sz="2" w:space="0" w:color="auto"/>
            </w:tcBorders>
            <w:vAlign w:val="center"/>
          </w:tcPr>
          <w:p w:rsidR="00896FFD" w:rsidRPr="00831C3C" w:rsidRDefault="00896FFD">
            <w:pPr>
              <w:spacing w:line="240" w:lineRule="exact"/>
              <w:rPr>
                <w:rFonts w:ascii="宋体" w:eastAsia="宋体" w:hAnsi="宋体" w:cs="宋体"/>
                <w:sz w:val="18"/>
                <w:szCs w:val="18"/>
              </w:rPr>
            </w:pPr>
            <w:r w:rsidRPr="00831C3C">
              <w:rPr>
                <w:rFonts w:ascii="宋体" w:eastAsia="宋体" w:hAnsi="宋体" w:cs="宋体"/>
                <w:sz w:val="18"/>
                <w:szCs w:val="18"/>
              </w:rPr>
              <w:t>陈存福</w:t>
            </w:r>
          </w:p>
        </w:tc>
        <w:tc>
          <w:tcPr>
            <w:tcW w:w="1928" w:type="dxa"/>
            <w:tcBorders>
              <w:top w:val="single" w:sz="2" w:space="0" w:color="auto"/>
              <w:left w:val="single" w:sz="2" w:space="0" w:color="auto"/>
              <w:bottom w:val="single" w:sz="2" w:space="0" w:color="auto"/>
              <w:right w:val="single" w:sz="2" w:space="0" w:color="auto"/>
            </w:tcBorders>
            <w:vAlign w:val="center"/>
          </w:tcPr>
          <w:p w:rsidR="00896FFD" w:rsidRPr="00831C3C" w:rsidRDefault="00896FFD">
            <w:pPr>
              <w:spacing w:line="240" w:lineRule="exact"/>
              <w:rPr>
                <w:rFonts w:ascii="宋体" w:eastAsia="宋体" w:hAnsi="宋体" w:cs="宋体"/>
                <w:sz w:val="18"/>
                <w:szCs w:val="18"/>
              </w:rPr>
            </w:pPr>
            <w:r w:rsidRPr="00831C3C">
              <w:rPr>
                <w:rFonts w:ascii="宋体" w:eastAsia="宋体" w:hAnsi="宋体" w:cs="宋体"/>
                <w:sz w:val="18"/>
                <w:szCs w:val="18"/>
              </w:rPr>
              <w:t>副总裁</w:t>
            </w:r>
          </w:p>
        </w:tc>
        <w:tc>
          <w:tcPr>
            <w:tcW w:w="1928" w:type="dxa"/>
            <w:tcBorders>
              <w:top w:val="single" w:sz="2" w:space="0" w:color="auto"/>
              <w:left w:val="single" w:sz="2" w:space="0" w:color="auto"/>
              <w:bottom w:val="single" w:sz="2" w:space="0" w:color="auto"/>
              <w:right w:val="single" w:sz="2" w:space="0" w:color="auto"/>
            </w:tcBorders>
            <w:vAlign w:val="center"/>
          </w:tcPr>
          <w:p w:rsidR="00896FFD" w:rsidRPr="00831C3C" w:rsidRDefault="00896FFD">
            <w:pPr>
              <w:spacing w:line="240" w:lineRule="exact"/>
              <w:rPr>
                <w:rFonts w:ascii="宋体" w:eastAsia="宋体" w:hAnsi="宋体" w:cs="宋体"/>
                <w:sz w:val="18"/>
                <w:szCs w:val="18"/>
              </w:rPr>
            </w:pPr>
            <w:r w:rsidRPr="00831C3C">
              <w:rPr>
                <w:rFonts w:ascii="宋体" w:eastAsia="宋体" w:hAnsi="宋体" w:cs="宋体"/>
                <w:sz w:val="18"/>
                <w:szCs w:val="18"/>
              </w:rPr>
              <w:t>聘任</w:t>
            </w:r>
          </w:p>
        </w:tc>
        <w:tc>
          <w:tcPr>
            <w:tcW w:w="1928" w:type="dxa"/>
            <w:tcBorders>
              <w:top w:val="single" w:sz="2" w:space="0" w:color="auto"/>
              <w:left w:val="single" w:sz="2" w:space="0" w:color="auto"/>
              <w:bottom w:val="single" w:sz="2" w:space="0" w:color="auto"/>
              <w:right w:val="single" w:sz="2" w:space="0" w:color="auto"/>
            </w:tcBorders>
            <w:vAlign w:val="center"/>
          </w:tcPr>
          <w:p w:rsidR="00896FFD" w:rsidRPr="00831C3C" w:rsidRDefault="00896FFD">
            <w:pPr>
              <w:spacing w:line="240" w:lineRule="exact"/>
              <w:rPr>
                <w:rFonts w:ascii="宋体" w:eastAsia="宋体" w:hAnsi="宋体" w:cs="宋体"/>
                <w:sz w:val="18"/>
                <w:szCs w:val="18"/>
              </w:rPr>
            </w:pPr>
            <w:r w:rsidRPr="00831C3C">
              <w:rPr>
                <w:rFonts w:ascii="宋体" w:eastAsia="宋体" w:hAnsi="宋体" w:cs="宋体"/>
                <w:sz w:val="18"/>
                <w:szCs w:val="18"/>
              </w:rPr>
              <w:t>2024年12月31日</w:t>
            </w:r>
          </w:p>
        </w:tc>
        <w:tc>
          <w:tcPr>
            <w:tcW w:w="1928" w:type="dxa"/>
            <w:tcBorders>
              <w:top w:val="single" w:sz="2" w:space="0" w:color="auto"/>
              <w:left w:val="single" w:sz="2" w:space="0" w:color="auto"/>
              <w:bottom w:val="single" w:sz="2" w:space="0" w:color="auto"/>
              <w:right w:val="single" w:sz="2" w:space="0" w:color="auto"/>
            </w:tcBorders>
            <w:vAlign w:val="center"/>
          </w:tcPr>
          <w:p w:rsidR="00896FFD" w:rsidRPr="00831C3C" w:rsidRDefault="00896FFD" w:rsidP="003D003F">
            <w:pPr>
              <w:spacing w:line="240" w:lineRule="exact"/>
              <w:rPr>
                <w:rFonts w:ascii="宋体" w:eastAsia="宋体" w:hAnsi="宋体" w:cs="宋体"/>
                <w:sz w:val="18"/>
                <w:szCs w:val="18"/>
              </w:rPr>
            </w:pPr>
            <w:r w:rsidRPr="00831C3C">
              <w:rPr>
                <w:rFonts w:ascii="宋体" w:eastAsia="宋体" w:hAnsi="宋体" w:cs="宋体"/>
                <w:sz w:val="18"/>
                <w:szCs w:val="18"/>
              </w:rPr>
              <w:t>聘任</w:t>
            </w:r>
          </w:p>
        </w:tc>
      </w:tr>
      <w:tr w:rsidR="00831C3C" w:rsidRPr="00831C3C" w:rsidTr="00896FFD">
        <w:trPr>
          <w:trHeight w:val="240"/>
        </w:trPr>
        <w:tc>
          <w:tcPr>
            <w:tcW w:w="1927" w:type="dxa"/>
            <w:tcBorders>
              <w:top w:val="single" w:sz="2" w:space="0" w:color="auto"/>
              <w:left w:val="single" w:sz="2" w:space="0" w:color="auto"/>
              <w:bottom w:val="single" w:sz="2" w:space="0" w:color="auto"/>
              <w:right w:val="single" w:sz="2" w:space="0" w:color="auto"/>
            </w:tcBorders>
            <w:vAlign w:val="center"/>
          </w:tcPr>
          <w:p w:rsidR="00896FFD" w:rsidRPr="00831C3C" w:rsidRDefault="00896FFD">
            <w:pPr>
              <w:spacing w:line="240" w:lineRule="exact"/>
              <w:rPr>
                <w:rFonts w:ascii="宋体" w:eastAsia="宋体" w:hAnsi="宋体" w:cs="宋体"/>
                <w:sz w:val="18"/>
                <w:szCs w:val="18"/>
              </w:rPr>
            </w:pPr>
            <w:r w:rsidRPr="00831C3C">
              <w:rPr>
                <w:rFonts w:ascii="宋体" w:eastAsia="宋体" w:hAnsi="宋体" w:cs="宋体"/>
                <w:sz w:val="18"/>
                <w:szCs w:val="18"/>
              </w:rPr>
              <w:t>孙小挺</w:t>
            </w:r>
          </w:p>
        </w:tc>
        <w:tc>
          <w:tcPr>
            <w:tcW w:w="1928" w:type="dxa"/>
            <w:tcBorders>
              <w:top w:val="single" w:sz="2" w:space="0" w:color="auto"/>
              <w:left w:val="single" w:sz="2" w:space="0" w:color="auto"/>
              <w:bottom w:val="single" w:sz="2" w:space="0" w:color="auto"/>
              <w:right w:val="single" w:sz="2" w:space="0" w:color="auto"/>
            </w:tcBorders>
            <w:vAlign w:val="center"/>
          </w:tcPr>
          <w:p w:rsidR="00896FFD" w:rsidRPr="00831C3C" w:rsidRDefault="00896FFD">
            <w:pPr>
              <w:spacing w:line="240" w:lineRule="exact"/>
              <w:rPr>
                <w:rFonts w:ascii="宋体" w:eastAsia="宋体" w:hAnsi="宋体" w:cs="宋体"/>
                <w:sz w:val="18"/>
                <w:szCs w:val="18"/>
              </w:rPr>
            </w:pPr>
            <w:r w:rsidRPr="00831C3C">
              <w:rPr>
                <w:rFonts w:ascii="宋体" w:eastAsia="宋体" w:hAnsi="宋体" w:cs="宋体"/>
                <w:sz w:val="18"/>
                <w:szCs w:val="18"/>
              </w:rPr>
              <w:t>副总裁</w:t>
            </w:r>
          </w:p>
        </w:tc>
        <w:tc>
          <w:tcPr>
            <w:tcW w:w="1928" w:type="dxa"/>
            <w:tcBorders>
              <w:top w:val="single" w:sz="2" w:space="0" w:color="auto"/>
              <w:left w:val="single" w:sz="2" w:space="0" w:color="auto"/>
              <w:bottom w:val="single" w:sz="2" w:space="0" w:color="auto"/>
              <w:right w:val="single" w:sz="2" w:space="0" w:color="auto"/>
            </w:tcBorders>
            <w:vAlign w:val="center"/>
          </w:tcPr>
          <w:p w:rsidR="00896FFD" w:rsidRPr="00831C3C" w:rsidRDefault="00896FFD">
            <w:pPr>
              <w:spacing w:line="240" w:lineRule="exact"/>
              <w:rPr>
                <w:rFonts w:ascii="宋体" w:eastAsia="宋体" w:hAnsi="宋体" w:cs="宋体"/>
                <w:sz w:val="18"/>
                <w:szCs w:val="18"/>
              </w:rPr>
            </w:pPr>
            <w:r w:rsidRPr="00831C3C">
              <w:rPr>
                <w:rFonts w:ascii="宋体" w:eastAsia="宋体" w:hAnsi="宋体" w:cs="宋体"/>
                <w:sz w:val="18"/>
                <w:szCs w:val="18"/>
              </w:rPr>
              <w:t>聘任</w:t>
            </w:r>
          </w:p>
        </w:tc>
        <w:tc>
          <w:tcPr>
            <w:tcW w:w="1928" w:type="dxa"/>
            <w:tcBorders>
              <w:top w:val="single" w:sz="2" w:space="0" w:color="auto"/>
              <w:left w:val="single" w:sz="2" w:space="0" w:color="auto"/>
              <w:bottom w:val="single" w:sz="2" w:space="0" w:color="auto"/>
              <w:right w:val="single" w:sz="2" w:space="0" w:color="auto"/>
            </w:tcBorders>
            <w:vAlign w:val="center"/>
          </w:tcPr>
          <w:p w:rsidR="00896FFD" w:rsidRPr="00831C3C" w:rsidRDefault="00896FFD">
            <w:pPr>
              <w:spacing w:line="240" w:lineRule="exact"/>
              <w:rPr>
                <w:rFonts w:ascii="宋体" w:eastAsia="宋体" w:hAnsi="宋体" w:cs="宋体"/>
                <w:sz w:val="18"/>
                <w:szCs w:val="18"/>
              </w:rPr>
            </w:pPr>
            <w:r w:rsidRPr="00831C3C">
              <w:rPr>
                <w:rFonts w:ascii="宋体" w:eastAsia="宋体" w:hAnsi="宋体" w:cs="宋体"/>
                <w:sz w:val="18"/>
                <w:szCs w:val="18"/>
              </w:rPr>
              <w:t>2024年12月31日</w:t>
            </w:r>
          </w:p>
        </w:tc>
        <w:tc>
          <w:tcPr>
            <w:tcW w:w="1928" w:type="dxa"/>
            <w:tcBorders>
              <w:top w:val="single" w:sz="2" w:space="0" w:color="auto"/>
              <w:left w:val="single" w:sz="2" w:space="0" w:color="auto"/>
              <w:bottom w:val="single" w:sz="2" w:space="0" w:color="auto"/>
              <w:right w:val="single" w:sz="2" w:space="0" w:color="auto"/>
            </w:tcBorders>
            <w:vAlign w:val="center"/>
          </w:tcPr>
          <w:p w:rsidR="00896FFD" w:rsidRPr="00831C3C" w:rsidRDefault="00896FFD" w:rsidP="003D003F">
            <w:pPr>
              <w:spacing w:line="240" w:lineRule="exact"/>
              <w:rPr>
                <w:rFonts w:ascii="宋体" w:eastAsia="宋体" w:hAnsi="宋体" w:cs="宋体"/>
                <w:sz w:val="18"/>
                <w:szCs w:val="18"/>
              </w:rPr>
            </w:pPr>
            <w:r w:rsidRPr="00831C3C">
              <w:rPr>
                <w:rFonts w:ascii="宋体" w:eastAsia="宋体" w:hAnsi="宋体" w:cs="宋体"/>
                <w:sz w:val="18"/>
                <w:szCs w:val="18"/>
              </w:rPr>
              <w:t>聘任</w:t>
            </w:r>
          </w:p>
        </w:tc>
      </w:tr>
    </w:tbl>
    <w:p w:rsidR="00E23A97" w:rsidRPr="00831C3C" w:rsidRDefault="00C65FD5">
      <w:pPr>
        <w:pStyle w:val="3"/>
        <w:spacing w:line="280" w:lineRule="exact"/>
        <w:jc w:val="left"/>
        <w:rPr>
          <w:rFonts w:ascii="宋体" w:hAnsi="宋体" w:cs="宋体"/>
          <w:b/>
          <w:bCs/>
        </w:rPr>
      </w:pPr>
      <w:bookmarkStart w:id="77" w:name="_Toc988965"/>
      <w:r w:rsidRPr="00831C3C">
        <w:rPr>
          <w:rFonts w:ascii="宋体" w:hAnsi="宋体" w:cs="宋体"/>
          <w:b/>
          <w:bCs/>
        </w:rPr>
        <w:t>2、任职情况</w:t>
      </w:r>
      <w:bookmarkEnd w:id="77"/>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公司现任董事、监事、高级管理人员专业背景、主要工作经历以及目前在公司的主要职责</w:t>
      </w:r>
    </w:p>
    <w:p w:rsidR="00C65FD5" w:rsidRPr="00831C3C" w:rsidRDefault="00C65FD5" w:rsidP="00896FFD">
      <w:pPr>
        <w:pStyle w:val="a3"/>
        <w:spacing w:before="0" w:beforeAutospacing="0" w:after="0" w:afterAutospacing="0"/>
        <w:ind w:firstLineChars="200" w:firstLine="360"/>
        <w:divId w:val="903951078"/>
      </w:pPr>
      <w:r w:rsidRPr="00831C3C">
        <w:rPr>
          <w:rFonts w:hint="eastAsia"/>
          <w:sz w:val="18"/>
          <w:szCs w:val="18"/>
        </w:rPr>
        <w:t>1、董事会成员：</w:t>
      </w:r>
    </w:p>
    <w:p w:rsidR="00C65FD5" w:rsidRPr="00831C3C" w:rsidRDefault="00C65FD5" w:rsidP="00896FFD">
      <w:pPr>
        <w:pStyle w:val="a3"/>
        <w:spacing w:before="0" w:beforeAutospacing="0" w:after="0" w:afterAutospacing="0"/>
        <w:ind w:firstLineChars="200" w:firstLine="361"/>
        <w:divId w:val="903951078"/>
        <w:rPr>
          <w:rFonts w:ascii="Calibri" w:hAnsi="Calibri" w:cs="Calibri"/>
          <w:sz w:val="21"/>
          <w:szCs w:val="21"/>
        </w:rPr>
      </w:pPr>
      <w:r w:rsidRPr="00831C3C">
        <w:rPr>
          <w:rStyle w:val="a4"/>
          <w:rFonts w:cs="Calibri" w:hint="eastAsia"/>
          <w:sz w:val="18"/>
          <w:szCs w:val="18"/>
        </w:rPr>
        <w:lastRenderedPageBreak/>
        <w:t>孙伟挺先生，</w:t>
      </w:r>
      <w:r w:rsidRPr="00831C3C">
        <w:rPr>
          <w:rFonts w:cs="Calibri" w:hint="eastAsia"/>
          <w:sz w:val="18"/>
          <w:szCs w:val="18"/>
        </w:rPr>
        <w:t>中国国籍，1963年出生，中国人民大学EMBA学历。1982年至1987年，在浙江省纺织工业公司工作，历任计划经营科科员、副科长、科长；1987年至1990年，担任浙江省轻工业厅计划物资处副处长；1990年至1993年，任浙江省绍兴越城区副区长。1993年创办华孚公司，任华孚控股有限公司董事长；2008年2月，任安徽飞亚纺织发展股份有限公司董事；2008年12月至今，任公司董事长。</w:t>
      </w:r>
    </w:p>
    <w:p w:rsidR="00C65FD5" w:rsidRPr="00831C3C" w:rsidRDefault="00C65FD5" w:rsidP="00896FFD">
      <w:pPr>
        <w:pStyle w:val="a3"/>
        <w:spacing w:before="0" w:beforeAutospacing="0" w:after="0" w:afterAutospacing="0"/>
        <w:ind w:firstLineChars="200" w:firstLine="361"/>
        <w:divId w:val="903951078"/>
        <w:rPr>
          <w:rFonts w:ascii="Calibri" w:hAnsi="Calibri" w:cs="Calibri"/>
          <w:sz w:val="21"/>
          <w:szCs w:val="21"/>
        </w:rPr>
      </w:pPr>
      <w:r w:rsidRPr="00831C3C">
        <w:rPr>
          <w:rStyle w:val="a4"/>
          <w:rFonts w:cs="Calibri" w:hint="eastAsia"/>
          <w:sz w:val="18"/>
          <w:szCs w:val="18"/>
        </w:rPr>
        <w:t>陈玲芬女士：</w:t>
      </w:r>
      <w:r w:rsidRPr="00831C3C">
        <w:rPr>
          <w:rFonts w:cs="Calibri" w:hint="eastAsia"/>
          <w:sz w:val="18"/>
          <w:szCs w:val="18"/>
        </w:rPr>
        <w:t>中国国籍，1963年出生，中国人民大学EMBA学历。1981年至1993年，历任浙江省绍兴市经济协作办公室综合科副科长、浙江省绍兴市越灵商社办公室主任、财务经理等职。1993年与公司董事长孙伟挺先生创办华孚至今，担任副董事长。2009年5月至今，任公司副董事长、总裁。</w:t>
      </w:r>
    </w:p>
    <w:p w:rsidR="00C65FD5" w:rsidRPr="00831C3C" w:rsidRDefault="00C65FD5" w:rsidP="00896FFD">
      <w:pPr>
        <w:pStyle w:val="a3"/>
        <w:spacing w:before="0" w:beforeAutospacing="0" w:after="0" w:afterAutospacing="0"/>
        <w:ind w:firstLineChars="200" w:firstLine="361"/>
        <w:divId w:val="903951078"/>
        <w:rPr>
          <w:rFonts w:ascii="Calibri" w:hAnsi="Calibri" w:cs="Calibri"/>
          <w:sz w:val="21"/>
          <w:szCs w:val="21"/>
        </w:rPr>
      </w:pPr>
      <w:r w:rsidRPr="00831C3C">
        <w:rPr>
          <w:rStyle w:val="a4"/>
          <w:rFonts w:cs="Calibri" w:hint="eastAsia"/>
          <w:sz w:val="18"/>
          <w:szCs w:val="18"/>
        </w:rPr>
        <w:t>陈翰先生：</w:t>
      </w:r>
      <w:r w:rsidRPr="00831C3C">
        <w:rPr>
          <w:rFonts w:cs="Calibri" w:hint="eastAsia"/>
          <w:sz w:val="18"/>
          <w:szCs w:val="18"/>
        </w:rPr>
        <w:t>中国国籍，1989年出生，香港大学金融学硕士。历任安永华明会计师事务所审计员，东吴证券研究所研究员，云</w:t>
      </w:r>
      <w:proofErr w:type="gramStart"/>
      <w:r w:rsidRPr="00831C3C">
        <w:rPr>
          <w:rFonts w:cs="Calibri" w:hint="eastAsia"/>
          <w:sz w:val="18"/>
          <w:szCs w:val="18"/>
        </w:rPr>
        <w:t>锋基金</w:t>
      </w:r>
      <w:proofErr w:type="gramEnd"/>
      <w:r w:rsidRPr="00831C3C">
        <w:rPr>
          <w:rFonts w:cs="Calibri" w:hint="eastAsia"/>
          <w:sz w:val="18"/>
          <w:szCs w:val="18"/>
        </w:rPr>
        <w:t>投资经理。2019年</w:t>
      </w:r>
      <w:proofErr w:type="gramStart"/>
      <w:r w:rsidRPr="00831C3C">
        <w:rPr>
          <w:rFonts w:cs="Calibri" w:hint="eastAsia"/>
          <w:sz w:val="18"/>
          <w:szCs w:val="18"/>
        </w:rPr>
        <w:t>入职华孚</w:t>
      </w:r>
      <w:proofErr w:type="gramEnd"/>
      <w:r w:rsidRPr="00831C3C">
        <w:rPr>
          <w:rFonts w:cs="Calibri" w:hint="eastAsia"/>
          <w:sz w:val="18"/>
          <w:szCs w:val="18"/>
        </w:rPr>
        <w:t>时尚股份有限公司至今，现任公司董事。</w:t>
      </w:r>
    </w:p>
    <w:p w:rsidR="00C65FD5" w:rsidRPr="00831C3C" w:rsidRDefault="00C65FD5" w:rsidP="00896FFD">
      <w:pPr>
        <w:pStyle w:val="a3"/>
        <w:spacing w:before="0" w:beforeAutospacing="0" w:after="0" w:afterAutospacing="0"/>
        <w:ind w:firstLineChars="200" w:firstLine="361"/>
        <w:divId w:val="903951078"/>
        <w:rPr>
          <w:rFonts w:ascii="Calibri" w:hAnsi="Calibri" w:cs="Calibri"/>
          <w:sz w:val="21"/>
          <w:szCs w:val="21"/>
        </w:rPr>
      </w:pPr>
      <w:r w:rsidRPr="00831C3C">
        <w:rPr>
          <w:rStyle w:val="a4"/>
          <w:rFonts w:cs="Calibri" w:hint="eastAsia"/>
          <w:sz w:val="18"/>
          <w:szCs w:val="18"/>
        </w:rPr>
        <w:t>王国友先生：</w:t>
      </w:r>
      <w:r w:rsidRPr="00831C3C">
        <w:rPr>
          <w:rFonts w:cs="Calibri" w:hint="eastAsia"/>
          <w:sz w:val="18"/>
          <w:szCs w:val="18"/>
        </w:rPr>
        <w:t>中国国籍，1963年生，杭州商学院大专学历，杭州商学院商业企业管理专业毕业，中级会计师职称。自1997年加盟华孚控股有限公司，历任浙江华孚集团财务总监、华孚控股有限公司投资中心总经理、华孚控股有限公司财务中心总监。2008年12月至今，任本公司董事；2011年4月1日至2015年2月1日任华孚控股财务总监、公司董事；2015年4月至今，任公司董事、财务总监。</w:t>
      </w:r>
    </w:p>
    <w:p w:rsidR="00C65FD5" w:rsidRPr="00831C3C" w:rsidRDefault="00C65FD5" w:rsidP="00896FFD">
      <w:pPr>
        <w:pStyle w:val="a3"/>
        <w:spacing w:before="0" w:beforeAutospacing="0" w:after="0" w:afterAutospacing="0"/>
        <w:ind w:firstLineChars="200" w:firstLine="361"/>
        <w:divId w:val="903951078"/>
        <w:rPr>
          <w:rFonts w:ascii="Calibri" w:hAnsi="Calibri" w:cs="Calibri"/>
          <w:sz w:val="21"/>
          <w:szCs w:val="21"/>
        </w:rPr>
      </w:pPr>
      <w:r w:rsidRPr="00831C3C">
        <w:rPr>
          <w:rStyle w:val="a4"/>
          <w:rFonts w:cs="Calibri" w:hint="eastAsia"/>
          <w:sz w:val="18"/>
          <w:szCs w:val="18"/>
        </w:rPr>
        <w:t>程桂松先生：</w:t>
      </w:r>
      <w:r w:rsidRPr="00831C3C">
        <w:rPr>
          <w:rFonts w:cs="Calibri" w:hint="eastAsia"/>
          <w:sz w:val="18"/>
          <w:szCs w:val="18"/>
        </w:rPr>
        <w:t>中国国籍，1966年10月生，毕业于安徽财经大学金融专业，厦门大学EMBA，北京大学MBA学历，中级会计师。先后在建设银行安徽省分行、招商银行深圳分行工作，历任综合部经理、支行副行长、支行行长。2014年9月加盟华孚，历任资金经营中心总经理、董事会秘书，2014年12月至今，任公司董事。现任公司董事、副总裁。</w:t>
      </w:r>
    </w:p>
    <w:p w:rsidR="00C65FD5" w:rsidRPr="00831C3C" w:rsidRDefault="00C65FD5" w:rsidP="00896FFD">
      <w:pPr>
        <w:pStyle w:val="a3"/>
        <w:spacing w:before="0" w:beforeAutospacing="0" w:after="0" w:afterAutospacing="0"/>
        <w:ind w:firstLineChars="200" w:firstLine="361"/>
        <w:divId w:val="903951078"/>
        <w:rPr>
          <w:rFonts w:ascii="Calibri" w:hAnsi="Calibri" w:cs="Calibri"/>
          <w:sz w:val="21"/>
          <w:szCs w:val="21"/>
        </w:rPr>
      </w:pPr>
      <w:r w:rsidRPr="00831C3C">
        <w:rPr>
          <w:rStyle w:val="a4"/>
          <w:rFonts w:cs="Calibri" w:hint="eastAsia"/>
          <w:sz w:val="18"/>
          <w:szCs w:val="18"/>
        </w:rPr>
        <w:t>张正先生：</w:t>
      </w:r>
      <w:r w:rsidRPr="00831C3C">
        <w:rPr>
          <w:rFonts w:cs="Calibri" w:hint="eastAsia"/>
          <w:sz w:val="18"/>
          <w:szCs w:val="18"/>
        </w:rPr>
        <w:t>中国国籍，1985年12月生，无境外永久居留权，2011年毕业于中国人民大学，取得经济学硕士学位，历任大成基金管理有限公司研究员、基金经理助理、基金经理；2017年6月</w:t>
      </w:r>
      <w:proofErr w:type="gramStart"/>
      <w:r w:rsidRPr="00831C3C">
        <w:rPr>
          <w:rFonts w:cs="Calibri" w:hint="eastAsia"/>
          <w:sz w:val="18"/>
          <w:szCs w:val="18"/>
        </w:rPr>
        <w:t>入职华孚</w:t>
      </w:r>
      <w:proofErr w:type="gramEnd"/>
      <w:r w:rsidRPr="00831C3C">
        <w:rPr>
          <w:rFonts w:cs="Calibri" w:hint="eastAsia"/>
          <w:sz w:val="18"/>
          <w:szCs w:val="18"/>
        </w:rPr>
        <w:t>时尚股份有限公司至今。现任公司董事、董事会秘书。</w:t>
      </w:r>
    </w:p>
    <w:p w:rsidR="00C65FD5" w:rsidRPr="00831C3C" w:rsidRDefault="00C65FD5" w:rsidP="00896FFD">
      <w:pPr>
        <w:pStyle w:val="a3"/>
        <w:spacing w:before="0" w:beforeAutospacing="0" w:after="0" w:afterAutospacing="0"/>
        <w:ind w:firstLineChars="200" w:firstLine="361"/>
        <w:jc w:val="both"/>
        <w:divId w:val="903951078"/>
        <w:rPr>
          <w:rFonts w:ascii="Calibri" w:hAnsi="Calibri" w:cs="Calibri"/>
          <w:sz w:val="21"/>
          <w:szCs w:val="21"/>
        </w:rPr>
      </w:pPr>
      <w:r w:rsidRPr="00831C3C">
        <w:rPr>
          <w:rStyle w:val="a4"/>
          <w:rFonts w:cs="Calibri" w:hint="eastAsia"/>
          <w:sz w:val="18"/>
          <w:szCs w:val="18"/>
        </w:rPr>
        <w:t>黄亚英先生：</w:t>
      </w:r>
      <w:r w:rsidRPr="00831C3C">
        <w:rPr>
          <w:rFonts w:cs="Calibri" w:hint="eastAsia"/>
          <w:sz w:val="18"/>
          <w:szCs w:val="18"/>
        </w:rPr>
        <w:t>中国国籍，1962年9月出生,二级法学教授,博士生导师,中国政法大学法学硕士,中国执业律师.黄亚英先生曾任西北政法大学讲师,副教授,教授,深圳大学法学院院长.现任广东北源律师事务所律师,深圳国际仲裁院仲裁员,上海国际经济贸易仲裁委员会仲裁员,深圳市力</w:t>
      </w:r>
      <w:proofErr w:type="gramStart"/>
      <w:r w:rsidRPr="00831C3C">
        <w:rPr>
          <w:rFonts w:cs="Calibri" w:hint="eastAsia"/>
          <w:sz w:val="18"/>
          <w:szCs w:val="18"/>
        </w:rPr>
        <w:t>合科创</w:t>
      </w:r>
      <w:proofErr w:type="gramEnd"/>
      <w:r w:rsidRPr="00831C3C">
        <w:rPr>
          <w:rFonts w:cs="Calibri" w:hint="eastAsia"/>
          <w:sz w:val="18"/>
          <w:szCs w:val="18"/>
        </w:rPr>
        <w:t>股份有限公司独立董事。现任公司独立董事。</w:t>
      </w:r>
    </w:p>
    <w:p w:rsidR="00C65FD5" w:rsidRPr="00831C3C" w:rsidRDefault="00C65FD5" w:rsidP="00896FFD">
      <w:pPr>
        <w:pStyle w:val="a3"/>
        <w:shd w:val="clear" w:color="auto" w:fill="FFFFFF"/>
        <w:spacing w:before="0" w:beforeAutospacing="0" w:after="0" w:afterAutospacing="0"/>
        <w:ind w:firstLineChars="200" w:firstLine="361"/>
        <w:jc w:val="both"/>
        <w:divId w:val="903951078"/>
        <w:rPr>
          <w:rFonts w:ascii="Calibri" w:hAnsi="Calibri" w:cs="Calibri"/>
          <w:sz w:val="21"/>
          <w:szCs w:val="21"/>
        </w:rPr>
      </w:pPr>
      <w:r w:rsidRPr="00831C3C">
        <w:rPr>
          <w:rStyle w:val="a4"/>
          <w:rFonts w:cs="Calibri" w:hint="eastAsia"/>
          <w:sz w:val="18"/>
          <w:szCs w:val="18"/>
        </w:rPr>
        <w:t>刁英峰先生：</w:t>
      </w:r>
      <w:r w:rsidRPr="00831C3C">
        <w:rPr>
          <w:rFonts w:cs="Calibri" w:hint="eastAsia"/>
          <w:sz w:val="18"/>
          <w:szCs w:val="18"/>
        </w:rPr>
        <w:t>男，中国国籍，无境外永久居留权,1971年12月出生，本科学历，中国注册会计师，中国注册税务师。历任立信会计师事务所（特殊普通合伙）授信合伙人，深圳市</w:t>
      </w:r>
      <w:proofErr w:type="gramStart"/>
      <w:r w:rsidRPr="00831C3C">
        <w:rPr>
          <w:rFonts w:cs="Calibri" w:hint="eastAsia"/>
          <w:sz w:val="18"/>
          <w:szCs w:val="18"/>
        </w:rPr>
        <w:t>嘉信瑞税务</w:t>
      </w:r>
      <w:proofErr w:type="gramEnd"/>
      <w:r w:rsidRPr="00831C3C">
        <w:rPr>
          <w:rFonts w:cs="Calibri" w:hint="eastAsia"/>
          <w:sz w:val="18"/>
          <w:szCs w:val="18"/>
        </w:rPr>
        <w:t>师事务所有限公司总经理，海化税务师事务所有限公司深圳分公司副总经理等职.2015年12月至今，担任立信德豪税务师事务所（深圳）有限公司执行董事，总经理.2023年7月至今，担任立信税务师事务所有限公司董事。兼任中国注册税务师协会第七届常务理事会常务理事、深圳市注册税务师协会第三届、第四届、第五届常务理事、专业监管委员会主任委员。</w:t>
      </w:r>
    </w:p>
    <w:p w:rsidR="00C65FD5" w:rsidRPr="00831C3C" w:rsidRDefault="00C65FD5" w:rsidP="00896FFD">
      <w:pPr>
        <w:pStyle w:val="a3"/>
        <w:shd w:val="clear" w:color="auto" w:fill="FFFFFF"/>
        <w:spacing w:before="0" w:beforeAutospacing="0" w:after="0" w:afterAutospacing="0"/>
        <w:ind w:firstLineChars="200" w:firstLine="361"/>
        <w:jc w:val="both"/>
        <w:divId w:val="903951078"/>
        <w:rPr>
          <w:rFonts w:ascii="Calibri" w:hAnsi="Calibri" w:cs="Calibri"/>
          <w:sz w:val="21"/>
          <w:szCs w:val="21"/>
        </w:rPr>
      </w:pPr>
      <w:r w:rsidRPr="00831C3C">
        <w:rPr>
          <w:rStyle w:val="a4"/>
          <w:rFonts w:cs="Calibri" w:hint="eastAsia"/>
          <w:sz w:val="18"/>
          <w:szCs w:val="18"/>
        </w:rPr>
        <w:t>宋海涛先生：</w:t>
      </w:r>
      <w:r w:rsidRPr="00831C3C">
        <w:rPr>
          <w:rFonts w:cs="Calibri" w:hint="eastAsia"/>
          <w:sz w:val="18"/>
          <w:szCs w:val="18"/>
        </w:rPr>
        <w:t>男，1986年生，博士研究生，中国国籍，无境外永久居留权。人工智能，通用机器人，</w:t>
      </w:r>
      <w:proofErr w:type="gramStart"/>
      <w:r w:rsidRPr="00831C3C">
        <w:rPr>
          <w:rFonts w:cs="Calibri" w:hint="eastAsia"/>
          <w:sz w:val="18"/>
          <w:szCs w:val="18"/>
        </w:rPr>
        <w:t>算力基础</w:t>
      </w:r>
      <w:proofErr w:type="gramEnd"/>
      <w:r w:rsidRPr="00831C3C">
        <w:rPr>
          <w:rFonts w:cs="Calibri" w:hint="eastAsia"/>
          <w:sz w:val="18"/>
          <w:szCs w:val="18"/>
        </w:rPr>
        <w:t>设施领域专家。曾任职国家电力投资集团，中国信息通信研究院，现任上海交通大学、上海人工智能研究院院长，转化医学国家科学中心人工智能技术中心主任。</w:t>
      </w:r>
    </w:p>
    <w:p w:rsidR="00C65FD5" w:rsidRPr="00831C3C" w:rsidRDefault="00C65FD5" w:rsidP="00896FFD">
      <w:pPr>
        <w:pStyle w:val="a3"/>
        <w:spacing w:before="0" w:beforeAutospacing="0" w:after="0" w:afterAutospacing="0"/>
        <w:ind w:firstLineChars="200" w:firstLine="360"/>
        <w:divId w:val="903951078"/>
      </w:pPr>
      <w:r w:rsidRPr="00831C3C">
        <w:rPr>
          <w:rFonts w:hint="eastAsia"/>
          <w:sz w:val="18"/>
          <w:szCs w:val="18"/>
        </w:rPr>
        <w:t xml:space="preserve">　2、监事会成员：</w:t>
      </w:r>
    </w:p>
    <w:p w:rsidR="00C65FD5" w:rsidRPr="00831C3C" w:rsidRDefault="00C65FD5" w:rsidP="00896FFD">
      <w:pPr>
        <w:pStyle w:val="a3"/>
        <w:spacing w:before="0" w:beforeAutospacing="0" w:after="0" w:afterAutospacing="0"/>
        <w:ind w:firstLineChars="200" w:firstLine="360"/>
        <w:jc w:val="both"/>
        <w:divId w:val="903951078"/>
        <w:rPr>
          <w:rFonts w:ascii="Calibri" w:hAnsi="Calibri" w:cs="Calibri"/>
          <w:sz w:val="21"/>
          <w:szCs w:val="21"/>
        </w:rPr>
      </w:pPr>
      <w:r w:rsidRPr="00831C3C">
        <w:rPr>
          <w:rFonts w:cs="Calibri" w:hint="eastAsia"/>
          <w:sz w:val="18"/>
          <w:szCs w:val="18"/>
        </w:rPr>
        <w:t>张际松先生：男，中国国籍，1954年生，浙江大学EMBA学历。2001年加入华孚控股有限公司，历任浙江华孚集团有限公司副总裁、总裁。2008年12月至2021年12月任公司董事，现任华孚控股有限公司董事。</w:t>
      </w:r>
    </w:p>
    <w:p w:rsidR="00C65FD5" w:rsidRPr="00831C3C" w:rsidRDefault="00C65FD5" w:rsidP="00896FFD">
      <w:pPr>
        <w:pStyle w:val="a3"/>
        <w:spacing w:before="0" w:beforeAutospacing="0" w:after="0" w:afterAutospacing="0"/>
        <w:ind w:firstLineChars="200" w:firstLine="360"/>
        <w:jc w:val="both"/>
        <w:divId w:val="903951078"/>
        <w:rPr>
          <w:rFonts w:ascii="Calibri" w:hAnsi="Calibri" w:cs="Calibri"/>
          <w:sz w:val="21"/>
          <w:szCs w:val="21"/>
        </w:rPr>
      </w:pPr>
      <w:r w:rsidRPr="00831C3C">
        <w:rPr>
          <w:rFonts w:cs="Calibri" w:hint="eastAsia"/>
          <w:sz w:val="18"/>
          <w:szCs w:val="18"/>
        </w:rPr>
        <w:t>宣刚江先生：男，中国国籍，1984年生，专科学历。2006年于金华职业技术学院投资理财专业毕业。2006年6月加入华孚时尚，先后在财务中心、内控中心任职，于2012年任华孚时尚审计中心审计经理，2015年至今历任华孚时尚营运财务部经理、财经管理部副总监、内控中心审计部总监等职。</w:t>
      </w:r>
    </w:p>
    <w:p w:rsidR="00C65FD5" w:rsidRPr="00831C3C" w:rsidRDefault="00C65FD5" w:rsidP="00896FFD">
      <w:pPr>
        <w:pStyle w:val="a3"/>
        <w:spacing w:before="0" w:beforeAutospacing="0" w:after="0" w:afterAutospacing="0"/>
        <w:ind w:firstLineChars="200" w:firstLine="360"/>
        <w:jc w:val="both"/>
        <w:divId w:val="903951078"/>
        <w:rPr>
          <w:rFonts w:ascii="Calibri" w:hAnsi="Calibri" w:cs="Calibri"/>
          <w:sz w:val="21"/>
          <w:szCs w:val="21"/>
        </w:rPr>
      </w:pPr>
      <w:r w:rsidRPr="00831C3C">
        <w:rPr>
          <w:rFonts w:cs="Calibri" w:hint="eastAsia"/>
          <w:sz w:val="18"/>
          <w:szCs w:val="18"/>
        </w:rPr>
        <w:t>熊旭锋先生：男，中国国籍,1979年生，本科学历，三峡大学工商管理学士学位，高级人力资源管理师，先后在浙江五洲新春集团股份有限公司，浙江美力科技股份有限公司，浙江同星科技股份有限公司，美</w:t>
      </w:r>
      <w:proofErr w:type="gramStart"/>
      <w:r w:rsidRPr="00831C3C">
        <w:rPr>
          <w:rFonts w:cs="Calibri" w:hint="eastAsia"/>
          <w:sz w:val="18"/>
          <w:szCs w:val="18"/>
        </w:rPr>
        <w:t>盛文化</w:t>
      </w:r>
      <w:proofErr w:type="gramEnd"/>
      <w:r w:rsidRPr="00831C3C">
        <w:rPr>
          <w:rFonts w:cs="Calibri" w:hint="eastAsia"/>
          <w:sz w:val="18"/>
          <w:szCs w:val="18"/>
        </w:rPr>
        <w:t>创意股份有限公司工作,2021年6月加入华孚时尚股份有限公司，现任公司党委副书记兼工会主席。</w:t>
      </w:r>
    </w:p>
    <w:p w:rsidR="00C65FD5" w:rsidRPr="00831C3C" w:rsidRDefault="00C65FD5" w:rsidP="00896FFD">
      <w:pPr>
        <w:pStyle w:val="a3"/>
        <w:spacing w:before="0" w:beforeAutospacing="0" w:after="0" w:afterAutospacing="0"/>
        <w:ind w:firstLineChars="200" w:firstLine="360"/>
        <w:divId w:val="903951078"/>
      </w:pPr>
      <w:r w:rsidRPr="00831C3C">
        <w:rPr>
          <w:rFonts w:hint="eastAsia"/>
          <w:sz w:val="18"/>
          <w:szCs w:val="18"/>
        </w:rPr>
        <w:t>3、高级管理人员：</w:t>
      </w:r>
    </w:p>
    <w:p w:rsidR="00C65FD5" w:rsidRPr="00831C3C" w:rsidRDefault="00C65FD5" w:rsidP="00896FFD">
      <w:pPr>
        <w:pStyle w:val="a3"/>
        <w:spacing w:before="0" w:beforeAutospacing="0" w:after="0" w:afterAutospacing="0"/>
        <w:ind w:firstLineChars="200" w:firstLine="360"/>
        <w:divId w:val="903951078"/>
      </w:pPr>
      <w:r w:rsidRPr="00831C3C">
        <w:rPr>
          <w:rFonts w:hint="eastAsia"/>
          <w:sz w:val="18"/>
          <w:szCs w:val="18"/>
        </w:rPr>
        <w:t>陈玲芬女士，简历情况详见前述董事介绍。</w:t>
      </w:r>
    </w:p>
    <w:p w:rsidR="00C65FD5" w:rsidRPr="00831C3C" w:rsidRDefault="00C65FD5" w:rsidP="00896FFD">
      <w:pPr>
        <w:pStyle w:val="a3"/>
        <w:spacing w:before="0" w:beforeAutospacing="0" w:after="0" w:afterAutospacing="0"/>
        <w:ind w:firstLineChars="200" w:firstLine="360"/>
        <w:divId w:val="903951078"/>
      </w:pPr>
      <w:r w:rsidRPr="00831C3C">
        <w:rPr>
          <w:rFonts w:hint="eastAsia"/>
          <w:sz w:val="18"/>
          <w:szCs w:val="18"/>
        </w:rPr>
        <w:t>张正先生，简历情况详见前述董事介绍。</w:t>
      </w:r>
    </w:p>
    <w:p w:rsidR="00C65FD5" w:rsidRPr="00831C3C" w:rsidRDefault="00C65FD5" w:rsidP="00896FFD">
      <w:pPr>
        <w:pStyle w:val="a3"/>
        <w:spacing w:before="0" w:beforeAutospacing="0" w:after="0" w:afterAutospacing="0"/>
        <w:ind w:firstLineChars="200" w:firstLine="360"/>
        <w:divId w:val="903951078"/>
      </w:pPr>
      <w:r w:rsidRPr="00831C3C">
        <w:rPr>
          <w:rFonts w:hint="eastAsia"/>
          <w:sz w:val="18"/>
          <w:szCs w:val="18"/>
        </w:rPr>
        <w:t>王国友先生，简历情况详见前述董事介绍。</w:t>
      </w:r>
    </w:p>
    <w:p w:rsidR="00C65FD5" w:rsidRPr="00831C3C" w:rsidRDefault="00C65FD5" w:rsidP="00896FFD">
      <w:pPr>
        <w:pStyle w:val="a3"/>
        <w:spacing w:before="0" w:beforeAutospacing="0" w:after="0" w:afterAutospacing="0"/>
        <w:ind w:firstLineChars="200" w:firstLine="360"/>
        <w:divId w:val="903951078"/>
      </w:pPr>
      <w:r w:rsidRPr="00831C3C">
        <w:rPr>
          <w:rFonts w:hint="eastAsia"/>
          <w:sz w:val="18"/>
          <w:szCs w:val="18"/>
        </w:rPr>
        <w:t>程桂松先生，简历情况详见前述董事介绍。</w:t>
      </w:r>
    </w:p>
    <w:p w:rsidR="00C65FD5" w:rsidRPr="00831C3C" w:rsidRDefault="00C65FD5" w:rsidP="00896FFD">
      <w:pPr>
        <w:pStyle w:val="a3"/>
        <w:spacing w:before="0" w:beforeAutospacing="0" w:after="0" w:afterAutospacing="0"/>
        <w:ind w:firstLineChars="200" w:firstLine="360"/>
        <w:divId w:val="903951078"/>
      </w:pPr>
      <w:r w:rsidRPr="00831C3C">
        <w:rPr>
          <w:rFonts w:hint="eastAsia"/>
          <w:sz w:val="18"/>
          <w:szCs w:val="18"/>
        </w:rPr>
        <w:lastRenderedPageBreak/>
        <w:t>孙小挺先生：男，中国国籍，1968年生，浙江大学EMBA学历。1984-1989年，任浙江诸暨市纺织总厂采购员，1989-1992年，任海南海口海越经济技术有限公司业务主管，1992-1995年，任上虞市纺织公司副总经理，1995-2001年，任上虞华孚</w:t>
      </w:r>
      <w:proofErr w:type="gramStart"/>
      <w:r w:rsidRPr="00831C3C">
        <w:rPr>
          <w:rFonts w:hint="eastAsia"/>
          <w:sz w:val="18"/>
          <w:szCs w:val="18"/>
        </w:rPr>
        <w:t>染色厂</w:t>
      </w:r>
      <w:proofErr w:type="gramEnd"/>
      <w:r w:rsidRPr="00831C3C">
        <w:rPr>
          <w:rFonts w:hint="eastAsia"/>
          <w:sz w:val="18"/>
          <w:szCs w:val="18"/>
        </w:rPr>
        <w:t>总经理，2001-2015年，任浙江华孚纤维技术股份有限公司总经理，2015年12月-2020年7月担任公司董事、副总裁，2018年至今担任新疆华孚棉业集团有限公司总经理。现聘任为公司副总裁。</w:t>
      </w:r>
    </w:p>
    <w:p w:rsidR="00C65FD5" w:rsidRPr="00831C3C" w:rsidRDefault="00C65FD5" w:rsidP="00896FFD">
      <w:pPr>
        <w:pStyle w:val="a3"/>
        <w:spacing w:before="0" w:beforeAutospacing="0" w:after="0" w:afterAutospacing="0"/>
        <w:ind w:firstLineChars="200" w:firstLine="360"/>
        <w:divId w:val="903951078"/>
      </w:pPr>
      <w:r w:rsidRPr="00831C3C">
        <w:rPr>
          <w:rFonts w:hint="eastAsia"/>
          <w:sz w:val="18"/>
          <w:szCs w:val="18"/>
        </w:rPr>
        <w:t>张宝春先生：男，中国国籍，1980年4月出生，2005年毕业于华东师范大学，硕士学位。2005年加入上海市发展和改革委员会，2015年起先后</w:t>
      </w:r>
      <w:proofErr w:type="gramStart"/>
      <w:r w:rsidRPr="00831C3C">
        <w:rPr>
          <w:rFonts w:hint="eastAsia"/>
          <w:sz w:val="18"/>
          <w:szCs w:val="18"/>
        </w:rPr>
        <w:t>担任展讯通信</w:t>
      </w:r>
      <w:proofErr w:type="gramEnd"/>
      <w:r w:rsidRPr="00831C3C">
        <w:rPr>
          <w:rFonts w:hint="eastAsia"/>
          <w:sz w:val="18"/>
          <w:szCs w:val="18"/>
        </w:rPr>
        <w:t>（上海）有限公司资讯发展部总监、上海商汤科技开发公司总经理等职。2024年5月加入公司，担任公司副总裁，负责公司科技板块工作。</w:t>
      </w:r>
    </w:p>
    <w:p w:rsidR="00C65FD5" w:rsidRPr="00831C3C" w:rsidRDefault="00C65FD5" w:rsidP="00896FFD">
      <w:pPr>
        <w:pStyle w:val="a3"/>
        <w:spacing w:before="0" w:beforeAutospacing="0" w:after="0" w:afterAutospacing="0"/>
        <w:ind w:firstLineChars="200" w:firstLine="360"/>
        <w:divId w:val="903951078"/>
      </w:pPr>
      <w:r w:rsidRPr="00831C3C">
        <w:rPr>
          <w:rFonts w:hint="eastAsia"/>
          <w:sz w:val="18"/>
          <w:szCs w:val="18"/>
        </w:rPr>
        <w:t>陈存福先生：中国国籍，1985年生，项目管理硕士，先后在德勤有限公司，海尔集团公司，联想控股股份有限公司工作，2024年5月加入华孚时尚股份有限公司，现任公司副总裁，负责相关管理工作。</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在股东单位任职情况</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适用□不适用</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07"/>
        <w:gridCol w:w="1606"/>
        <w:gridCol w:w="1606"/>
        <w:gridCol w:w="1606"/>
        <w:gridCol w:w="1606"/>
        <w:gridCol w:w="1608"/>
      </w:tblGrid>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任职人员姓名</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股东单位名称</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在股东单位担任的职务</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任期起始日期</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任期终止日期</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在股东单位是否领取报酬津贴</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孙伟挺</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华孚控股有限公司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董事、董事长、总经理</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2011年10月15日</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陈玲芬</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华孚控股有限公司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董事</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2011年10月15日</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张际松</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华孚控股有限公司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董事</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2011年10月15日</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在股东单位任职情况的说明</w:t>
            </w:r>
          </w:p>
        </w:tc>
        <w:tc>
          <w:tcPr>
            <w:tcW w:w="8032" w:type="dxa"/>
            <w:gridSpan w:val="5"/>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在其他单位任职情况</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适用□不适用</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06"/>
        <w:gridCol w:w="1606"/>
        <w:gridCol w:w="1606"/>
        <w:gridCol w:w="1607"/>
        <w:gridCol w:w="1607"/>
        <w:gridCol w:w="1607"/>
      </w:tblGrid>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任职人员姓名</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其他单位名称</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在其他单位担任的职务</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任期起始日期</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任期终止日期</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在其他单位是否领取报酬津贴</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黄亚英</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广东北源律师事务所</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律师</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2020年04月01日</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是</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黄亚英</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深圳市力</w:t>
            </w:r>
            <w:proofErr w:type="gramStart"/>
            <w:r w:rsidRPr="00831C3C">
              <w:rPr>
                <w:rFonts w:ascii="宋体" w:eastAsia="宋体" w:hAnsi="宋体" w:cs="宋体"/>
                <w:sz w:val="18"/>
                <w:szCs w:val="18"/>
              </w:rPr>
              <w:t>合科创</w:t>
            </w:r>
            <w:proofErr w:type="gramEnd"/>
            <w:r w:rsidRPr="00831C3C">
              <w:rPr>
                <w:rFonts w:ascii="宋体" w:eastAsia="宋体" w:hAnsi="宋体" w:cs="宋体"/>
                <w:sz w:val="18"/>
                <w:szCs w:val="18"/>
              </w:rPr>
              <w:t>股份有限公司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独立董事</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2020年02月10日</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是</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黄亚英</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深南电路股份有限公司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独立董事</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2021年04月06日</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是</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刁英峰</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立信税务师事务所有限公司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董事</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2023年07月05日</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是</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刁英峰</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立信德豪税务师事务所（深圳）有限公司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总经理、执行董事</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2021年11月02日</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是</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宋海涛</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上海交通大学人工智能研究院</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副院长</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2019年07月01日</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是</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宋海涛</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上海人工智能研究院有限公司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董事长、院长</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2023年08月07日</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是</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孙小挺</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舟山汇程控股有限公司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监事</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2009年08月05日</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bl>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公司现任及报告期内离任董事、监事和高级管理人员近三年证券监管机构处罚的情况</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pStyle w:val="3"/>
        <w:spacing w:line="280" w:lineRule="exact"/>
        <w:jc w:val="left"/>
        <w:rPr>
          <w:rFonts w:ascii="宋体" w:hAnsi="宋体" w:cs="宋体"/>
          <w:b/>
          <w:bCs/>
        </w:rPr>
      </w:pPr>
      <w:bookmarkStart w:id="78" w:name="_Toc988966"/>
      <w:r w:rsidRPr="00831C3C">
        <w:rPr>
          <w:rFonts w:ascii="宋体" w:hAnsi="宋体" w:cs="宋体"/>
          <w:b/>
          <w:bCs/>
        </w:rPr>
        <w:t>3、董事、监事、高级管理人员报酬情况</w:t>
      </w:r>
      <w:bookmarkEnd w:id="78"/>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董事、监事、高级管理人员报酬的决策程序、确定依据、实际支付情况</w:t>
      </w:r>
    </w:p>
    <w:p w:rsidR="00C65FD5" w:rsidRPr="00831C3C" w:rsidRDefault="00C65FD5">
      <w:pPr>
        <w:pStyle w:val="a3"/>
        <w:spacing w:before="40" w:beforeAutospacing="0" w:after="40" w:afterAutospacing="0"/>
        <w:ind w:firstLine="360"/>
        <w:divId w:val="868026931"/>
      </w:pPr>
      <w:r w:rsidRPr="00831C3C">
        <w:rPr>
          <w:rFonts w:hint="eastAsia"/>
          <w:sz w:val="18"/>
          <w:szCs w:val="18"/>
        </w:rPr>
        <w:lastRenderedPageBreak/>
        <w:t>公司董事会薪酬与考核委员会是对董事、监事、高级管理人员进行</w:t>
      </w:r>
      <w:proofErr w:type="gramStart"/>
      <w:r w:rsidRPr="00831C3C">
        <w:rPr>
          <w:rFonts w:hint="eastAsia"/>
          <w:sz w:val="18"/>
          <w:szCs w:val="18"/>
        </w:rPr>
        <w:t>薪</w:t>
      </w:r>
      <w:proofErr w:type="gramEnd"/>
      <w:r w:rsidRPr="00831C3C">
        <w:rPr>
          <w:rFonts w:hint="eastAsia"/>
          <w:sz w:val="18"/>
          <w:szCs w:val="18"/>
        </w:rPr>
        <w:t>酬和考核管理的机构，负责具体测算、操作和兑现工作，拟定董事、授薪监事的薪酬方案，报备董事会及监事会。</w:t>
      </w:r>
      <w:proofErr w:type="gramStart"/>
      <w:r w:rsidRPr="00831C3C">
        <w:rPr>
          <w:rFonts w:hint="eastAsia"/>
          <w:sz w:val="18"/>
          <w:szCs w:val="18"/>
        </w:rPr>
        <w:t>非授薪</w:t>
      </w:r>
      <w:proofErr w:type="gramEnd"/>
      <w:r w:rsidRPr="00831C3C">
        <w:rPr>
          <w:rFonts w:hint="eastAsia"/>
          <w:sz w:val="18"/>
          <w:szCs w:val="18"/>
        </w:rPr>
        <w:t>监事的薪酬方案由监事会提出、股东大会审议通过后实施。高级管理人员的薪酬方案由董事会薪酬与考核委员会会同经营层拟定，报备董事会。决策程序符合《公司法》、《公司章程》和《董事、监事和高级管理人员薪酬与考核制度》的相关规定。</w:t>
      </w:r>
    </w:p>
    <w:p w:rsidR="00C65FD5" w:rsidRPr="00831C3C" w:rsidRDefault="00C65FD5">
      <w:pPr>
        <w:pStyle w:val="a3"/>
        <w:spacing w:before="0" w:beforeAutospacing="0" w:after="0" w:afterAutospacing="0"/>
        <w:divId w:val="868026931"/>
        <w:rPr>
          <w:rFonts w:ascii="Calibri" w:hAnsi="Calibri" w:cs="Calibri"/>
          <w:sz w:val="21"/>
          <w:szCs w:val="21"/>
        </w:rPr>
      </w:pPr>
      <w:r w:rsidRPr="00831C3C">
        <w:rPr>
          <w:rFonts w:cs="Calibri" w:hint="eastAsia"/>
          <w:sz w:val="18"/>
          <w:szCs w:val="18"/>
        </w:rPr>
        <w:t>董事、监事、高级管理人员报酬情况依据年度经营效益、岗位职级等因素综合行业薪酬水平确定，年末对董事、高级管理人员的履职情况和年度实际业绩进行绩效考核，根据考核结果核发年度绩效薪酬。</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公司报告期内董事、监事和高级管理人员报酬情况</w:t>
      </w:r>
    </w:p>
    <w:p w:rsidR="00E23A97" w:rsidRPr="00831C3C" w:rsidRDefault="00C65FD5">
      <w:pPr>
        <w:spacing w:before="120" w:after="120" w:line="240" w:lineRule="exact"/>
        <w:jc w:val="right"/>
        <w:rPr>
          <w:rFonts w:ascii="宋体" w:eastAsia="宋体" w:hAnsi="宋体" w:cs="宋体"/>
          <w:sz w:val="18"/>
          <w:szCs w:val="18"/>
        </w:rPr>
      </w:pPr>
      <w:r w:rsidRPr="00831C3C">
        <w:rPr>
          <w:rFonts w:ascii="宋体" w:eastAsia="宋体" w:hAnsi="宋体" w:cs="宋体"/>
          <w:sz w:val="18"/>
          <w:szCs w:val="18"/>
        </w:rPr>
        <w:t>单位：万元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854"/>
        <w:gridCol w:w="854"/>
        <w:gridCol w:w="2423"/>
        <w:gridCol w:w="1377"/>
        <w:gridCol w:w="1377"/>
        <w:gridCol w:w="1377"/>
      </w:tblGrid>
      <w:tr w:rsidR="00831C3C" w:rsidRPr="00831C3C" w:rsidTr="00896FFD">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姓名</w:t>
            </w:r>
          </w:p>
        </w:tc>
        <w:tc>
          <w:tcPr>
            <w:tcW w:w="854"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性别</w:t>
            </w:r>
          </w:p>
        </w:tc>
        <w:tc>
          <w:tcPr>
            <w:tcW w:w="854"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年龄</w:t>
            </w:r>
          </w:p>
        </w:tc>
        <w:tc>
          <w:tcPr>
            <w:tcW w:w="242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职务</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任职状态</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从公司获得的税前报酬总额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是否在公司关联方获取报酬</w:t>
            </w:r>
          </w:p>
        </w:tc>
      </w:tr>
      <w:tr w:rsidR="00831C3C" w:rsidRPr="00831C3C" w:rsidTr="00896FFD">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孙伟挺</w:t>
            </w:r>
          </w:p>
        </w:tc>
        <w:tc>
          <w:tcPr>
            <w:tcW w:w="85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男</w:t>
            </w:r>
          </w:p>
        </w:tc>
        <w:tc>
          <w:tcPr>
            <w:tcW w:w="85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62</w:t>
            </w:r>
          </w:p>
        </w:tc>
        <w:tc>
          <w:tcPr>
            <w:tcW w:w="242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董事、董事长</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现任</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200</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rsidTr="00896FFD">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陈玲芬</w:t>
            </w:r>
          </w:p>
        </w:tc>
        <w:tc>
          <w:tcPr>
            <w:tcW w:w="85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女</w:t>
            </w:r>
          </w:p>
        </w:tc>
        <w:tc>
          <w:tcPr>
            <w:tcW w:w="85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62</w:t>
            </w:r>
          </w:p>
        </w:tc>
        <w:tc>
          <w:tcPr>
            <w:tcW w:w="242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董事、副董事长、总裁</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现任</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209</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rsidTr="00896FFD">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孙小挺</w:t>
            </w:r>
          </w:p>
        </w:tc>
        <w:tc>
          <w:tcPr>
            <w:tcW w:w="85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男</w:t>
            </w:r>
          </w:p>
        </w:tc>
        <w:tc>
          <w:tcPr>
            <w:tcW w:w="85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57</w:t>
            </w:r>
          </w:p>
        </w:tc>
        <w:tc>
          <w:tcPr>
            <w:tcW w:w="242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副总裁</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现任</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rsidTr="00896FFD">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陈翰</w:t>
            </w:r>
          </w:p>
        </w:tc>
        <w:tc>
          <w:tcPr>
            <w:tcW w:w="85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男</w:t>
            </w:r>
          </w:p>
        </w:tc>
        <w:tc>
          <w:tcPr>
            <w:tcW w:w="85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36</w:t>
            </w:r>
          </w:p>
        </w:tc>
        <w:tc>
          <w:tcPr>
            <w:tcW w:w="242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董事</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现任</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75</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rsidTr="00896FFD">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程桂松</w:t>
            </w:r>
          </w:p>
        </w:tc>
        <w:tc>
          <w:tcPr>
            <w:tcW w:w="85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男</w:t>
            </w:r>
          </w:p>
        </w:tc>
        <w:tc>
          <w:tcPr>
            <w:tcW w:w="85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59</w:t>
            </w:r>
          </w:p>
        </w:tc>
        <w:tc>
          <w:tcPr>
            <w:tcW w:w="242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董事、副总裁</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现任</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120</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rsidTr="00896FFD">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王国友</w:t>
            </w:r>
          </w:p>
        </w:tc>
        <w:tc>
          <w:tcPr>
            <w:tcW w:w="85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男</w:t>
            </w:r>
          </w:p>
        </w:tc>
        <w:tc>
          <w:tcPr>
            <w:tcW w:w="85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62</w:t>
            </w:r>
          </w:p>
        </w:tc>
        <w:tc>
          <w:tcPr>
            <w:tcW w:w="242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董事、财务总监</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现任</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80</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rsidTr="00896FFD">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张正</w:t>
            </w:r>
          </w:p>
        </w:tc>
        <w:tc>
          <w:tcPr>
            <w:tcW w:w="85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男</w:t>
            </w:r>
          </w:p>
        </w:tc>
        <w:tc>
          <w:tcPr>
            <w:tcW w:w="85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40</w:t>
            </w:r>
          </w:p>
        </w:tc>
        <w:tc>
          <w:tcPr>
            <w:tcW w:w="242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董事、副总裁、董事会秘书</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现任</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80</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rsidTr="00896FFD">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张宝春</w:t>
            </w:r>
          </w:p>
        </w:tc>
        <w:tc>
          <w:tcPr>
            <w:tcW w:w="85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男</w:t>
            </w:r>
          </w:p>
        </w:tc>
        <w:tc>
          <w:tcPr>
            <w:tcW w:w="85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45</w:t>
            </w:r>
          </w:p>
        </w:tc>
        <w:tc>
          <w:tcPr>
            <w:tcW w:w="242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副总裁</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现任</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rsidTr="00896FFD">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陈存福</w:t>
            </w:r>
          </w:p>
        </w:tc>
        <w:tc>
          <w:tcPr>
            <w:tcW w:w="85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男</w:t>
            </w:r>
          </w:p>
        </w:tc>
        <w:tc>
          <w:tcPr>
            <w:tcW w:w="85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40</w:t>
            </w:r>
          </w:p>
        </w:tc>
        <w:tc>
          <w:tcPr>
            <w:tcW w:w="242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副总裁</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现任</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rsidTr="00896FFD">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黄亚英</w:t>
            </w:r>
          </w:p>
        </w:tc>
        <w:tc>
          <w:tcPr>
            <w:tcW w:w="85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男</w:t>
            </w:r>
          </w:p>
        </w:tc>
        <w:tc>
          <w:tcPr>
            <w:tcW w:w="85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63</w:t>
            </w:r>
          </w:p>
        </w:tc>
        <w:tc>
          <w:tcPr>
            <w:tcW w:w="242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独立董事</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现任</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rsidTr="00896FFD">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高卫东</w:t>
            </w:r>
          </w:p>
        </w:tc>
        <w:tc>
          <w:tcPr>
            <w:tcW w:w="85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男</w:t>
            </w:r>
          </w:p>
        </w:tc>
        <w:tc>
          <w:tcPr>
            <w:tcW w:w="85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66</w:t>
            </w:r>
          </w:p>
        </w:tc>
        <w:tc>
          <w:tcPr>
            <w:tcW w:w="242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独立董事</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离任</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4.74</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rsidTr="00896FFD">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刁英峰</w:t>
            </w:r>
          </w:p>
        </w:tc>
        <w:tc>
          <w:tcPr>
            <w:tcW w:w="85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男</w:t>
            </w:r>
          </w:p>
        </w:tc>
        <w:tc>
          <w:tcPr>
            <w:tcW w:w="85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54</w:t>
            </w:r>
          </w:p>
        </w:tc>
        <w:tc>
          <w:tcPr>
            <w:tcW w:w="242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独立董事</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现任</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rsidTr="00896FFD">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宋海涛</w:t>
            </w:r>
          </w:p>
        </w:tc>
        <w:tc>
          <w:tcPr>
            <w:tcW w:w="85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男</w:t>
            </w:r>
          </w:p>
        </w:tc>
        <w:tc>
          <w:tcPr>
            <w:tcW w:w="85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39</w:t>
            </w:r>
          </w:p>
        </w:tc>
        <w:tc>
          <w:tcPr>
            <w:tcW w:w="242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独立董事</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现任</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7.26</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rsidTr="00896FFD">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张际松</w:t>
            </w:r>
          </w:p>
        </w:tc>
        <w:tc>
          <w:tcPr>
            <w:tcW w:w="85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男</w:t>
            </w:r>
          </w:p>
        </w:tc>
        <w:tc>
          <w:tcPr>
            <w:tcW w:w="85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71</w:t>
            </w:r>
          </w:p>
        </w:tc>
        <w:tc>
          <w:tcPr>
            <w:tcW w:w="242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监事、监事会主席</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现任</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32.67</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rsidTr="00896FFD">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熊旭锋</w:t>
            </w:r>
          </w:p>
        </w:tc>
        <w:tc>
          <w:tcPr>
            <w:tcW w:w="85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男</w:t>
            </w:r>
          </w:p>
        </w:tc>
        <w:tc>
          <w:tcPr>
            <w:tcW w:w="85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46</w:t>
            </w:r>
          </w:p>
        </w:tc>
        <w:tc>
          <w:tcPr>
            <w:tcW w:w="242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职工代表监事</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现任</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45</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rsidTr="00896FFD">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宣刚江</w:t>
            </w:r>
          </w:p>
        </w:tc>
        <w:tc>
          <w:tcPr>
            <w:tcW w:w="85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男</w:t>
            </w:r>
          </w:p>
        </w:tc>
        <w:tc>
          <w:tcPr>
            <w:tcW w:w="85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41</w:t>
            </w:r>
          </w:p>
        </w:tc>
        <w:tc>
          <w:tcPr>
            <w:tcW w:w="242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监事</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现任</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rsidTr="00896FFD">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854"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c>
          <w:tcPr>
            <w:tcW w:w="854"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c>
          <w:tcPr>
            <w:tcW w:w="242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951.67</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其他情况说明</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适用□不适用</w:t>
      </w:r>
    </w:p>
    <w:p w:rsidR="00C65FD5" w:rsidRPr="00831C3C" w:rsidRDefault="00C65FD5">
      <w:pPr>
        <w:pStyle w:val="a3"/>
        <w:divId w:val="1093555742"/>
        <w:rPr>
          <w:sz w:val="18"/>
          <w:szCs w:val="18"/>
        </w:rPr>
      </w:pPr>
      <w:r w:rsidRPr="00831C3C">
        <w:rPr>
          <w:rFonts w:hint="eastAsia"/>
          <w:sz w:val="18"/>
          <w:szCs w:val="18"/>
        </w:rPr>
        <w:t>1、孙小挺先生、陈存福先生自2024年12月31日被聘任为公司高级管理人员，</w:t>
      </w:r>
      <w:proofErr w:type="gramStart"/>
      <w:r w:rsidRPr="00831C3C">
        <w:rPr>
          <w:rFonts w:hint="eastAsia"/>
          <w:sz w:val="18"/>
          <w:szCs w:val="18"/>
        </w:rPr>
        <w:t>故报告</w:t>
      </w:r>
      <w:proofErr w:type="gramEnd"/>
      <w:r w:rsidRPr="00831C3C">
        <w:rPr>
          <w:rFonts w:hint="eastAsia"/>
          <w:sz w:val="18"/>
          <w:szCs w:val="18"/>
        </w:rPr>
        <w:t>期内报酬情况为0。</w:t>
      </w:r>
    </w:p>
    <w:p w:rsidR="00E23A97" w:rsidRPr="00831C3C" w:rsidRDefault="00C65FD5">
      <w:pPr>
        <w:pStyle w:val="2"/>
        <w:spacing w:before="300" w:after="300" w:line="320" w:lineRule="exact"/>
        <w:rPr>
          <w:rFonts w:ascii="宋体" w:eastAsia="宋体" w:hAnsi="宋体" w:cs="宋体"/>
          <w:b/>
          <w:bCs/>
          <w:sz w:val="24"/>
          <w:szCs w:val="24"/>
        </w:rPr>
      </w:pPr>
      <w:bookmarkStart w:id="79" w:name="_Toc988967"/>
      <w:r w:rsidRPr="00831C3C">
        <w:rPr>
          <w:rFonts w:ascii="宋体" w:eastAsia="宋体" w:hAnsi="宋体" w:cs="宋体"/>
          <w:b/>
          <w:bCs/>
          <w:sz w:val="24"/>
          <w:szCs w:val="24"/>
        </w:rPr>
        <w:t>六、报告期内董事履行职责的情况</w:t>
      </w:r>
      <w:bookmarkEnd w:id="79"/>
    </w:p>
    <w:p w:rsidR="00E23A97" w:rsidRPr="00831C3C" w:rsidRDefault="00C65FD5">
      <w:pPr>
        <w:pStyle w:val="3"/>
        <w:spacing w:line="280" w:lineRule="exact"/>
        <w:jc w:val="left"/>
        <w:rPr>
          <w:rFonts w:ascii="宋体" w:hAnsi="宋体" w:cs="宋体"/>
          <w:b/>
          <w:bCs/>
        </w:rPr>
      </w:pPr>
      <w:bookmarkStart w:id="80" w:name="_Toc988968"/>
      <w:r w:rsidRPr="00831C3C">
        <w:rPr>
          <w:rFonts w:ascii="宋体" w:hAnsi="宋体" w:cs="宋体"/>
          <w:b/>
          <w:bCs/>
        </w:rPr>
        <w:t>1、本报告期董事会情况</w:t>
      </w:r>
      <w:bookmarkEnd w:id="80"/>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595"/>
        <w:gridCol w:w="1595"/>
        <w:gridCol w:w="1596"/>
        <w:gridCol w:w="4853"/>
      </w:tblGrid>
      <w:tr w:rsidR="00831C3C" w:rsidRPr="00831C3C" w:rsidTr="00896FFD">
        <w:trPr>
          <w:trHeight w:val="240"/>
        </w:trPr>
        <w:tc>
          <w:tcPr>
            <w:tcW w:w="159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会议届次</w:t>
            </w:r>
          </w:p>
        </w:tc>
        <w:tc>
          <w:tcPr>
            <w:tcW w:w="159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召开日期</w:t>
            </w:r>
          </w:p>
        </w:tc>
        <w:tc>
          <w:tcPr>
            <w:tcW w:w="159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披露日期</w:t>
            </w:r>
          </w:p>
        </w:tc>
        <w:tc>
          <w:tcPr>
            <w:tcW w:w="485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会议决议</w:t>
            </w:r>
          </w:p>
        </w:tc>
      </w:tr>
      <w:tr w:rsidR="00831C3C" w:rsidRPr="00831C3C" w:rsidTr="00896FFD">
        <w:trPr>
          <w:trHeight w:val="240"/>
        </w:trPr>
        <w:tc>
          <w:tcPr>
            <w:tcW w:w="159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第八届董事会2024年第一次临时会议</w:t>
            </w:r>
          </w:p>
        </w:tc>
        <w:tc>
          <w:tcPr>
            <w:tcW w:w="159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2024年01月02日</w:t>
            </w:r>
          </w:p>
        </w:tc>
        <w:tc>
          <w:tcPr>
            <w:tcW w:w="159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2024年01月03日</w:t>
            </w:r>
          </w:p>
        </w:tc>
        <w:tc>
          <w:tcPr>
            <w:tcW w:w="485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详见公司于2024年1月3日刊登在《证券时报》、《中国证券报》和巨潮资讯网</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（http://www.cninfo.com.cn）的《第八届董事会2024年第一次临时会议决议公告》。</w:t>
            </w:r>
          </w:p>
        </w:tc>
      </w:tr>
      <w:tr w:rsidR="00831C3C" w:rsidRPr="00831C3C" w:rsidTr="00896FFD">
        <w:trPr>
          <w:trHeight w:val="240"/>
        </w:trPr>
        <w:tc>
          <w:tcPr>
            <w:tcW w:w="159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第八届董事会2024年第二次临时会议</w:t>
            </w:r>
          </w:p>
        </w:tc>
        <w:tc>
          <w:tcPr>
            <w:tcW w:w="159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2024年01月31日</w:t>
            </w:r>
          </w:p>
        </w:tc>
        <w:tc>
          <w:tcPr>
            <w:tcW w:w="159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2024年02月01日</w:t>
            </w:r>
          </w:p>
        </w:tc>
        <w:tc>
          <w:tcPr>
            <w:tcW w:w="485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详见公司于2024年2月1日刊登在《证券时报》、《中国证券报》和巨潮资讯网</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（http://www.cninfo.com.cn）的《第八届董事会2024年第二次临时会议决议公告》。</w:t>
            </w:r>
          </w:p>
        </w:tc>
      </w:tr>
      <w:tr w:rsidR="00831C3C" w:rsidRPr="00831C3C" w:rsidTr="00896FFD">
        <w:trPr>
          <w:trHeight w:val="240"/>
        </w:trPr>
        <w:tc>
          <w:tcPr>
            <w:tcW w:w="159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第八届董事会第七次会议</w:t>
            </w:r>
          </w:p>
        </w:tc>
        <w:tc>
          <w:tcPr>
            <w:tcW w:w="159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2024年04月25日</w:t>
            </w:r>
          </w:p>
        </w:tc>
        <w:tc>
          <w:tcPr>
            <w:tcW w:w="159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2024年04月27日</w:t>
            </w:r>
          </w:p>
        </w:tc>
        <w:tc>
          <w:tcPr>
            <w:tcW w:w="485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详见公司于2024年4月27日刊登在《证券时报》、《中国证券报》和巨潮资讯网（http://www.cninfo.com.cn）的《第八届董事会第七次会议决议公告》。</w:t>
            </w:r>
          </w:p>
        </w:tc>
      </w:tr>
      <w:tr w:rsidR="00831C3C" w:rsidRPr="00831C3C" w:rsidTr="00896FFD">
        <w:trPr>
          <w:trHeight w:val="240"/>
        </w:trPr>
        <w:tc>
          <w:tcPr>
            <w:tcW w:w="159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第八届董事会2024年第三次临</w:t>
            </w:r>
            <w:r w:rsidRPr="00831C3C">
              <w:rPr>
                <w:rFonts w:ascii="宋体" w:eastAsia="宋体" w:hAnsi="宋体" w:cs="宋体"/>
                <w:sz w:val="18"/>
                <w:szCs w:val="18"/>
              </w:rPr>
              <w:lastRenderedPageBreak/>
              <w:t>时会议</w:t>
            </w:r>
          </w:p>
        </w:tc>
        <w:tc>
          <w:tcPr>
            <w:tcW w:w="159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lastRenderedPageBreak/>
              <w:t>2024年06月28日</w:t>
            </w:r>
          </w:p>
        </w:tc>
        <w:tc>
          <w:tcPr>
            <w:tcW w:w="159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2024年06月29日</w:t>
            </w:r>
          </w:p>
        </w:tc>
        <w:tc>
          <w:tcPr>
            <w:tcW w:w="485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详见公司于2024年6月29日刊登在《证券时报》、《中国证券报》和巨潮资讯网（http://www.cninfo.com.cn）的</w:t>
            </w:r>
            <w:r w:rsidRPr="00831C3C">
              <w:rPr>
                <w:rFonts w:ascii="宋体" w:eastAsia="宋体" w:hAnsi="宋体" w:cs="宋体"/>
                <w:sz w:val="18"/>
                <w:szCs w:val="18"/>
              </w:rPr>
              <w:lastRenderedPageBreak/>
              <w:t>《第八届董事会2024年第三次临时会议决议公告》。</w:t>
            </w:r>
          </w:p>
        </w:tc>
      </w:tr>
      <w:tr w:rsidR="00831C3C" w:rsidRPr="00831C3C" w:rsidTr="00896FFD">
        <w:trPr>
          <w:trHeight w:val="240"/>
        </w:trPr>
        <w:tc>
          <w:tcPr>
            <w:tcW w:w="159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lastRenderedPageBreak/>
              <w:t>第八届董事会第八次会议</w:t>
            </w:r>
          </w:p>
        </w:tc>
        <w:tc>
          <w:tcPr>
            <w:tcW w:w="159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2024年08月29日</w:t>
            </w:r>
          </w:p>
        </w:tc>
        <w:tc>
          <w:tcPr>
            <w:tcW w:w="159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2024年08月31日</w:t>
            </w:r>
          </w:p>
        </w:tc>
        <w:tc>
          <w:tcPr>
            <w:tcW w:w="485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详见公司于2024年8月31日刊登在《证券时报》、《中国证券报》和巨潮资讯网（http://www.cninfo.com.cn）的《第八届董事会第八次会议决议公告》。</w:t>
            </w:r>
          </w:p>
        </w:tc>
      </w:tr>
      <w:tr w:rsidR="00831C3C" w:rsidRPr="00831C3C" w:rsidTr="00896FFD">
        <w:trPr>
          <w:trHeight w:val="240"/>
        </w:trPr>
        <w:tc>
          <w:tcPr>
            <w:tcW w:w="159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第八届董事会第九次会议</w:t>
            </w:r>
          </w:p>
        </w:tc>
        <w:tc>
          <w:tcPr>
            <w:tcW w:w="159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2024年10月30日</w:t>
            </w:r>
          </w:p>
        </w:tc>
        <w:tc>
          <w:tcPr>
            <w:tcW w:w="159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2024年10月31日</w:t>
            </w:r>
          </w:p>
        </w:tc>
        <w:tc>
          <w:tcPr>
            <w:tcW w:w="485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详见公司于2024年10月31日刊登在《证券时报》、《中国证券报》和巨潮资讯网（http://www.cninfo.com.cn）的《第八届董事会第九次会议决议公告》。</w:t>
            </w:r>
          </w:p>
        </w:tc>
      </w:tr>
      <w:tr w:rsidR="00831C3C" w:rsidRPr="00831C3C" w:rsidTr="00896FFD">
        <w:trPr>
          <w:trHeight w:val="240"/>
        </w:trPr>
        <w:tc>
          <w:tcPr>
            <w:tcW w:w="159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第八届董事会2024年第四次临时会议</w:t>
            </w:r>
          </w:p>
        </w:tc>
        <w:tc>
          <w:tcPr>
            <w:tcW w:w="159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2024年12月04日</w:t>
            </w:r>
          </w:p>
        </w:tc>
        <w:tc>
          <w:tcPr>
            <w:tcW w:w="159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2024年12月05日</w:t>
            </w:r>
          </w:p>
        </w:tc>
        <w:tc>
          <w:tcPr>
            <w:tcW w:w="485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详见公司于2024年12月5日刊登在《证券时报》、《中国证券报》和巨潮资讯网（http://www.cninfo.com.cn）的《第八届董事会2024年第四次临时会议决议公告》。</w:t>
            </w:r>
          </w:p>
        </w:tc>
      </w:tr>
      <w:tr w:rsidR="00831C3C" w:rsidRPr="00831C3C" w:rsidTr="00896FFD">
        <w:trPr>
          <w:trHeight w:val="240"/>
        </w:trPr>
        <w:tc>
          <w:tcPr>
            <w:tcW w:w="159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第九届董事会2024年第一次临时会议</w:t>
            </w:r>
          </w:p>
        </w:tc>
        <w:tc>
          <w:tcPr>
            <w:tcW w:w="159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2024年12月31日</w:t>
            </w:r>
          </w:p>
        </w:tc>
        <w:tc>
          <w:tcPr>
            <w:tcW w:w="159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2025年01月02日</w:t>
            </w:r>
          </w:p>
        </w:tc>
        <w:tc>
          <w:tcPr>
            <w:tcW w:w="485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详见公司于2025年1月2日刊登在《证券时报》、《中国证券报》和巨潮资讯网（http://www.cninfo.com.cn）的《第九届董事会2024年第一次临时会议决议公告》。</w:t>
            </w:r>
          </w:p>
        </w:tc>
      </w:tr>
    </w:tbl>
    <w:p w:rsidR="00E23A97" w:rsidRPr="00831C3C" w:rsidRDefault="00C65FD5">
      <w:pPr>
        <w:pStyle w:val="3"/>
        <w:spacing w:line="280" w:lineRule="exact"/>
        <w:jc w:val="left"/>
        <w:rPr>
          <w:rFonts w:ascii="宋体" w:hAnsi="宋体" w:cs="宋体"/>
          <w:b/>
          <w:bCs/>
        </w:rPr>
      </w:pPr>
      <w:bookmarkStart w:id="81" w:name="_Toc988969"/>
      <w:r w:rsidRPr="00831C3C">
        <w:rPr>
          <w:rFonts w:ascii="宋体" w:hAnsi="宋体" w:cs="宋体"/>
          <w:b/>
          <w:bCs/>
        </w:rPr>
        <w:t>2、董事出席董事会及股东大会的情况</w:t>
      </w:r>
      <w:bookmarkEnd w:id="81"/>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204"/>
        <w:gridCol w:w="1205"/>
        <w:gridCol w:w="1205"/>
        <w:gridCol w:w="1205"/>
        <w:gridCol w:w="1205"/>
        <w:gridCol w:w="1205"/>
        <w:gridCol w:w="1205"/>
        <w:gridCol w:w="1205"/>
      </w:tblGrid>
      <w:tr w:rsidR="00831C3C" w:rsidRPr="00831C3C">
        <w:trPr>
          <w:trHeight w:val="240"/>
        </w:trPr>
        <w:tc>
          <w:tcPr>
            <w:tcW w:w="9639" w:type="dxa"/>
            <w:gridSpan w:val="8"/>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董事出席董事会及股东大会的情况</w:t>
            </w:r>
          </w:p>
        </w:tc>
      </w:tr>
      <w:tr w:rsidR="00831C3C" w:rsidRPr="00831C3C">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董事姓名</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本报告期应参加董事会次数</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现场出席董事会次数</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以通讯方式参加董事会次数</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委托出席董事会次数</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缺席董事会次数</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是否连续两次未亲自参加董事会会议</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出席股东大会次数</w:t>
            </w:r>
          </w:p>
        </w:tc>
      </w:tr>
      <w:tr w:rsidR="00831C3C" w:rsidRPr="00831C3C">
        <w:trPr>
          <w:trHeight w:val="240"/>
        </w:trPr>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孙伟挺</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w:t>
            </w:r>
          </w:p>
        </w:tc>
      </w:tr>
      <w:tr w:rsidR="00831C3C" w:rsidRPr="00831C3C">
        <w:trPr>
          <w:trHeight w:val="240"/>
        </w:trPr>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陈玲芬</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w:t>
            </w:r>
          </w:p>
        </w:tc>
      </w:tr>
      <w:tr w:rsidR="00831C3C" w:rsidRPr="00831C3C">
        <w:trPr>
          <w:trHeight w:val="240"/>
        </w:trPr>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陈翰</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w:t>
            </w:r>
          </w:p>
        </w:tc>
      </w:tr>
      <w:tr w:rsidR="00831C3C" w:rsidRPr="00831C3C">
        <w:trPr>
          <w:trHeight w:val="240"/>
        </w:trPr>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高卫东</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r>
      <w:tr w:rsidR="00831C3C" w:rsidRPr="00831C3C">
        <w:trPr>
          <w:trHeight w:val="240"/>
        </w:trPr>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黄亚英</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w:t>
            </w:r>
          </w:p>
        </w:tc>
      </w:tr>
      <w:tr w:rsidR="00831C3C" w:rsidRPr="00831C3C">
        <w:trPr>
          <w:trHeight w:val="240"/>
        </w:trPr>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刁英峰</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w:t>
            </w:r>
          </w:p>
        </w:tc>
      </w:tr>
      <w:tr w:rsidR="00831C3C" w:rsidRPr="00831C3C">
        <w:trPr>
          <w:trHeight w:val="240"/>
        </w:trPr>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宋海涛</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w:t>
            </w:r>
          </w:p>
        </w:tc>
      </w:tr>
      <w:tr w:rsidR="00831C3C" w:rsidRPr="00831C3C">
        <w:trPr>
          <w:trHeight w:val="240"/>
        </w:trPr>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程桂松</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w:t>
            </w:r>
          </w:p>
        </w:tc>
      </w:tr>
      <w:tr w:rsidR="00831C3C" w:rsidRPr="00831C3C">
        <w:trPr>
          <w:trHeight w:val="240"/>
        </w:trPr>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王国友</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w:t>
            </w:r>
          </w:p>
        </w:tc>
      </w:tr>
      <w:tr w:rsidR="00831C3C" w:rsidRPr="00831C3C">
        <w:trPr>
          <w:trHeight w:val="240"/>
        </w:trPr>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张正</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连续两次未亲自出席董事会的说明</w:t>
      </w:r>
    </w:p>
    <w:p w:rsidR="00C65FD5" w:rsidRPr="00831C3C" w:rsidRDefault="00C65FD5" w:rsidP="00896FFD">
      <w:pPr>
        <w:spacing w:before="100" w:after="100" w:line="240" w:lineRule="exact"/>
        <w:divId w:val="1274439399"/>
        <w:rPr>
          <w:rFonts w:ascii="宋体" w:eastAsia="宋体" w:hAnsi="宋体" w:cs="宋体"/>
          <w:sz w:val="18"/>
          <w:szCs w:val="18"/>
        </w:rPr>
      </w:pPr>
      <w:r w:rsidRPr="00831C3C">
        <w:rPr>
          <w:rFonts w:ascii="宋体" w:eastAsia="宋体" w:hAnsi="宋体" w:cs="宋体" w:hint="eastAsia"/>
          <w:sz w:val="18"/>
          <w:szCs w:val="18"/>
        </w:rPr>
        <w:t>不适用</w:t>
      </w:r>
    </w:p>
    <w:p w:rsidR="00E23A97" w:rsidRPr="00831C3C" w:rsidRDefault="00C65FD5">
      <w:pPr>
        <w:pStyle w:val="3"/>
        <w:spacing w:line="280" w:lineRule="exact"/>
        <w:jc w:val="left"/>
        <w:rPr>
          <w:rFonts w:ascii="宋体" w:hAnsi="宋体" w:cs="宋体"/>
          <w:b/>
          <w:bCs/>
        </w:rPr>
      </w:pPr>
      <w:bookmarkStart w:id="82" w:name="_Toc988970"/>
      <w:r w:rsidRPr="00831C3C">
        <w:rPr>
          <w:rFonts w:ascii="宋体" w:hAnsi="宋体" w:cs="宋体"/>
          <w:b/>
          <w:bCs/>
        </w:rPr>
        <w:t>3、董事对公司有关事项提出异议的情况</w:t>
      </w:r>
      <w:bookmarkEnd w:id="82"/>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董事对公司有关事项是否提出异议</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□是</w:t>
      </w:r>
      <w:r w:rsidRPr="00831C3C">
        <w:rPr>
          <w:rFonts w:ascii="宋体" w:eastAsia="宋体" w:hAnsi="宋体" w:cs="宋体"/>
          <w:sz w:val="18"/>
          <w:szCs w:val="18"/>
        </w:rPr>
        <w:sym w:font="Wingdings 2" w:char="F052"/>
      </w:r>
      <w:r w:rsidRPr="00831C3C">
        <w:rPr>
          <w:rFonts w:ascii="宋体" w:eastAsia="宋体" w:hAnsi="宋体" w:cs="宋体"/>
          <w:sz w:val="18"/>
          <w:szCs w:val="18"/>
        </w:rPr>
        <w:t>否</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报告期内董事对公司有关事项未提出异议。</w:t>
      </w:r>
    </w:p>
    <w:p w:rsidR="00E23A97" w:rsidRPr="00831C3C" w:rsidRDefault="00C65FD5">
      <w:pPr>
        <w:pStyle w:val="3"/>
        <w:spacing w:line="280" w:lineRule="exact"/>
        <w:jc w:val="left"/>
        <w:rPr>
          <w:rFonts w:ascii="宋体" w:hAnsi="宋体" w:cs="宋体"/>
          <w:b/>
          <w:bCs/>
        </w:rPr>
      </w:pPr>
      <w:bookmarkStart w:id="83" w:name="_Toc988971"/>
      <w:r w:rsidRPr="00831C3C">
        <w:rPr>
          <w:rFonts w:ascii="宋体" w:hAnsi="宋体" w:cs="宋体"/>
          <w:b/>
          <w:bCs/>
        </w:rPr>
        <w:t>4、董事履行职责的其他说明</w:t>
      </w:r>
      <w:bookmarkEnd w:id="83"/>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董事对公司有关建议是否被采纳</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是□否</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董事对公司有关建议被采纳或未被采纳的说明</w:t>
      </w:r>
    </w:p>
    <w:p w:rsidR="00C65FD5" w:rsidRPr="00831C3C" w:rsidRDefault="00C65FD5">
      <w:pPr>
        <w:pStyle w:val="a3"/>
        <w:spacing w:before="40" w:beforeAutospacing="0" w:after="40" w:afterAutospacing="0"/>
        <w:ind w:firstLine="360"/>
        <w:divId w:val="1548489743"/>
      </w:pPr>
      <w:r w:rsidRPr="00831C3C">
        <w:rPr>
          <w:rFonts w:hint="eastAsia"/>
          <w:sz w:val="18"/>
          <w:szCs w:val="18"/>
        </w:rPr>
        <w:t>报告期内，公司董事严格按照《公司法》、《证券法》、《深圳证券交易所股票上市规则》、《深圳证券交易所上市公司自律监管指引第</w:t>
      </w:r>
      <w:r w:rsidRPr="00831C3C">
        <w:rPr>
          <w:rFonts w:ascii="Times New Roman" w:hAnsi="Times New Roman" w:cs="Times New Roman"/>
          <w:sz w:val="18"/>
          <w:szCs w:val="18"/>
        </w:rPr>
        <w:t>1</w:t>
      </w:r>
      <w:r w:rsidRPr="00831C3C">
        <w:rPr>
          <w:rFonts w:hint="eastAsia"/>
          <w:sz w:val="18"/>
          <w:szCs w:val="18"/>
        </w:rPr>
        <w:t>号</w:t>
      </w:r>
      <w:r w:rsidRPr="00831C3C">
        <w:rPr>
          <w:rFonts w:ascii="Times New Roman" w:hAnsi="Times New Roman" w:cs="Times New Roman"/>
          <w:sz w:val="18"/>
          <w:szCs w:val="18"/>
        </w:rPr>
        <w:t>——</w:t>
      </w:r>
      <w:r w:rsidRPr="00831C3C">
        <w:rPr>
          <w:rFonts w:hint="eastAsia"/>
          <w:sz w:val="18"/>
          <w:szCs w:val="18"/>
        </w:rPr>
        <w:t>主板上市公司规范运作》、《上市公司独立董事管理办法》《公司章程》及《独立董事工作制度》等法律法规及规章制度的相关规定，忠实勤勉地履行独立董事职责，积极出席报告期内公司召开的相关会议，认真审议董事会各项议案，独立董事对相关事项发表了独立意见。报告期内，公司董事会共召开</w:t>
      </w:r>
      <w:r w:rsidRPr="00831C3C">
        <w:rPr>
          <w:rFonts w:ascii="Times New Roman" w:hAnsi="Times New Roman" w:cs="Times New Roman"/>
          <w:sz w:val="18"/>
          <w:szCs w:val="18"/>
        </w:rPr>
        <w:t>8</w:t>
      </w:r>
      <w:r w:rsidRPr="00831C3C">
        <w:rPr>
          <w:rFonts w:hint="eastAsia"/>
          <w:sz w:val="18"/>
          <w:szCs w:val="18"/>
        </w:rPr>
        <w:t>次会议，审议并通过</w:t>
      </w:r>
      <w:r w:rsidRPr="00831C3C">
        <w:rPr>
          <w:rFonts w:hint="eastAsia"/>
          <w:sz w:val="18"/>
          <w:szCs w:val="18"/>
        </w:rPr>
        <w:lastRenderedPageBreak/>
        <w:t>议案共</w:t>
      </w:r>
      <w:r w:rsidRPr="00831C3C">
        <w:rPr>
          <w:rFonts w:ascii="Times New Roman" w:hAnsi="Times New Roman" w:cs="Times New Roman"/>
          <w:sz w:val="18"/>
          <w:szCs w:val="18"/>
        </w:rPr>
        <w:t>44</w:t>
      </w:r>
      <w:r w:rsidRPr="00831C3C">
        <w:rPr>
          <w:rFonts w:hint="eastAsia"/>
          <w:sz w:val="18"/>
          <w:szCs w:val="18"/>
        </w:rPr>
        <w:t>项，独立董事召开专门会议2次，审议并通过议案4项，在公司的制度完善和日常经营决策等方面提出了专业性建议，并被公司予以采纳，较好的发挥了董事的作用，切实维护了公司和股东特别是中小股东的权益。</w:t>
      </w:r>
    </w:p>
    <w:p w:rsidR="00E23A97" w:rsidRPr="00831C3C" w:rsidRDefault="00C65FD5">
      <w:pPr>
        <w:pStyle w:val="2"/>
        <w:spacing w:before="300" w:after="300" w:line="320" w:lineRule="exact"/>
        <w:rPr>
          <w:rFonts w:ascii="宋体" w:eastAsia="宋体" w:hAnsi="宋体" w:cs="宋体"/>
          <w:b/>
          <w:bCs/>
          <w:sz w:val="24"/>
          <w:szCs w:val="24"/>
        </w:rPr>
      </w:pPr>
      <w:bookmarkStart w:id="84" w:name="_Toc988972"/>
      <w:r w:rsidRPr="00831C3C">
        <w:rPr>
          <w:rFonts w:ascii="宋体" w:eastAsia="宋体" w:hAnsi="宋体" w:cs="宋体"/>
          <w:b/>
          <w:bCs/>
          <w:sz w:val="24"/>
          <w:szCs w:val="24"/>
        </w:rPr>
        <w:t>七、董事会下设专门委员会在报告期内的情况</w:t>
      </w:r>
      <w:bookmarkEnd w:id="84"/>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204"/>
        <w:gridCol w:w="1205"/>
        <w:gridCol w:w="976"/>
        <w:gridCol w:w="976"/>
        <w:gridCol w:w="2410"/>
        <w:gridCol w:w="956"/>
        <w:gridCol w:w="956"/>
        <w:gridCol w:w="956"/>
      </w:tblGrid>
      <w:tr w:rsidR="00831C3C" w:rsidRPr="00831C3C" w:rsidTr="00896FFD">
        <w:trPr>
          <w:trHeight w:val="240"/>
        </w:trPr>
        <w:tc>
          <w:tcPr>
            <w:tcW w:w="1204"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委员会名称</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成员情况</w:t>
            </w:r>
          </w:p>
        </w:tc>
        <w:tc>
          <w:tcPr>
            <w:tcW w:w="9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召开会议次数</w:t>
            </w:r>
          </w:p>
        </w:tc>
        <w:tc>
          <w:tcPr>
            <w:tcW w:w="9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召开日期</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会议内容</w:t>
            </w:r>
          </w:p>
        </w:tc>
        <w:tc>
          <w:tcPr>
            <w:tcW w:w="95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提出的重要意见和建议</w:t>
            </w:r>
          </w:p>
        </w:tc>
        <w:tc>
          <w:tcPr>
            <w:tcW w:w="95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其他履行职责的情况</w:t>
            </w:r>
          </w:p>
        </w:tc>
        <w:tc>
          <w:tcPr>
            <w:tcW w:w="95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异议事项具体情况（如有）</w:t>
            </w:r>
          </w:p>
        </w:tc>
      </w:tr>
      <w:tr w:rsidR="00831C3C" w:rsidRPr="00831C3C" w:rsidTr="00896FFD">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董事会审计委员会</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刁英峰、陈翰、黄亚英</w:t>
            </w:r>
          </w:p>
        </w:tc>
        <w:tc>
          <w:tcPr>
            <w:tcW w:w="9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w:t>
            </w:r>
          </w:p>
        </w:tc>
        <w:tc>
          <w:tcPr>
            <w:tcW w:w="9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2024年03月29日</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1、2024年第一季度内部控制审计工作报告</w:t>
            </w:r>
          </w:p>
        </w:tc>
        <w:tc>
          <w:tcPr>
            <w:tcW w:w="95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审议一致通过</w:t>
            </w:r>
          </w:p>
        </w:tc>
        <w:tc>
          <w:tcPr>
            <w:tcW w:w="95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c>
          <w:tcPr>
            <w:tcW w:w="95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r>
      <w:tr w:rsidR="00831C3C" w:rsidRPr="00831C3C" w:rsidTr="00896FFD">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董事会审计委员会</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刁英峰、陈翰、黄亚英</w:t>
            </w:r>
          </w:p>
        </w:tc>
        <w:tc>
          <w:tcPr>
            <w:tcW w:w="9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w:t>
            </w:r>
          </w:p>
        </w:tc>
        <w:tc>
          <w:tcPr>
            <w:tcW w:w="9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2024年04月25日</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1、审议公司《2023年年度报告》；</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2、审议公司《2023年度内部控制自我评价报告》；</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3、审议公司《关于续聘2024年度会计师事务所的议案》；</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4、审议公司《2024年第一季度报告》。</w:t>
            </w:r>
          </w:p>
        </w:tc>
        <w:tc>
          <w:tcPr>
            <w:tcW w:w="95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审议一致通过</w:t>
            </w:r>
          </w:p>
        </w:tc>
        <w:tc>
          <w:tcPr>
            <w:tcW w:w="95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c>
          <w:tcPr>
            <w:tcW w:w="95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r>
      <w:tr w:rsidR="00831C3C" w:rsidRPr="00831C3C" w:rsidTr="00896FFD">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董事会审计委员会</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刁英峰、陈翰、黄亚英</w:t>
            </w:r>
          </w:p>
        </w:tc>
        <w:tc>
          <w:tcPr>
            <w:tcW w:w="9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w:t>
            </w:r>
          </w:p>
        </w:tc>
        <w:tc>
          <w:tcPr>
            <w:tcW w:w="9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2024年08月29日</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1、审议公司《2024年半年度报告》；</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2、审议公司《2024年半年度募集资金存放与使用情况专项报告》；</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3、审议公司《2024年半年度内部控制自我评价报告》。</w:t>
            </w:r>
          </w:p>
        </w:tc>
        <w:tc>
          <w:tcPr>
            <w:tcW w:w="95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审议一致通过</w:t>
            </w:r>
          </w:p>
        </w:tc>
        <w:tc>
          <w:tcPr>
            <w:tcW w:w="95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c>
          <w:tcPr>
            <w:tcW w:w="95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r>
      <w:tr w:rsidR="00831C3C" w:rsidRPr="00831C3C" w:rsidTr="00896FFD">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董事会审计委员会</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刁英峰、陈翰、黄亚英</w:t>
            </w:r>
          </w:p>
        </w:tc>
        <w:tc>
          <w:tcPr>
            <w:tcW w:w="9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w:t>
            </w:r>
          </w:p>
        </w:tc>
        <w:tc>
          <w:tcPr>
            <w:tcW w:w="9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2024年10月30日</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1、审议公司《2024年三季度报告全文的议案》</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2、审议公司《2024年第三季度内部控制审计工作报告》。</w:t>
            </w:r>
          </w:p>
        </w:tc>
        <w:tc>
          <w:tcPr>
            <w:tcW w:w="95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审议一致通过</w:t>
            </w:r>
          </w:p>
        </w:tc>
        <w:tc>
          <w:tcPr>
            <w:tcW w:w="95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c>
          <w:tcPr>
            <w:tcW w:w="95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r>
      <w:tr w:rsidR="00831C3C" w:rsidRPr="00831C3C" w:rsidTr="00896FFD">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董事会提名委员会</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高卫东、宋海涛、黄亚英、陈玲芬</w:t>
            </w:r>
          </w:p>
        </w:tc>
        <w:tc>
          <w:tcPr>
            <w:tcW w:w="9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w:t>
            </w:r>
          </w:p>
        </w:tc>
        <w:tc>
          <w:tcPr>
            <w:tcW w:w="9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2024年04月23日</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1、审议《关于补选独立董事的议案》</w:t>
            </w:r>
          </w:p>
        </w:tc>
        <w:tc>
          <w:tcPr>
            <w:tcW w:w="95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审议一致通过</w:t>
            </w:r>
          </w:p>
        </w:tc>
        <w:tc>
          <w:tcPr>
            <w:tcW w:w="95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c>
          <w:tcPr>
            <w:tcW w:w="95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r>
      <w:tr w:rsidR="00831C3C" w:rsidRPr="00831C3C" w:rsidTr="00896FFD">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董事会提名委员会</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高卫东、宋海涛、黄亚英、陈玲芬</w:t>
            </w:r>
          </w:p>
        </w:tc>
        <w:tc>
          <w:tcPr>
            <w:tcW w:w="9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w:t>
            </w:r>
          </w:p>
        </w:tc>
        <w:tc>
          <w:tcPr>
            <w:tcW w:w="9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2024年08月26日</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1、审议《关于提名公司高级管理人员的议案》</w:t>
            </w:r>
          </w:p>
        </w:tc>
        <w:tc>
          <w:tcPr>
            <w:tcW w:w="95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审议一致通过</w:t>
            </w:r>
          </w:p>
        </w:tc>
        <w:tc>
          <w:tcPr>
            <w:tcW w:w="95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c>
          <w:tcPr>
            <w:tcW w:w="95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r>
      <w:tr w:rsidR="00831C3C" w:rsidRPr="00831C3C" w:rsidTr="00896FFD">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董事会提名委员会</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高卫东、宋海涛、黄亚英、陈玲芬</w:t>
            </w:r>
          </w:p>
        </w:tc>
        <w:tc>
          <w:tcPr>
            <w:tcW w:w="9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w:t>
            </w:r>
          </w:p>
        </w:tc>
        <w:tc>
          <w:tcPr>
            <w:tcW w:w="9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2024年12月04日</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1、审议《关于公司董事会换届及董事会提名非独立董事候选人的议案》；</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2、审议《关于公司董事会换届及董事会提名独立董事候选人的议案》。</w:t>
            </w:r>
          </w:p>
        </w:tc>
        <w:tc>
          <w:tcPr>
            <w:tcW w:w="95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审议一致通过</w:t>
            </w:r>
          </w:p>
        </w:tc>
        <w:tc>
          <w:tcPr>
            <w:tcW w:w="95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c>
          <w:tcPr>
            <w:tcW w:w="95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r>
      <w:tr w:rsidR="00831C3C" w:rsidRPr="00831C3C" w:rsidTr="00896FFD">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董事会提名委员会</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高卫东、宋海涛、黄亚英、陈玲芬</w:t>
            </w:r>
          </w:p>
        </w:tc>
        <w:tc>
          <w:tcPr>
            <w:tcW w:w="9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w:t>
            </w:r>
          </w:p>
        </w:tc>
        <w:tc>
          <w:tcPr>
            <w:tcW w:w="9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2024年12月31日</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1、审议《关于聘任公司总裁、副总裁及财务总监的议案》；</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2、审议《关于聘任公司董事会秘书的议案》。</w:t>
            </w:r>
          </w:p>
        </w:tc>
        <w:tc>
          <w:tcPr>
            <w:tcW w:w="95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审议一致通过</w:t>
            </w:r>
          </w:p>
        </w:tc>
        <w:tc>
          <w:tcPr>
            <w:tcW w:w="95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c>
          <w:tcPr>
            <w:tcW w:w="95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r>
      <w:tr w:rsidR="00831C3C" w:rsidRPr="00831C3C" w:rsidTr="00896FFD">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董事会薪酬与考核委员会</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黄亚英、刁英峰、王国友</w:t>
            </w:r>
          </w:p>
        </w:tc>
        <w:tc>
          <w:tcPr>
            <w:tcW w:w="9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w:t>
            </w:r>
          </w:p>
        </w:tc>
        <w:tc>
          <w:tcPr>
            <w:tcW w:w="9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2024年12月04日</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1、审议《关于&lt;华孚时尚股份有限公司第四期员工持股计划（草案）&gt;及其摘要的议案》。</w:t>
            </w:r>
          </w:p>
        </w:tc>
        <w:tc>
          <w:tcPr>
            <w:tcW w:w="95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审议一致通过</w:t>
            </w:r>
          </w:p>
        </w:tc>
        <w:tc>
          <w:tcPr>
            <w:tcW w:w="95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c>
          <w:tcPr>
            <w:tcW w:w="95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r>
    </w:tbl>
    <w:p w:rsidR="00E23A97" w:rsidRPr="00831C3C" w:rsidRDefault="00C65FD5">
      <w:pPr>
        <w:pStyle w:val="2"/>
        <w:spacing w:before="300" w:after="300" w:line="320" w:lineRule="exact"/>
        <w:rPr>
          <w:rFonts w:ascii="宋体" w:eastAsia="宋体" w:hAnsi="宋体" w:cs="宋体"/>
          <w:b/>
          <w:bCs/>
          <w:sz w:val="24"/>
          <w:szCs w:val="24"/>
        </w:rPr>
      </w:pPr>
      <w:bookmarkStart w:id="85" w:name="_Toc988973"/>
      <w:r w:rsidRPr="00831C3C">
        <w:rPr>
          <w:rFonts w:ascii="宋体" w:eastAsia="宋体" w:hAnsi="宋体" w:cs="宋体"/>
          <w:b/>
          <w:bCs/>
          <w:sz w:val="24"/>
          <w:szCs w:val="24"/>
        </w:rPr>
        <w:lastRenderedPageBreak/>
        <w:t>八、监事会工作情况</w:t>
      </w:r>
      <w:bookmarkEnd w:id="85"/>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监事会在报告期内的监督活动中发现公司是否存在风险</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□是</w:t>
      </w:r>
      <w:r w:rsidRPr="00831C3C">
        <w:rPr>
          <w:rFonts w:ascii="宋体" w:eastAsia="宋体" w:hAnsi="宋体" w:cs="宋体"/>
          <w:sz w:val="18"/>
          <w:szCs w:val="18"/>
        </w:rPr>
        <w:sym w:font="Wingdings 2" w:char="F052"/>
      </w:r>
      <w:r w:rsidRPr="00831C3C">
        <w:rPr>
          <w:rFonts w:ascii="宋体" w:eastAsia="宋体" w:hAnsi="宋体" w:cs="宋体"/>
          <w:sz w:val="18"/>
          <w:szCs w:val="18"/>
        </w:rPr>
        <w:t>否</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监事会对报告期内的监督事项无异议。</w:t>
      </w:r>
    </w:p>
    <w:p w:rsidR="00E23A97" w:rsidRPr="00831C3C" w:rsidRDefault="00C65FD5">
      <w:pPr>
        <w:pStyle w:val="2"/>
        <w:spacing w:before="300" w:after="300" w:line="320" w:lineRule="exact"/>
        <w:rPr>
          <w:rFonts w:ascii="宋体" w:eastAsia="宋体" w:hAnsi="宋体" w:cs="宋体"/>
          <w:b/>
          <w:bCs/>
          <w:sz w:val="24"/>
          <w:szCs w:val="24"/>
        </w:rPr>
      </w:pPr>
      <w:bookmarkStart w:id="86" w:name="_Toc988974"/>
      <w:r w:rsidRPr="00831C3C">
        <w:rPr>
          <w:rFonts w:ascii="宋体" w:eastAsia="宋体" w:hAnsi="宋体" w:cs="宋体"/>
          <w:b/>
          <w:bCs/>
          <w:sz w:val="24"/>
          <w:szCs w:val="24"/>
        </w:rPr>
        <w:t>九、公司员工情况</w:t>
      </w:r>
      <w:bookmarkEnd w:id="86"/>
    </w:p>
    <w:p w:rsidR="00E23A97" w:rsidRPr="00831C3C" w:rsidRDefault="00C65FD5">
      <w:pPr>
        <w:pStyle w:val="3"/>
        <w:spacing w:line="280" w:lineRule="exact"/>
        <w:jc w:val="left"/>
        <w:rPr>
          <w:rFonts w:ascii="宋体" w:hAnsi="宋体" w:cs="宋体"/>
          <w:b/>
          <w:bCs/>
        </w:rPr>
      </w:pPr>
      <w:bookmarkStart w:id="87" w:name="_Toc988975"/>
      <w:r w:rsidRPr="00831C3C">
        <w:rPr>
          <w:rFonts w:ascii="宋体" w:hAnsi="宋体" w:cs="宋体"/>
          <w:b/>
          <w:bCs/>
        </w:rPr>
        <w:t>1、员工数量、专业构成及教育程度</w:t>
      </w:r>
      <w:bookmarkEnd w:id="87"/>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4820"/>
        <w:gridCol w:w="4819"/>
      </w:tblGrid>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报告期末母公司在职员工的数量（人）</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1,793</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报告期末主要子公司在职员工的数量（人）</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11,979</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报告期末在职员工的数量合计（人）</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13,772</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当期领取薪酬员工总人数（人）</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13,772</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母公司及主要子公司需承担费用的离退休职工人数（人）</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960</w:t>
            </w:r>
          </w:p>
        </w:tc>
      </w:tr>
      <w:tr w:rsidR="00831C3C" w:rsidRPr="00831C3C">
        <w:trPr>
          <w:trHeight w:val="240"/>
        </w:trPr>
        <w:tc>
          <w:tcPr>
            <w:tcW w:w="9639"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专业构成</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专业构成类别</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专业构成人数（人）</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生产人员</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11,638</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销售人员</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306</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技术人员</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922</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财务人员</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238</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行政人员</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668</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13,772</w:t>
            </w:r>
          </w:p>
        </w:tc>
      </w:tr>
      <w:tr w:rsidR="00831C3C" w:rsidRPr="00831C3C">
        <w:trPr>
          <w:trHeight w:val="240"/>
        </w:trPr>
        <w:tc>
          <w:tcPr>
            <w:tcW w:w="9639"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教育程度</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教育程度类别</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数量（人）</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大专及以上</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1,247</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中专</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2,262</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中专以下</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10,263</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13,772</w:t>
            </w:r>
          </w:p>
        </w:tc>
      </w:tr>
    </w:tbl>
    <w:p w:rsidR="00E23A97" w:rsidRPr="00831C3C" w:rsidRDefault="00C65FD5">
      <w:pPr>
        <w:pStyle w:val="3"/>
        <w:spacing w:line="280" w:lineRule="exact"/>
        <w:jc w:val="left"/>
        <w:rPr>
          <w:rFonts w:ascii="宋体" w:hAnsi="宋体" w:cs="宋体"/>
          <w:b/>
          <w:bCs/>
        </w:rPr>
      </w:pPr>
      <w:bookmarkStart w:id="88" w:name="_Toc988976"/>
      <w:r w:rsidRPr="00831C3C">
        <w:rPr>
          <w:rFonts w:ascii="宋体" w:hAnsi="宋体" w:cs="宋体"/>
          <w:b/>
          <w:bCs/>
        </w:rPr>
        <w:t>2、薪酬政策</w:t>
      </w:r>
      <w:bookmarkEnd w:id="88"/>
    </w:p>
    <w:p w:rsidR="00C65FD5" w:rsidRPr="00831C3C" w:rsidRDefault="00C65FD5" w:rsidP="00896FFD">
      <w:pPr>
        <w:spacing w:before="100" w:after="100" w:line="240" w:lineRule="exact"/>
        <w:divId w:val="232354146"/>
        <w:rPr>
          <w:rFonts w:ascii="宋体" w:eastAsia="宋体" w:hAnsi="宋体" w:cs="宋体"/>
          <w:sz w:val="18"/>
          <w:szCs w:val="18"/>
        </w:rPr>
      </w:pPr>
      <w:r w:rsidRPr="00831C3C">
        <w:rPr>
          <w:rFonts w:ascii="宋体" w:eastAsia="宋体" w:hAnsi="宋体" w:cs="宋体" w:hint="eastAsia"/>
          <w:sz w:val="18"/>
          <w:szCs w:val="18"/>
        </w:rPr>
        <w:t>公司严格按照《中华人民共和国劳动合同法》和相关法律法规的规定，向员工提供具有竞争力的薪酬，通过多种薪酬分配方式留住和吸引优秀人才，为公司发展提供人力资源保障。</w:t>
      </w:r>
    </w:p>
    <w:p w:rsidR="00C65FD5" w:rsidRPr="00831C3C" w:rsidRDefault="00C65FD5" w:rsidP="00896FFD">
      <w:pPr>
        <w:spacing w:before="100" w:after="100" w:line="240" w:lineRule="exact"/>
        <w:divId w:val="232354146"/>
        <w:rPr>
          <w:rFonts w:ascii="宋体" w:eastAsia="宋体" w:hAnsi="宋体" w:cs="宋体"/>
          <w:sz w:val="18"/>
          <w:szCs w:val="18"/>
        </w:rPr>
      </w:pPr>
      <w:r w:rsidRPr="00831C3C">
        <w:rPr>
          <w:rFonts w:ascii="宋体" w:eastAsia="宋体" w:hAnsi="宋体" w:cs="宋体" w:hint="eastAsia"/>
          <w:sz w:val="18"/>
          <w:szCs w:val="18"/>
        </w:rPr>
        <w:t>本报告期内，公司实施第四期员工持股计划，详见公司于</w:t>
      </w:r>
      <w:r w:rsidRPr="00831C3C">
        <w:rPr>
          <w:rFonts w:ascii="宋体" w:eastAsia="宋体" w:hAnsi="宋体" w:cs="宋体"/>
          <w:sz w:val="18"/>
          <w:szCs w:val="18"/>
        </w:rPr>
        <w:t>2024</w:t>
      </w:r>
      <w:r w:rsidRPr="00831C3C">
        <w:rPr>
          <w:rFonts w:ascii="宋体" w:eastAsia="宋体" w:hAnsi="宋体" w:cs="宋体" w:hint="eastAsia"/>
          <w:sz w:val="18"/>
          <w:szCs w:val="18"/>
        </w:rPr>
        <w:t>年</w:t>
      </w:r>
      <w:r w:rsidRPr="00831C3C">
        <w:rPr>
          <w:rFonts w:ascii="宋体" w:eastAsia="宋体" w:hAnsi="宋体" w:cs="宋体"/>
          <w:sz w:val="18"/>
          <w:szCs w:val="18"/>
        </w:rPr>
        <w:t>12</w:t>
      </w:r>
      <w:r w:rsidRPr="00831C3C">
        <w:rPr>
          <w:rFonts w:ascii="宋体" w:eastAsia="宋体" w:hAnsi="宋体" w:cs="宋体" w:hint="eastAsia"/>
          <w:sz w:val="18"/>
          <w:szCs w:val="18"/>
        </w:rPr>
        <w:t>月</w:t>
      </w:r>
      <w:r w:rsidRPr="00831C3C">
        <w:rPr>
          <w:rFonts w:ascii="宋体" w:eastAsia="宋体" w:hAnsi="宋体" w:cs="宋体"/>
          <w:sz w:val="18"/>
          <w:szCs w:val="18"/>
        </w:rPr>
        <w:t>5</w:t>
      </w:r>
      <w:r w:rsidRPr="00831C3C">
        <w:rPr>
          <w:rFonts w:ascii="宋体" w:eastAsia="宋体" w:hAnsi="宋体" w:cs="宋体" w:hint="eastAsia"/>
          <w:sz w:val="18"/>
          <w:szCs w:val="18"/>
        </w:rPr>
        <w:t>日披露在《证券时报》、《中国证券报》及巨潮资讯网（</w:t>
      </w:r>
      <w:r w:rsidRPr="00831C3C">
        <w:rPr>
          <w:rFonts w:ascii="宋体" w:eastAsia="宋体" w:hAnsi="宋体" w:cs="宋体"/>
          <w:sz w:val="18"/>
          <w:szCs w:val="18"/>
        </w:rPr>
        <w:t>www.cninfo.com.cn</w:t>
      </w:r>
      <w:r w:rsidRPr="00831C3C">
        <w:rPr>
          <w:rFonts w:ascii="宋体" w:eastAsia="宋体" w:hAnsi="宋体" w:cs="宋体" w:hint="eastAsia"/>
          <w:sz w:val="18"/>
          <w:szCs w:val="18"/>
        </w:rPr>
        <w:t>）上的</w:t>
      </w:r>
      <w:r w:rsidRPr="00831C3C">
        <w:rPr>
          <w:rFonts w:ascii="宋体" w:eastAsia="宋体" w:hAnsi="宋体" w:cs="宋体"/>
          <w:sz w:val="18"/>
          <w:szCs w:val="18"/>
        </w:rPr>
        <w:t>《华孚时尚股份有限公司第四期员工持股计划（草案）》及其摘要。</w:t>
      </w:r>
      <w:r w:rsidRPr="00831C3C">
        <w:rPr>
          <w:rFonts w:ascii="宋体" w:eastAsia="宋体" w:hAnsi="宋体" w:cs="宋体" w:hint="eastAsia"/>
          <w:sz w:val="18"/>
          <w:szCs w:val="18"/>
        </w:rPr>
        <w:t>员工持股计划可充分调动员工积极性和创造性，使其利益与公司长远发展更紧密地结合，防止人才流失，实现企业可持续发展。</w:t>
      </w:r>
    </w:p>
    <w:p w:rsidR="00E23A97" w:rsidRPr="00831C3C" w:rsidRDefault="00C65FD5">
      <w:pPr>
        <w:pStyle w:val="3"/>
        <w:spacing w:line="280" w:lineRule="exact"/>
        <w:jc w:val="left"/>
        <w:rPr>
          <w:rFonts w:ascii="宋体" w:hAnsi="宋体" w:cs="宋体"/>
          <w:b/>
          <w:bCs/>
        </w:rPr>
      </w:pPr>
      <w:bookmarkStart w:id="89" w:name="_Toc988977"/>
      <w:r w:rsidRPr="00831C3C">
        <w:rPr>
          <w:rFonts w:ascii="宋体" w:hAnsi="宋体" w:cs="宋体"/>
          <w:b/>
          <w:bCs/>
        </w:rPr>
        <w:t>3、培训计划</w:t>
      </w:r>
      <w:bookmarkEnd w:id="89"/>
    </w:p>
    <w:p w:rsidR="00C65FD5" w:rsidRPr="00831C3C" w:rsidRDefault="00C65FD5" w:rsidP="00896FFD">
      <w:pPr>
        <w:spacing w:before="100" w:after="100" w:line="240" w:lineRule="exact"/>
        <w:divId w:val="1424572444"/>
        <w:rPr>
          <w:rFonts w:ascii="宋体" w:eastAsia="宋体" w:hAnsi="宋体" w:cs="宋体"/>
          <w:sz w:val="18"/>
          <w:szCs w:val="18"/>
        </w:rPr>
      </w:pPr>
      <w:r w:rsidRPr="00831C3C">
        <w:rPr>
          <w:rFonts w:ascii="宋体" w:eastAsia="宋体" w:hAnsi="宋体" w:cs="宋体" w:hint="eastAsia"/>
          <w:sz w:val="18"/>
          <w:szCs w:val="18"/>
        </w:rPr>
        <w:t>公司核心价值观之一是“只有专业、敬业、职业、认同的员工才能保持华孚的基业长青”，围绕此条价值观，公司强调培训是员工最大的福利，注重员工成长与职业化发展，为每一位员工尽可能创造更好的成长与发展的机会。</w:t>
      </w:r>
    </w:p>
    <w:p w:rsidR="00C65FD5" w:rsidRPr="00831C3C" w:rsidRDefault="00C65FD5" w:rsidP="00896FFD">
      <w:pPr>
        <w:spacing w:before="100" w:after="100" w:line="240" w:lineRule="exact"/>
        <w:divId w:val="1424572444"/>
        <w:rPr>
          <w:rFonts w:ascii="宋体" w:eastAsia="宋体" w:hAnsi="宋体" w:cs="宋体"/>
          <w:sz w:val="18"/>
          <w:szCs w:val="18"/>
        </w:rPr>
      </w:pPr>
      <w:r w:rsidRPr="00831C3C">
        <w:rPr>
          <w:rFonts w:ascii="宋体" w:eastAsia="宋体" w:hAnsi="宋体" w:cs="宋体"/>
          <w:sz w:val="18"/>
          <w:szCs w:val="18"/>
        </w:rPr>
        <w:t>2024</w:t>
      </w:r>
      <w:r w:rsidRPr="00831C3C">
        <w:rPr>
          <w:rFonts w:ascii="宋体" w:eastAsia="宋体" w:hAnsi="宋体" w:cs="宋体" w:hint="eastAsia"/>
          <w:sz w:val="18"/>
          <w:szCs w:val="18"/>
        </w:rPr>
        <w:t>年在岗培训</w:t>
      </w:r>
      <w:proofErr w:type="gramStart"/>
      <w:r w:rsidRPr="00831C3C">
        <w:rPr>
          <w:rFonts w:ascii="宋体" w:eastAsia="宋体" w:hAnsi="宋体" w:cs="宋体" w:hint="eastAsia"/>
          <w:sz w:val="18"/>
          <w:szCs w:val="18"/>
        </w:rPr>
        <w:t>总学习</w:t>
      </w:r>
      <w:proofErr w:type="gramEnd"/>
      <w:r w:rsidRPr="00831C3C">
        <w:rPr>
          <w:rFonts w:ascii="宋体" w:eastAsia="宋体" w:hAnsi="宋体" w:cs="宋体" w:hint="eastAsia"/>
          <w:sz w:val="18"/>
          <w:szCs w:val="18"/>
        </w:rPr>
        <w:t>时长</w:t>
      </w:r>
      <w:r w:rsidRPr="00831C3C">
        <w:rPr>
          <w:rFonts w:ascii="宋体" w:eastAsia="宋体" w:hAnsi="宋体" w:cs="宋体"/>
          <w:sz w:val="18"/>
          <w:szCs w:val="18"/>
        </w:rPr>
        <w:t>3,098.18</w:t>
      </w:r>
      <w:r w:rsidRPr="00831C3C">
        <w:rPr>
          <w:rFonts w:ascii="宋体" w:eastAsia="宋体" w:hAnsi="宋体" w:cs="宋体" w:hint="eastAsia"/>
          <w:sz w:val="18"/>
          <w:szCs w:val="18"/>
        </w:rPr>
        <w:t>小时，人均学习时长</w:t>
      </w:r>
      <w:r w:rsidRPr="00831C3C">
        <w:rPr>
          <w:rFonts w:ascii="宋体" w:eastAsia="宋体" w:hAnsi="宋体" w:cs="宋体"/>
          <w:sz w:val="18"/>
          <w:szCs w:val="18"/>
        </w:rPr>
        <w:t>4.52</w:t>
      </w:r>
      <w:r w:rsidRPr="00831C3C">
        <w:rPr>
          <w:rFonts w:ascii="宋体" w:eastAsia="宋体" w:hAnsi="宋体" w:cs="宋体" w:hint="eastAsia"/>
          <w:sz w:val="18"/>
          <w:szCs w:val="18"/>
        </w:rPr>
        <w:t>小时，总人次数</w:t>
      </w:r>
      <w:r w:rsidRPr="00831C3C">
        <w:rPr>
          <w:rFonts w:ascii="宋体" w:eastAsia="宋体" w:hAnsi="宋体" w:cs="宋体"/>
          <w:sz w:val="18"/>
          <w:szCs w:val="18"/>
        </w:rPr>
        <w:t>20,660</w:t>
      </w:r>
      <w:r w:rsidRPr="00831C3C">
        <w:rPr>
          <w:rFonts w:ascii="宋体" w:eastAsia="宋体" w:hAnsi="宋体" w:cs="宋体" w:hint="eastAsia"/>
          <w:sz w:val="18"/>
          <w:szCs w:val="18"/>
        </w:rPr>
        <w:t>人。</w:t>
      </w:r>
    </w:p>
    <w:p w:rsidR="00E23A97" w:rsidRPr="00831C3C" w:rsidRDefault="00C65FD5">
      <w:pPr>
        <w:pStyle w:val="3"/>
        <w:spacing w:line="280" w:lineRule="exact"/>
        <w:jc w:val="left"/>
        <w:rPr>
          <w:rFonts w:ascii="宋体" w:hAnsi="宋体" w:cs="宋体"/>
          <w:b/>
          <w:bCs/>
        </w:rPr>
      </w:pPr>
      <w:bookmarkStart w:id="90" w:name="_Toc988978"/>
      <w:r w:rsidRPr="00831C3C">
        <w:rPr>
          <w:rFonts w:ascii="宋体" w:hAnsi="宋体" w:cs="宋体"/>
          <w:b/>
          <w:bCs/>
        </w:rPr>
        <w:lastRenderedPageBreak/>
        <w:t>4、劳务外包情况</w:t>
      </w:r>
      <w:bookmarkEnd w:id="90"/>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pStyle w:val="2"/>
        <w:spacing w:before="300" w:after="300" w:line="320" w:lineRule="exact"/>
        <w:rPr>
          <w:rFonts w:ascii="宋体" w:eastAsia="宋体" w:hAnsi="宋体" w:cs="宋体"/>
          <w:b/>
          <w:bCs/>
          <w:sz w:val="24"/>
          <w:szCs w:val="24"/>
        </w:rPr>
      </w:pPr>
      <w:bookmarkStart w:id="91" w:name="_Toc988979"/>
      <w:r w:rsidRPr="00831C3C">
        <w:rPr>
          <w:rFonts w:ascii="宋体" w:eastAsia="宋体" w:hAnsi="宋体" w:cs="宋体"/>
          <w:b/>
          <w:bCs/>
          <w:sz w:val="24"/>
          <w:szCs w:val="24"/>
        </w:rPr>
        <w:t>十、公司利润分配及资本公积金转增股本情况</w:t>
      </w:r>
      <w:bookmarkEnd w:id="91"/>
    </w:p>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报告期</w:t>
      </w:r>
      <w:proofErr w:type="gramStart"/>
      <w:r w:rsidRPr="00831C3C">
        <w:rPr>
          <w:rFonts w:ascii="宋体" w:eastAsia="宋体" w:hAnsi="宋体" w:cs="宋体"/>
          <w:sz w:val="18"/>
          <w:szCs w:val="18"/>
        </w:rPr>
        <w:t>内利润</w:t>
      </w:r>
      <w:proofErr w:type="gramEnd"/>
      <w:r w:rsidRPr="00831C3C">
        <w:rPr>
          <w:rFonts w:ascii="宋体" w:eastAsia="宋体" w:hAnsi="宋体" w:cs="宋体"/>
          <w:sz w:val="18"/>
          <w:szCs w:val="18"/>
        </w:rPr>
        <w:t>分配政策，特别是现金分红政策的制定、执行或调整情况</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适用□不适用</w:t>
      </w:r>
    </w:p>
    <w:p w:rsidR="00C65FD5" w:rsidRPr="00831C3C" w:rsidRDefault="00C65FD5">
      <w:pPr>
        <w:pStyle w:val="a3"/>
        <w:divId w:val="262878072"/>
        <w:rPr>
          <w:sz w:val="18"/>
          <w:szCs w:val="18"/>
        </w:rPr>
      </w:pPr>
      <w:r w:rsidRPr="00831C3C">
        <w:rPr>
          <w:rFonts w:hint="eastAsia"/>
          <w:sz w:val="18"/>
          <w:szCs w:val="18"/>
        </w:rPr>
        <w:t>报告期内，经公司第八届董事会第七次会议和2023年年度股东大会审议通过《华孚时尚股份有限公司未来三年（2024-2026年）股东回报规划》，详见公司于2024年4月27日发布于《证券时报》、《中国证券报》及巨潮资讯网的《关于未来三年（2024-2026年）股东回报规划的公告》（2024-25）。</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8046"/>
        <w:gridCol w:w="1593"/>
      </w:tblGrid>
      <w:tr w:rsidR="00831C3C" w:rsidRPr="00831C3C">
        <w:trPr>
          <w:trHeight w:val="240"/>
        </w:trPr>
        <w:tc>
          <w:tcPr>
            <w:tcW w:w="9639"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现金分红政策的专项说明</w:t>
            </w:r>
          </w:p>
        </w:tc>
      </w:tr>
      <w:tr w:rsidR="00831C3C" w:rsidRPr="00831C3C" w:rsidTr="00896FFD">
        <w:trPr>
          <w:trHeight w:val="240"/>
        </w:trPr>
        <w:tc>
          <w:tcPr>
            <w:tcW w:w="804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是否符合公司章程的规定或股东大会决议的要求：</w:t>
            </w:r>
          </w:p>
        </w:tc>
        <w:tc>
          <w:tcPr>
            <w:tcW w:w="15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是</w:t>
            </w:r>
          </w:p>
        </w:tc>
      </w:tr>
      <w:tr w:rsidR="00831C3C" w:rsidRPr="00831C3C" w:rsidTr="00896FFD">
        <w:trPr>
          <w:trHeight w:val="240"/>
        </w:trPr>
        <w:tc>
          <w:tcPr>
            <w:tcW w:w="804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分红标准和比例是否明确和清晰：</w:t>
            </w:r>
          </w:p>
        </w:tc>
        <w:tc>
          <w:tcPr>
            <w:tcW w:w="15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是</w:t>
            </w:r>
          </w:p>
        </w:tc>
      </w:tr>
      <w:tr w:rsidR="00831C3C" w:rsidRPr="00831C3C" w:rsidTr="00896FFD">
        <w:trPr>
          <w:trHeight w:val="240"/>
        </w:trPr>
        <w:tc>
          <w:tcPr>
            <w:tcW w:w="804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相关的决策程序和机制是否完备：</w:t>
            </w:r>
          </w:p>
        </w:tc>
        <w:tc>
          <w:tcPr>
            <w:tcW w:w="15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是</w:t>
            </w:r>
          </w:p>
        </w:tc>
      </w:tr>
      <w:tr w:rsidR="00831C3C" w:rsidRPr="00831C3C" w:rsidTr="00896FFD">
        <w:trPr>
          <w:trHeight w:val="240"/>
        </w:trPr>
        <w:tc>
          <w:tcPr>
            <w:tcW w:w="804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独立董事是否履职尽责并发挥了应有的作用：</w:t>
            </w:r>
          </w:p>
        </w:tc>
        <w:tc>
          <w:tcPr>
            <w:tcW w:w="15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是</w:t>
            </w:r>
          </w:p>
        </w:tc>
      </w:tr>
      <w:tr w:rsidR="00831C3C" w:rsidRPr="00831C3C" w:rsidTr="00896FFD">
        <w:trPr>
          <w:trHeight w:val="240"/>
        </w:trPr>
        <w:tc>
          <w:tcPr>
            <w:tcW w:w="804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公司未进行现金分红的，应当披露具体原因，以及下一步为增强投资者回报水平拟采取的举措：</w:t>
            </w:r>
          </w:p>
        </w:tc>
        <w:tc>
          <w:tcPr>
            <w:tcW w:w="15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是</w:t>
            </w:r>
          </w:p>
        </w:tc>
      </w:tr>
      <w:tr w:rsidR="00831C3C" w:rsidRPr="00831C3C" w:rsidTr="00896FFD">
        <w:trPr>
          <w:trHeight w:val="240"/>
        </w:trPr>
        <w:tc>
          <w:tcPr>
            <w:tcW w:w="804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中小股东是否有充分表达意见和诉求的机会，其合法权益是否得到了充分保护：</w:t>
            </w:r>
          </w:p>
        </w:tc>
        <w:tc>
          <w:tcPr>
            <w:tcW w:w="15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是</w:t>
            </w:r>
          </w:p>
        </w:tc>
      </w:tr>
      <w:tr w:rsidR="00831C3C" w:rsidRPr="00831C3C" w:rsidTr="00896FFD">
        <w:trPr>
          <w:trHeight w:val="240"/>
        </w:trPr>
        <w:tc>
          <w:tcPr>
            <w:tcW w:w="804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现金分红政策进行调整或变更的，条件及程序是否合</w:t>
            </w:r>
            <w:proofErr w:type="gramStart"/>
            <w:r w:rsidRPr="00831C3C">
              <w:rPr>
                <w:rFonts w:ascii="宋体" w:eastAsia="宋体" w:hAnsi="宋体" w:cs="宋体"/>
                <w:sz w:val="18"/>
                <w:szCs w:val="18"/>
              </w:rPr>
              <w:t>规</w:t>
            </w:r>
            <w:proofErr w:type="gramEnd"/>
            <w:r w:rsidRPr="00831C3C">
              <w:rPr>
                <w:rFonts w:ascii="宋体" w:eastAsia="宋体" w:hAnsi="宋体" w:cs="宋体"/>
                <w:sz w:val="18"/>
                <w:szCs w:val="18"/>
              </w:rPr>
              <w:t>、透明：</w:t>
            </w:r>
          </w:p>
        </w:tc>
        <w:tc>
          <w:tcPr>
            <w:tcW w:w="15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是</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公司报告期内</w:t>
      </w:r>
      <w:proofErr w:type="gramStart"/>
      <w:r w:rsidRPr="00831C3C">
        <w:rPr>
          <w:rFonts w:ascii="宋体" w:eastAsia="宋体" w:hAnsi="宋体" w:cs="宋体"/>
          <w:sz w:val="18"/>
          <w:szCs w:val="18"/>
        </w:rPr>
        <w:t>盈利且母公司</w:t>
      </w:r>
      <w:proofErr w:type="gramEnd"/>
      <w:r w:rsidRPr="00831C3C">
        <w:rPr>
          <w:rFonts w:ascii="宋体" w:eastAsia="宋体" w:hAnsi="宋体" w:cs="宋体"/>
          <w:sz w:val="18"/>
          <w:szCs w:val="18"/>
        </w:rPr>
        <w:t>可供股东分配利润</w:t>
      </w:r>
      <w:proofErr w:type="gramStart"/>
      <w:r w:rsidRPr="00831C3C">
        <w:rPr>
          <w:rFonts w:ascii="宋体" w:eastAsia="宋体" w:hAnsi="宋体" w:cs="宋体"/>
          <w:sz w:val="18"/>
          <w:szCs w:val="18"/>
        </w:rPr>
        <w:t>为正但未</w:t>
      </w:r>
      <w:proofErr w:type="gramEnd"/>
      <w:r w:rsidRPr="00831C3C">
        <w:rPr>
          <w:rFonts w:ascii="宋体" w:eastAsia="宋体" w:hAnsi="宋体" w:cs="宋体"/>
          <w:sz w:val="18"/>
          <w:szCs w:val="18"/>
        </w:rPr>
        <w:t>提出现金红利分配预案</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本报告期利润分配及资本公积金转增股本情况</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公司计划年度</w:t>
      </w:r>
      <w:proofErr w:type="gramStart"/>
      <w:r w:rsidRPr="00831C3C">
        <w:rPr>
          <w:rFonts w:ascii="宋体" w:eastAsia="宋体" w:hAnsi="宋体" w:cs="宋体"/>
          <w:sz w:val="18"/>
          <w:szCs w:val="18"/>
        </w:rPr>
        <w:t>不</w:t>
      </w:r>
      <w:proofErr w:type="gramEnd"/>
      <w:r w:rsidRPr="00831C3C">
        <w:rPr>
          <w:rFonts w:ascii="宋体" w:eastAsia="宋体" w:hAnsi="宋体" w:cs="宋体"/>
          <w:sz w:val="18"/>
          <w:szCs w:val="18"/>
        </w:rPr>
        <w:t>派发现金红利，不送红股，不以公积金转增股本。</w:t>
      </w:r>
    </w:p>
    <w:p w:rsidR="00E23A97" w:rsidRPr="00831C3C" w:rsidRDefault="00C65FD5">
      <w:pPr>
        <w:pStyle w:val="2"/>
        <w:spacing w:before="300" w:after="300" w:line="320" w:lineRule="exact"/>
        <w:rPr>
          <w:rFonts w:ascii="宋体" w:eastAsia="宋体" w:hAnsi="宋体" w:cs="宋体"/>
          <w:b/>
          <w:bCs/>
          <w:sz w:val="24"/>
          <w:szCs w:val="24"/>
        </w:rPr>
      </w:pPr>
      <w:bookmarkStart w:id="92" w:name="_Toc988980"/>
      <w:r w:rsidRPr="00831C3C">
        <w:rPr>
          <w:rFonts w:ascii="宋体" w:eastAsia="宋体" w:hAnsi="宋体" w:cs="宋体"/>
          <w:b/>
          <w:bCs/>
          <w:sz w:val="24"/>
          <w:szCs w:val="24"/>
        </w:rPr>
        <w:t>十一、公司股权激励计划、员工持股计划或其他员工激励措施的实施情况</w:t>
      </w:r>
      <w:bookmarkEnd w:id="92"/>
    </w:p>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适用□不适用</w:t>
      </w:r>
    </w:p>
    <w:p w:rsidR="00E23A97" w:rsidRPr="00831C3C" w:rsidRDefault="00C65FD5">
      <w:pPr>
        <w:pStyle w:val="3"/>
        <w:spacing w:line="280" w:lineRule="exact"/>
        <w:jc w:val="left"/>
        <w:rPr>
          <w:rFonts w:ascii="宋体" w:hAnsi="宋体" w:cs="宋体"/>
          <w:b/>
          <w:bCs/>
        </w:rPr>
      </w:pPr>
      <w:bookmarkStart w:id="93" w:name="_Toc988981"/>
      <w:r w:rsidRPr="00831C3C">
        <w:rPr>
          <w:rFonts w:ascii="宋体" w:hAnsi="宋体" w:cs="宋体"/>
          <w:b/>
          <w:bCs/>
        </w:rPr>
        <w:t>1、股权激励</w:t>
      </w:r>
      <w:bookmarkEnd w:id="93"/>
    </w:p>
    <w:p w:rsidR="00C65FD5" w:rsidRPr="00831C3C" w:rsidRDefault="00C65FD5">
      <w:pPr>
        <w:pStyle w:val="a3"/>
        <w:divId w:val="675234160"/>
        <w:rPr>
          <w:sz w:val="18"/>
          <w:szCs w:val="18"/>
        </w:rPr>
      </w:pPr>
      <w:r w:rsidRPr="00831C3C">
        <w:rPr>
          <w:rFonts w:hint="eastAsia"/>
          <w:sz w:val="18"/>
          <w:szCs w:val="18"/>
        </w:rPr>
        <w:t>无</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公司董事、高级管理人员获得的股权激励情况</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高级管理人员的考评机制及激励情况</w:t>
      </w:r>
    </w:p>
    <w:p w:rsidR="00C65FD5" w:rsidRPr="00831C3C" w:rsidRDefault="00C65FD5">
      <w:pPr>
        <w:pStyle w:val="a3"/>
        <w:divId w:val="230819949"/>
        <w:rPr>
          <w:sz w:val="18"/>
          <w:szCs w:val="18"/>
        </w:rPr>
      </w:pPr>
      <w:r w:rsidRPr="00831C3C">
        <w:rPr>
          <w:rFonts w:hint="eastAsia"/>
          <w:sz w:val="18"/>
          <w:szCs w:val="18"/>
        </w:rPr>
        <w:t>无</w:t>
      </w:r>
    </w:p>
    <w:p w:rsidR="00E23A97" w:rsidRPr="00831C3C" w:rsidRDefault="00C65FD5">
      <w:pPr>
        <w:pStyle w:val="3"/>
        <w:spacing w:line="280" w:lineRule="exact"/>
        <w:jc w:val="left"/>
        <w:rPr>
          <w:rFonts w:ascii="宋体" w:hAnsi="宋体" w:cs="宋体"/>
          <w:b/>
          <w:bCs/>
        </w:rPr>
      </w:pPr>
      <w:bookmarkStart w:id="94" w:name="_Toc988982"/>
      <w:r w:rsidRPr="00831C3C">
        <w:rPr>
          <w:rFonts w:ascii="宋体" w:hAnsi="宋体" w:cs="宋体"/>
          <w:b/>
          <w:bCs/>
        </w:rPr>
        <w:t>2、员工持股计划的实施情况</w:t>
      </w:r>
      <w:bookmarkEnd w:id="94"/>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适用□不适用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报告期内全部有效的员工持股计划情况</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06"/>
        <w:gridCol w:w="1606"/>
        <w:gridCol w:w="1606"/>
        <w:gridCol w:w="1607"/>
        <w:gridCol w:w="1607"/>
        <w:gridCol w:w="1607"/>
      </w:tblGrid>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lastRenderedPageBreak/>
              <w:t>员工的范围</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员工人数</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持有的股票总数（股）</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变更情况</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占上市公司股本总额的比例</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实施计划的资金来源</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1、公司的董事（不含独立董事）、监事、高级管理人员；</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2、公司及公司的全资或控股子公司的中高层管理人员；</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3、公司及公司全资或控股子公司的核心业务技术骨干。</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29,800,000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1.75%</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员工合法薪酬及通过法律、行政法规允许的其他方式获得的自筹资金。</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报告期内董事、监事、高级管理人员在员工持股计划中的持股情况</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姓名</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职务</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报告期初持股数（股）</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报告期末持股数（股）</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占上市公司股本总额的比例</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程桂松</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董事、副总裁</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0.00%</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王国友</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董事、财务总监</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0.00%</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张正</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董事、董事会秘书</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0.00%</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张宝春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副总裁</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0.00%</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陈存福</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副总裁</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0.00%</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熊旭锋</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职工代表监事</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0.00%</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宣刚江</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监事</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0.00%</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报告期内资产管理机构的变更情况</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报告期内因持有人处置份额等引起的权益变动情况</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报告期</w:t>
      </w:r>
      <w:proofErr w:type="gramStart"/>
      <w:r w:rsidRPr="00831C3C">
        <w:rPr>
          <w:rFonts w:ascii="宋体" w:eastAsia="宋体" w:hAnsi="宋体" w:cs="宋体"/>
          <w:sz w:val="18"/>
          <w:szCs w:val="18"/>
        </w:rPr>
        <w:t>内股东</w:t>
      </w:r>
      <w:proofErr w:type="gramEnd"/>
      <w:r w:rsidRPr="00831C3C">
        <w:rPr>
          <w:rFonts w:ascii="宋体" w:eastAsia="宋体" w:hAnsi="宋体" w:cs="宋体"/>
          <w:sz w:val="18"/>
          <w:szCs w:val="18"/>
        </w:rPr>
        <w:t>权利行使的情况</w:t>
      </w:r>
    </w:p>
    <w:p w:rsidR="00C65FD5" w:rsidRPr="00831C3C" w:rsidRDefault="00C65FD5">
      <w:pPr>
        <w:pStyle w:val="a3"/>
        <w:divId w:val="985547686"/>
        <w:rPr>
          <w:sz w:val="18"/>
          <w:szCs w:val="18"/>
        </w:rPr>
      </w:pPr>
      <w:r w:rsidRPr="00831C3C">
        <w:rPr>
          <w:rFonts w:hint="eastAsia"/>
          <w:sz w:val="18"/>
          <w:szCs w:val="18"/>
        </w:rPr>
        <w:t>无</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报告期内员工持股计划的其他相关情形及说明</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员工持股计划管理委员会成员发生变化</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员工持股计划对报告</w:t>
      </w:r>
      <w:proofErr w:type="gramStart"/>
      <w:r w:rsidRPr="00831C3C">
        <w:rPr>
          <w:rFonts w:ascii="宋体" w:eastAsia="宋体" w:hAnsi="宋体" w:cs="宋体"/>
          <w:sz w:val="18"/>
          <w:szCs w:val="18"/>
        </w:rPr>
        <w:t>期上市</w:t>
      </w:r>
      <w:proofErr w:type="gramEnd"/>
      <w:r w:rsidRPr="00831C3C">
        <w:rPr>
          <w:rFonts w:ascii="宋体" w:eastAsia="宋体" w:hAnsi="宋体" w:cs="宋体"/>
          <w:sz w:val="18"/>
          <w:szCs w:val="18"/>
        </w:rPr>
        <w:t>公司的财务影响及相关会计处理</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报告期内员工持股计划终止的情况</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p>
    <w:p w:rsidR="00C65FD5" w:rsidRPr="00831C3C" w:rsidRDefault="00C65FD5">
      <w:pPr>
        <w:divId w:val="1463621846"/>
        <w:rPr>
          <w:sz w:val="18"/>
          <w:szCs w:val="18"/>
        </w:rPr>
      </w:pPr>
    </w:p>
    <w:p w:rsidR="00E23A97" w:rsidRPr="00831C3C" w:rsidRDefault="00C65FD5">
      <w:pPr>
        <w:pStyle w:val="3"/>
        <w:spacing w:line="280" w:lineRule="exact"/>
        <w:jc w:val="left"/>
        <w:rPr>
          <w:rFonts w:ascii="宋体" w:hAnsi="宋体" w:cs="宋体"/>
          <w:b/>
          <w:bCs/>
        </w:rPr>
      </w:pPr>
      <w:bookmarkStart w:id="95" w:name="_Toc988983"/>
      <w:r w:rsidRPr="00831C3C">
        <w:rPr>
          <w:rFonts w:ascii="宋体" w:hAnsi="宋体" w:cs="宋体"/>
          <w:b/>
          <w:bCs/>
        </w:rPr>
        <w:t>3、其他员工激励措施</w:t>
      </w:r>
      <w:bookmarkEnd w:id="95"/>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pStyle w:val="2"/>
        <w:spacing w:before="300" w:after="300" w:line="320" w:lineRule="exact"/>
        <w:rPr>
          <w:rFonts w:ascii="宋体" w:eastAsia="宋体" w:hAnsi="宋体" w:cs="宋体"/>
          <w:b/>
          <w:bCs/>
          <w:sz w:val="24"/>
          <w:szCs w:val="24"/>
        </w:rPr>
      </w:pPr>
      <w:bookmarkStart w:id="96" w:name="_Toc988984"/>
      <w:r w:rsidRPr="00831C3C">
        <w:rPr>
          <w:rFonts w:ascii="宋体" w:eastAsia="宋体" w:hAnsi="宋体" w:cs="宋体"/>
          <w:b/>
          <w:bCs/>
          <w:sz w:val="24"/>
          <w:szCs w:val="24"/>
        </w:rPr>
        <w:lastRenderedPageBreak/>
        <w:t>十二、报告期内的内部控制制度建设及实施情况</w:t>
      </w:r>
      <w:bookmarkEnd w:id="96"/>
    </w:p>
    <w:p w:rsidR="00E23A97" w:rsidRPr="00831C3C" w:rsidRDefault="00C65FD5">
      <w:pPr>
        <w:pStyle w:val="3"/>
        <w:spacing w:line="280" w:lineRule="exact"/>
        <w:jc w:val="left"/>
        <w:rPr>
          <w:rFonts w:ascii="宋体" w:hAnsi="宋体" w:cs="宋体"/>
          <w:b/>
          <w:bCs/>
        </w:rPr>
      </w:pPr>
      <w:bookmarkStart w:id="97" w:name="_Toc988985"/>
      <w:r w:rsidRPr="00831C3C">
        <w:rPr>
          <w:rFonts w:ascii="宋体" w:hAnsi="宋体" w:cs="宋体"/>
          <w:b/>
          <w:bCs/>
        </w:rPr>
        <w:t>1、内部控制建设及实施情况</w:t>
      </w:r>
      <w:bookmarkEnd w:id="97"/>
    </w:p>
    <w:p w:rsidR="00C65FD5" w:rsidRPr="00831C3C" w:rsidRDefault="00C65FD5">
      <w:pPr>
        <w:pStyle w:val="a3"/>
        <w:spacing w:before="0" w:beforeAutospacing="0" w:after="0" w:afterAutospacing="0"/>
        <w:ind w:firstLine="360"/>
        <w:jc w:val="both"/>
        <w:divId w:val="1482580815"/>
      </w:pPr>
      <w:r w:rsidRPr="00831C3C">
        <w:rPr>
          <w:rFonts w:hint="eastAsia"/>
          <w:sz w:val="18"/>
          <w:szCs w:val="18"/>
        </w:rPr>
        <w:t>报告期内，公司形成较完备的内部控制制度体系，内容涵盖资金活动、采购业务、资产管理、销售业务、研究开发、工程项目、担保业务、关联方及其交易、法律事务、财务报告、预算管理、合同管理、内部信息传递、信息系统等多个领域，公司持续完善内部控制制度建设，强化内部审计监督，提高内部审计工作的深度和广度，确保内部控制制度得到有效执行，切实提升公司规范运作水平，促进公司健康可持续发展。报告期内，公司内部控制制度设计健全、合理，内部控制执行基本有效，不存在重大遗漏。</w:t>
      </w:r>
    </w:p>
    <w:p w:rsidR="00E23A97" w:rsidRPr="00831C3C" w:rsidRDefault="00C65FD5">
      <w:pPr>
        <w:pStyle w:val="3"/>
        <w:spacing w:line="280" w:lineRule="exact"/>
        <w:jc w:val="left"/>
        <w:rPr>
          <w:rFonts w:ascii="宋体" w:hAnsi="宋体" w:cs="宋体"/>
          <w:b/>
          <w:bCs/>
        </w:rPr>
      </w:pPr>
      <w:bookmarkStart w:id="98" w:name="_Toc988986"/>
      <w:r w:rsidRPr="00831C3C">
        <w:rPr>
          <w:rFonts w:ascii="宋体" w:hAnsi="宋体" w:cs="宋体"/>
          <w:b/>
          <w:bCs/>
        </w:rPr>
        <w:t>2、报告期内发现的内部控制重大缺陷的具体情况</w:t>
      </w:r>
      <w:bookmarkEnd w:id="98"/>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□是</w:t>
      </w:r>
      <w:r w:rsidRPr="00831C3C">
        <w:rPr>
          <w:rFonts w:ascii="宋体" w:eastAsia="宋体" w:hAnsi="宋体" w:cs="宋体"/>
          <w:sz w:val="18"/>
          <w:szCs w:val="18"/>
        </w:rPr>
        <w:sym w:font="Wingdings 2" w:char="F052"/>
      </w:r>
      <w:r w:rsidRPr="00831C3C">
        <w:rPr>
          <w:rFonts w:ascii="宋体" w:eastAsia="宋体" w:hAnsi="宋体" w:cs="宋体"/>
          <w:sz w:val="18"/>
          <w:szCs w:val="18"/>
        </w:rPr>
        <w:t>否</w:t>
      </w:r>
    </w:p>
    <w:p w:rsidR="00E23A97" w:rsidRPr="00831C3C" w:rsidRDefault="00C65FD5">
      <w:pPr>
        <w:pStyle w:val="2"/>
        <w:spacing w:before="300" w:after="300" w:line="320" w:lineRule="exact"/>
        <w:rPr>
          <w:rFonts w:ascii="宋体" w:eastAsia="宋体" w:hAnsi="宋体" w:cs="宋体"/>
          <w:b/>
          <w:bCs/>
          <w:sz w:val="24"/>
          <w:szCs w:val="24"/>
        </w:rPr>
      </w:pPr>
      <w:bookmarkStart w:id="99" w:name="_Toc988987"/>
      <w:r w:rsidRPr="00831C3C">
        <w:rPr>
          <w:rFonts w:ascii="宋体" w:eastAsia="宋体" w:hAnsi="宋体" w:cs="宋体"/>
          <w:b/>
          <w:bCs/>
          <w:sz w:val="24"/>
          <w:szCs w:val="24"/>
        </w:rPr>
        <w:t>十三、公司报告期内对子公司的管理控制情况</w:t>
      </w:r>
      <w:bookmarkEnd w:id="99"/>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公司名称</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整合计划</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整合进展</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整合中遇到的问题</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已采取的解决措施</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解决进展</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后续解决计划</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r>
    </w:tbl>
    <w:p w:rsidR="00E23A97" w:rsidRPr="00831C3C" w:rsidRDefault="00C65FD5">
      <w:pPr>
        <w:pStyle w:val="2"/>
        <w:spacing w:before="300" w:after="300" w:line="320" w:lineRule="exact"/>
        <w:rPr>
          <w:rFonts w:ascii="宋体" w:eastAsia="宋体" w:hAnsi="宋体" w:cs="宋体"/>
          <w:b/>
          <w:bCs/>
          <w:sz w:val="24"/>
          <w:szCs w:val="24"/>
        </w:rPr>
      </w:pPr>
      <w:bookmarkStart w:id="100" w:name="_Toc988988"/>
      <w:r w:rsidRPr="00831C3C">
        <w:rPr>
          <w:rFonts w:ascii="宋体" w:eastAsia="宋体" w:hAnsi="宋体" w:cs="宋体"/>
          <w:b/>
          <w:bCs/>
          <w:sz w:val="24"/>
          <w:szCs w:val="24"/>
        </w:rPr>
        <w:t>十四、内部控制评价报告或内部控制审计报告</w:t>
      </w:r>
      <w:bookmarkEnd w:id="100"/>
    </w:p>
    <w:p w:rsidR="00E23A97" w:rsidRPr="00831C3C" w:rsidRDefault="00C65FD5">
      <w:pPr>
        <w:pStyle w:val="3"/>
        <w:spacing w:line="280" w:lineRule="exact"/>
        <w:jc w:val="left"/>
        <w:rPr>
          <w:rFonts w:ascii="宋体" w:hAnsi="宋体" w:cs="宋体"/>
          <w:b/>
          <w:bCs/>
        </w:rPr>
      </w:pPr>
      <w:bookmarkStart w:id="101" w:name="_Toc988989"/>
      <w:r w:rsidRPr="00831C3C">
        <w:rPr>
          <w:rFonts w:ascii="宋体" w:hAnsi="宋体" w:cs="宋体"/>
          <w:b/>
          <w:bCs/>
        </w:rPr>
        <w:t>1、内控评价报告</w:t>
      </w:r>
      <w:bookmarkEnd w:id="101"/>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内部控制评价报告全文披露日期</w:t>
            </w:r>
          </w:p>
        </w:tc>
        <w:tc>
          <w:tcPr>
            <w:tcW w:w="6426"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2025年04月26日</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内部控制评价报告全文披露索引</w:t>
            </w:r>
          </w:p>
        </w:tc>
        <w:tc>
          <w:tcPr>
            <w:tcW w:w="6426"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公司于2025年4月26日披露在巨潮资讯网（www.cninfo.com.cn)的《内部控制评价报告》</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纳入评价范围单位资产总额占公司合并财务报表资产总额的比例</w:t>
            </w:r>
          </w:p>
        </w:tc>
        <w:tc>
          <w:tcPr>
            <w:tcW w:w="6426"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纳入评价范围单位营业收入占公司合并财务报表营业收入的比例</w:t>
            </w:r>
          </w:p>
        </w:tc>
        <w:tc>
          <w:tcPr>
            <w:tcW w:w="6426"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w:t>
            </w:r>
          </w:p>
        </w:tc>
      </w:tr>
      <w:tr w:rsidR="00831C3C" w:rsidRPr="00831C3C">
        <w:trPr>
          <w:trHeight w:val="240"/>
        </w:trPr>
        <w:tc>
          <w:tcPr>
            <w:tcW w:w="9639"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缺陷认定标准</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类别</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财务报告</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非财务报告</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定性标准</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（1）重大缺陷：单独缺陷或连同其他缺陷导致不能及时防止或发现并纠正财务报告中的重大错报。出现下列情形的，认定为重大缺陷：</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①经监管部门认定控制环境无效；</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②董事、监事和高级管理人员舞弊行为；</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③因存在重大错报，公司更正已经公布的财务报告；</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④外部审计发现当期财务报告存在重大错报，公司在运行过程中未能发现该错报；</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⑤已经发现并报告给管理层的重大缺陷在合理的时间后未加以改正；</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⑥公司审计委员会和内部审计部对内部控制的监督无效；</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⑦因会计差错导致的监管机构处罚；</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lastRenderedPageBreak/>
              <w:t>⑧其他可能影响报表使用者正确判断的重大缺陷；</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（2）重要缺陷：单独缺陷或连同其他缺陷导致不能及时防止或发现并纠正财务报告中虽然未达到和超过重要性水平，仍应引起管理层重视的错报。</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（3）一般缺陷：不构成重大缺陷或重要缺陷的其他内部控制缺陷。</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lastRenderedPageBreak/>
              <w:t>（1）重大缺陷：出现以下情形的，认定为重大缺陷，其他情形按影响程度分别确定为重要缺陷或一般缺陷。</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①严重违犯国家法律、法规被处以重罚或承担刑事责任；</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②生产故障造成重大停产事件；</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③对周围环境造成永久污染或无法弥补的破坏；</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③重要制度缺失可能导致系统性失效；</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④重大缺陷不能得到整改；</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（2）重要缺陷:</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①违反国家法律、法规或规范性法律文件，如环境污染；</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②决策程序不科学，决策失误；</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③重要业务制度或系统存在缺陷；</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④关键岗位业务人员流失严重；</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lastRenderedPageBreak/>
              <w:t>⑤内部控制评价的结果特别是重要缺陷未得到整改；</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（3）一般缺陷:决策程序效率不高；一般业务制度或系统存在缺陷；一般岗位业务人员流失严重；一般缺陷未得到整改。</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lastRenderedPageBreak/>
              <w:t>定量标准</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定量标准以营业收入、资产总额作为衡量指标。</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内部控制缺陷可能导致或导致的损失与利润</w:t>
            </w:r>
            <w:proofErr w:type="gramStart"/>
            <w:r w:rsidRPr="00831C3C">
              <w:rPr>
                <w:rFonts w:ascii="宋体" w:eastAsia="宋体" w:hAnsi="宋体" w:cs="宋体"/>
                <w:sz w:val="18"/>
                <w:szCs w:val="18"/>
              </w:rPr>
              <w:t>表相关</w:t>
            </w:r>
            <w:proofErr w:type="gramEnd"/>
            <w:r w:rsidRPr="00831C3C">
              <w:rPr>
                <w:rFonts w:ascii="宋体" w:eastAsia="宋体" w:hAnsi="宋体" w:cs="宋体"/>
                <w:sz w:val="18"/>
                <w:szCs w:val="18"/>
              </w:rPr>
              <w:t>的，以营业收入指标衡量。如果该缺陷单独或连同其他缺陷可能导致的财务报告错报金额小于营业收入的0.5%，则认定为一般缺陷；如果超过营业收入的0.5%但小于1%，则为重要缺陷；如果超过营业收入的1%，则认定为重大缺陷。</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内部控制缺陷可能导致或导致的损失与资产管理相关的，以资产总额指标衡量。如果该缺陷单独或连同其他缺陷可能导致的财务报告错报金额小于资产总额的0.5%，则认定为一般缺陷；如果超过资产总额的0.5%但小于1%认定为重要缺陷；如果超过资产总额1%，则认定为重大缺陷。</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重大缺陷：导致直接财产损失金额达1000万元以上或对公司造成较大负面影响并以公告形式对外披露；</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重要缺陷：导致直接财产损失金额为100万-1000万元（含1000万元）或受到国家政府部门处罚但未对公司造成负面影响</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一般缺陷：导致直接财产损失金额为100万元（含100万元）以下或受到省级（含省级）以下政府部门处罚但未对公司造成负面影响</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财务报告重大缺陷数量（</w:t>
            </w:r>
            <w:proofErr w:type="gramStart"/>
            <w:r w:rsidRPr="00831C3C">
              <w:rPr>
                <w:rFonts w:ascii="宋体" w:eastAsia="宋体" w:hAnsi="宋体" w:cs="宋体"/>
                <w:sz w:val="18"/>
                <w:szCs w:val="18"/>
              </w:rPr>
              <w:t>个</w:t>
            </w:r>
            <w:proofErr w:type="gramEnd"/>
            <w:r w:rsidRPr="00831C3C">
              <w:rPr>
                <w:rFonts w:ascii="宋体" w:eastAsia="宋体" w:hAnsi="宋体" w:cs="宋体"/>
                <w:sz w:val="18"/>
                <w:szCs w:val="18"/>
              </w:rPr>
              <w:t>）</w:t>
            </w:r>
          </w:p>
        </w:tc>
        <w:tc>
          <w:tcPr>
            <w:tcW w:w="6426"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非财务报告重大缺陷数量（</w:t>
            </w:r>
            <w:proofErr w:type="gramStart"/>
            <w:r w:rsidRPr="00831C3C">
              <w:rPr>
                <w:rFonts w:ascii="宋体" w:eastAsia="宋体" w:hAnsi="宋体" w:cs="宋体"/>
                <w:sz w:val="18"/>
                <w:szCs w:val="18"/>
              </w:rPr>
              <w:t>个</w:t>
            </w:r>
            <w:proofErr w:type="gramEnd"/>
            <w:r w:rsidRPr="00831C3C">
              <w:rPr>
                <w:rFonts w:ascii="宋体" w:eastAsia="宋体" w:hAnsi="宋体" w:cs="宋体"/>
                <w:sz w:val="18"/>
                <w:szCs w:val="18"/>
              </w:rPr>
              <w:t>）</w:t>
            </w:r>
          </w:p>
        </w:tc>
        <w:tc>
          <w:tcPr>
            <w:tcW w:w="6426"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财务报告重要缺陷数量（</w:t>
            </w:r>
            <w:proofErr w:type="gramStart"/>
            <w:r w:rsidRPr="00831C3C">
              <w:rPr>
                <w:rFonts w:ascii="宋体" w:eastAsia="宋体" w:hAnsi="宋体" w:cs="宋体"/>
                <w:sz w:val="18"/>
                <w:szCs w:val="18"/>
              </w:rPr>
              <w:t>个</w:t>
            </w:r>
            <w:proofErr w:type="gramEnd"/>
            <w:r w:rsidRPr="00831C3C">
              <w:rPr>
                <w:rFonts w:ascii="宋体" w:eastAsia="宋体" w:hAnsi="宋体" w:cs="宋体"/>
                <w:sz w:val="18"/>
                <w:szCs w:val="18"/>
              </w:rPr>
              <w:t>）</w:t>
            </w:r>
          </w:p>
        </w:tc>
        <w:tc>
          <w:tcPr>
            <w:tcW w:w="6426"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非财务报告重要缺陷数量（</w:t>
            </w:r>
            <w:proofErr w:type="gramStart"/>
            <w:r w:rsidRPr="00831C3C">
              <w:rPr>
                <w:rFonts w:ascii="宋体" w:eastAsia="宋体" w:hAnsi="宋体" w:cs="宋体"/>
                <w:sz w:val="18"/>
                <w:szCs w:val="18"/>
              </w:rPr>
              <w:t>个</w:t>
            </w:r>
            <w:proofErr w:type="gramEnd"/>
            <w:r w:rsidRPr="00831C3C">
              <w:rPr>
                <w:rFonts w:ascii="宋体" w:eastAsia="宋体" w:hAnsi="宋体" w:cs="宋体"/>
                <w:sz w:val="18"/>
                <w:szCs w:val="18"/>
              </w:rPr>
              <w:t>）</w:t>
            </w:r>
          </w:p>
        </w:tc>
        <w:tc>
          <w:tcPr>
            <w:tcW w:w="6426"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r>
    </w:tbl>
    <w:p w:rsidR="00E23A97" w:rsidRPr="00831C3C" w:rsidRDefault="00C65FD5">
      <w:pPr>
        <w:pStyle w:val="3"/>
        <w:spacing w:line="280" w:lineRule="exact"/>
        <w:jc w:val="left"/>
        <w:rPr>
          <w:rFonts w:ascii="宋体" w:hAnsi="宋体" w:cs="宋体"/>
          <w:b/>
          <w:bCs/>
        </w:rPr>
      </w:pPr>
      <w:bookmarkStart w:id="102" w:name="_Toc988990"/>
      <w:r w:rsidRPr="00831C3C">
        <w:rPr>
          <w:rFonts w:ascii="宋体" w:hAnsi="宋体" w:cs="宋体"/>
          <w:b/>
          <w:bCs/>
        </w:rPr>
        <w:t>2、内部控制审计报告</w:t>
      </w:r>
      <w:bookmarkEnd w:id="102"/>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适用□不适用</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4820"/>
        <w:gridCol w:w="4819"/>
      </w:tblGrid>
      <w:tr w:rsidR="00831C3C" w:rsidRPr="00831C3C">
        <w:trPr>
          <w:trHeight w:val="240"/>
        </w:trPr>
        <w:tc>
          <w:tcPr>
            <w:tcW w:w="9639"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内部控制审计报告中的审议意见段</w:t>
            </w:r>
          </w:p>
        </w:tc>
      </w:tr>
      <w:tr w:rsidR="00831C3C" w:rsidRPr="00831C3C">
        <w:trPr>
          <w:trHeight w:val="240"/>
        </w:trPr>
        <w:tc>
          <w:tcPr>
            <w:tcW w:w="9639"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我们认为，华孚时尚公司按照《企业内部控制基本规范》和相关规定于2024年12月31日在所有重大方面保持了与财务报表相关的有效的内部控制。</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内控审计报告披露情况</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披露</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内部控制审计报告全文披露日期</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2025年04月26日</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内部控制审计报告全文披露索引</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巨潮资讯网（http://www.cninfo.com.cn）</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内控审计报告意见类型</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标准无保留意见</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非财务报告是否存在重大缺陷</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会计师事务所是否出具非标准意见的内部控制审计报告</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□是</w:t>
      </w:r>
      <w:r w:rsidRPr="00831C3C">
        <w:rPr>
          <w:rFonts w:ascii="宋体" w:eastAsia="宋体" w:hAnsi="宋体" w:cs="宋体"/>
          <w:sz w:val="18"/>
          <w:szCs w:val="18"/>
        </w:rPr>
        <w:sym w:font="Wingdings 2" w:char="F052"/>
      </w:r>
      <w:r w:rsidRPr="00831C3C">
        <w:rPr>
          <w:rFonts w:ascii="宋体" w:eastAsia="宋体" w:hAnsi="宋体" w:cs="宋体"/>
          <w:sz w:val="18"/>
          <w:szCs w:val="18"/>
        </w:rPr>
        <w:t>否</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会计师事务所出具的内部控制审计报告与董事会的自我评价报告意见是否一致</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是□否</w:t>
      </w:r>
    </w:p>
    <w:p w:rsidR="00E23A97" w:rsidRPr="00831C3C" w:rsidRDefault="00C65FD5">
      <w:pPr>
        <w:pStyle w:val="2"/>
        <w:spacing w:before="300" w:after="300" w:line="320" w:lineRule="exact"/>
        <w:rPr>
          <w:rFonts w:ascii="宋体" w:eastAsia="宋体" w:hAnsi="宋体" w:cs="宋体"/>
          <w:b/>
          <w:bCs/>
          <w:sz w:val="24"/>
          <w:szCs w:val="24"/>
        </w:rPr>
      </w:pPr>
      <w:bookmarkStart w:id="103" w:name="_Toc988991"/>
      <w:r w:rsidRPr="00831C3C">
        <w:rPr>
          <w:rFonts w:ascii="宋体" w:eastAsia="宋体" w:hAnsi="宋体" w:cs="宋体"/>
          <w:b/>
          <w:bCs/>
          <w:sz w:val="24"/>
          <w:szCs w:val="24"/>
        </w:rPr>
        <w:t>十五、上市公司治理专项行动自查问题整改情况</w:t>
      </w:r>
      <w:bookmarkEnd w:id="103"/>
    </w:p>
    <w:p w:rsidR="00C65FD5" w:rsidRPr="00831C3C" w:rsidRDefault="00C65FD5">
      <w:pPr>
        <w:pStyle w:val="a3"/>
        <w:divId w:val="2088527127"/>
        <w:rPr>
          <w:sz w:val="18"/>
          <w:szCs w:val="18"/>
        </w:rPr>
      </w:pPr>
      <w:r w:rsidRPr="00831C3C">
        <w:rPr>
          <w:rFonts w:hint="eastAsia"/>
          <w:sz w:val="18"/>
          <w:szCs w:val="18"/>
        </w:rPr>
        <w:t>无</w:t>
      </w:r>
    </w:p>
    <w:p w:rsidR="00E23A97" w:rsidRPr="00831C3C" w:rsidRDefault="00C65FD5">
      <w:pPr>
        <w:pStyle w:val="headingh1"/>
        <w:spacing w:before="340" w:after="330" w:line="773" w:lineRule="exact"/>
        <w:jc w:val="center"/>
        <w:rPr>
          <w:rFonts w:ascii="宋体" w:eastAsia="宋体" w:hAnsi="宋体" w:cs="宋体"/>
          <w:b/>
          <w:bCs/>
          <w:sz w:val="32"/>
          <w:szCs w:val="32"/>
        </w:rPr>
      </w:pPr>
      <w:bookmarkStart w:id="104" w:name="_Toc988992"/>
      <w:r w:rsidRPr="00831C3C">
        <w:rPr>
          <w:rFonts w:ascii="宋体" w:eastAsia="宋体" w:hAnsi="宋体" w:cs="宋体"/>
          <w:b/>
          <w:bCs/>
          <w:sz w:val="32"/>
          <w:szCs w:val="32"/>
        </w:rPr>
        <w:lastRenderedPageBreak/>
        <w:t>第五节环境和社会责任</w:t>
      </w:r>
      <w:bookmarkEnd w:id="104"/>
    </w:p>
    <w:p w:rsidR="00E23A97" w:rsidRPr="00831C3C" w:rsidRDefault="00C65FD5">
      <w:pPr>
        <w:pStyle w:val="2"/>
        <w:spacing w:before="300" w:after="300" w:line="320" w:lineRule="exact"/>
        <w:rPr>
          <w:rFonts w:ascii="宋体" w:eastAsia="宋体" w:hAnsi="宋体" w:cs="宋体"/>
          <w:b/>
          <w:bCs/>
          <w:sz w:val="24"/>
          <w:szCs w:val="24"/>
        </w:rPr>
      </w:pPr>
      <w:bookmarkStart w:id="105" w:name="_Toc988993"/>
      <w:r w:rsidRPr="00831C3C">
        <w:rPr>
          <w:rFonts w:ascii="宋体" w:eastAsia="宋体" w:hAnsi="宋体" w:cs="宋体"/>
          <w:b/>
          <w:bCs/>
          <w:sz w:val="24"/>
          <w:szCs w:val="24"/>
        </w:rPr>
        <w:t>一、重大环保问题</w:t>
      </w:r>
      <w:bookmarkEnd w:id="105"/>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上市公司及其子公司是否属于环境保护部门公布的重点排污单位</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是□否</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环境保护相关政策和行业标准</w:t>
      </w:r>
    </w:p>
    <w:p w:rsidR="00C65FD5" w:rsidRPr="00831C3C" w:rsidRDefault="00C65FD5">
      <w:pPr>
        <w:pStyle w:val="a3"/>
        <w:spacing w:before="40" w:beforeAutospacing="0" w:after="40" w:afterAutospacing="0" w:line="400" w:lineRule="atLeast"/>
        <w:ind w:left="40" w:right="40"/>
        <w:divId w:val="992415461"/>
        <w:rPr>
          <w:kern w:val="2"/>
          <w:sz w:val="18"/>
          <w:szCs w:val="18"/>
        </w:rPr>
      </w:pPr>
      <w:r w:rsidRPr="00831C3C">
        <w:rPr>
          <w:rFonts w:hint="eastAsia"/>
          <w:kern w:val="2"/>
          <w:sz w:val="18"/>
          <w:szCs w:val="18"/>
        </w:rPr>
        <w:t>《纺织染整工业水污染物排放标准》GB4287-2012及其修改单、《大气污染物综合排放标准》GB16297-1996、《恶臭污染物排放标准》GB14554-93</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环境保护行政许可情况</w:t>
      </w:r>
    </w:p>
    <w:p w:rsidR="00C65FD5" w:rsidRPr="00831C3C" w:rsidRDefault="00C65FD5">
      <w:pPr>
        <w:pStyle w:val="a3"/>
        <w:spacing w:beforeAutospacing="0" w:afterAutospacing="0" w:line="240" w:lineRule="atLeast"/>
        <w:divId w:val="2092970226"/>
        <w:rPr>
          <w:kern w:val="2"/>
          <w:sz w:val="18"/>
          <w:szCs w:val="18"/>
        </w:rPr>
      </w:pPr>
      <w:r w:rsidRPr="00831C3C">
        <w:rPr>
          <w:rFonts w:hint="eastAsia"/>
          <w:kern w:val="2"/>
          <w:sz w:val="18"/>
          <w:szCs w:val="18"/>
        </w:rPr>
        <w:t>浙江社标纤维有限公司排污许可证于2022年08月04日申领，有效期至2027年08月03日。</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行业排放标准及生产经营活动中涉及的污染物排放的具体情况</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877"/>
        <w:gridCol w:w="877"/>
        <w:gridCol w:w="877"/>
        <w:gridCol w:w="876"/>
        <w:gridCol w:w="876"/>
        <w:gridCol w:w="876"/>
        <w:gridCol w:w="876"/>
        <w:gridCol w:w="876"/>
        <w:gridCol w:w="876"/>
        <w:gridCol w:w="876"/>
        <w:gridCol w:w="876"/>
      </w:tblGrid>
      <w:tr w:rsidR="00831C3C" w:rsidRPr="00831C3C">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公司或子公司名称</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主要污染物及特征污染物的种类</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主要污染物及特征污染物的名称</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排放方式</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排放口数量</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排放口分布情况</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排放浓度/强度</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执行的污染物排放标准</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排放总量</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核定的排放总量</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超标排放情况</w:t>
            </w:r>
          </w:p>
        </w:tc>
      </w:tr>
      <w:tr w:rsidR="00831C3C" w:rsidRPr="00831C3C">
        <w:trPr>
          <w:trHeight w:val="240"/>
        </w:trPr>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浙江社标纤维有限公司</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COD、氨氮、总氮</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COD、氨氮、总氮</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间接排放</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总排放口</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COD：67.35mg/L氨氮：0.66mg/L总氮：6.71mg/L</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GB4287-2012</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COD：35.683吨，氨氮：0.279吨；总氮：3.388吨</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COD：113.4t/a氨氮：11.34t/a总氮：17.01t/a</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对污染物的处理</w:t>
      </w:r>
    </w:p>
    <w:p w:rsidR="00C65FD5" w:rsidRPr="00831C3C" w:rsidRDefault="00C65FD5">
      <w:pPr>
        <w:pStyle w:val="a3"/>
        <w:spacing w:before="0" w:beforeAutospacing="0" w:after="0" w:afterAutospacing="0"/>
        <w:jc w:val="both"/>
        <w:divId w:val="1032849807"/>
        <w:rPr>
          <w:kern w:val="2"/>
          <w:sz w:val="18"/>
          <w:szCs w:val="18"/>
        </w:rPr>
      </w:pPr>
      <w:r w:rsidRPr="00831C3C">
        <w:rPr>
          <w:rFonts w:hint="eastAsia"/>
          <w:kern w:val="2"/>
          <w:sz w:val="18"/>
          <w:szCs w:val="18"/>
        </w:rPr>
        <w:t>浙江社标纤维有限公司设有一座处理能力为5000t/d的污水预处理站，2个共35平</w:t>
      </w:r>
      <w:proofErr w:type="gramStart"/>
      <w:r w:rsidRPr="00831C3C">
        <w:rPr>
          <w:rFonts w:hint="eastAsia"/>
          <w:kern w:val="2"/>
          <w:sz w:val="18"/>
          <w:szCs w:val="18"/>
        </w:rPr>
        <w:t>的危废仓库</w:t>
      </w:r>
      <w:proofErr w:type="gramEnd"/>
      <w:r w:rsidRPr="00831C3C">
        <w:rPr>
          <w:rFonts w:hint="eastAsia"/>
          <w:kern w:val="2"/>
          <w:sz w:val="18"/>
          <w:szCs w:val="18"/>
        </w:rPr>
        <w:t>及1个50平的污泥仓库，2024年污水排放525622吨，污泥处置546.46吨，</w:t>
      </w:r>
      <w:proofErr w:type="gramStart"/>
      <w:r w:rsidRPr="00831C3C">
        <w:rPr>
          <w:rFonts w:hint="eastAsia"/>
          <w:kern w:val="2"/>
          <w:sz w:val="18"/>
          <w:szCs w:val="18"/>
        </w:rPr>
        <w:t>危废共</w:t>
      </w:r>
      <w:proofErr w:type="gramEnd"/>
      <w:r w:rsidRPr="00831C3C">
        <w:rPr>
          <w:rFonts w:hint="eastAsia"/>
          <w:kern w:val="2"/>
          <w:sz w:val="18"/>
          <w:szCs w:val="18"/>
        </w:rPr>
        <w:t>处置0吨。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突发环境事件应急预案</w:t>
      </w:r>
    </w:p>
    <w:p w:rsidR="00C65FD5" w:rsidRPr="00831C3C" w:rsidRDefault="00C65FD5">
      <w:pPr>
        <w:pStyle w:val="a3"/>
        <w:spacing w:before="40" w:beforeAutospacing="0" w:after="40" w:afterAutospacing="0" w:line="400" w:lineRule="atLeast"/>
        <w:ind w:left="40" w:right="40"/>
        <w:divId w:val="1121143044"/>
        <w:rPr>
          <w:kern w:val="2"/>
          <w:sz w:val="18"/>
          <w:szCs w:val="18"/>
        </w:rPr>
      </w:pPr>
      <w:r w:rsidRPr="00831C3C">
        <w:rPr>
          <w:rFonts w:hint="eastAsia"/>
          <w:kern w:val="2"/>
          <w:sz w:val="18"/>
          <w:szCs w:val="18"/>
        </w:rPr>
        <w:t>公司建立了较为完善的环境风险应急机制，2024年11月制定了《突发环境污染事件综合应急预案》，并在当地政府备案，确保时间发生时能够迅速、有序、高效的进行应急处置。</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环境自行监测方案</w:t>
      </w:r>
    </w:p>
    <w:p w:rsidR="00C65FD5" w:rsidRPr="00831C3C" w:rsidRDefault="00C65FD5">
      <w:pPr>
        <w:pStyle w:val="a3"/>
        <w:spacing w:before="40" w:beforeAutospacing="0" w:after="40" w:afterAutospacing="0" w:line="400" w:lineRule="atLeast"/>
        <w:ind w:left="40" w:right="40"/>
        <w:divId w:val="1271430719"/>
        <w:rPr>
          <w:kern w:val="2"/>
          <w:sz w:val="18"/>
          <w:szCs w:val="18"/>
        </w:rPr>
      </w:pPr>
      <w:r w:rsidRPr="00831C3C">
        <w:rPr>
          <w:rFonts w:hint="eastAsia"/>
          <w:kern w:val="2"/>
          <w:sz w:val="18"/>
          <w:szCs w:val="18"/>
        </w:rPr>
        <w:t>公司按照排污许可要求落实执行环境自行监测方案，废水COD、氨氮、总氮、pH在线监测指标委托运</w:t>
      </w:r>
      <w:proofErr w:type="gramStart"/>
      <w:r w:rsidRPr="00831C3C">
        <w:rPr>
          <w:rFonts w:hint="eastAsia"/>
          <w:kern w:val="2"/>
          <w:sz w:val="18"/>
          <w:szCs w:val="18"/>
        </w:rPr>
        <w:t>维单位</w:t>
      </w:r>
      <w:proofErr w:type="gramEnd"/>
      <w:r w:rsidRPr="00831C3C">
        <w:rPr>
          <w:rFonts w:hint="eastAsia"/>
          <w:kern w:val="2"/>
          <w:sz w:val="18"/>
          <w:szCs w:val="18"/>
        </w:rPr>
        <w:t>进行维护，运维频次可以做到24小时响应，48小时内处理所有故障。色度、悬浮物、BOD、总磷、AOX、硫化物、总锑、苯胺、六价铬、二氧化氯等指标委托有资质的第三方单位按照监测频次定期检测。</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环境治理和保护的投入及缴纳环境保护税的相关情况</w:t>
      </w:r>
    </w:p>
    <w:p w:rsidR="00C65FD5" w:rsidRPr="00831C3C" w:rsidRDefault="00C65FD5">
      <w:pPr>
        <w:pStyle w:val="a3"/>
        <w:divId w:val="1517426842"/>
        <w:rPr>
          <w:sz w:val="18"/>
          <w:szCs w:val="18"/>
        </w:rPr>
      </w:pPr>
      <w:r w:rsidRPr="00831C3C">
        <w:rPr>
          <w:rFonts w:hint="eastAsia"/>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在报告期内为减少其碳排放所采取的措施及效果</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lastRenderedPageBreak/>
        <w:t>报告期内因环境问题受到行政处罚的情况</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06"/>
        <w:gridCol w:w="1606"/>
        <w:gridCol w:w="1606"/>
        <w:gridCol w:w="1607"/>
        <w:gridCol w:w="1607"/>
        <w:gridCol w:w="1607"/>
      </w:tblGrid>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公司或子公司名称</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处罚原因</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违规情形</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处罚结果</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对上市公司生产经营的影响</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公司的整改措施</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其他应当公开的环境信息</w:t>
      </w:r>
    </w:p>
    <w:p w:rsidR="00C65FD5" w:rsidRPr="00831C3C" w:rsidRDefault="00C65FD5">
      <w:pPr>
        <w:pStyle w:val="a3"/>
        <w:spacing w:before="0" w:beforeAutospacing="0" w:after="0" w:afterAutospacing="0"/>
        <w:jc w:val="both"/>
        <w:divId w:val="1219363500"/>
        <w:rPr>
          <w:kern w:val="2"/>
          <w:sz w:val="18"/>
          <w:szCs w:val="18"/>
        </w:rPr>
      </w:pPr>
      <w:r w:rsidRPr="00831C3C">
        <w:rPr>
          <w:kern w:val="2"/>
          <w:sz w:val="18"/>
          <w:szCs w:val="18"/>
        </w:rPr>
        <w:t>2024</w:t>
      </w:r>
      <w:r w:rsidRPr="00831C3C">
        <w:rPr>
          <w:rFonts w:hint="eastAsia"/>
          <w:kern w:val="2"/>
          <w:sz w:val="18"/>
          <w:szCs w:val="18"/>
        </w:rPr>
        <w:t>年我司排污许可证季报年报均在全国排污许可证平台填报并公布；</w:t>
      </w:r>
      <w:r w:rsidRPr="00831C3C">
        <w:rPr>
          <w:kern w:val="2"/>
          <w:sz w:val="18"/>
          <w:szCs w:val="18"/>
        </w:rPr>
        <w:t>2024</w:t>
      </w:r>
      <w:r w:rsidRPr="00831C3C">
        <w:rPr>
          <w:rFonts w:hint="eastAsia"/>
          <w:kern w:val="2"/>
          <w:sz w:val="18"/>
          <w:szCs w:val="18"/>
        </w:rPr>
        <w:t>年我司环境信息已在浙江企业环境信息依法披露平台完成披露</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其他环保相关信息</w:t>
      </w:r>
    </w:p>
    <w:p w:rsidR="00C65FD5" w:rsidRPr="00831C3C" w:rsidRDefault="00C65FD5">
      <w:pPr>
        <w:pStyle w:val="a3"/>
        <w:divId w:val="101264257"/>
        <w:rPr>
          <w:sz w:val="18"/>
          <w:szCs w:val="18"/>
        </w:rPr>
      </w:pPr>
      <w:r w:rsidRPr="00831C3C">
        <w:rPr>
          <w:rFonts w:hint="eastAsia"/>
          <w:sz w:val="18"/>
          <w:szCs w:val="18"/>
        </w:rPr>
        <w:t>无</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公司需遵守《深圳证券交易所上市公司自律监管指引第3号——行业信息披露》中纺织服装相关业的披露要求</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上市公司发生环境事故的相关情况</w:t>
      </w:r>
    </w:p>
    <w:p w:rsidR="00C65FD5" w:rsidRPr="00831C3C" w:rsidRDefault="00C65FD5">
      <w:pPr>
        <w:pStyle w:val="a3"/>
        <w:divId w:val="380789741"/>
        <w:rPr>
          <w:sz w:val="18"/>
          <w:szCs w:val="18"/>
        </w:rPr>
      </w:pPr>
      <w:r w:rsidRPr="00831C3C">
        <w:rPr>
          <w:rFonts w:hint="eastAsia"/>
          <w:sz w:val="18"/>
          <w:szCs w:val="18"/>
        </w:rPr>
        <w:t>无</w:t>
      </w:r>
    </w:p>
    <w:p w:rsidR="00E23A97" w:rsidRPr="00831C3C" w:rsidRDefault="00C65FD5">
      <w:pPr>
        <w:pStyle w:val="2"/>
        <w:spacing w:before="300" w:after="300" w:line="320" w:lineRule="exact"/>
        <w:rPr>
          <w:rFonts w:ascii="宋体" w:eastAsia="宋体" w:hAnsi="宋体" w:cs="宋体"/>
          <w:b/>
          <w:bCs/>
          <w:sz w:val="24"/>
          <w:szCs w:val="24"/>
        </w:rPr>
      </w:pPr>
      <w:bookmarkStart w:id="106" w:name="_Toc988994"/>
      <w:r w:rsidRPr="00831C3C">
        <w:rPr>
          <w:rFonts w:ascii="宋体" w:eastAsia="宋体" w:hAnsi="宋体" w:cs="宋体"/>
          <w:b/>
          <w:bCs/>
          <w:sz w:val="24"/>
          <w:szCs w:val="24"/>
        </w:rPr>
        <w:t>二、社会责任情况</w:t>
      </w:r>
      <w:bookmarkEnd w:id="106"/>
    </w:p>
    <w:p w:rsidR="00C65FD5" w:rsidRPr="00831C3C" w:rsidRDefault="00C65FD5">
      <w:pPr>
        <w:pStyle w:val="a3"/>
        <w:divId w:val="507790206"/>
        <w:rPr>
          <w:sz w:val="18"/>
          <w:szCs w:val="18"/>
        </w:rPr>
      </w:pPr>
      <w:r w:rsidRPr="00831C3C">
        <w:rPr>
          <w:rFonts w:hint="eastAsia"/>
          <w:sz w:val="18"/>
          <w:szCs w:val="18"/>
        </w:rPr>
        <w:t>详见公司同步披露的《社会责任报告》</w:t>
      </w:r>
    </w:p>
    <w:p w:rsidR="00E23A97" w:rsidRPr="00831C3C" w:rsidRDefault="00C65FD5">
      <w:pPr>
        <w:pStyle w:val="2"/>
        <w:spacing w:before="300" w:after="300" w:line="320" w:lineRule="exact"/>
        <w:rPr>
          <w:rFonts w:ascii="宋体" w:eastAsia="宋体" w:hAnsi="宋体" w:cs="宋体"/>
          <w:b/>
          <w:bCs/>
          <w:sz w:val="24"/>
          <w:szCs w:val="24"/>
        </w:rPr>
      </w:pPr>
      <w:bookmarkStart w:id="107" w:name="_Toc988995"/>
      <w:r w:rsidRPr="00831C3C">
        <w:rPr>
          <w:rFonts w:ascii="宋体" w:eastAsia="宋体" w:hAnsi="宋体" w:cs="宋体"/>
          <w:b/>
          <w:bCs/>
          <w:sz w:val="24"/>
          <w:szCs w:val="24"/>
        </w:rPr>
        <w:t>三、巩固拓展脱贫攻坚成果、乡村振兴的情况</w:t>
      </w:r>
      <w:bookmarkEnd w:id="107"/>
    </w:p>
    <w:p w:rsidR="00C65FD5" w:rsidRPr="00831C3C" w:rsidRDefault="00C65FD5">
      <w:pPr>
        <w:pStyle w:val="a3"/>
        <w:spacing w:before="0" w:beforeAutospacing="0" w:after="0" w:afterAutospacing="0" w:line="240" w:lineRule="atLeast"/>
        <w:ind w:firstLine="420"/>
        <w:jc w:val="both"/>
        <w:divId w:val="1170682647"/>
        <w:rPr>
          <w:rFonts w:ascii="Calibri" w:hAnsi="Calibri" w:cs="Calibri"/>
          <w:sz w:val="21"/>
          <w:szCs w:val="21"/>
        </w:rPr>
      </w:pPr>
      <w:r w:rsidRPr="00831C3C">
        <w:rPr>
          <w:rFonts w:cs="Calibri" w:hint="eastAsia"/>
          <w:sz w:val="21"/>
          <w:szCs w:val="21"/>
        </w:rPr>
        <w:t>一、</w:t>
      </w:r>
      <w:r w:rsidRPr="00831C3C">
        <w:rPr>
          <w:rStyle w:val="a4"/>
          <w:rFonts w:cs="Times New Roman" w:hint="eastAsia"/>
          <w:sz w:val="21"/>
          <w:szCs w:val="21"/>
        </w:rPr>
        <w:t>扶持弱势群体，共创幸福生活</w:t>
      </w:r>
    </w:p>
    <w:p w:rsidR="00C65FD5" w:rsidRPr="00831C3C" w:rsidRDefault="00C65FD5">
      <w:pPr>
        <w:pStyle w:val="a3"/>
        <w:spacing w:before="0" w:beforeAutospacing="0" w:after="0" w:afterAutospacing="0" w:line="240" w:lineRule="atLeast"/>
        <w:ind w:firstLine="420"/>
        <w:jc w:val="both"/>
        <w:divId w:val="1170682647"/>
        <w:rPr>
          <w:kern w:val="2"/>
          <w:sz w:val="18"/>
          <w:szCs w:val="18"/>
        </w:rPr>
      </w:pPr>
      <w:r w:rsidRPr="00831C3C">
        <w:rPr>
          <w:rFonts w:hint="eastAsia"/>
          <w:kern w:val="2"/>
          <w:sz w:val="18"/>
          <w:szCs w:val="18"/>
        </w:rPr>
        <w:t>“用爱创造每一天”是华孚的核心价值观，也正是因为有了这样的理念，公司在取得良好经济效益的同时，也在积极回馈社会。公司重视对弱势群体的关爱，积极安排残疾人上岗就业，残疾员工来到华孚，拥有了稳定的工作和收入，真正实现了脱贫致富的梦想，并通过企业平台充分实现人生价值。</w:t>
      </w:r>
    </w:p>
    <w:p w:rsidR="00C65FD5" w:rsidRPr="00831C3C" w:rsidRDefault="00C65FD5">
      <w:pPr>
        <w:pStyle w:val="a3"/>
        <w:spacing w:before="0" w:beforeAutospacing="0" w:after="0" w:afterAutospacing="0"/>
        <w:ind w:firstLine="420"/>
        <w:jc w:val="both"/>
        <w:divId w:val="1170682647"/>
        <w:rPr>
          <w:kern w:val="2"/>
          <w:sz w:val="18"/>
          <w:szCs w:val="18"/>
        </w:rPr>
      </w:pPr>
      <w:r w:rsidRPr="00831C3C">
        <w:rPr>
          <w:rFonts w:hint="eastAsia"/>
          <w:kern w:val="2"/>
          <w:sz w:val="18"/>
          <w:szCs w:val="18"/>
        </w:rPr>
        <w:t>华孚在新疆区域的部分企业，比如石河子华孚、</w:t>
      </w:r>
      <w:proofErr w:type="gramStart"/>
      <w:r w:rsidRPr="00831C3C">
        <w:rPr>
          <w:rFonts w:hint="eastAsia"/>
          <w:kern w:val="2"/>
          <w:sz w:val="18"/>
          <w:szCs w:val="18"/>
        </w:rPr>
        <w:t>六孚工业</w:t>
      </w:r>
      <w:proofErr w:type="gramEnd"/>
      <w:r w:rsidRPr="00831C3C">
        <w:rPr>
          <w:rFonts w:hint="eastAsia"/>
          <w:kern w:val="2"/>
          <w:sz w:val="18"/>
          <w:szCs w:val="18"/>
        </w:rPr>
        <w:t>园、阿克苏华</w:t>
      </w:r>
      <w:proofErr w:type="gramStart"/>
      <w:r w:rsidRPr="00831C3C">
        <w:rPr>
          <w:rFonts w:hint="eastAsia"/>
          <w:kern w:val="2"/>
          <w:sz w:val="18"/>
          <w:szCs w:val="18"/>
        </w:rPr>
        <w:t>孚积极</w:t>
      </w:r>
      <w:proofErr w:type="gramEnd"/>
      <w:r w:rsidRPr="00831C3C">
        <w:rPr>
          <w:rFonts w:hint="eastAsia"/>
          <w:kern w:val="2"/>
          <w:sz w:val="18"/>
          <w:szCs w:val="18"/>
        </w:rPr>
        <w:t>安置残疾人员。据统计，目前华孚在新疆自治区共安置残疾人员</w:t>
      </w:r>
      <w:r w:rsidRPr="00831C3C">
        <w:rPr>
          <w:kern w:val="2"/>
          <w:sz w:val="18"/>
          <w:szCs w:val="18"/>
        </w:rPr>
        <w:t>300</w:t>
      </w:r>
      <w:r w:rsidRPr="00831C3C">
        <w:rPr>
          <w:rFonts w:hint="eastAsia"/>
          <w:kern w:val="2"/>
          <w:sz w:val="18"/>
          <w:szCs w:val="18"/>
        </w:rPr>
        <w:t>余人。企业在改善残疾员工工作环境和住宿条件，丰富残疾员工文化生活，关爱、帮助残疾员工等方面做了大量工作，深受社会好评，先后被新疆自治区授予“安置残疾人就业先进单位”，被中国社会福利协会授予“全国福利企业示范单位”、“中国百强福利企业”、“全国助残先进集体”等。</w:t>
      </w:r>
    </w:p>
    <w:p w:rsidR="00C65FD5" w:rsidRPr="00831C3C" w:rsidRDefault="00C65FD5">
      <w:pPr>
        <w:pStyle w:val="a3"/>
        <w:spacing w:before="0" w:beforeAutospacing="0" w:after="0" w:afterAutospacing="0"/>
        <w:ind w:firstLine="420"/>
        <w:jc w:val="both"/>
        <w:divId w:val="1170682647"/>
        <w:rPr>
          <w:rFonts w:ascii="Calibri" w:hAnsi="Calibri" w:cs="Calibri"/>
          <w:sz w:val="21"/>
          <w:szCs w:val="21"/>
        </w:rPr>
      </w:pPr>
      <w:r w:rsidRPr="00831C3C">
        <w:rPr>
          <w:rFonts w:cs="Calibri" w:hint="eastAsia"/>
          <w:sz w:val="21"/>
          <w:szCs w:val="21"/>
        </w:rPr>
        <w:t>二、</w:t>
      </w:r>
      <w:r w:rsidRPr="00831C3C">
        <w:rPr>
          <w:rStyle w:val="a4"/>
          <w:rFonts w:cs="Times New Roman" w:hint="eastAsia"/>
          <w:sz w:val="21"/>
          <w:szCs w:val="21"/>
        </w:rPr>
        <w:t>投身社会公益</w:t>
      </w:r>
    </w:p>
    <w:p w:rsidR="00C65FD5" w:rsidRPr="00831C3C" w:rsidRDefault="00C65FD5" w:rsidP="00AC1232">
      <w:pPr>
        <w:pStyle w:val="a3"/>
        <w:spacing w:before="0" w:beforeAutospacing="0" w:after="0" w:afterAutospacing="0"/>
        <w:ind w:firstLineChars="200" w:firstLine="360"/>
        <w:jc w:val="both"/>
        <w:divId w:val="1170682647"/>
        <w:rPr>
          <w:kern w:val="2"/>
          <w:sz w:val="18"/>
          <w:szCs w:val="18"/>
        </w:rPr>
      </w:pPr>
      <w:r w:rsidRPr="00831C3C">
        <w:rPr>
          <w:kern w:val="2"/>
          <w:sz w:val="18"/>
          <w:szCs w:val="18"/>
        </w:rPr>
        <w:t>2024</w:t>
      </w:r>
      <w:r w:rsidRPr="00831C3C">
        <w:rPr>
          <w:rFonts w:hint="eastAsia"/>
          <w:kern w:val="2"/>
          <w:sz w:val="18"/>
          <w:szCs w:val="18"/>
        </w:rPr>
        <w:t>年，华孚在努力促进自身发展的同时，坚持力所能及地参与社会公益事业，在捐赠纺织科技教育基金、捐资助学、义务献血等各项慈善关爱事业方面积极回报社会。</w:t>
      </w:r>
    </w:p>
    <w:p w:rsidR="00C65FD5" w:rsidRPr="00831C3C" w:rsidRDefault="00C65FD5">
      <w:pPr>
        <w:pStyle w:val="a3"/>
        <w:spacing w:before="0" w:beforeAutospacing="0" w:after="0" w:afterAutospacing="0"/>
        <w:ind w:firstLine="420"/>
        <w:jc w:val="both"/>
        <w:divId w:val="1170682647"/>
        <w:rPr>
          <w:kern w:val="2"/>
          <w:sz w:val="18"/>
          <w:szCs w:val="18"/>
        </w:rPr>
      </w:pPr>
      <w:r w:rsidRPr="00831C3C">
        <w:rPr>
          <w:rFonts w:hint="eastAsia"/>
          <w:kern w:val="2"/>
          <w:sz w:val="18"/>
          <w:szCs w:val="18"/>
        </w:rPr>
        <w:t>自华孚时尚成立以来，一直履行社会责任，投身社会公益。绍兴市上虞区慈善冠名基金从</w:t>
      </w:r>
      <w:r w:rsidRPr="00831C3C">
        <w:rPr>
          <w:kern w:val="2"/>
          <w:sz w:val="18"/>
          <w:szCs w:val="18"/>
        </w:rPr>
        <w:t>2006</w:t>
      </w:r>
      <w:r w:rsidRPr="00831C3C">
        <w:rPr>
          <w:rFonts w:hint="eastAsia"/>
          <w:kern w:val="2"/>
          <w:sz w:val="18"/>
          <w:szCs w:val="18"/>
        </w:rPr>
        <w:t>年开始首次认捐，每轮</w:t>
      </w:r>
      <w:r w:rsidRPr="00831C3C">
        <w:rPr>
          <w:kern w:val="2"/>
          <w:sz w:val="18"/>
          <w:szCs w:val="18"/>
        </w:rPr>
        <w:t>5</w:t>
      </w:r>
      <w:r w:rsidRPr="00831C3C">
        <w:rPr>
          <w:rFonts w:hint="eastAsia"/>
          <w:kern w:val="2"/>
          <w:sz w:val="18"/>
          <w:szCs w:val="18"/>
        </w:rPr>
        <w:t>年，截止</w:t>
      </w:r>
      <w:r w:rsidRPr="00831C3C">
        <w:rPr>
          <w:kern w:val="2"/>
          <w:sz w:val="18"/>
          <w:szCs w:val="18"/>
        </w:rPr>
        <w:t>2024</w:t>
      </w:r>
      <w:r w:rsidRPr="00831C3C">
        <w:rPr>
          <w:rFonts w:hint="eastAsia"/>
          <w:kern w:val="2"/>
          <w:sz w:val="18"/>
          <w:szCs w:val="18"/>
        </w:rPr>
        <w:t>年，华孚在上虞连续冠名了四轮</w:t>
      </w:r>
      <w:r w:rsidRPr="00831C3C">
        <w:rPr>
          <w:kern w:val="2"/>
          <w:sz w:val="18"/>
          <w:szCs w:val="18"/>
        </w:rPr>
        <w:t>1500</w:t>
      </w:r>
      <w:r w:rsidRPr="00831C3C">
        <w:rPr>
          <w:rFonts w:hint="eastAsia"/>
          <w:kern w:val="2"/>
          <w:sz w:val="18"/>
          <w:szCs w:val="18"/>
        </w:rPr>
        <w:t>万慈善基金。此外，华孚还在上虞冠名了</w:t>
      </w:r>
      <w:r w:rsidRPr="00831C3C">
        <w:rPr>
          <w:kern w:val="2"/>
          <w:sz w:val="18"/>
          <w:szCs w:val="18"/>
        </w:rPr>
        <w:t>1000</w:t>
      </w:r>
      <w:r w:rsidRPr="00831C3C">
        <w:rPr>
          <w:rFonts w:hint="eastAsia"/>
          <w:kern w:val="2"/>
          <w:sz w:val="18"/>
          <w:szCs w:val="18"/>
        </w:rPr>
        <w:t>万的教育奖励基金，支持地方教育事业。</w:t>
      </w:r>
    </w:p>
    <w:p w:rsidR="00C65FD5" w:rsidRPr="00831C3C" w:rsidRDefault="00C65FD5">
      <w:pPr>
        <w:pStyle w:val="a3"/>
        <w:spacing w:before="0" w:beforeAutospacing="0" w:after="0" w:afterAutospacing="0"/>
        <w:jc w:val="both"/>
        <w:divId w:val="1170682647"/>
        <w:rPr>
          <w:kern w:val="2"/>
          <w:sz w:val="18"/>
          <w:szCs w:val="18"/>
        </w:rPr>
      </w:pPr>
      <w:r w:rsidRPr="00831C3C">
        <w:rPr>
          <w:rFonts w:hint="eastAsia"/>
          <w:kern w:val="2"/>
          <w:sz w:val="18"/>
          <w:szCs w:val="18"/>
        </w:rPr>
        <w:t>近几年，华孚遭遇市场环境波动和实体清单的双重影响，在企业困难时期仍不忘履行社会责任，坚持</w:t>
      </w:r>
      <w:proofErr w:type="gramStart"/>
      <w:r w:rsidRPr="00831C3C">
        <w:rPr>
          <w:rFonts w:hint="eastAsia"/>
          <w:kern w:val="2"/>
          <w:sz w:val="18"/>
          <w:szCs w:val="18"/>
        </w:rPr>
        <w:t>践行</w:t>
      </w:r>
      <w:proofErr w:type="gramEnd"/>
      <w:r w:rsidRPr="00831C3C">
        <w:rPr>
          <w:rFonts w:hint="eastAsia"/>
          <w:kern w:val="2"/>
          <w:sz w:val="18"/>
          <w:szCs w:val="18"/>
        </w:rPr>
        <w:t>“不仅要做一个能企业，更要做一个好企业”的理念。</w:t>
      </w:r>
    </w:p>
    <w:p w:rsidR="00E23A97" w:rsidRPr="00831C3C" w:rsidRDefault="00C65FD5">
      <w:r w:rsidRPr="00831C3C">
        <w:br w:type="page"/>
      </w:r>
    </w:p>
    <w:p w:rsidR="00E23A97" w:rsidRPr="00831C3C" w:rsidRDefault="00C65FD5">
      <w:pPr>
        <w:pStyle w:val="headingh1"/>
        <w:spacing w:before="340" w:after="330" w:line="773" w:lineRule="exact"/>
        <w:jc w:val="center"/>
        <w:rPr>
          <w:rFonts w:ascii="宋体" w:eastAsia="宋体" w:hAnsi="宋体" w:cs="宋体"/>
          <w:b/>
          <w:bCs/>
          <w:sz w:val="32"/>
          <w:szCs w:val="32"/>
        </w:rPr>
      </w:pPr>
      <w:bookmarkStart w:id="108" w:name="_Toc988996"/>
      <w:r w:rsidRPr="00831C3C">
        <w:rPr>
          <w:rFonts w:ascii="宋体" w:eastAsia="宋体" w:hAnsi="宋体" w:cs="宋体"/>
          <w:b/>
          <w:bCs/>
          <w:sz w:val="32"/>
          <w:szCs w:val="32"/>
        </w:rPr>
        <w:lastRenderedPageBreak/>
        <w:t>第六节重要事项</w:t>
      </w:r>
      <w:bookmarkEnd w:id="108"/>
    </w:p>
    <w:p w:rsidR="00E23A97" w:rsidRPr="00831C3C" w:rsidRDefault="00C65FD5">
      <w:pPr>
        <w:pStyle w:val="2"/>
        <w:spacing w:before="300" w:after="300" w:line="320" w:lineRule="exact"/>
        <w:rPr>
          <w:rFonts w:ascii="宋体" w:eastAsia="宋体" w:hAnsi="宋体" w:cs="宋体"/>
          <w:b/>
          <w:bCs/>
          <w:sz w:val="24"/>
          <w:szCs w:val="24"/>
        </w:rPr>
      </w:pPr>
      <w:bookmarkStart w:id="109" w:name="_Toc988997"/>
      <w:r w:rsidRPr="00831C3C">
        <w:rPr>
          <w:rFonts w:ascii="宋体" w:eastAsia="宋体" w:hAnsi="宋体" w:cs="宋体"/>
          <w:b/>
          <w:bCs/>
          <w:sz w:val="24"/>
          <w:szCs w:val="24"/>
        </w:rPr>
        <w:t>一、承诺事项履行情况</w:t>
      </w:r>
      <w:bookmarkEnd w:id="109"/>
    </w:p>
    <w:p w:rsidR="00E23A97" w:rsidRPr="00831C3C" w:rsidRDefault="00C65FD5">
      <w:pPr>
        <w:pStyle w:val="3"/>
        <w:spacing w:line="280" w:lineRule="exact"/>
        <w:jc w:val="left"/>
        <w:rPr>
          <w:rFonts w:ascii="宋体" w:hAnsi="宋体" w:cs="宋体"/>
          <w:b/>
          <w:bCs/>
        </w:rPr>
      </w:pPr>
      <w:bookmarkStart w:id="110" w:name="_Toc988998"/>
      <w:r w:rsidRPr="00831C3C">
        <w:rPr>
          <w:rFonts w:ascii="宋体" w:hAnsi="宋体" w:cs="宋体"/>
          <w:b/>
          <w:bCs/>
        </w:rPr>
        <w:t>1、公司实际控制人、股东、关联方、收购人以及公司等承诺相关方在报告期内履行完毕及截至报告期末尚未履行完毕的承诺事项</w:t>
      </w:r>
      <w:bookmarkEnd w:id="110"/>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公司报告期不存在由公司实际控制人、股东、关联方、收购人以及公司等承诺相关方在报告期内履行完毕及截至报告期末尚未履行完毕的承诺事项。</w:t>
      </w:r>
    </w:p>
    <w:p w:rsidR="00E23A97" w:rsidRPr="00831C3C" w:rsidRDefault="00C65FD5">
      <w:pPr>
        <w:pStyle w:val="3"/>
        <w:spacing w:line="280" w:lineRule="exact"/>
        <w:jc w:val="left"/>
        <w:rPr>
          <w:rFonts w:ascii="宋体" w:hAnsi="宋体" w:cs="宋体"/>
          <w:b/>
          <w:bCs/>
        </w:rPr>
      </w:pPr>
      <w:bookmarkStart w:id="111" w:name="_Toc988999"/>
      <w:r w:rsidRPr="00831C3C">
        <w:rPr>
          <w:rFonts w:ascii="宋体" w:hAnsi="宋体" w:cs="宋体"/>
          <w:b/>
          <w:bCs/>
        </w:rPr>
        <w:t>2、公司资产或项目存在盈利预测，</w:t>
      </w:r>
      <w:proofErr w:type="gramStart"/>
      <w:r w:rsidRPr="00831C3C">
        <w:rPr>
          <w:rFonts w:ascii="宋体" w:hAnsi="宋体" w:cs="宋体"/>
          <w:b/>
          <w:bCs/>
        </w:rPr>
        <w:t>且报告</w:t>
      </w:r>
      <w:proofErr w:type="gramEnd"/>
      <w:r w:rsidRPr="00831C3C">
        <w:rPr>
          <w:rFonts w:ascii="宋体" w:hAnsi="宋体" w:cs="宋体"/>
          <w:b/>
          <w:bCs/>
        </w:rPr>
        <w:t>期仍处在盈利预测期间，公司就资产或项目达到原盈利预测及其原因做出说明</w:t>
      </w:r>
      <w:bookmarkEnd w:id="111"/>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pStyle w:val="2"/>
        <w:spacing w:before="300" w:after="300" w:line="320" w:lineRule="exact"/>
        <w:rPr>
          <w:rFonts w:ascii="宋体" w:eastAsia="宋体" w:hAnsi="宋体" w:cs="宋体"/>
          <w:b/>
          <w:bCs/>
          <w:sz w:val="24"/>
          <w:szCs w:val="24"/>
        </w:rPr>
      </w:pPr>
      <w:bookmarkStart w:id="112" w:name="_Toc989000"/>
      <w:r w:rsidRPr="00831C3C">
        <w:rPr>
          <w:rFonts w:ascii="宋体" w:eastAsia="宋体" w:hAnsi="宋体" w:cs="宋体"/>
          <w:b/>
          <w:bCs/>
          <w:sz w:val="24"/>
          <w:szCs w:val="24"/>
        </w:rPr>
        <w:t>二、控股股东及其他关联方对上市公司的非经营性占用资金情况</w:t>
      </w:r>
      <w:bookmarkEnd w:id="112"/>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公司报告期不存在控股股东及其他关联方对上市公司的非经营性占用资金。</w:t>
      </w:r>
    </w:p>
    <w:p w:rsidR="00E23A97" w:rsidRPr="00831C3C" w:rsidRDefault="00C65FD5">
      <w:pPr>
        <w:pStyle w:val="2"/>
        <w:spacing w:before="300" w:after="300" w:line="320" w:lineRule="exact"/>
        <w:rPr>
          <w:rFonts w:ascii="宋体" w:eastAsia="宋体" w:hAnsi="宋体" w:cs="宋体"/>
          <w:b/>
          <w:bCs/>
          <w:sz w:val="24"/>
          <w:szCs w:val="24"/>
        </w:rPr>
      </w:pPr>
      <w:bookmarkStart w:id="113" w:name="_Toc989001"/>
      <w:r w:rsidRPr="00831C3C">
        <w:rPr>
          <w:rFonts w:ascii="宋体" w:eastAsia="宋体" w:hAnsi="宋体" w:cs="宋体"/>
          <w:b/>
          <w:bCs/>
          <w:sz w:val="24"/>
          <w:szCs w:val="24"/>
        </w:rPr>
        <w:t>三、违规对外担保情况</w:t>
      </w:r>
      <w:bookmarkEnd w:id="113"/>
    </w:p>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公司报告期无违规对外担保情况。</w:t>
      </w:r>
    </w:p>
    <w:p w:rsidR="00E23A97" w:rsidRPr="00831C3C" w:rsidRDefault="00C65FD5">
      <w:pPr>
        <w:pStyle w:val="2"/>
        <w:spacing w:before="300" w:after="300" w:line="320" w:lineRule="exact"/>
        <w:rPr>
          <w:rFonts w:ascii="宋体" w:eastAsia="宋体" w:hAnsi="宋体" w:cs="宋体"/>
          <w:b/>
          <w:bCs/>
          <w:sz w:val="24"/>
          <w:szCs w:val="24"/>
        </w:rPr>
      </w:pPr>
      <w:bookmarkStart w:id="114" w:name="_Toc989002"/>
      <w:r w:rsidRPr="00831C3C">
        <w:rPr>
          <w:rFonts w:ascii="宋体" w:eastAsia="宋体" w:hAnsi="宋体" w:cs="宋体"/>
          <w:b/>
          <w:bCs/>
          <w:sz w:val="24"/>
          <w:szCs w:val="24"/>
        </w:rPr>
        <w:t>四、董事会对最近一期“非标准审计报告”相关情况的说明</w:t>
      </w:r>
      <w:bookmarkEnd w:id="114"/>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pStyle w:val="2"/>
        <w:spacing w:before="300" w:after="300" w:line="320" w:lineRule="exact"/>
        <w:rPr>
          <w:rFonts w:ascii="宋体" w:eastAsia="宋体" w:hAnsi="宋体" w:cs="宋体"/>
          <w:b/>
          <w:bCs/>
          <w:sz w:val="24"/>
          <w:szCs w:val="24"/>
        </w:rPr>
      </w:pPr>
      <w:bookmarkStart w:id="115" w:name="_Toc989003"/>
      <w:r w:rsidRPr="00831C3C">
        <w:rPr>
          <w:rFonts w:ascii="宋体" w:eastAsia="宋体" w:hAnsi="宋体" w:cs="宋体"/>
          <w:b/>
          <w:bCs/>
          <w:sz w:val="24"/>
          <w:szCs w:val="24"/>
        </w:rPr>
        <w:t>五、董事会、监事会、独立董事（如有）对会计师事务所本报告期“非标准审计报告”的说明</w:t>
      </w:r>
      <w:bookmarkEnd w:id="115"/>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pStyle w:val="2"/>
        <w:spacing w:before="300" w:after="300" w:line="320" w:lineRule="exact"/>
        <w:rPr>
          <w:rFonts w:ascii="宋体" w:eastAsia="宋体" w:hAnsi="宋体" w:cs="宋体"/>
          <w:b/>
          <w:bCs/>
          <w:sz w:val="24"/>
          <w:szCs w:val="24"/>
        </w:rPr>
      </w:pPr>
      <w:bookmarkStart w:id="116" w:name="_Toc989004"/>
      <w:r w:rsidRPr="00831C3C">
        <w:rPr>
          <w:rFonts w:ascii="宋体" w:eastAsia="宋体" w:hAnsi="宋体" w:cs="宋体"/>
          <w:b/>
          <w:bCs/>
          <w:sz w:val="24"/>
          <w:szCs w:val="24"/>
        </w:rPr>
        <w:t>六、与上年度财务报告相比，会计政策、会计估计变更或重大会计差错更正的情况说明</w:t>
      </w:r>
      <w:bookmarkEnd w:id="116"/>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公司报告期无会计政策、会计估计变更或重大会计差错更正的情况。</w:t>
      </w:r>
    </w:p>
    <w:p w:rsidR="00E23A97" w:rsidRPr="00831C3C" w:rsidRDefault="00C65FD5">
      <w:pPr>
        <w:pStyle w:val="2"/>
        <w:spacing w:before="300" w:after="300" w:line="320" w:lineRule="exact"/>
        <w:rPr>
          <w:rFonts w:ascii="宋体" w:eastAsia="宋体" w:hAnsi="宋体" w:cs="宋体"/>
          <w:b/>
          <w:bCs/>
          <w:sz w:val="24"/>
          <w:szCs w:val="24"/>
        </w:rPr>
      </w:pPr>
      <w:bookmarkStart w:id="117" w:name="_Toc989005"/>
      <w:r w:rsidRPr="00831C3C">
        <w:rPr>
          <w:rFonts w:ascii="宋体" w:eastAsia="宋体" w:hAnsi="宋体" w:cs="宋体"/>
          <w:b/>
          <w:bCs/>
          <w:sz w:val="24"/>
          <w:szCs w:val="24"/>
        </w:rPr>
        <w:t>七、与上年度财务报告相比，合并报表范围发生变化的情况说明</w:t>
      </w:r>
      <w:bookmarkEnd w:id="117"/>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适用□不适用</w:t>
      </w:r>
    </w:p>
    <w:p w:rsidR="00C65FD5" w:rsidRPr="00831C3C" w:rsidRDefault="00C65FD5">
      <w:pPr>
        <w:pStyle w:val="a3"/>
        <w:divId w:val="100301120"/>
        <w:rPr>
          <w:sz w:val="18"/>
          <w:szCs w:val="18"/>
        </w:rPr>
      </w:pPr>
      <w:r w:rsidRPr="00831C3C">
        <w:rPr>
          <w:rFonts w:hint="eastAsia"/>
          <w:sz w:val="18"/>
          <w:szCs w:val="18"/>
        </w:rPr>
        <w:t>1、本期新纳入合并范围的子公司</w:t>
      </w:r>
    </w:p>
    <w:tbl>
      <w:tblPr>
        <w:tblW w:w="9654" w:type="dxa"/>
        <w:tblLayout w:type="fixed"/>
        <w:tblCellMar>
          <w:left w:w="0" w:type="dxa"/>
          <w:right w:w="0" w:type="dxa"/>
        </w:tblCellMar>
        <w:tblLook w:val="04A0" w:firstRow="1" w:lastRow="0" w:firstColumn="1" w:lastColumn="0" w:noHBand="0" w:noVBand="1"/>
      </w:tblPr>
      <w:tblGrid>
        <w:gridCol w:w="4827"/>
        <w:gridCol w:w="4827"/>
      </w:tblGrid>
      <w:tr w:rsidR="00831C3C" w:rsidRPr="00831C3C" w:rsidTr="00AC1232">
        <w:trPr>
          <w:divId w:val="100301120"/>
          <w:trHeight w:val="240"/>
        </w:trPr>
        <w:tc>
          <w:tcPr>
            <w:tcW w:w="4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20"/>
                <w:szCs w:val="20"/>
              </w:rPr>
            </w:pPr>
            <w:r w:rsidRPr="00831C3C">
              <w:rPr>
                <w:rFonts w:hint="eastAsia"/>
                <w:sz w:val="20"/>
                <w:szCs w:val="20"/>
              </w:rPr>
              <w:lastRenderedPageBreak/>
              <w:t>名称</w:t>
            </w:r>
          </w:p>
        </w:tc>
        <w:tc>
          <w:tcPr>
            <w:tcW w:w="4827"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20"/>
                <w:szCs w:val="20"/>
              </w:rPr>
            </w:pPr>
            <w:r w:rsidRPr="00831C3C">
              <w:rPr>
                <w:rFonts w:hint="eastAsia"/>
                <w:sz w:val="20"/>
                <w:szCs w:val="20"/>
              </w:rPr>
              <w:t>变更原因</w:t>
            </w:r>
          </w:p>
        </w:tc>
      </w:tr>
      <w:tr w:rsidR="00831C3C" w:rsidRPr="00831C3C" w:rsidTr="00AC1232">
        <w:trPr>
          <w:divId w:val="100301120"/>
          <w:trHeight w:val="240"/>
        </w:trPr>
        <w:tc>
          <w:tcPr>
            <w:tcW w:w="4827"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20"/>
                <w:szCs w:val="20"/>
              </w:rPr>
            </w:pPr>
            <w:r w:rsidRPr="00831C3C">
              <w:rPr>
                <w:rFonts w:hint="eastAsia"/>
                <w:sz w:val="20"/>
                <w:szCs w:val="20"/>
              </w:rPr>
              <w:t>华</w:t>
            </w:r>
            <w:proofErr w:type="gramStart"/>
            <w:r w:rsidRPr="00831C3C">
              <w:rPr>
                <w:rFonts w:hint="eastAsia"/>
                <w:sz w:val="20"/>
                <w:szCs w:val="20"/>
              </w:rPr>
              <w:t>孚智算</w:t>
            </w:r>
            <w:proofErr w:type="gramEnd"/>
            <w:r w:rsidRPr="00831C3C">
              <w:rPr>
                <w:rFonts w:hint="eastAsia"/>
                <w:sz w:val="20"/>
                <w:szCs w:val="20"/>
              </w:rPr>
              <w:t>（上海）网络有限公司</w:t>
            </w:r>
          </w:p>
        </w:tc>
        <w:tc>
          <w:tcPr>
            <w:tcW w:w="482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20"/>
                <w:szCs w:val="20"/>
              </w:rPr>
            </w:pPr>
            <w:r w:rsidRPr="00831C3C">
              <w:rPr>
                <w:rFonts w:hint="eastAsia"/>
                <w:sz w:val="20"/>
                <w:szCs w:val="20"/>
              </w:rPr>
              <w:t>新设</w:t>
            </w:r>
          </w:p>
        </w:tc>
      </w:tr>
      <w:tr w:rsidR="00831C3C" w:rsidRPr="00831C3C" w:rsidTr="00AC1232">
        <w:trPr>
          <w:divId w:val="100301120"/>
          <w:trHeight w:val="240"/>
        </w:trPr>
        <w:tc>
          <w:tcPr>
            <w:tcW w:w="4827"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20"/>
                <w:szCs w:val="20"/>
              </w:rPr>
            </w:pPr>
            <w:r w:rsidRPr="00831C3C">
              <w:rPr>
                <w:rFonts w:hint="eastAsia"/>
                <w:sz w:val="20"/>
                <w:szCs w:val="20"/>
              </w:rPr>
              <w:t>新疆华孚人工智能科技有限公司</w:t>
            </w:r>
          </w:p>
        </w:tc>
        <w:tc>
          <w:tcPr>
            <w:tcW w:w="482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20"/>
                <w:szCs w:val="20"/>
              </w:rPr>
            </w:pPr>
            <w:r w:rsidRPr="00831C3C">
              <w:rPr>
                <w:rFonts w:hint="eastAsia"/>
                <w:sz w:val="20"/>
                <w:szCs w:val="20"/>
              </w:rPr>
              <w:t>新设</w:t>
            </w:r>
          </w:p>
        </w:tc>
      </w:tr>
      <w:tr w:rsidR="00831C3C" w:rsidRPr="00831C3C" w:rsidTr="00AC1232">
        <w:trPr>
          <w:divId w:val="100301120"/>
          <w:trHeight w:val="240"/>
        </w:trPr>
        <w:tc>
          <w:tcPr>
            <w:tcW w:w="4827"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20"/>
                <w:szCs w:val="20"/>
              </w:rPr>
            </w:pPr>
            <w:r w:rsidRPr="00831C3C">
              <w:rPr>
                <w:rFonts w:hint="eastAsia"/>
                <w:sz w:val="20"/>
                <w:szCs w:val="20"/>
              </w:rPr>
              <w:t>绍兴</w:t>
            </w:r>
            <w:proofErr w:type="gramStart"/>
            <w:r w:rsidRPr="00831C3C">
              <w:rPr>
                <w:rFonts w:hint="eastAsia"/>
                <w:sz w:val="20"/>
                <w:szCs w:val="20"/>
              </w:rPr>
              <w:t>智宽科技</w:t>
            </w:r>
            <w:proofErr w:type="gramEnd"/>
            <w:r w:rsidRPr="00831C3C">
              <w:rPr>
                <w:rFonts w:hint="eastAsia"/>
                <w:sz w:val="20"/>
                <w:szCs w:val="20"/>
              </w:rPr>
              <w:t>有限公司</w:t>
            </w:r>
          </w:p>
        </w:tc>
        <w:tc>
          <w:tcPr>
            <w:tcW w:w="482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20"/>
                <w:szCs w:val="20"/>
              </w:rPr>
            </w:pPr>
            <w:r w:rsidRPr="00831C3C">
              <w:rPr>
                <w:rFonts w:hint="eastAsia"/>
                <w:sz w:val="20"/>
                <w:szCs w:val="20"/>
              </w:rPr>
              <w:t>新设</w:t>
            </w:r>
          </w:p>
        </w:tc>
      </w:tr>
      <w:tr w:rsidR="00831C3C" w:rsidRPr="00831C3C" w:rsidTr="00AC1232">
        <w:trPr>
          <w:divId w:val="100301120"/>
          <w:trHeight w:val="240"/>
        </w:trPr>
        <w:tc>
          <w:tcPr>
            <w:tcW w:w="4827"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20"/>
                <w:szCs w:val="20"/>
              </w:rPr>
            </w:pPr>
            <w:r w:rsidRPr="00831C3C">
              <w:rPr>
                <w:rFonts w:hint="eastAsia"/>
                <w:sz w:val="20"/>
                <w:szCs w:val="20"/>
              </w:rPr>
              <w:t>新疆华孚智算科技有限公司</w:t>
            </w:r>
          </w:p>
        </w:tc>
        <w:tc>
          <w:tcPr>
            <w:tcW w:w="482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20"/>
                <w:szCs w:val="20"/>
              </w:rPr>
            </w:pPr>
            <w:r w:rsidRPr="00831C3C">
              <w:rPr>
                <w:rFonts w:hint="eastAsia"/>
                <w:sz w:val="20"/>
                <w:szCs w:val="20"/>
              </w:rPr>
              <w:t>新设</w:t>
            </w:r>
          </w:p>
        </w:tc>
      </w:tr>
      <w:tr w:rsidR="00831C3C" w:rsidRPr="00831C3C" w:rsidTr="00AC1232">
        <w:trPr>
          <w:divId w:val="100301120"/>
          <w:trHeight w:val="240"/>
        </w:trPr>
        <w:tc>
          <w:tcPr>
            <w:tcW w:w="4827"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20"/>
                <w:szCs w:val="20"/>
              </w:rPr>
            </w:pPr>
            <w:proofErr w:type="gramStart"/>
            <w:r w:rsidRPr="00831C3C">
              <w:rPr>
                <w:rFonts w:hint="eastAsia"/>
                <w:sz w:val="20"/>
                <w:szCs w:val="20"/>
              </w:rPr>
              <w:t>绍兴华孚智算</w:t>
            </w:r>
            <w:proofErr w:type="gramEnd"/>
            <w:r w:rsidRPr="00831C3C">
              <w:rPr>
                <w:rFonts w:hint="eastAsia"/>
                <w:sz w:val="20"/>
                <w:szCs w:val="20"/>
              </w:rPr>
              <w:t>科技有限公司</w:t>
            </w:r>
          </w:p>
        </w:tc>
        <w:tc>
          <w:tcPr>
            <w:tcW w:w="482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20"/>
                <w:szCs w:val="20"/>
              </w:rPr>
            </w:pPr>
            <w:r w:rsidRPr="00831C3C">
              <w:rPr>
                <w:rFonts w:hint="eastAsia"/>
                <w:sz w:val="20"/>
                <w:szCs w:val="20"/>
              </w:rPr>
              <w:t>新设</w:t>
            </w:r>
          </w:p>
        </w:tc>
      </w:tr>
      <w:tr w:rsidR="00831C3C" w:rsidRPr="00831C3C" w:rsidTr="00AC1232">
        <w:trPr>
          <w:divId w:val="100301120"/>
          <w:trHeight w:val="240"/>
        </w:trPr>
        <w:tc>
          <w:tcPr>
            <w:tcW w:w="4827"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20"/>
                <w:szCs w:val="20"/>
              </w:rPr>
            </w:pPr>
            <w:r w:rsidRPr="00831C3C">
              <w:rPr>
                <w:rFonts w:hint="eastAsia"/>
                <w:sz w:val="20"/>
                <w:szCs w:val="20"/>
              </w:rPr>
              <w:t>喀什</w:t>
            </w:r>
            <w:proofErr w:type="gramStart"/>
            <w:r w:rsidRPr="00831C3C">
              <w:rPr>
                <w:rFonts w:hint="eastAsia"/>
                <w:sz w:val="20"/>
                <w:szCs w:val="20"/>
              </w:rPr>
              <w:t>暄</w:t>
            </w:r>
            <w:proofErr w:type="gramEnd"/>
            <w:r w:rsidRPr="00831C3C">
              <w:rPr>
                <w:rFonts w:hint="eastAsia"/>
                <w:sz w:val="20"/>
                <w:szCs w:val="20"/>
              </w:rPr>
              <w:t>纺棉花有限公司</w:t>
            </w:r>
          </w:p>
        </w:tc>
        <w:tc>
          <w:tcPr>
            <w:tcW w:w="482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20"/>
                <w:szCs w:val="20"/>
              </w:rPr>
            </w:pPr>
            <w:r w:rsidRPr="00831C3C">
              <w:rPr>
                <w:rFonts w:hint="eastAsia"/>
                <w:sz w:val="20"/>
                <w:szCs w:val="20"/>
              </w:rPr>
              <w:t>新设</w:t>
            </w:r>
          </w:p>
        </w:tc>
      </w:tr>
      <w:tr w:rsidR="00831C3C" w:rsidRPr="00831C3C" w:rsidTr="00AC1232">
        <w:trPr>
          <w:divId w:val="100301120"/>
          <w:trHeight w:val="240"/>
        </w:trPr>
        <w:tc>
          <w:tcPr>
            <w:tcW w:w="4827"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20"/>
                <w:szCs w:val="20"/>
              </w:rPr>
            </w:pPr>
            <w:r w:rsidRPr="00831C3C">
              <w:rPr>
                <w:rFonts w:hint="eastAsia"/>
                <w:sz w:val="20"/>
                <w:szCs w:val="20"/>
              </w:rPr>
              <w:t>兰溪市</w:t>
            </w:r>
            <w:proofErr w:type="gramStart"/>
            <w:r w:rsidRPr="00831C3C">
              <w:rPr>
                <w:rFonts w:hint="eastAsia"/>
                <w:sz w:val="20"/>
                <w:szCs w:val="20"/>
              </w:rPr>
              <w:t>菁英数字</w:t>
            </w:r>
            <w:proofErr w:type="gramEnd"/>
            <w:r w:rsidRPr="00831C3C">
              <w:rPr>
                <w:rFonts w:hint="eastAsia"/>
                <w:sz w:val="20"/>
                <w:szCs w:val="20"/>
              </w:rPr>
              <w:t>产业发展有限公司</w:t>
            </w:r>
          </w:p>
        </w:tc>
        <w:tc>
          <w:tcPr>
            <w:tcW w:w="482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20"/>
                <w:szCs w:val="20"/>
              </w:rPr>
            </w:pPr>
            <w:r w:rsidRPr="00831C3C">
              <w:rPr>
                <w:rFonts w:hint="eastAsia"/>
                <w:sz w:val="20"/>
                <w:szCs w:val="20"/>
              </w:rPr>
              <w:t>新设</w:t>
            </w:r>
          </w:p>
        </w:tc>
      </w:tr>
      <w:tr w:rsidR="00831C3C" w:rsidRPr="00831C3C" w:rsidTr="00AC1232">
        <w:trPr>
          <w:divId w:val="100301120"/>
          <w:trHeight w:val="240"/>
        </w:trPr>
        <w:tc>
          <w:tcPr>
            <w:tcW w:w="4827"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20"/>
                <w:szCs w:val="20"/>
              </w:rPr>
            </w:pPr>
            <w:r w:rsidRPr="00831C3C">
              <w:rPr>
                <w:rFonts w:hint="eastAsia"/>
                <w:sz w:val="20"/>
                <w:szCs w:val="20"/>
              </w:rPr>
              <w:t>新疆华孚种业科技股份有限公司</w:t>
            </w:r>
          </w:p>
        </w:tc>
        <w:tc>
          <w:tcPr>
            <w:tcW w:w="482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20"/>
                <w:szCs w:val="20"/>
              </w:rPr>
            </w:pPr>
            <w:r w:rsidRPr="00831C3C">
              <w:rPr>
                <w:rFonts w:hint="eastAsia"/>
                <w:sz w:val="20"/>
                <w:szCs w:val="20"/>
              </w:rPr>
              <w:t>新设</w:t>
            </w:r>
          </w:p>
        </w:tc>
      </w:tr>
      <w:tr w:rsidR="00831C3C" w:rsidRPr="00831C3C" w:rsidTr="00AC1232">
        <w:trPr>
          <w:divId w:val="100301120"/>
          <w:trHeight w:val="240"/>
        </w:trPr>
        <w:tc>
          <w:tcPr>
            <w:tcW w:w="4827"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20"/>
                <w:szCs w:val="20"/>
              </w:rPr>
            </w:pPr>
            <w:r w:rsidRPr="00831C3C">
              <w:rPr>
                <w:rFonts w:hint="eastAsia"/>
                <w:sz w:val="20"/>
                <w:szCs w:val="20"/>
              </w:rPr>
              <w:t>东阳市广厦</w:t>
            </w:r>
            <w:proofErr w:type="gramStart"/>
            <w:r w:rsidRPr="00831C3C">
              <w:rPr>
                <w:rFonts w:hint="eastAsia"/>
                <w:sz w:val="20"/>
                <w:szCs w:val="20"/>
              </w:rPr>
              <w:t>菁英创业</w:t>
            </w:r>
            <w:proofErr w:type="gramEnd"/>
            <w:r w:rsidRPr="00831C3C">
              <w:rPr>
                <w:rFonts w:hint="eastAsia"/>
                <w:sz w:val="20"/>
                <w:szCs w:val="20"/>
              </w:rPr>
              <w:t>服务有限公司</w:t>
            </w:r>
          </w:p>
        </w:tc>
        <w:tc>
          <w:tcPr>
            <w:tcW w:w="482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20"/>
                <w:szCs w:val="20"/>
              </w:rPr>
            </w:pPr>
            <w:r w:rsidRPr="00831C3C">
              <w:rPr>
                <w:rFonts w:hint="eastAsia"/>
                <w:sz w:val="20"/>
                <w:szCs w:val="20"/>
              </w:rPr>
              <w:t>新设</w:t>
            </w:r>
          </w:p>
        </w:tc>
      </w:tr>
      <w:tr w:rsidR="00831C3C" w:rsidRPr="00831C3C" w:rsidTr="00AC1232">
        <w:trPr>
          <w:divId w:val="100301120"/>
          <w:trHeight w:val="240"/>
        </w:trPr>
        <w:tc>
          <w:tcPr>
            <w:tcW w:w="4827"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20"/>
                <w:szCs w:val="20"/>
              </w:rPr>
            </w:pPr>
            <w:r w:rsidRPr="00831C3C">
              <w:rPr>
                <w:rFonts w:hint="eastAsia"/>
                <w:sz w:val="20"/>
                <w:szCs w:val="20"/>
              </w:rPr>
              <w:t>浙江尚春酒店有限公司</w:t>
            </w:r>
          </w:p>
        </w:tc>
        <w:tc>
          <w:tcPr>
            <w:tcW w:w="482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20"/>
                <w:szCs w:val="20"/>
              </w:rPr>
            </w:pPr>
            <w:r w:rsidRPr="00831C3C">
              <w:rPr>
                <w:rFonts w:hint="eastAsia"/>
                <w:sz w:val="20"/>
                <w:szCs w:val="20"/>
              </w:rPr>
              <w:t>新设</w:t>
            </w:r>
          </w:p>
        </w:tc>
      </w:tr>
    </w:tbl>
    <w:p w:rsidR="00C65FD5" w:rsidRPr="00831C3C" w:rsidRDefault="00C65FD5">
      <w:pPr>
        <w:pStyle w:val="a3"/>
        <w:divId w:val="100301120"/>
        <w:rPr>
          <w:sz w:val="18"/>
          <w:szCs w:val="18"/>
        </w:rPr>
      </w:pPr>
      <w:r w:rsidRPr="00831C3C">
        <w:rPr>
          <w:rFonts w:hint="eastAsia"/>
          <w:sz w:val="18"/>
          <w:szCs w:val="18"/>
        </w:rPr>
        <w:t>2、本期不纳入合并范围的子公司</w:t>
      </w:r>
    </w:p>
    <w:tbl>
      <w:tblPr>
        <w:tblW w:w="9654" w:type="dxa"/>
        <w:tblLayout w:type="fixed"/>
        <w:tblCellMar>
          <w:left w:w="0" w:type="dxa"/>
          <w:right w:w="0" w:type="dxa"/>
        </w:tblCellMar>
        <w:tblLook w:val="04A0" w:firstRow="1" w:lastRow="0" w:firstColumn="1" w:lastColumn="0" w:noHBand="0" w:noVBand="1"/>
      </w:tblPr>
      <w:tblGrid>
        <w:gridCol w:w="4827"/>
        <w:gridCol w:w="4827"/>
      </w:tblGrid>
      <w:tr w:rsidR="00831C3C" w:rsidRPr="00831C3C" w:rsidTr="00AC1232">
        <w:trPr>
          <w:divId w:val="100301120"/>
          <w:trHeight w:val="240"/>
        </w:trPr>
        <w:tc>
          <w:tcPr>
            <w:tcW w:w="48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20"/>
                <w:szCs w:val="20"/>
              </w:rPr>
            </w:pPr>
            <w:r w:rsidRPr="00831C3C">
              <w:rPr>
                <w:rFonts w:hint="eastAsia"/>
                <w:sz w:val="20"/>
                <w:szCs w:val="20"/>
              </w:rPr>
              <w:t>名称</w:t>
            </w:r>
          </w:p>
        </w:tc>
        <w:tc>
          <w:tcPr>
            <w:tcW w:w="4827"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20"/>
                <w:szCs w:val="20"/>
              </w:rPr>
            </w:pPr>
            <w:r w:rsidRPr="00831C3C">
              <w:rPr>
                <w:rFonts w:hint="eastAsia"/>
                <w:sz w:val="20"/>
                <w:szCs w:val="20"/>
              </w:rPr>
              <w:t>变更原因</w:t>
            </w:r>
          </w:p>
        </w:tc>
      </w:tr>
      <w:tr w:rsidR="00831C3C" w:rsidRPr="00831C3C" w:rsidTr="00AC1232">
        <w:trPr>
          <w:divId w:val="100301120"/>
          <w:trHeight w:val="240"/>
        </w:trPr>
        <w:tc>
          <w:tcPr>
            <w:tcW w:w="4827"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20"/>
                <w:szCs w:val="20"/>
              </w:rPr>
            </w:pPr>
            <w:r w:rsidRPr="00831C3C">
              <w:rPr>
                <w:rFonts w:hint="eastAsia"/>
                <w:sz w:val="20"/>
                <w:szCs w:val="20"/>
              </w:rPr>
              <w:t>阿瓦提华</w:t>
            </w:r>
            <w:proofErr w:type="gramStart"/>
            <w:r w:rsidRPr="00831C3C">
              <w:rPr>
                <w:rFonts w:hint="eastAsia"/>
                <w:sz w:val="20"/>
                <w:szCs w:val="20"/>
              </w:rPr>
              <w:t>孚</w:t>
            </w:r>
            <w:proofErr w:type="gramEnd"/>
            <w:r w:rsidRPr="00831C3C">
              <w:rPr>
                <w:rFonts w:hint="eastAsia"/>
                <w:sz w:val="20"/>
                <w:szCs w:val="20"/>
              </w:rPr>
              <w:t>纺织有限公司</w:t>
            </w:r>
          </w:p>
        </w:tc>
        <w:tc>
          <w:tcPr>
            <w:tcW w:w="482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20"/>
                <w:szCs w:val="20"/>
              </w:rPr>
            </w:pPr>
            <w:r w:rsidRPr="00831C3C">
              <w:rPr>
                <w:rFonts w:hint="eastAsia"/>
                <w:sz w:val="20"/>
                <w:szCs w:val="20"/>
              </w:rPr>
              <w:t>注销</w:t>
            </w:r>
          </w:p>
        </w:tc>
      </w:tr>
      <w:tr w:rsidR="00831C3C" w:rsidRPr="00831C3C" w:rsidTr="00AC1232">
        <w:trPr>
          <w:divId w:val="100301120"/>
          <w:trHeight w:val="240"/>
        </w:trPr>
        <w:tc>
          <w:tcPr>
            <w:tcW w:w="4827"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20"/>
                <w:szCs w:val="20"/>
              </w:rPr>
            </w:pPr>
            <w:r w:rsidRPr="00831C3C">
              <w:rPr>
                <w:rFonts w:hint="eastAsia"/>
                <w:sz w:val="20"/>
                <w:szCs w:val="20"/>
              </w:rPr>
              <w:t>浙江缙云华孚纺织有限公司</w:t>
            </w:r>
          </w:p>
        </w:tc>
        <w:tc>
          <w:tcPr>
            <w:tcW w:w="482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20"/>
                <w:szCs w:val="20"/>
              </w:rPr>
            </w:pPr>
            <w:r w:rsidRPr="00831C3C">
              <w:rPr>
                <w:rFonts w:hint="eastAsia"/>
                <w:sz w:val="20"/>
                <w:szCs w:val="20"/>
              </w:rPr>
              <w:t>注销</w:t>
            </w:r>
          </w:p>
        </w:tc>
      </w:tr>
      <w:tr w:rsidR="00831C3C" w:rsidRPr="00831C3C" w:rsidTr="00AC1232">
        <w:trPr>
          <w:divId w:val="100301120"/>
          <w:trHeight w:val="240"/>
        </w:trPr>
        <w:tc>
          <w:tcPr>
            <w:tcW w:w="4827"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20"/>
                <w:szCs w:val="20"/>
              </w:rPr>
            </w:pPr>
            <w:r w:rsidRPr="00831C3C">
              <w:rPr>
                <w:rFonts w:hint="eastAsia"/>
                <w:sz w:val="20"/>
                <w:szCs w:val="20"/>
              </w:rPr>
              <w:t>余姚华</w:t>
            </w:r>
            <w:proofErr w:type="gramStart"/>
            <w:r w:rsidRPr="00831C3C">
              <w:rPr>
                <w:rFonts w:hint="eastAsia"/>
                <w:sz w:val="20"/>
                <w:szCs w:val="20"/>
              </w:rPr>
              <w:t>孚</w:t>
            </w:r>
            <w:proofErr w:type="gramEnd"/>
            <w:r w:rsidRPr="00831C3C">
              <w:rPr>
                <w:rFonts w:hint="eastAsia"/>
                <w:sz w:val="20"/>
                <w:szCs w:val="20"/>
              </w:rPr>
              <w:t>纺织有限公司</w:t>
            </w:r>
          </w:p>
        </w:tc>
        <w:tc>
          <w:tcPr>
            <w:tcW w:w="482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20"/>
                <w:szCs w:val="20"/>
              </w:rPr>
            </w:pPr>
            <w:r w:rsidRPr="00831C3C">
              <w:rPr>
                <w:rFonts w:hint="eastAsia"/>
                <w:sz w:val="20"/>
                <w:szCs w:val="20"/>
              </w:rPr>
              <w:t>注销</w:t>
            </w:r>
          </w:p>
        </w:tc>
      </w:tr>
      <w:tr w:rsidR="00831C3C" w:rsidRPr="00831C3C" w:rsidTr="00AC1232">
        <w:trPr>
          <w:divId w:val="100301120"/>
          <w:trHeight w:val="240"/>
        </w:trPr>
        <w:tc>
          <w:tcPr>
            <w:tcW w:w="4827"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20"/>
                <w:szCs w:val="20"/>
              </w:rPr>
            </w:pPr>
            <w:r w:rsidRPr="00831C3C">
              <w:rPr>
                <w:rFonts w:hint="eastAsia"/>
                <w:sz w:val="20"/>
                <w:szCs w:val="20"/>
              </w:rPr>
              <w:t>浙江服人网络科技有限公司</w:t>
            </w:r>
          </w:p>
        </w:tc>
        <w:tc>
          <w:tcPr>
            <w:tcW w:w="482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20"/>
                <w:szCs w:val="20"/>
              </w:rPr>
            </w:pPr>
            <w:r w:rsidRPr="00831C3C">
              <w:rPr>
                <w:rFonts w:hint="eastAsia"/>
                <w:sz w:val="20"/>
                <w:szCs w:val="20"/>
              </w:rPr>
              <w:t>注销</w:t>
            </w:r>
          </w:p>
        </w:tc>
      </w:tr>
      <w:tr w:rsidR="00831C3C" w:rsidRPr="00831C3C" w:rsidTr="00AC1232">
        <w:trPr>
          <w:divId w:val="100301120"/>
          <w:trHeight w:val="240"/>
        </w:trPr>
        <w:tc>
          <w:tcPr>
            <w:tcW w:w="4827"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20"/>
                <w:szCs w:val="20"/>
              </w:rPr>
            </w:pPr>
            <w:r w:rsidRPr="00831C3C">
              <w:rPr>
                <w:rFonts w:hint="eastAsia"/>
                <w:sz w:val="20"/>
                <w:szCs w:val="20"/>
              </w:rPr>
              <w:t>上海清澄时尚生活用品有限公司</w:t>
            </w:r>
          </w:p>
        </w:tc>
        <w:tc>
          <w:tcPr>
            <w:tcW w:w="482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20"/>
                <w:szCs w:val="20"/>
              </w:rPr>
            </w:pPr>
            <w:r w:rsidRPr="00831C3C">
              <w:rPr>
                <w:rFonts w:hint="eastAsia"/>
                <w:sz w:val="20"/>
                <w:szCs w:val="20"/>
              </w:rPr>
              <w:t>注销</w:t>
            </w:r>
          </w:p>
        </w:tc>
      </w:tr>
      <w:tr w:rsidR="00831C3C" w:rsidRPr="00831C3C" w:rsidTr="00AC1232">
        <w:trPr>
          <w:divId w:val="100301120"/>
          <w:trHeight w:val="240"/>
        </w:trPr>
        <w:tc>
          <w:tcPr>
            <w:tcW w:w="4827"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20"/>
                <w:szCs w:val="20"/>
              </w:rPr>
            </w:pPr>
            <w:r w:rsidRPr="00831C3C">
              <w:rPr>
                <w:rFonts w:hint="eastAsia"/>
                <w:sz w:val="20"/>
                <w:szCs w:val="20"/>
              </w:rPr>
              <w:t>江苏</w:t>
            </w:r>
            <w:proofErr w:type="gramStart"/>
            <w:r w:rsidRPr="00831C3C">
              <w:rPr>
                <w:rFonts w:hint="eastAsia"/>
                <w:sz w:val="20"/>
                <w:szCs w:val="20"/>
              </w:rPr>
              <w:t>清澄家</w:t>
            </w:r>
            <w:proofErr w:type="gramEnd"/>
            <w:r w:rsidRPr="00831C3C">
              <w:rPr>
                <w:rFonts w:hint="eastAsia"/>
                <w:sz w:val="20"/>
                <w:szCs w:val="20"/>
              </w:rPr>
              <w:t>生活用品有限公司</w:t>
            </w:r>
          </w:p>
        </w:tc>
        <w:tc>
          <w:tcPr>
            <w:tcW w:w="482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20"/>
                <w:szCs w:val="20"/>
              </w:rPr>
            </w:pPr>
            <w:r w:rsidRPr="00831C3C">
              <w:rPr>
                <w:rFonts w:hint="eastAsia"/>
                <w:sz w:val="20"/>
                <w:szCs w:val="20"/>
              </w:rPr>
              <w:t>注销</w:t>
            </w:r>
          </w:p>
        </w:tc>
      </w:tr>
      <w:tr w:rsidR="00831C3C" w:rsidRPr="00831C3C" w:rsidTr="00AC1232">
        <w:trPr>
          <w:divId w:val="100301120"/>
          <w:trHeight w:val="240"/>
        </w:trPr>
        <w:tc>
          <w:tcPr>
            <w:tcW w:w="4827"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20"/>
                <w:szCs w:val="20"/>
              </w:rPr>
            </w:pPr>
            <w:r w:rsidRPr="00831C3C">
              <w:rPr>
                <w:rFonts w:hint="eastAsia"/>
                <w:sz w:val="20"/>
                <w:szCs w:val="20"/>
              </w:rPr>
              <w:t>喀什</w:t>
            </w:r>
            <w:proofErr w:type="gramStart"/>
            <w:r w:rsidRPr="00831C3C">
              <w:rPr>
                <w:rFonts w:hint="eastAsia"/>
                <w:sz w:val="20"/>
                <w:szCs w:val="20"/>
              </w:rPr>
              <w:t>暄</w:t>
            </w:r>
            <w:proofErr w:type="gramEnd"/>
            <w:r w:rsidRPr="00831C3C">
              <w:rPr>
                <w:rFonts w:hint="eastAsia"/>
                <w:sz w:val="20"/>
                <w:szCs w:val="20"/>
              </w:rPr>
              <w:t>纺棉花有限公司</w:t>
            </w:r>
          </w:p>
        </w:tc>
        <w:tc>
          <w:tcPr>
            <w:tcW w:w="482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20"/>
                <w:szCs w:val="20"/>
              </w:rPr>
            </w:pPr>
            <w:proofErr w:type="gramStart"/>
            <w:r w:rsidRPr="00831C3C">
              <w:rPr>
                <w:rFonts w:hint="eastAsia"/>
                <w:sz w:val="20"/>
                <w:szCs w:val="20"/>
              </w:rPr>
              <w:t>非同控转让</w:t>
            </w:r>
            <w:proofErr w:type="gramEnd"/>
          </w:p>
        </w:tc>
      </w:tr>
      <w:tr w:rsidR="00831C3C" w:rsidRPr="00831C3C" w:rsidTr="00AC1232">
        <w:trPr>
          <w:divId w:val="100301120"/>
          <w:trHeight w:val="240"/>
        </w:trPr>
        <w:tc>
          <w:tcPr>
            <w:tcW w:w="4827"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20"/>
                <w:szCs w:val="20"/>
              </w:rPr>
            </w:pPr>
            <w:r w:rsidRPr="00831C3C">
              <w:rPr>
                <w:rFonts w:hint="eastAsia"/>
                <w:sz w:val="20"/>
                <w:szCs w:val="20"/>
              </w:rPr>
              <w:t>深圳市天计数</w:t>
            </w:r>
            <w:proofErr w:type="gramStart"/>
            <w:r w:rsidRPr="00831C3C">
              <w:rPr>
                <w:rFonts w:hint="eastAsia"/>
                <w:sz w:val="20"/>
                <w:szCs w:val="20"/>
              </w:rPr>
              <w:t>智科技</w:t>
            </w:r>
            <w:proofErr w:type="gramEnd"/>
            <w:r w:rsidRPr="00831C3C">
              <w:rPr>
                <w:rFonts w:hint="eastAsia"/>
                <w:sz w:val="20"/>
                <w:szCs w:val="20"/>
              </w:rPr>
              <w:t>有限公司</w:t>
            </w:r>
          </w:p>
        </w:tc>
        <w:tc>
          <w:tcPr>
            <w:tcW w:w="482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20"/>
                <w:szCs w:val="20"/>
              </w:rPr>
            </w:pPr>
            <w:proofErr w:type="gramStart"/>
            <w:r w:rsidRPr="00831C3C">
              <w:rPr>
                <w:rFonts w:hint="eastAsia"/>
                <w:sz w:val="20"/>
                <w:szCs w:val="20"/>
              </w:rPr>
              <w:t>非同控转让</w:t>
            </w:r>
            <w:proofErr w:type="gramEnd"/>
          </w:p>
        </w:tc>
      </w:tr>
      <w:tr w:rsidR="00831C3C" w:rsidRPr="00831C3C" w:rsidTr="00AC1232">
        <w:trPr>
          <w:divId w:val="100301120"/>
          <w:trHeight w:val="240"/>
        </w:trPr>
        <w:tc>
          <w:tcPr>
            <w:tcW w:w="4827"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20"/>
                <w:szCs w:val="20"/>
              </w:rPr>
            </w:pPr>
            <w:r w:rsidRPr="00831C3C">
              <w:rPr>
                <w:rFonts w:hint="eastAsia"/>
                <w:sz w:val="20"/>
                <w:szCs w:val="20"/>
              </w:rPr>
              <w:t>新疆泽孚棉花有限公司</w:t>
            </w:r>
          </w:p>
        </w:tc>
        <w:tc>
          <w:tcPr>
            <w:tcW w:w="4827"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20"/>
                <w:szCs w:val="20"/>
              </w:rPr>
            </w:pPr>
            <w:proofErr w:type="gramStart"/>
            <w:r w:rsidRPr="00831C3C">
              <w:rPr>
                <w:rFonts w:hint="eastAsia"/>
                <w:sz w:val="20"/>
                <w:szCs w:val="20"/>
              </w:rPr>
              <w:t>非同控转让</w:t>
            </w:r>
            <w:proofErr w:type="gramEnd"/>
          </w:p>
        </w:tc>
      </w:tr>
    </w:tbl>
    <w:p w:rsidR="00E23A97" w:rsidRPr="00831C3C" w:rsidRDefault="00C65FD5">
      <w:pPr>
        <w:pStyle w:val="2"/>
        <w:spacing w:before="300" w:after="300" w:line="320" w:lineRule="exact"/>
        <w:rPr>
          <w:rFonts w:ascii="宋体" w:eastAsia="宋体" w:hAnsi="宋体" w:cs="宋体"/>
          <w:b/>
          <w:bCs/>
          <w:sz w:val="24"/>
          <w:szCs w:val="24"/>
        </w:rPr>
      </w:pPr>
      <w:bookmarkStart w:id="118" w:name="_Toc989006"/>
      <w:r w:rsidRPr="00831C3C">
        <w:rPr>
          <w:rFonts w:ascii="宋体" w:eastAsia="宋体" w:hAnsi="宋体" w:cs="宋体"/>
          <w:b/>
          <w:bCs/>
          <w:sz w:val="24"/>
          <w:szCs w:val="24"/>
        </w:rPr>
        <w:t>八、聘任、解聘会计师事务所情况</w:t>
      </w:r>
      <w:bookmarkEnd w:id="118"/>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现聘任的会计师事务所</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4820"/>
        <w:gridCol w:w="4819"/>
      </w:tblGrid>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境内会计师事务所名称</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政</w:t>
            </w:r>
            <w:proofErr w:type="gramStart"/>
            <w:r w:rsidRPr="00831C3C">
              <w:rPr>
                <w:rFonts w:ascii="宋体" w:eastAsia="宋体" w:hAnsi="宋体" w:cs="宋体"/>
                <w:sz w:val="18"/>
                <w:szCs w:val="18"/>
              </w:rPr>
              <w:t>旦</w:t>
            </w:r>
            <w:proofErr w:type="gramEnd"/>
            <w:r w:rsidRPr="00831C3C">
              <w:rPr>
                <w:rFonts w:ascii="宋体" w:eastAsia="宋体" w:hAnsi="宋体" w:cs="宋体"/>
                <w:sz w:val="18"/>
                <w:szCs w:val="18"/>
              </w:rPr>
              <w:t>志远（深圳）会计师事务所（特殊普通合伙）</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境内会计师事务所报酬（万元）</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150</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境内会计师事务所审计服务的连续年限</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境内会计师事务所注册会计师姓名</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陈磊、张吉宝</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境内会计师事务所注册会计师审计服务的连续年限</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陈磊2年，张吉宝3年</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当期是否改聘会计师事务所</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□是</w:t>
      </w:r>
      <w:r w:rsidRPr="00831C3C">
        <w:rPr>
          <w:rFonts w:ascii="宋体" w:eastAsia="宋体" w:hAnsi="宋体" w:cs="宋体"/>
          <w:sz w:val="18"/>
          <w:szCs w:val="18"/>
        </w:rPr>
        <w:sym w:font="Wingdings 2" w:char="F052"/>
      </w:r>
      <w:r w:rsidRPr="00831C3C">
        <w:rPr>
          <w:rFonts w:ascii="宋体" w:eastAsia="宋体" w:hAnsi="宋体" w:cs="宋体"/>
          <w:sz w:val="18"/>
          <w:szCs w:val="18"/>
        </w:rPr>
        <w:t>否</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聘请内部控制审计会计师事务所、财务顾问或保荐人情况</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适用□不适用</w:t>
      </w:r>
    </w:p>
    <w:p w:rsidR="00C65FD5" w:rsidRPr="00831C3C" w:rsidRDefault="00C65FD5">
      <w:pPr>
        <w:pStyle w:val="a3"/>
        <w:divId w:val="860776764"/>
        <w:rPr>
          <w:sz w:val="18"/>
          <w:szCs w:val="18"/>
        </w:rPr>
      </w:pPr>
      <w:r w:rsidRPr="00831C3C">
        <w:rPr>
          <w:rFonts w:hint="eastAsia"/>
          <w:sz w:val="18"/>
          <w:szCs w:val="18"/>
        </w:rPr>
        <w:t>2023年度，公司聘请</w:t>
      </w:r>
      <w:proofErr w:type="gramStart"/>
      <w:r w:rsidRPr="00831C3C">
        <w:rPr>
          <w:rFonts w:hint="eastAsia"/>
        </w:rPr>
        <w:t>旦</w:t>
      </w:r>
      <w:proofErr w:type="gramEnd"/>
      <w:r w:rsidRPr="00831C3C">
        <w:rPr>
          <w:rFonts w:hint="eastAsia"/>
        </w:rPr>
        <w:t>志远（深圳）会计师事务所（特殊普通合伙）</w:t>
      </w:r>
      <w:r w:rsidRPr="00831C3C">
        <w:rPr>
          <w:rFonts w:hint="eastAsia"/>
          <w:sz w:val="18"/>
          <w:szCs w:val="18"/>
        </w:rPr>
        <w:t>担任公司内部控制审计会计师事务所。</w:t>
      </w:r>
    </w:p>
    <w:p w:rsidR="00E23A97" w:rsidRPr="00831C3C" w:rsidRDefault="00C65FD5">
      <w:pPr>
        <w:pStyle w:val="2"/>
        <w:spacing w:before="300" w:after="300" w:line="320" w:lineRule="exact"/>
        <w:rPr>
          <w:rFonts w:ascii="宋体" w:eastAsia="宋体" w:hAnsi="宋体" w:cs="宋体"/>
          <w:b/>
          <w:bCs/>
          <w:sz w:val="24"/>
          <w:szCs w:val="24"/>
        </w:rPr>
      </w:pPr>
      <w:bookmarkStart w:id="119" w:name="_Toc989007"/>
      <w:r w:rsidRPr="00831C3C">
        <w:rPr>
          <w:rFonts w:ascii="宋体" w:eastAsia="宋体" w:hAnsi="宋体" w:cs="宋体"/>
          <w:b/>
          <w:bCs/>
          <w:sz w:val="24"/>
          <w:szCs w:val="24"/>
        </w:rPr>
        <w:t>九、年度报告披露后面临退市情况</w:t>
      </w:r>
      <w:bookmarkEnd w:id="119"/>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pStyle w:val="2"/>
        <w:spacing w:before="300" w:after="300" w:line="320" w:lineRule="exact"/>
        <w:rPr>
          <w:rFonts w:ascii="宋体" w:eastAsia="宋体" w:hAnsi="宋体" w:cs="宋体"/>
          <w:b/>
          <w:bCs/>
          <w:sz w:val="24"/>
          <w:szCs w:val="24"/>
        </w:rPr>
      </w:pPr>
      <w:bookmarkStart w:id="120" w:name="_Toc989008"/>
      <w:r w:rsidRPr="00831C3C">
        <w:rPr>
          <w:rFonts w:ascii="宋体" w:eastAsia="宋体" w:hAnsi="宋体" w:cs="宋体"/>
          <w:b/>
          <w:bCs/>
          <w:sz w:val="24"/>
          <w:szCs w:val="24"/>
        </w:rPr>
        <w:lastRenderedPageBreak/>
        <w:t>十、破产重整相关事项</w:t>
      </w:r>
      <w:bookmarkEnd w:id="120"/>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公司报告期未发生破产重整相关事项。</w:t>
      </w:r>
    </w:p>
    <w:p w:rsidR="00E23A97" w:rsidRPr="00831C3C" w:rsidRDefault="00C65FD5">
      <w:pPr>
        <w:pStyle w:val="2"/>
        <w:spacing w:before="300" w:after="300" w:line="320" w:lineRule="exact"/>
        <w:rPr>
          <w:rFonts w:ascii="宋体" w:eastAsia="宋体" w:hAnsi="宋体" w:cs="宋体"/>
          <w:b/>
          <w:bCs/>
          <w:sz w:val="24"/>
          <w:szCs w:val="24"/>
        </w:rPr>
      </w:pPr>
      <w:bookmarkStart w:id="121" w:name="_Toc989009"/>
      <w:r w:rsidRPr="00831C3C">
        <w:rPr>
          <w:rFonts w:ascii="宋体" w:eastAsia="宋体" w:hAnsi="宋体" w:cs="宋体"/>
          <w:b/>
          <w:bCs/>
          <w:sz w:val="24"/>
          <w:szCs w:val="24"/>
        </w:rPr>
        <w:t>十一、重大诉讼、仲裁事项</w:t>
      </w:r>
      <w:bookmarkEnd w:id="121"/>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本报告期公司无重大诉讼、仲裁事项。</w:t>
      </w:r>
    </w:p>
    <w:p w:rsidR="00E23A97" w:rsidRPr="00831C3C" w:rsidRDefault="00C65FD5">
      <w:pPr>
        <w:pStyle w:val="2"/>
        <w:spacing w:before="300" w:after="300" w:line="320" w:lineRule="exact"/>
        <w:rPr>
          <w:rFonts w:ascii="宋体" w:eastAsia="宋体" w:hAnsi="宋体" w:cs="宋体"/>
          <w:b/>
          <w:bCs/>
          <w:sz w:val="24"/>
          <w:szCs w:val="24"/>
        </w:rPr>
      </w:pPr>
      <w:bookmarkStart w:id="122" w:name="_Toc989010"/>
      <w:r w:rsidRPr="00831C3C">
        <w:rPr>
          <w:rFonts w:ascii="宋体" w:eastAsia="宋体" w:hAnsi="宋体" w:cs="宋体"/>
          <w:b/>
          <w:bCs/>
          <w:sz w:val="24"/>
          <w:szCs w:val="24"/>
        </w:rPr>
        <w:t>十二、处罚及整改情况</w:t>
      </w:r>
      <w:bookmarkEnd w:id="122"/>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公司报告期不存在处罚及整改情况。</w:t>
      </w:r>
    </w:p>
    <w:p w:rsidR="00E23A97" w:rsidRPr="00831C3C" w:rsidRDefault="00C65FD5">
      <w:pPr>
        <w:pStyle w:val="2"/>
        <w:spacing w:before="300" w:after="300" w:line="320" w:lineRule="exact"/>
        <w:rPr>
          <w:rFonts w:ascii="宋体" w:eastAsia="宋体" w:hAnsi="宋体" w:cs="宋体"/>
          <w:b/>
          <w:bCs/>
          <w:sz w:val="24"/>
          <w:szCs w:val="24"/>
        </w:rPr>
      </w:pPr>
      <w:bookmarkStart w:id="123" w:name="_Toc989011"/>
      <w:r w:rsidRPr="00831C3C">
        <w:rPr>
          <w:rFonts w:ascii="宋体" w:eastAsia="宋体" w:hAnsi="宋体" w:cs="宋体"/>
          <w:b/>
          <w:bCs/>
          <w:sz w:val="24"/>
          <w:szCs w:val="24"/>
        </w:rPr>
        <w:t>十三、公司及其控股股东、实际控制人的诚信状况</w:t>
      </w:r>
      <w:bookmarkEnd w:id="123"/>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pStyle w:val="2"/>
        <w:spacing w:before="300" w:after="300" w:line="320" w:lineRule="exact"/>
        <w:rPr>
          <w:rFonts w:ascii="宋体" w:eastAsia="宋体" w:hAnsi="宋体" w:cs="宋体"/>
          <w:b/>
          <w:bCs/>
          <w:sz w:val="24"/>
          <w:szCs w:val="24"/>
        </w:rPr>
      </w:pPr>
      <w:bookmarkStart w:id="124" w:name="_Toc989012"/>
      <w:r w:rsidRPr="00831C3C">
        <w:rPr>
          <w:rFonts w:ascii="宋体" w:eastAsia="宋体" w:hAnsi="宋体" w:cs="宋体"/>
          <w:b/>
          <w:bCs/>
          <w:sz w:val="24"/>
          <w:szCs w:val="24"/>
        </w:rPr>
        <w:t>十四、重大关联交易</w:t>
      </w:r>
      <w:bookmarkEnd w:id="124"/>
    </w:p>
    <w:p w:rsidR="00E23A97" w:rsidRPr="00831C3C" w:rsidRDefault="00C65FD5">
      <w:pPr>
        <w:pStyle w:val="3"/>
        <w:spacing w:line="280" w:lineRule="exact"/>
        <w:jc w:val="left"/>
        <w:rPr>
          <w:rFonts w:ascii="宋体" w:hAnsi="宋体" w:cs="宋体"/>
          <w:b/>
          <w:bCs/>
        </w:rPr>
      </w:pPr>
      <w:bookmarkStart w:id="125" w:name="_Toc989013"/>
      <w:r w:rsidRPr="00831C3C">
        <w:rPr>
          <w:rFonts w:ascii="宋体" w:hAnsi="宋体" w:cs="宋体"/>
          <w:b/>
          <w:bCs/>
        </w:rPr>
        <w:t>1、与日常经营相关的关联交易</w:t>
      </w:r>
      <w:bookmarkEnd w:id="125"/>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适用□不适用</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689"/>
        <w:gridCol w:w="689"/>
        <w:gridCol w:w="689"/>
        <w:gridCol w:w="689"/>
        <w:gridCol w:w="689"/>
        <w:gridCol w:w="689"/>
        <w:gridCol w:w="689"/>
        <w:gridCol w:w="688"/>
        <w:gridCol w:w="688"/>
        <w:gridCol w:w="688"/>
        <w:gridCol w:w="688"/>
        <w:gridCol w:w="688"/>
        <w:gridCol w:w="688"/>
        <w:gridCol w:w="688"/>
      </w:tblGrid>
      <w:tr w:rsidR="00831C3C" w:rsidRPr="00831C3C">
        <w:trPr>
          <w:trHeight w:val="240"/>
        </w:trPr>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关联交易方</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关联关系</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关联交易类型</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关联交易内容</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关联交易定价原则</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关联交易价格</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关联交易金额（万元）</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占同类交易金额的比例</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获批的交易额度（万元）</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是否超过获批额度</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关联交易结算方式</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可获得的同类交易市价</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披露日期</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披露索引</w:t>
            </w:r>
          </w:p>
        </w:tc>
      </w:tr>
      <w:tr w:rsidR="00831C3C" w:rsidRPr="00831C3C">
        <w:trPr>
          <w:trHeight w:val="240"/>
        </w:trPr>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安徽环</w:t>
            </w:r>
            <w:proofErr w:type="gramStart"/>
            <w:r w:rsidRPr="00831C3C">
              <w:rPr>
                <w:rFonts w:ascii="宋体" w:eastAsia="宋体" w:hAnsi="宋体" w:cs="宋体"/>
                <w:sz w:val="18"/>
                <w:szCs w:val="18"/>
              </w:rPr>
              <w:t>捷供应</w:t>
            </w:r>
            <w:proofErr w:type="gramEnd"/>
            <w:r w:rsidRPr="00831C3C">
              <w:rPr>
                <w:rFonts w:ascii="宋体" w:eastAsia="宋体" w:hAnsi="宋体" w:cs="宋体"/>
                <w:sz w:val="18"/>
                <w:szCs w:val="18"/>
              </w:rPr>
              <w:t>链管理有限公司</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上期处置的联营企业</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接受提供的劳务</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仓储物流</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市场价格</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13,276.92</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69.38%</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15,000</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银行转账、承兑汇票</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2024年04月27日</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2024年4月27日披露在巨潮资讯网、《中国证券报》和《证券时报》的2024-22号公告</w:t>
            </w:r>
          </w:p>
        </w:tc>
      </w:tr>
      <w:tr w:rsidR="00831C3C" w:rsidRPr="00831C3C">
        <w:trPr>
          <w:trHeight w:val="240"/>
        </w:trPr>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呼图</w:t>
            </w:r>
            <w:r w:rsidRPr="00831C3C">
              <w:rPr>
                <w:rFonts w:ascii="宋体" w:eastAsia="宋体" w:hAnsi="宋体" w:cs="宋体"/>
                <w:sz w:val="18"/>
                <w:szCs w:val="18"/>
              </w:rPr>
              <w:lastRenderedPageBreak/>
              <w:t>壁县</w:t>
            </w:r>
            <w:proofErr w:type="gramStart"/>
            <w:r w:rsidRPr="00831C3C">
              <w:rPr>
                <w:rFonts w:ascii="宋体" w:eastAsia="宋体" w:hAnsi="宋体" w:cs="宋体"/>
                <w:sz w:val="18"/>
                <w:szCs w:val="18"/>
              </w:rPr>
              <w:t>宏盛棉业</w:t>
            </w:r>
            <w:proofErr w:type="gramEnd"/>
            <w:r w:rsidRPr="00831C3C">
              <w:rPr>
                <w:rFonts w:ascii="宋体" w:eastAsia="宋体" w:hAnsi="宋体" w:cs="宋体"/>
                <w:sz w:val="18"/>
                <w:szCs w:val="18"/>
              </w:rPr>
              <w:t>有限公司</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lastRenderedPageBreak/>
              <w:t>上期</w:t>
            </w:r>
            <w:r w:rsidRPr="00831C3C">
              <w:rPr>
                <w:rFonts w:ascii="宋体" w:eastAsia="宋体" w:hAnsi="宋体" w:cs="宋体"/>
                <w:sz w:val="18"/>
                <w:szCs w:val="18"/>
              </w:rPr>
              <w:lastRenderedPageBreak/>
              <w:t>处置的控股子公司</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lastRenderedPageBreak/>
              <w:t>购买</w:t>
            </w:r>
            <w:r w:rsidRPr="00831C3C">
              <w:rPr>
                <w:rFonts w:ascii="宋体" w:eastAsia="宋体" w:hAnsi="宋体" w:cs="宋体"/>
                <w:sz w:val="18"/>
                <w:szCs w:val="18"/>
              </w:rPr>
              <w:lastRenderedPageBreak/>
              <w:t>或销售商品</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lastRenderedPageBreak/>
              <w:t>采购</w:t>
            </w:r>
            <w:r w:rsidRPr="00831C3C">
              <w:rPr>
                <w:rFonts w:ascii="宋体" w:eastAsia="宋体" w:hAnsi="宋体" w:cs="宋体"/>
                <w:sz w:val="18"/>
                <w:szCs w:val="18"/>
              </w:rPr>
              <w:lastRenderedPageBreak/>
              <w:t>棉花</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lastRenderedPageBreak/>
              <w:t>市场</w:t>
            </w:r>
            <w:r w:rsidRPr="00831C3C">
              <w:rPr>
                <w:rFonts w:ascii="宋体" w:eastAsia="宋体" w:hAnsi="宋体" w:cs="宋体"/>
                <w:sz w:val="18"/>
                <w:szCs w:val="18"/>
              </w:rPr>
              <w:lastRenderedPageBreak/>
              <w:t>价格</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lastRenderedPageBreak/>
              <w:t>-</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8,241</w:t>
            </w:r>
            <w:r w:rsidRPr="00831C3C">
              <w:rPr>
                <w:rFonts w:ascii="宋体" w:eastAsia="宋体" w:hAnsi="宋体" w:cs="宋体"/>
                <w:sz w:val="18"/>
                <w:szCs w:val="18"/>
              </w:rPr>
              <w:lastRenderedPageBreak/>
              <w:t>.62</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lastRenderedPageBreak/>
              <w:t>0.80%</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银行</w:t>
            </w:r>
            <w:r w:rsidRPr="00831C3C">
              <w:rPr>
                <w:rFonts w:ascii="宋体" w:eastAsia="宋体" w:hAnsi="宋体" w:cs="宋体"/>
                <w:sz w:val="18"/>
                <w:szCs w:val="18"/>
              </w:rPr>
              <w:lastRenderedPageBreak/>
              <w:t>转账、承兑汇票</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lastRenderedPageBreak/>
              <w:t>-</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trPr>
          <w:trHeight w:val="240"/>
        </w:trPr>
        <w:tc>
          <w:tcPr>
            <w:tcW w:w="2754"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lastRenderedPageBreak/>
              <w:t>合计</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21,518.54</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15,000</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r>
      <w:tr w:rsidR="00831C3C" w:rsidRPr="00831C3C">
        <w:trPr>
          <w:trHeight w:val="240"/>
        </w:trPr>
        <w:tc>
          <w:tcPr>
            <w:tcW w:w="2754"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大额销货退回的详细情况</w:t>
            </w:r>
          </w:p>
        </w:tc>
        <w:tc>
          <w:tcPr>
            <w:tcW w:w="6885" w:type="dxa"/>
            <w:gridSpan w:val="10"/>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r>
      <w:tr w:rsidR="00831C3C" w:rsidRPr="00831C3C">
        <w:trPr>
          <w:trHeight w:val="240"/>
        </w:trPr>
        <w:tc>
          <w:tcPr>
            <w:tcW w:w="2754"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按类别对本期将发生的日常关联交易进行总金额预计的，在报告期内的实际履行情况（如有）</w:t>
            </w:r>
          </w:p>
        </w:tc>
        <w:tc>
          <w:tcPr>
            <w:tcW w:w="6885" w:type="dxa"/>
            <w:gridSpan w:val="10"/>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r>
      <w:tr w:rsidR="00831C3C" w:rsidRPr="00831C3C">
        <w:trPr>
          <w:trHeight w:val="240"/>
        </w:trPr>
        <w:tc>
          <w:tcPr>
            <w:tcW w:w="2754"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交易价格与市场参考价格差异较大的原因（如适用）</w:t>
            </w:r>
          </w:p>
        </w:tc>
        <w:tc>
          <w:tcPr>
            <w:tcW w:w="6885" w:type="dxa"/>
            <w:gridSpan w:val="10"/>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不适用</w:t>
            </w:r>
          </w:p>
        </w:tc>
      </w:tr>
    </w:tbl>
    <w:p w:rsidR="00E23A97" w:rsidRPr="00831C3C" w:rsidRDefault="00C65FD5">
      <w:pPr>
        <w:pStyle w:val="3"/>
        <w:spacing w:line="280" w:lineRule="exact"/>
        <w:jc w:val="left"/>
        <w:rPr>
          <w:rFonts w:ascii="宋体" w:hAnsi="宋体" w:cs="宋体"/>
          <w:b/>
          <w:bCs/>
        </w:rPr>
      </w:pPr>
      <w:bookmarkStart w:id="126" w:name="_Toc989014"/>
      <w:r w:rsidRPr="00831C3C">
        <w:rPr>
          <w:rFonts w:ascii="宋体" w:hAnsi="宋体" w:cs="宋体"/>
          <w:b/>
          <w:bCs/>
        </w:rPr>
        <w:t>2、资产或股权收购、出售发生的关联交易</w:t>
      </w:r>
      <w:bookmarkEnd w:id="126"/>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适用□不适用</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803"/>
        <w:gridCol w:w="803"/>
        <w:gridCol w:w="803"/>
        <w:gridCol w:w="804"/>
        <w:gridCol w:w="803"/>
        <w:gridCol w:w="803"/>
        <w:gridCol w:w="803"/>
        <w:gridCol w:w="803"/>
        <w:gridCol w:w="803"/>
        <w:gridCol w:w="803"/>
        <w:gridCol w:w="803"/>
        <w:gridCol w:w="805"/>
      </w:tblGrid>
      <w:tr w:rsidR="00831C3C" w:rsidRPr="00831C3C">
        <w:trPr>
          <w:trHeight w:val="240"/>
        </w:trPr>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关联方</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关联关系</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关联交易类型</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关联交易内容</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关联交易定价原则</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转让资产的账面价值（万元）</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转让资产的评估价值（万元）</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转让价格（万元）</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关联交易结算方式</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交易损益（万元）</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披露日期</w:t>
            </w:r>
          </w:p>
        </w:tc>
        <w:tc>
          <w:tcPr>
            <w:tcW w:w="80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披露索引</w:t>
            </w:r>
          </w:p>
        </w:tc>
      </w:tr>
      <w:tr w:rsidR="00831C3C" w:rsidRPr="00831C3C">
        <w:trPr>
          <w:trHeight w:val="240"/>
        </w:trPr>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浙江华孚网链投资管理有限公司</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公司实际控制人孙伟挺在该公司担任董事</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购买资产</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购买土地使用权及房屋建筑物</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评估价格</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30,209.06</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30,200</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银行转账、承兑汇票</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2024年06月29日</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关于上虞时尚总部物业实施交付暨关联交易进展的公告</w:t>
            </w:r>
          </w:p>
        </w:tc>
      </w:tr>
      <w:tr w:rsidR="00831C3C" w:rsidRPr="00831C3C">
        <w:trPr>
          <w:trHeight w:val="240"/>
        </w:trPr>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绍兴市上虞区华孚房地产开发有限公司</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与本公司为同一控股股东</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出售资产</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销售房产</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市场价</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321.68</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782.84</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银行转账、承兑汇票</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461.16</w:t>
            </w: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80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trPr>
          <w:trHeight w:val="240"/>
        </w:trPr>
        <w:tc>
          <w:tcPr>
            <w:tcW w:w="3213"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转让价格与账面价值或评估价值差异较大的原因（如有）</w:t>
            </w:r>
          </w:p>
        </w:tc>
        <w:tc>
          <w:tcPr>
            <w:tcW w:w="6426" w:type="dxa"/>
            <w:gridSpan w:val="8"/>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建设时间早，资产增值。</w:t>
            </w:r>
          </w:p>
        </w:tc>
      </w:tr>
      <w:tr w:rsidR="00831C3C" w:rsidRPr="00831C3C">
        <w:trPr>
          <w:trHeight w:val="240"/>
        </w:trPr>
        <w:tc>
          <w:tcPr>
            <w:tcW w:w="3213"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对公司经营成果与财务状况的影响情况</w:t>
            </w:r>
          </w:p>
        </w:tc>
        <w:tc>
          <w:tcPr>
            <w:tcW w:w="6426" w:type="dxa"/>
            <w:gridSpan w:val="8"/>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为顺应政府转型升级、提升集群制造产业</w:t>
            </w:r>
            <w:proofErr w:type="gramStart"/>
            <w:r w:rsidRPr="00831C3C">
              <w:rPr>
                <w:rFonts w:ascii="宋体" w:eastAsia="宋体" w:hAnsi="宋体" w:cs="宋体"/>
                <w:sz w:val="18"/>
                <w:szCs w:val="18"/>
              </w:rPr>
              <w:t>链发展</w:t>
            </w:r>
            <w:proofErr w:type="gramEnd"/>
            <w:r w:rsidRPr="00831C3C">
              <w:rPr>
                <w:rFonts w:ascii="宋体" w:eastAsia="宋体" w:hAnsi="宋体" w:cs="宋体"/>
                <w:sz w:val="18"/>
                <w:szCs w:val="18"/>
              </w:rPr>
              <w:t>需要，</w:t>
            </w:r>
            <w:proofErr w:type="gramStart"/>
            <w:r w:rsidRPr="00831C3C">
              <w:rPr>
                <w:rFonts w:ascii="宋体" w:eastAsia="宋体" w:hAnsi="宋体" w:cs="宋体"/>
                <w:sz w:val="18"/>
                <w:szCs w:val="18"/>
              </w:rPr>
              <w:t>发挥长</w:t>
            </w:r>
            <w:proofErr w:type="gramEnd"/>
            <w:r w:rsidRPr="00831C3C">
              <w:rPr>
                <w:rFonts w:ascii="宋体" w:eastAsia="宋体" w:hAnsi="宋体" w:cs="宋体"/>
                <w:sz w:val="18"/>
                <w:szCs w:val="18"/>
              </w:rPr>
              <w:t>三角纺织产业集群优势，公司购置房产，目的在于建设上虞时尚总部，主要聚焦在纱线变面料，面料</w:t>
            </w:r>
            <w:proofErr w:type="gramStart"/>
            <w:r w:rsidRPr="00831C3C">
              <w:rPr>
                <w:rFonts w:ascii="宋体" w:eastAsia="宋体" w:hAnsi="宋体" w:cs="宋体"/>
                <w:sz w:val="18"/>
                <w:szCs w:val="18"/>
              </w:rPr>
              <w:t>变服装</w:t>
            </w:r>
            <w:proofErr w:type="gramEnd"/>
            <w:r w:rsidRPr="00831C3C">
              <w:rPr>
                <w:rFonts w:ascii="宋体" w:eastAsia="宋体" w:hAnsi="宋体" w:cs="宋体"/>
                <w:sz w:val="18"/>
                <w:szCs w:val="18"/>
              </w:rPr>
              <w:t>的增值链。融合样品设计中心、产品供应中心、</w:t>
            </w:r>
            <w:proofErr w:type="gramStart"/>
            <w:r w:rsidRPr="00831C3C">
              <w:rPr>
                <w:rFonts w:ascii="宋体" w:eastAsia="宋体" w:hAnsi="宋体" w:cs="宋体"/>
                <w:sz w:val="18"/>
                <w:szCs w:val="18"/>
              </w:rPr>
              <w:t>算力中心</w:t>
            </w:r>
            <w:proofErr w:type="gramEnd"/>
            <w:r w:rsidRPr="00831C3C">
              <w:rPr>
                <w:rFonts w:ascii="宋体" w:eastAsia="宋体" w:hAnsi="宋体" w:cs="宋体"/>
                <w:sz w:val="18"/>
                <w:szCs w:val="18"/>
              </w:rPr>
              <w:t>、电商交易中心、品牌展示中心和时尚休闲中心于一体，有助于吸引纱、布、</w:t>
            </w:r>
            <w:proofErr w:type="gramStart"/>
            <w:r w:rsidRPr="00831C3C">
              <w:rPr>
                <w:rFonts w:ascii="宋体" w:eastAsia="宋体" w:hAnsi="宋体" w:cs="宋体"/>
                <w:sz w:val="18"/>
                <w:szCs w:val="18"/>
              </w:rPr>
              <w:t>衣供应链企业</w:t>
            </w:r>
            <w:proofErr w:type="gramEnd"/>
            <w:r w:rsidRPr="00831C3C">
              <w:rPr>
                <w:rFonts w:ascii="宋体" w:eastAsia="宋体" w:hAnsi="宋体" w:cs="宋体"/>
                <w:sz w:val="18"/>
                <w:szCs w:val="18"/>
              </w:rPr>
              <w:t>和专业人才，打造</w:t>
            </w:r>
            <w:proofErr w:type="gramStart"/>
            <w:r w:rsidRPr="00831C3C">
              <w:rPr>
                <w:rFonts w:ascii="宋体" w:eastAsia="宋体" w:hAnsi="宋体" w:cs="宋体"/>
                <w:sz w:val="18"/>
                <w:szCs w:val="18"/>
              </w:rPr>
              <w:t>数智化纺服</w:t>
            </w:r>
            <w:proofErr w:type="gramEnd"/>
            <w:r w:rsidRPr="00831C3C">
              <w:rPr>
                <w:rFonts w:ascii="宋体" w:eastAsia="宋体" w:hAnsi="宋体" w:cs="宋体"/>
                <w:sz w:val="18"/>
                <w:szCs w:val="18"/>
              </w:rPr>
              <w:t>垂直一体化供应链平台。</w:t>
            </w:r>
          </w:p>
        </w:tc>
      </w:tr>
      <w:tr w:rsidR="00831C3C" w:rsidRPr="00831C3C">
        <w:trPr>
          <w:trHeight w:val="240"/>
        </w:trPr>
        <w:tc>
          <w:tcPr>
            <w:tcW w:w="3213"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如相关交易涉及业绩约定的，报告期内的业绩实现情况</w:t>
            </w:r>
          </w:p>
        </w:tc>
        <w:tc>
          <w:tcPr>
            <w:tcW w:w="6426" w:type="dxa"/>
            <w:gridSpan w:val="8"/>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不适用。</w:t>
            </w:r>
          </w:p>
        </w:tc>
      </w:tr>
    </w:tbl>
    <w:p w:rsidR="00E23A97" w:rsidRPr="00831C3C" w:rsidRDefault="00C65FD5">
      <w:pPr>
        <w:pStyle w:val="3"/>
        <w:spacing w:line="280" w:lineRule="exact"/>
        <w:jc w:val="left"/>
        <w:rPr>
          <w:rFonts w:ascii="宋体" w:hAnsi="宋体" w:cs="宋体"/>
          <w:b/>
          <w:bCs/>
        </w:rPr>
      </w:pPr>
      <w:bookmarkStart w:id="127" w:name="_Toc989015"/>
      <w:r w:rsidRPr="00831C3C">
        <w:rPr>
          <w:rFonts w:ascii="宋体" w:hAnsi="宋体" w:cs="宋体"/>
          <w:b/>
          <w:bCs/>
        </w:rPr>
        <w:t>3、共同对外投资的关联交易</w:t>
      </w:r>
      <w:bookmarkEnd w:id="127"/>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公司报告期未发生共同对外投资的关联交易。</w:t>
      </w:r>
    </w:p>
    <w:p w:rsidR="00E23A97" w:rsidRPr="00831C3C" w:rsidRDefault="00C65FD5">
      <w:pPr>
        <w:pStyle w:val="3"/>
        <w:spacing w:line="280" w:lineRule="exact"/>
        <w:jc w:val="left"/>
        <w:rPr>
          <w:rFonts w:ascii="宋体" w:hAnsi="宋体" w:cs="宋体"/>
          <w:b/>
          <w:bCs/>
        </w:rPr>
      </w:pPr>
      <w:bookmarkStart w:id="128" w:name="_Toc989016"/>
      <w:r w:rsidRPr="00831C3C">
        <w:rPr>
          <w:rFonts w:ascii="宋体" w:hAnsi="宋体" w:cs="宋体"/>
          <w:b/>
          <w:bCs/>
        </w:rPr>
        <w:lastRenderedPageBreak/>
        <w:t>4、关联债权债务往来</w:t>
      </w:r>
      <w:bookmarkEnd w:id="128"/>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公司报告期不存在关联债权债务往来。</w:t>
      </w:r>
    </w:p>
    <w:p w:rsidR="00E23A97" w:rsidRPr="00831C3C" w:rsidRDefault="00C65FD5">
      <w:pPr>
        <w:pStyle w:val="3"/>
        <w:spacing w:line="280" w:lineRule="exact"/>
        <w:jc w:val="left"/>
        <w:rPr>
          <w:rFonts w:ascii="宋体" w:hAnsi="宋体" w:cs="宋体"/>
          <w:b/>
          <w:bCs/>
        </w:rPr>
      </w:pPr>
      <w:bookmarkStart w:id="129" w:name="_Toc989017"/>
      <w:r w:rsidRPr="00831C3C">
        <w:rPr>
          <w:rFonts w:ascii="宋体" w:hAnsi="宋体" w:cs="宋体"/>
          <w:b/>
          <w:bCs/>
        </w:rPr>
        <w:t>5、与存在关联关系的财务公司的往来情况</w:t>
      </w:r>
      <w:bookmarkEnd w:id="129"/>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公司与存在关联关系的财务公司与关联方之间不存在存款、贷款、授信或其他金融业务。</w:t>
      </w:r>
    </w:p>
    <w:p w:rsidR="00E23A97" w:rsidRPr="00831C3C" w:rsidRDefault="00C65FD5">
      <w:pPr>
        <w:pStyle w:val="3"/>
        <w:spacing w:line="280" w:lineRule="exact"/>
        <w:jc w:val="left"/>
        <w:rPr>
          <w:rFonts w:ascii="宋体" w:hAnsi="宋体" w:cs="宋体"/>
          <w:b/>
          <w:bCs/>
        </w:rPr>
      </w:pPr>
      <w:bookmarkStart w:id="130" w:name="_Toc989018"/>
      <w:r w:rsidRPr="00831C3C">
        <w:rPr>
          <w:rFonts w:ascii="宋体" w:hAnsi="宋体" w:cs="宋体"/>
          <w:b/>
          <w:bCs/>
        </w:rPr>
        <w:t>6、公司控股的财务公司与关联方的往来情况</w:t>
      </w:r>
      <w:bookmarkEnd w:id="130"/>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公司控股的财务公司与关联方之间不存在存款、贷款、授信或其他金融业务。</w:t>
      </w:r>
    </w:p>
    <w:p w:rsidR="00E23A97" w:rsidRPr="00831C3C" w:rsidRDefault="00C65FD5">
      <w:pPr>
        <w:pStyle w:val="3"/>
        <w:spacing w:line="280" w:lineRule="exact"/>
        <w:jc w:val="left"/>
        <w:rPr>
          <w:rFonts w:ascii="宋体" w:hAnsi="宋体" w:cs="宋体"/>
          <w:b/>
          <w:bCs/>
        </w:rPr>
      </w:pPr>
      <w:bookmarkStart w:id="131" w:name="_Toc989019"/>
      <w:r w:rsidRPr="00831C3C">
        <w:rPr>
          <w:rFonts w:ascii="宋体" w:hAnsi="宋体" w:cs="宋体"/>
          <w:b/>
          <w:bCs/>
        </w:rPr>
        <w:t>7、其他重大关联交易</w:t>
      </w:r>
      <w:bookmarkEnd w:id="131"/>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公司报告期无其他重大关联交易。</w:t>
      </w:r>
    </w:p>
    <w:p w:rsidR="00E23A97" w:rsidRPr="00831C3C" w:rsidRDefault="00C65FD5">
      <w:pPr>
        <w:pStyle w:val="2"/>
        <w:spacing w:before="300" w:after="300" w:line="320" w:lineRule="exact"/>
        <w:rPr>
          <w:rFonts w:ascii="宋体" w:eastAsia="宋体" w:hAnsi="宋体" w:cs="宋体"/>
          <w:b/>
          <w:bCs/>
          <w:sz w:val="24"/>
          <w:szCs w:val="24"/>
        </w:rPr>
      </w:pPr>
      <w:bookmarkStart w:id="132" w:name="_Toc989020"/>
      <w:r w:rsidRPr="00831C3C">
        <w:rPr>
          <w:rFonts w:ascii="宋体" w:eastAsia="宋体" w:hAnsi="宋体" w:cs="宋体"/>
          <w:b/>
          <w:bCs/>
          <w:sz w:val="24"/>
          <w:szCs w:val="24"/>
        </w:rPr>
        <w:t>十五、重大合同及其履行情况</w:t>
      </w:r>
      <w:bookmarkEnd w:id="132"/>
    </w:p>
    <w:p w:rsidR="00E23A97" w:rsidRPr="00831C3C" w:rsidRDefault="00C65FD5">
      <w:pPr>
        <w:pStyle w:val="3"/>
        <w:spacing w:line="280" w:lineRule="exact"/>
        <w:jc w:val="left"/>
        <w:rPr>
          <w:rFonts w:ascii="宋体" w:hAnsi="宋体" w:cs="宋体"/>
          <w:b/>
          <w:bCs/>
        </w:rPr>
      </w:pPr>
      <w:bookmarkStart w:id="133" w:name="_Toc989021"/>
      <w:r w:rsidRPr="00831C3C">
        <w:rPr>
          <w:rFonts w:ascii="宋体" w:hAnsi="宋体" w:cs="宋体"/>
          <w:b/>
          <w:bCs/>
        </w:rPr>
        <w:t>1、托管、承包、租赁事项情况</w:t>
      </w:r>
      <w:bookmarkEnd w:id="133"/>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134" w:name="_Toc989022"/>
      <w:r w:rsidRPr="00831C3C">
        <w:rPr>
          <w:rFonts w:ascii="宋体" w:eastAsia="宋体" w:hAnsi="宋体" w:cs="宋体"/>
          <w:b/>
          <w:bCs/>
          <w:sz w:val="18"/>
          <w:szCs w:val="18"/>
        </w:rPr>
        <w:t>（1）托管情况</w:t>
      </w:r>
      <w:bookmarkEnd w:id="134"/>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公司报告期不存在托管情况。</w:t>
      </w:r>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135" w:name="_Toc989023"/>
      <w:r w:rsidRPr="00831C3C">
        <w:rPr>
          <w:rFonts w:ascii="宋体" w:eastAsia="宋体" w:hAnsi="宋体" w:cs="宋体"/>
          <w:b/>
          <w:bCs/>
          <w:sz w:val="18"/>
          <w:szCs w:val="18"/>
        </w:rPr>
        <w:t>（2）承包情况</w:t>
      </w:r>
      <w:bookmarkEnd w:id="135"/>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公司报告期不存在承包情况。</w:t>
      </w:r>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136" w:name="_Toc989024"/>
      <w:r w:rsidRPr="00831C3C">
        <w:rPr>
          <w:rFonts w:ascii="宋体" w:eastAsia="宋体" w:hAnsi="宋体" w:cs="宋体"/>
          <w:b/>
          <w:bCs/>
          <w:sz w:val="18"/>
          <w:szCs w:val="18"/>
        </w:rPr>
        <w:t>（3）租赁情况</w:t>
      </w:r>
      <w:bookmarkEnd w:id="136"/>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公司报告期不存在租赁情况。</w:t>
      </w:r>
    </w:p>
    <w:p w:rsidR="00E23A97" w:rsidRPr="00831C3C" w:rsidRDefault="00C65FD5">
      <w:pPr>
        <w:pStyle w:val="3"/>
        <w:spacing w:line="280" w:lineRule="exact"/>
        <w:jc w:val="left"/>
        <w:rPr>
          <w:rFonts w:ascii="宋体" w:hAnsi="宋体" w:cs="宋体"/>
          <w:b/>
          <w:bCs/>
        </w:rPr>
      </w:pPr>
      <w:bookmarkStart w:id="137" w:name="_Toc989025"/>
      <w:r w:rsidRPr="00831C3C">
        <w:rPr>
          <w:rFonts w:ascii="宋体" w:hAnsi="宋体" w:cs="宋体"/>
          <w:b/>
          <w:bCs/>
        </w:rPr>
        <w:t>2、重大担保</w:t>
      </w:r>
      <w:bookmarkEnd w:id="137"/>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适用□不适用</w:t>
      </w:r>
    </w:p>
    <w:p w:rsidR="00E23A97" w:rsidRPr="00831C3C" w:rsidRDefault="00C65FD5">
      <w:pPr>
        <w:spacing w:before="120" w:after="120" w:line="240" w:lineRule="exact"/>
        <w:jc w:val="right"/>
        <w:rPr>
          <w:rFonts w:ascii="宋体" w:eastAsia="宋体" w:hAnsi="宋体" w:cs="宋体"/>
          <w:sz w:val="18"/>
          <w:szCs w:val="18"/>
        </w:rPr>
      </w:pPr>
      <w:r w:rsidRPr="00831C3C">
        <w:rPr>
          <w:rFonts w:ascii="宋体" w:eastAsia="宋体" w:hAnsi="宋体" w:cs="宋体"/>
          <w:sz w:val="18"/>
          <w:szCs w:val="18"/>
        </w:rPr>
        <w:t>单位：万元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875"/>
        <w:gridCol w:w="877"/>
        <w:gridCol w:w="876"/>
        <w:gridCol w:w="877"/>
        <w:gridCol w:w="876"/>
        <w:gridCol w:w="877"/>
        <w:gridCol w:w="95"/>
        <w:gridCol w:w="781"/>
        <w:gridCol w:w="876"/>
        <w:gridCol w:w="876"/>
        <w:gridCol w:w="876"/>
        <w:gridCol w:w="877"/>
      </w:tblGrid>
      <w:tr w:rsidR="00831C3C" w:rsidRPr="00831C3C">
        <w:trPr>
          <w:trHeight w:val="240"/>
        </w:trPr>
        <w:tc>
          <w:tcPr>
            <w:tcW w:w="9639" w:type="dxa"/>
            <w:gridSpan w:val="1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公司及其子公司对外担保情况（不包括对子公司的担保）</w:t>
            </w:r>
          </w:p>
        </w:tc>
      </w:tr>
      <w:tr w:rsidR="00831C3C" w:rsidRPr="00831C3C" w:rsidTr="00AC1232">
        <w:trPr>
          <w:trHeight w:val="240"/>
        </w:trPr>
        <w:tc>
          <w:tcPr>
            <w:tcW w:w="87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担保对象名称</w:t>
            </w:r>
          </w:p>
        </w:tc>
        <w:tc>
          <w:tcPr>
            <w:tcW w:w="8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担保额度相关公告披</w:t>
            </w:r>
            <w:r w:rsidRPr="00831C3C">
              <w:rPr>
                <w:rFonts w:ascii="宋体" w:eastAsia="宋体" w:hAnsi="宋体" w:cs="宋体"/>
                <w:sz w:val="18"/>
                <w:szCs w:val="18"/>
              </w:rPr>
              <w:lastRenderedPageBreak/>
              <w:t>露日期</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lastRenderedPageBreak/>
              <w:t>担保额度</w:t>
            </w:r>
          </w:p>
        </w:tc>
        <w:tc>
          <w:tcPr>
            <w:tcW w:w="8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实际发生日期</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实际担保金额</w:t>
            </w:r>
          </w:p>
        </w:tc>
        <w:tc>
          <w:tcPr>
            <w:tcW w:w="8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担保类型</w:t>
            </w:r>
          </w:p>
        </w:tc>
        <w:tc>
          <w:tcPr>
            <w:tcW w:w="87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担保物（如有）</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反担保情况（如</w:t>
            </w:r>
            <w:r w:rsidRPr="00831C3C">
              <w:rPr>
                <w:rFonts w:ascii="宋体" w:eastAsia="宋体" w:hAnsi="宋体" w:cs="宋体"/>
                <w:sz w:val="18"/>
                <w:szCs w:val="18"/>
              </w:rPr>
              <w:lastRenderedPageBreak/>
              <w:t>有）</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lastRenderedPageBreak/>
              <w:t>担保期</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是否履行完毕</w:t>
            </w:r>
          </w:p>
        </w:tc>
        <w:tc>
          <w:tcPr>
            <w:tcW w:w="8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是否为关联方担保</w:t>
            </w:r>
          </w:p>
        </w:tc>
      </w:tr>
      <w:tr w:rsidR="00831C3C" w:rsidRPr="00831C3C">
        <w:trPr>
          <w:trHeight w:val="240"/>
        </w:trPr>
        <w:tc>
          <w:tcPr>
            <w:tcW w:w="9639" w:type="dxa"/>
            <w:gridSpan w:val="1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lastRenderedPageBreak/>
              <w:t>公司对子公司的担保情况</w:t>
            </w:r>
          </w:p>
        </w:tc>
      </w:tr>
      <w:tr w:rsidR="00831C3C" w:rsidRPr="00831C3C" w:rsidTr="00AC1232">
        <w:trPr>
          <w:trHeight w:val="240"/>
        </w:trPr>
        <w:tc>
          <w:tcPr>
            <w:tcW w:w="87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担保对象名称</w:t>
            </w:r>
          </w:p>
        </w:tc>
        <w:tc>
          <w:tcPr>
            <w:tcW w:w="8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担保额度相关公告披露日期</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担保额度</w:t>
            </w:r>
          </w:p>
        </w:tc>
        <w:tc>
          <w:tcPr>
            <w:tcW w:w="8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实际发生日期</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实际担保金额</w:t>
            </w:r>
          </w:p>
        </w:tc>
        <w:tc>
          <w:tcPr>
            <w:tcW w:w="97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担保类型</w:t>
            </w:r>
          </w:p>
        </w:tc>
        <w:tc>
          <w:tcPr>
            <w:tcW w:w="78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担保物（如有）</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反担保情况（如有）</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担保期</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是否履行完毕</w:t>
            </w:r>
          </w:p>
        </w:tc>
        <w:tc>
          <w:tcPr>
            <w:tcW w:w="8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是否为关联方担保</w:t>
            </w:r>
          </w:p>
        </w:tc>
      </w:tr>
      <w:tr w:rsidR="00831C3C" w:rsidRPr="00831C3C" w:rsidTr="00AC1232">
        <w:trPr>
          <w:trHeight w:val="240"/>
        </w:trPr>
        <w:tc>
          <w:tcPr>
            <w:tcW w:w="87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深圳市华孚进出口有限公司</w:t>
            </w:r>
          </w:p>
        </w:tc>
        <w:tc>
          <w:tcPr>
            <w:tcW w:w="8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2023年04月29日</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500,000</w:t>
            </w:r>
          </w:p>
        </w:tc>
        <w:tc>
          <w:tcPr>
            <w:tcW w:w="8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2024年01月11日</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49,260</w:t>
            </w:r>
          </w:p>
        </w:tc>
        <w:tc>
          <w:tcPr>
            <w:tcW w:w="972"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连带责任保证</w:t>
            </w:r>
          </w:p>
        </w:tc>
        <w:tc>
          <w:tcPr>
            <w:tcW w:w="78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三年</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c>
          <w:tcPr>
            <w:tcW w:w="8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rsidTr="00AC1232">
        <w:trPr>
          <w:trHeight w:val="240"/>
        </w:trPr>
        <w:tc>
          <w:tcPr>
            <w:tcW w:w="87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深圳市华孚进出口有限公司</w:t>
            </w:r>
          </w:p>
        </w:tc>
        <w:tc>
          <w:tcPr>
            <w:tcW w:w="8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2024年04月27日</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480,000</w:t>
            </w:r>
          </w:p>
        </w:tc>
        <w:tc>
          <w:tcPr>
            <w:tcW w:w="8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2024年05月20日</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185,130</w:t>
            </w:r>
          </w:p>
        </w:tc>
        <w:tc>
          <w:tcPr>
            <w:tcW w:w="972"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连带责任保证</w:t>
            </w:r>
          </w:p>
        </w:tc>
        <w:tc>
          <w:tcPr>
            <w:tcW w:w="78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三年</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c>
          <w:tcPr>
            <w:tcW w:w="8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rsidTr="00AC1232">
        <w:trPr>
          <w:trHeight w:val="240"/>
        </w:trPr>
        <w:tc>
          <w:tcPr>
            <w:tcW w:w="87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阿克苏华孚色纺有限公司</w:t>
            </w:r>
          </w:p>
        </w:tc>
        <w:tc>
          <w:tcPr>
            <w:tcW w:w="8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2023年04月29日</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300,000</w:t>
            </w:r>
          </w:p>
        </w:tc>
        <w:tc>
          <w:tcPr>
            <w:tcW w:w="8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2024年01月15日</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22,000</w:t>
            </w:r>
          </w:p>
        </w:tc>
        <w:tc>
          <w:tcPr>
            <w:tcW w:w="972"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连带责任保证</w:t>
            </w:r>
          </w:p>
        </w:tc>
        <w:tc>
          <w:tcPr>
            <w:tcW w:w="78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三年</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c>
          <w:tcPr>
            <w:tcW w:w="8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rsidTr="00AC1232">
        <w:trPr>
          <w:trHeight w:val="240"/>
        </w:trPr>
        <w:tc>
          <w:tcPr>
            <w:tcW w:w="87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阿克苏华孚色纺有限公司</w:t>
            </w:r>
          </w:p>
        </w:tc>
        <w:tc>
          <w:tcPr>
            <w:tcW w:w="8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2024年04月27日</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300,000</w:t>
            </w:r>
          </w:p>
        </w:tc>
        <w:tc>
          <w:tcPr>
            <w:tcW w:w="8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2024年05月24日</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169,998</w:t>
            </w:r>
          </w:p>
        </w:tc>
        <w:tc>
          <w:tcPr>
            <w:tcW w:w="972"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连带责任保证</w:t>
            </w:r>
          </w:p>
        </w:tc>
        <w:tc>
          <w:tcPr>
            <w:tcW w:w="78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三年</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c>
          <w:tcPr>
            <w:tcW w:w="8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rsidTr="00AC1232">
        <w:trPr>
          <w:trHeight w:val="240"/>
        </w:trPr>
        <w:tc>
          <w:tcPr>
            <w:tcW w:w="87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阿克苏华孚色纺有限公司</w:t>
            </w:r>
          </w:p>
        </w:tc>
        <w:tc>
          <w:tcPr>
            <w:tcW w:w="8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2019年04月25日</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120,000</w:t>
            </w:r>
          </w:p>
        </w:tc>
        <w:tc>
          <w:tcPr>
            <w:tcW w:w="8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2019年07月30日</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19,681</w:t>
            </w:r>
          </w:p>
        </w:tc>
        <w:tc>
          <w:tcPr>
            <w:tcW w:w="972"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连带责任保证</w:t>
            </w:r>
          </w:p>
        </w:tc>
        <w:tc>
          <w:tcPr>
            <w:tcW w:w="78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三年</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c>
          <w:tcPr>
            <w:tcW w:w="8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rsidTr="00AC1232">
        <w:trPr>
          <w:trHeight w:val="240"/>
        </w:trPr>
        <w:tc>
          <w:tcPr>
            <w:tcW w:w="87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阿克苏华孚色纺有限公司</w:t>
            </w:r>
          </w:p>
        </w:tc>
        <w:tc>
          <w:tcPr>
            <w:tcW w:w="8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2021年04月28日</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307,000</w:t>
            </w:r>
          </w:p>
        </w:tc>
        <w:tc>
          <w:tcPr>
            <w:tcW w:w="8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2021年08月31日</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18,500</w:t>
            </w:r>
          </w:p>
        </w:tc>
        <w:tc>
          <w:tcPr>
            <w:tcW w:w="972"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连带责任保证</w:t>
            </w:r>
          </w:p>
        </w:tc>
        <w:tc>
          <w:tcPr>
            <w:tcW w:w="78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三年</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c>
          <w:tcPr>
            <w:tcW w:w="8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rsidTr="00AC1232">
        <w:trPr>
          <w:trHeight w:val="240"/>
        </w:trPr>
        <w:tc>
          <w:tcPr>
            <w:tcW w:w="87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新疆六孚纺织工业</w:t>
            </w:r>
            <w:proofErr w:type="gramEnd"/>
            <w:r w:rsidRPr="00831C3C">
              <w:rPr>
                <w:rFonts w:ascii="宋体" w:eastAsia="宋体" w:hAnsi="宋体" w:cs="宋体"/>
                <w:sz w:val="18"/>
                <w:szCs w:val="18"/>
              </w:rPr>
              <w:t>园有限公司</w:t>
            </w:r>
          </w:p>
        </w:tc>
        <w:tc>
          <w:tcPr>
            <w:tcW w:w="8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2023年04月29日</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30,000</w:t>
            </w:r>
          </w:p>
        </w:tc>
        <w:tc>
          <w:tcPr>
            <w:tcW w:w="8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2024年02月07日</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26,800</w:t>
            </w:r>
          </w:p>
        </w:tc>
        <w:tc>
          <w:tcPr>
            <w:tcW w:w="972"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连带责任保证</w:t>
            </w:r>
          </w:p>
        </w:tc>
        <w:tc>
          <w:tcPr>
            <w:tcW w:w="78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三年</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c>
          <w:tcPr>
            <w:tcW w:w="8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rsidTr="00AC1232">
        <w:trPr>
          <w:trHeight w:val="240"/>
        </w:trPr>
        <w:tc>
          <w:tcPr>
            <w:tcW w:w="87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浙江华孚色纺有限公司</w:t>
            </w:r>
          </w:p>
        </w:tc>
        <w:tc>
          <w:tcPr>
            <w:tcW w:w="8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2023年04月29日</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80,000</w:t>
            </w:r>
          </w:p>
        </w:tc>
        <w:tc>
          <w:tcPr>
            <w:tcW w:w="8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2024年03月06日</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3,800</w:t>
            </w:r>
          </w:p>
        </w:tc>
        <w:tc>
          <w:tcPr>
            <w:tcW w:w="972"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连带责任保证</w:t>
            </w:r>
          </w:p>
        </w:tc>
        <w:tc>
          <w:tcPr>
            <w:tcW w:w="78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三年</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c>
          <w:tcPr>
            <w:tcW w:w="8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rsidTr="00AC1232">
        <w:trPr>
          <w:trHeight w:val="240"/>
        </w:trPr>
        <w:tc>
          <w:tcPr>
            <w:tcW w:w="87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浙江华孚色纺有限公司</w:t>
            </w:r>
          </w:p>
        </w:tc>
        <w:tc>
          <w:tcPr>
            <w:tcW w:w="8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2024年04月27日</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80,000</w:t>
            </w:r>
          </w:p>
        </w:tc>
        <w:tc>
          <w:tcPr>
            <w:tcW w:w="8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2024年05月16日</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33,800</w:t>
            </w:r>
          </w:p>
        </w:tc>
        <w:tc>
          <w:tcPr>
            <w:tcW w:w="972"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连带责任保证</w:t>
            </w:r>
          </w:p>
        </w:tc>
        <w:tc>
          <w:tcPr>
            <w:tcW w:w="78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三年</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c>
          <w:tcPr>
            <w:tcW w:w="8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rsidTr="00AC1232">
        <w:trPr>
          <w:trHeight w:val="240"/>
        </w:trPr>
        <w:tc>
          <w:tcPr>
            <w:tcW w:w="87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新疆华孚棉业集团有限公司</w:t>
            </w:r>
          </w:p>
        </w:tc>
        <w:tc>
          <w:tcPr>
            <w:tcW w:w="8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2023年04月29日</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150,000</w:t>
            </w:r>
          </w:p>
        </w:tc>
        <w:tc>
          <w:tcPr>
            <w:tcW w:w="8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2024年02月01日</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32,990</w:t>
            </w:r>
          </w:p>
        </w:tc>
        <w:tc>
          <w:tcPr>
            <w:tcW w:w="972"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连带责任保证</w:t>
            </w:r>
          </w:p>
        </w:tc>
        <w:tc>
          <w:tcPr>
            <w:tcW w:w="78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三年</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c>
          <w:tcPr>
            <w:tcW w:w="8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rsidTr="00AC1232">
        <w:trPr>
          <w:trHeight w:val="240"/>
        </w:trPr>
        <w:tc>
          <w:tcPr>
            <w:tcW w:w="87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新疆华孚棉业集团有限公司</w:t>
            </w:r>
          </w:p>
        </w:tc>
        <w:tc>
          <w:tcPr>
            <w:tcW w:w="8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2024年04月27日</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120,000</w:t>
            </w:r>
          </w:p>
        </w:tc>
        <w:tc>
          <w:tcPr>
            <w:tcW w:w="8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2024年09月26日</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54,597</w:t>
            </w:r>
          </w:p>
        </w:tc>
        <w:tc>
          <w:tcPr>
            <w:tcW w:w="972"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连带责任保证</w:t>
            </w:r>
          </w:p>
        </w:tc>
        <w:tc>
          <w:tcPr>
            <w:tcW w:w="78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三年</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c>
          <w:tcPr>
            <w:tcW w:w="8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rsidTr="00AC1232">
        <w:trPr>
          <w:trHeight w:val="240"/>
        </w:trPr>
        <w:tc>
          <w:tcPr>
            <w:tcW w:w="175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报告期内审批对子公司担保额度合计（B1）</w:t>
            </w:r>
          </w:p>
        </w:tc>
        <w:tc>
          <w:tcPr>
            <w:tcW w:w="1753"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1,090,000</w:t>
            </w:r>
          </w:p>
        </w:tc>
        <w:tc>
          <w:tcPr>
            <w:tcW w:w="1848"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报告期内对子公司担保实际发生额合计（B2）</w:t>
            </w:r>
          </w:p>
        </w:tc>
        <w:tc>
          <w:tcPr>
            <w:tcW w:w="4286" w:type="dxa"/>
            <w:gridSpan w:val="5"/>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578,375</w:t>
            </w:r>
          </w:p>
        </w:tc>
      </w:tr>
      <w:tr w:rsidR="00831C3C" w:rsidRPr="00831C3C" w:rsidTr="00AC1232">
        <w:trPr>
          <w:trHeight w:val="240"/>
        </w:trPr>
        <w:tc>
          <w:tcPr>
            <w:tcW w:w="175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报告</w:t>
            </w:r>
            <w:proofErr w:type="gramStart"/>
            <w:r w:rsidRPr="00831C3C">
              <w:rPr>
                <w:rFonts w:ascii="宋体" w:eastAsia="宋体" w:hAnsi="宋体" w:cs="宋体"/>
                <w:sz w:val="18"/>
                <w:szCs w:val="18"/>
              </w:rPr>
              <w:t>期末已</w:t>
            </w:r>
            <w:proofErr w:type="gramEnd"/>
            <w:r w:rsidRPr="00831C3C">
              <w:rPr>
                <w:rFonts w:ascii="宋体" w:eastAsia="宋体" w:hAnsi="宋体" w:cs="宋体"/>
                <w:sz w:val="18"/>
                <w:szCs w:val="18"/>
              </w:rPr>
              <w:t>审批的对子公司担保额度</w:t>
            </w:r>
            <w:r w:rsidRPr="00831C3C">
              <w:rPr>
                <w:rFonts w:ascii="宋体" w:eastAsia="宋体" w:hAnsi="宋体" w:cs="宋体"/>
                <w:sz w:val="18"/>
                <w:szCs w:val="18"/>
              </w:rPr>
              <w:lastRenderedPageBreak/>
              <w:t>合计（B3）</w:t>
            </w:r>
          </w:p>
        </w:tc>
        <w:tc>
          <w:tcPr>
            <w:tcW w:w="1753"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lastRenderedPageBreak/>
              <w:t>1,090,000</w:t>
            </w:r>
          </w:p>
        </w:tc>
        <w:tc>
          <w:tcPr>
            <w:tcW w:w="1848"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报告</w:t>
            </w:r>
            <w:proofErr w:type="gramStart"/>
            <w:r w:rsidRPr="00831C3C">
              <w:rPr>
                <w:rFonts w:ascii="宋体" w:eastAsia="宋体" w:hAnsi="宋体" w:cs="宋体"/>
                <w:sz w:val="18"/>
                <w:szCs w:val="18"/>
              </w:rPr>
              <w:t>期末对</w:t>
            </w:r>
            <w:proofErr w:type="gramEnd"/>
            <w:r w:rsidRPr="00831C3C">
              <w:rPr>
                <w:rFonts w:ascii="宋体" w:eastAsia="宋体" w:hAnsi="宋体" w:cs="宋体"/>
                <w:sz w:val="18"/>
                <w:szCs w:val="18"/>
              </w:rPr>
              <w:t>子公司实际担保余额合计</w:t>
            </w:r>
            <w:r w:rsidRPr="00831C3C">
              <w:rPr>
                <w:rFonts w:ascii="宋体" w:eastAsia="宋体" w:hAnsi="宋体" w:cs="宋体"/>
                <w:sz w:val="18"/>
                <w:szCs w:val="18"/>
              </w:rPr>
              <w:lastRenderedPageBreak/>
              <w:t>（B4）</w:t>
            </w:r>
          </w:p>
        </w:tc>
        <w:tc>
          <w:tcPr>
            <w:tcW w:w="4286" w:type="dxa"/>
            <w:gridSpan w:val="5"/>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lastRenderedPageBreak/>
              <w:t>616,555.6</w:t>
            </w:r>
          </w:p>
        </w:tc>
      </w:tr>
      <w:tr w:rsidR="00831C3C" w:rsidRPr="00831C3C">
        <w:trPr>
          <w:trHeight w:val="240"/>
        </w:trPr>
        <w:tc>
          <w:tcPr>
            <w:tcW w:w="9639" w:type="dxa"/>
            <w:gridSpan w:val="1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lastRenderedPageBreak/>
              <w:t>子公司对子公司的担保情况</w:t>
            </w:r>
          </w:p>
        </w:tc>
      </w:tr>
      <w:tr w:rsidR="00831C3C" w:rsidRPr="00831C3C" w:rsidTr="00AC1232">
        <w:trPr>
          <w:trHeight w:val="240"/>
        </w:trPr>
        <w:tc>
          <w:tcPr>
            <w:tcW w:w="87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担保对象名称</w:t>
            </w:r>
          </w:p>
        </w:tc>
        <w:tc>
          <w:tcPr>
            <w:tcW w:w="8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担保额度相关公告披露日期</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担保额度</w:t>
            </w:r>
          </w:p>
        </w:tc>
        <w:tc>
          <w:tcPr>
            <w:tcW w:w="8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实际发生日期</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实际担保金额</w:t>
            </w:r>
          </w:p>
        </w:tc>
        <w:tc>
          <w:tcPr>
            <w:tcW w:w="97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担保类型</w:t>
            </w:r>
          </w:p>
        </w:tc>
        <w:tc>
          <w:tcPr>
            <w:tcW w:w="78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担保物（如有）</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反担保情况（如有）</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担保期</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是否履行完毕</w:t>
            </w:r>
          </w:p>
        </w:tc>
        <w:tc>
          <w:tcPr>
            <w:tcW w:w="8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是否为关联方担保</w:t>
            </w:r>
          </w:p>
        </w:tc>
      </w:tr>
      <w:tr w:rsidR="00831C3C" w:rsidRPr="00831C3C">
        <w:trPr>
          <w:trHeight w:val="240"/>
        </w:trPr>
        <w:tc>
          <w:tcPr>
            <w:tcW w:w="9639" w:type="dxa"/>
            <w:gridSpan w:val="1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公司担保总额（即前三大项的合计）</w:t>
            </w:r>
          </w:p>
        </w:tc>
      </w:tr>
      <w:tr w:rsidR="00831C3C" w:rsidRPr="00831C3C" w:rsidTr="00AC1232">
        <w:trPr>
          <w:trHeight w:val="240"/>
        </w:trPr>
        <w:tc>
          <w:tcPr>
            <w:tcW w:w="175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报告期内审批担保额度合计（A1+B1+C1）</w:t>
            </w:r>
          </w:p>
        </w:tc>
        <w:tc>
          <w:tcPr>
            <w:tcW w:w="1753"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1,090,000</w:t>
            </w:r>
          </w:p>
        </w:tc>
        <w:tc>
          <w:tcPr>
            <w:tcW w:w="1848"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报告期内担保实际发生额合计（A2+B2+C2）</w:t>
            </w:r>
          </w:p>
        </w:tc>
        <w:tc>
          <w:tcPr>
            <w:tcW w:w="4286" w:type="dxa"/>
            <w:gridSpan w:val="5"/>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578,375</w:t>
            </w:r>
          </w:p>
        </w:tc>
      </w:tr>
      <w:tr w:rsidR="00831C3C" w:rsidRPr="00831C3C" w:rsidTr="00AC1232">
        <w:trPr>
          <w:trHeight w:val="240"/>
        </w:trPr>
        <w:tc>
          <w:tcPr>
            <w:tcW w:w="175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报告</w:t>
            </w:r>
            <w:proofErr w:type="gramStart"/>
            <w:r w:rsidRPr="00831C3C">
              <w:rPr>
                <w:rFonts w:ascii="宋体" w:eastAsia="宋体" w:hAnsi="宋体" w:cs="宋体"/>
                <w:sz w:val="18"/>
                <w:szCs w:val="18"/>
              </w:rPr>
              <w:t>期末已</w:t>
            </w:r>
            <w:proofErr w:type="gramEnd"/>
            <w:r w:rsidRPr="00831C3C">
              <w:rPr>
                <w:rFonts w:ascii="宋体" w:eastAsia="宋体" w:hAnsi="宋体" w:cs="宋体"/>
                <w:sz w:val="18"/>
                <w:szCs w:val="18"/>
              </w:rPr>
              <w:t>审批的担保额度合计（A3+B3+C3）</w:t>
            </w:r>
          </w:p>
        </w:tc>
        <w:tc>
          <w:tcPr>
            <w:tcW w:w="1753"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1,090,000</w:t>
            </w:r>
          </w:p>
        </w:tc>
        <w:tc>
          <w:tcPr>
            <w:tcW w:w="1848"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报告期末实际担保余额合计（A4+B4+C4）</w:t>
            </w:r>
          </w:p>
        </w:tc>
        <w:tc>
          <w:tcPr>
            <w:tcW w:w="4286" w:type="dxa"/>
            <w:gridSpan w:val="5"/>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616,555.6</w:t>
            </w:r>
          </w:p>
        </w:tc>
      </w:tr>
      <w:tr w:rsidR="00831C3C" w:rsidRPr="00831C3C" w:rsidTr="00AC1232">
        <w:trPr>
          <w:trHeight w:val="240"/>
        </w:trPr>
        <w:tc>
          <w:tcPr>
            <w:tcW w:w="5353" w:type="dxa"/>
            <w:gridSpan w:val="7"/>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实际担保总额（即A4+B4+C4）占公司净资产的比例</w:t>
            </w:r>
          </w:p>
        </w:tc>
        <w:tc>
          <w:tcPr>
            <w:tcW w:w="4286" w:type="dxa"/>
            <w:gridSpan w:val="5"/>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106.62%</w:t>
            </w:r>
          </w:p>
        </w:tc>
      </w:tr>
      <w:tr w:rsidR="00831C3C" w:rsidRPr="00831C3C">
        <w:trPr>
          <w:trHeight w:val="240"/>
        </w:trPr>
        <w:tc>
          <w:tcPr>
            <w:tcW w:w="9639" w:type="dxa"/>
            <w:gridSpan w:val="1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其中：</w:t>
            </w:r>
          </w:p>
        </w:tc>
      </w:tr>
      <w:tr w:rsidR="00831C3C" w:rsidRPr="00831C3C" w:rsidTr="00AC1232">
        <w:trPr>
          <w:trHeight w:val="240"/>
        </w:trPr>
        <w:tc>
          <w:tcPr>
            <w:tcW w:w="5353" w:type="dxa"/>
            <w:gridSpan w:val="7"/>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为股东、实际控制人及其关联方提供担保的余额（D）</w:t>
            </w:r>
          </w:p>
        </w:tc>
        <w:tc>
          <w:tcPr>
            <w:tcW w:w="4286" w:type="dxa"/>
            <w:gridSpan w:val="5"/>
            <w:tcBorders>
              <w:top w:val="single" w:sz="2" w:space="0" w:color="auto"/>
              <w:left w:val="single" w:sz="2" w:space="0" w:color="auto"/>
              <w:bottom w:val="single" w:sz="2" w:space="0" w:color="auto"/>
              <w:right w:val="single" w:sz="2" w:space="0" w:color="auto"/>
            </w:tcBorders>
            <w:vAlign w:val="center"/>
          </w:tcPr>
          <w:p w:rsidR="00E23A97" w:rsidRPr="00831C3C" w:rsidRDefault="00C65FD5" w:rsidP="00AC1232">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r>
      <w:tr w:rsidR="00831C3C" w:rsidRPr="00831C3C" w:rsidTr="00AC1232">
        <w:trPr>
          <w:trHeight w:val="240"/>
        </w:trPr>
        <w:tc>
          <w:tcPr>
            <w:tcW w:w="5353" w:type="dxa"/>
            <w:gridSpan w:val="7"/>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直接或间接为资产负债率超过70%的被担保对象提供的债务担保余额（E）</w:t>
            </w:r>
          </w:p>
        </w:tc>
        <w:tc>
          <w:tcPr>
            <w:tcW w:w="4286" w:type="dxa"/>
            <w:gridSpan w:val="5"/>
            <w:tcBorders>
              <w:top w:val="single" w:sz="2" w:space="0" w:color="auto"/>
              <w:left w:val="single" w:sz="2" w:space="0" w:color="auto"/>
              <w:bottom w:val="single" w:sz="2" w:space="0" w:color="auto"/>
              <w:right w:val="single" w:sz="2" w:space="0" w:color="auto"/>
            </w:tcBorders>
            <w:vAlign w:val="center"/>
          </w:tcPr>
          <w:p w:rsidR="00E23A97" w:rsidRPr="00831C3C" w:rsidRDefault="00C65FD5" w:rsidP="00AC1232">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r>
      <w:tr w:rsidR="00831C3C" w:rsidRPr="00831C3C" w:rsidTr="00AC1232">
        <w:trPr>
          <w:trHeight w:val="240"/>
        </w:trPr>
        <w:tc>
          <w:tcPr>
            <w:tcW w:w="5353" w:type="dxa"/>
            <w:gridSpan w:val="7"/>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担保总额超过净资产50%部分的金额（F）</w:t>
            </w:r>
          </w:p>
        </w:tc>
        <w:tc>
          <w:tcPr>
            <w:tcW w:w="4286" w:type="dxa"/>
            <w:gridSpan w:val="5"/>
            <w:tcBorders>
              <w:top w:val="single" w:sz="2" w:space="0" w:color="auto"/>
              <w:left w:val="single" w:sz="2" w:space="0" w:color="auto"/>
              <w:bottom w:val="single" w:sz="2" w:space="0" w:color="auto"/>
              <w:right w:val="single" w:sz="2" w:space="0" w:color="auto"/>
            </w:tcBorders>
            <w:vAlign w:val="center"/>
          </w:tcPr>
          <w:p w:rsidR="00E23A97" w:rsidRPr="00831C3C" w:rsidRDefault="00C65FD5" w:rsidP="00AC1232">
            <w:pPr>
              <w:spacing w:line="240" w:lineRule="exact"/>
              <w:jc w:val="right"/>
              <w:rPr>
                <w:rFonts w:ascii="宋体" w:eastAsia="宋体" w:hAnsi="宋体" w:cs="宋体"/>
                <w:sz w:val="18"/>
                <w:szCs w:val="18"/>
              </w:rPr>
            </w:pPr>
            <w:r w:rsidRPr="00831C3C">
              <w:rPr>
                <w:rFonts w:ascii="宋体" w:eastAsia="宋体" w:hAnsi="宋体" w:cs="宋体"/>
                <w:sz w:val="18"/>
                <w:szCs w:val="18"/>
              </w:rPr>
              <w:t>327,409.66</w:t>
            </w:r>
          </w:p>
        </w:tc>
      </w:tr>
      <w:tr w:rsidR="00831C3C" w:rsidRPr="00831C3C" w:rsidTr="00AC1232">
        <w:trPr>
          <w:trHeight w:val="240"/>
        </w:trPr>
        <w:tc>
          <w:tcPr>
            <w:tcW w:w="5353" w:type="dxa"/>
            <w:gridSpan w:val="7"/>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上述三项担保金额合计（D+E+F）</w:t>
            </w:r>
          </w:p>
        </w:tc>
        <w:tc>
          <w:tcPr>
            <w:tcW w:w="4286" w:type="dxa"/>
            <w:gridSpan w:val="5"/>
            <w:tcBorders>
              <w:top w:val="single" w:sz="2" w:space="0" w:color="auto"/>
              <w:left w:val="single" w:sz="2" w:space="0" w:color="auto"/>
              <w:bottom w:val="single" w:sz="2" w:space="0" w:color="auto"/>
              <w:right w:val="single" w:sz="2" w:space="0" w:color="auto"/>
            </w:tcBorders>
            <w:vAlign w:val="center"/>
          </w:tcPr>
          <w:p w:rsidR="00E23A97" w:rsidRPr="00831C3C" w:rsidRDefault="00C65FD5" w:rsidP="00AC1232">
            <w:pPr>
              <w:spacing w:line="240" w:lineRule="exact"/>
              <w:jc w:val="right"/>
              <w:rPr>
                <w:rFonts w:ascii="宋体" w:eastAsia="宋体" w:hAnsi="宋体" w:cs="宋体"/>
                <w:sz w:val="18"/>
                <w:szCs w:val="18"/>
              </w:rPr>
            </w:pPr>
            <w:r w:rsidRPr="00831C3C">
              <w:rPr>
                <w:rFonts w:ascii="宋体" w:eastAsia="宋体" w:hAnsi="宋体" w:cs="宋体"/>
                <w:sz w:val="18"/>
                <w:szCs w:val="18"/>
              </w:rPr>
              <w:t>327,409.66</w:t>
            </w:r>
          </w:p>
        </w:tc>
      </w:tr>
      <w:tr w:rsidR="00831C3C" w:rsidRPr="00831C3C" w:rsidTr="00AC1232">
        <w:trPr>
          <w:trHeight w:val="240"/>
        </w:trPr>
        <w:tc>
          <w:tcPr>
            <w:tcW w:w="5353" w:type="dxa"/>
            <w:gridSpan w:val="7"/>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对未到期担保合同，报告期内发生担保责任或有证据表明有可能承担连带清偿责任的情况说明（如有）</w:t>
            </w:r>
          </w:p>
        </w:tc>
        <w:tc>
          <w:tcPr>
            <w:tcW w:w="4286" w:type="dxa"/>
            <w:gridSpan w:val="5"/>
            <w:tcBorders>
              <w:top w:val="single" w:sz="2" w:space="0" w:color="auto"/>
              <w:left w:val="single" w:sz="2" w:space="0" w:color="auto"/>
              <w:bottom w:val="single" w:sz="2" w:space="0" w:color="auto"/>
              <w:right w:val="single" w:sz="2" w:space="0" w:color="auto"/>
            </w:tcBorders>
            <w:vAlign w:val="center"/>
          </w:tcPr>
          <w:p w:rsidR="00E23A97" w:rsidRPr="00831C3C" w:rsidRDefault="00C65FD5" w:rsidP="00AC1232">
            <w:pPr>
              <w:spacing w:line="240" w:lineRule="exact"/>
              <w:jc w:val="right"/>
              <w:rPr>
                <w:rFonts w:ascii="宋体" w:eastAsia="宋体" w:hAnsi="宋体" w:cs="宋体"/>
                <w:sz w:val="18"/>
                <w:szCs w:val="18"/>
              </w:rPr>
            </w:pPr>
            <w:r w:rsidRPr="00831C3C">
              <w:rPr>
                <w:rFonts w:ascii="宋体" w:eastAsia="宋体" w:hAnsi="宋体" w:cs="宋体"/>
                <w:sz w:val="18"/>
                <w:szCs w:val="18"/>
              </w:rPr>
              <w:t>无</w:t>
            </w:r>
          </w:p>
        </w:tc>
      </w:tr>
      <w:tr w:rsidR="00831C3C" w:rsidRPr="00831C3C" w:rsidTr="00AC1232">
        <w:trPr>
          <w:trHeight w:val="240"/>
        </w:trPr>
        <w:tc>
          <w:tcPr>
            <w:tcW w:w="5353" w:type="dxa"/>
            <w:gridSpan w:val="7"/>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违反规定程序对外提供担保的说明（如有）</w:t>
            </w:r>
          </w:p>
        </w:tc>
        <w:tc>
          <w:tcPr>
            <w:tcW w:w="4286" w:type="dxa"/>
            <w:gridSpan w:val="5"/>
            <w:tcBorders>
              <w:top w:val="single" w:sz="2" w:space="0" w:color="auto"/>
              <w:left w:val="single" w:sz="2" w:space="0" w:color="auto"/>
              <w:bottom w:val="single" w:sz="2" w:space="0" w:color="auto"/>
              <w:right w:val="single" w:sz="2" w:space="0" w:color="auto"/>
            </w:tcBorders>
            <w:vAlign w:val="center"/>
          </w:tcPr>
          <w:p w:rsidR="00E23A97" w:rsidRPr="00831C3C" w:rsidRDefault="00C65FD5" w:rsidP="00AC1232">
            <w:pPr>
              <w:spacing w:line="240" w:lineRule="exact"/>
              <w:jc w:val="right"/>
              <w:rPr>
                <w:rFonts w:ascii="宋体" w:eastAsia="宋体" w:hAnsi="宋体" w:cs="宋体"/>
                <w:sz w:val="18"/>
                <w:szCs w:val="18"/>
              </w:rPr>
            </w:pPr>
            <w:r w:rsidRPr="00831C3C">
              <w:rPr>
                <w:rFonts w:ascii="宋体" w:eastAsia="宋体" w:hAnsi="宋体" w:cs="宋体"/>
                <w:sz w:val="18"/>
                <w:szCs w:val="18"/>
              </w:rPr>
              <w:t>不适用</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采用复合方式担保的具体情况说明</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公司需遵守《深圳证券交易所上市公司自律监管指引第3号——行业信息披露》中纺织服装相关业的披露要求</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公司是否存在为经销商提供担保或财务资助</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□是□否</w:t>
      </w:r>
    </w:p>
    <w:p w:rsidR="00E23A97" w:rsidRPr="00831C3C" w:rsidRDefault="00C65FD5">
      <w:pPr>
        <w:pStyle w:val="3"/>
        <w:spacing w:line="280" w:lineRule="exact"/>
        <w:jc w:val="left"/>
        <w:rPr>
          <w:rFonts w:ascii="宋体" w:hAnsi="宋体" w:cs="宋体"/>
          <w:b/>
          <w:bCs/>
        </w:rPr>
      </w:pPr>
      <w:bookmarkStart w:id="138" w:name="_Toc989026"/>
      <w:r w:rsidRPr="00831C3C">
        <w:rPr>
          <w:rFonts w:ascii="宋体" w:hAnsi="宋体" w:cs="宋体"/>
          <w:b/>
          <w:bCs/>
        </w:rPr>
        <w:t>3、委托他人进行现金资产管理情况</w:t>
      </w:r>
      <w:bookmarkEnd w:id="138"/>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139" w:name="_Toc989027"/>
      <w:r w:rsidRPr="00831C3C">
        <w:rPr>
          <w:rFonts w:ascii="宋体" w:eastAsia="宋体" w:hAnsi="宋体" w:cs="宋体"/>
          <w:b/>
          <w:bCs/>
          <w:sz w:val="18"/>
          <w:szCs w:val="18"/>
        </w:rPr>
        <w:t>（1）委托理财情况</w:t>
      </w:r>
      <w:bookmarkEnd w:id="139"/>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适用□不适用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报告期内委托理财概况</w:t>
      </w:r>
    </w:p>
    <w:p w:rsidR="00E23A97" w:rsidRPr="00831C3C" w:rsidRDefault="00C65FD5">
      <w:pPr>
        <w:spacing w:before="120" w:after="120" w:line="240" w:lineRule="exact"/>
        <w:jc w:val="right"/>
        <w:rPr>
          <w:rFonts w:ascii="宋体" w:eastAsia="宋体" w:hAnsi="宋体" w:cs="宋体"/>
          <w:sz w:val="18"/>
          <w:szCs w:val="18"/>
        </w:rPr>
      </w:pPr>
      <w:r w:rsidRPr="00831C3C">
        <w:rPr>
          <w:rFonts w:ascii="宋体" w:eastAsia="宋体" w:hAnsi="宋体" w:cs="宋体"/>
          <w:sz w:val="18"/>
          <w:szCs w:val="18"/>
        </w:rPr>
        <w:t>单位：万元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07"/>
        <w:gridCol w:w="1608"/>
        <w:gridCol w:w="1606"/>
        <w:gridCol w:w="1606"/>
        <w:gridCol w:w="1606"/>
        <w:gridCol w:w="1606"/>
      </w:tblGrid>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具体类型</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委托理财的资金来源</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委托理财发生额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未到期余额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逾期未收回的金额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逾期未收回理财已计提减值金额</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银行理财产品</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自有资金</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52,174.65</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5,944.22</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r>
      <w:tr w:rsidR="00831C3C" w:rsidRPr="00831C3C">
        <w:trPr>
          <w:trHeight w:val="240"/>
        </w:trPr>
        <w:tc>
          <w:tcPr>
            <w:tcW w:w="321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52,174.65</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5,944.22</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单项金额重大或安全性较低、流动性较差的高风险委托理财具体情况</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委托理财出现预期无法收回本金或存在其他可能导致减值的情形</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140" w:name="_Toc989028"/>
      <w:r w:rsidRPr="00831C3C">
        <w:rPr>
          <w:rFonts w:ascii="宋体" w:eastAsia="宋体" w:hAnsi="宋体" w:cs="宋体"/>
          <w:b/>
          <w:bCs/>
          <w:sz w:val="18"/>
          <w:szCs w:val="18"/>
        </w:rPr>
        <w:lastRenderedPageBreak/>
        <w:t>（2）委托贷款情况</w:t>
      </w:r>
      <w:bookmarkEnd w:id="140"/>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公司报告期不存在委托贷款。</w:t>
      </w:r>
    </w:p>
    <w:p w:rsidR="00E23A97" w:rsidRPr="00831C3C" w:rsidRDefault="00C65FD5">
      <w:pPr>
        <w:pStyle w:val="3"/>
        <w:spacing w:line="280" w:lineRule="exact"/>
        <w:jc w:val="left"/>
        <w:rPr>
          <w:rFonts w:ascii="宋体" w:hAnsi="宋体" w:cs="宋体"/>
          <w:b/>
          <w:bCs/>
        </w:rPr>
      </w:pPr>
      <w:bookmarkStart w:id="141" w:name="_Toc989029"/>
      <w:r w:rsidRPr="00831C3C">
        <w:rPr>
          <w:rFonts w:ascii="宋体" w:hAnsi="宋体" w:cs="宋体"/>
          <w:b/>
          <w:bCs/>
        </w:rPr>
        <w:t>4、其他重大合同</w:t>
      </w:r>
      <w:bookmarkEnd w:id="141"/>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公司报告期不存在其他重大合同。</w:t>
      </w:r>
    </w:p>
    <w:p w:rsidR="00E23A97" w:rsidRPr="00831C3C" w:rsidRDefault="00C65FD5">
      <w:pPr>
        <w:pStyle w:val="2"/>
        <w:spacing w:before="300" w:after="300" w:line="320" w:lineRule="exact"/>
        <w:rPr>
          <w:rFonts w:ascii="宋体" w:eastAsia="宋体" w:hAnsi="宋体" w:cs="宋体"/>
          <w:b/>
          <w:bCs/>
          <w:sz w:val="24"/>
          <w:szCs w:val="24"/>
        </w:rPr>
      </w:pPr>
      <w:bookmarkStart w:id="142" w:name="_Toc989030"/>
      <w:r w:rsidRPr="00831C3C">
        <w:rPr>
          <w:rFonts w:ascii="宋体" w:eastAsia="宋体" w:hAnsi="宋体" w:cs="宋体"/>
          <w:b/>
          <w:bCs/>
          <w:sz w:val="24"/>
          <w:szCs w:val="24"/>
        </w:rPr>
        <w:t>十六、其他重大事项的说明</w:t>
      </w:r>
      <w:bookmarkEnd w:id="142"/>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公司报告期不存在需要说明的其他重大事项。</w:t>
      </w:r>
    </w:p>
    <w:p w:rsidR="00E23A97" w:rsidRPr="00831C3C" w:rsidRDefault="00C65FD5">
      <w:pPr>
        <w:pStyle w:val="2"/>
        <w:spacing w:before="300" w:after="300" w:line="320" w:lineRule="exact"/>
        <w:rPr>
          <w:rFonts w:ascii="宋体" w:eastAsia="宋体" w:hAnsi="宋体" w:cs="宋体"/>
          <w:b/>
          <w:bCs/>
          <w:sz w:val="24"/>
          <w:szCs w:val="24"/>
        </w:rPr>
      </w:pPr>
      <w:bookmarkStart w:id="143" w:name="_Toc989031"/>
      <w:r w:rsidRPr="00831C3C">
        <w:rPr>
          <w:rFonts w:ascii="宋体" w:eastAsia="宋体" w:hAnsi="宋体" w:cs="宋体"/>
          <w:b/>
          <w:bCs/>
          <w:sz w:val="24"/>
          <w:szCs w:val="24"/>
        </w:rPr>
        <w:t>十七、公司子公司重大事项</w:t>
      </w:r>
      <w:bookmarkEnd w:id="143"/>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r w:rsidRPr="00831C3C">
        <w:br w:type="page"/>
      </w:r>
    </w:p>
    <w:p w:rsidR="00E23A97" w:rsidRPr="00831C3C" w:rsidRDefault="00C65FD5">
      <w:pPr>
        <w:pStyle w:val="headingh1"/>
        <w:spacing w:before="340" w:after="330" w:line="773" w:lineRule="exact"/>
        <w:jc w:val="center"/>
        <w:rPr>
          <w:rFonts w:ascii="宋体" w:eastAsia="宋体" w:hAnsi="宋体" w:cs="宋体"/>
          <w:b/>
          <w:bCs/>
          <w:sz w:val="32"/>
          <w:szCs w:val="32"/>
        </w:rPr>
      </w:pPr>
      <w:bookmarkStart w:id="144" w:name="_Toc989032"/>
      <w:r w:rsidRPr="00831C3C">
        <w:rPr>
          <w:rFonts w:ascii="宋体" w:eastAsia="宋体" w:hAnsi="宋体" w:cs="宋体"/>
          <w:b/>
          <w:bCs/>
          <w:sz w:val="32"/>
          <w:szCs w:val="32"/>
        </w:rPr>
        <w:lastRenderedPageBreak/>
        <w:t>第七节股份变动及股东情况</w:t>
      </w:r>
      <w:bookmarkEnd w:id="144"/>
    </w:p>
    <w:p w:rsidR="00E23A97" w:rsidRPr="00831C3C" w:rsidRDefault="00C65FD5">
      <w:pPr>
        <w:pStyle w:val="2"/>
        <w:spacing w:before="300" w:after="300" w:line="320" w:lineRule="exact"/>
        <w:rPr>
          <w:rFonts w:ascii="宋体" w:eastAsia="宋体" w:hAnsi="宋体" w:cs="宋体"/>
          <w:b/>
          <w:bCs/>
          <w:sz w:val="24"/>
          <w:szCs w:val="24"/>
        </w:rPr>
      </w:pPr>
      <w:bookmarkStart w:id="145" w:name="_Toc989033"/>
      <w:r w:rsidRPr="00831C3C">
        <w:rPr>
          <w:rFonts w:ascii="宋体" w:eastAsia="宋体" w:hAnsi="宋体" w:cs="宋体"/>
          <w:b/>
          <w:bCs/>
          <w:sz w:val="24"/>
          <w:szCs w:val="24"/>
        </w:rPr>
        <w:t>一、股份变动情况</w:t>
      </w:r>
      <w:bookmarkEnd w:id="145"/>
    </w:p>
    <w:p w:rsidR="00E23A97" w:rsidRPr="00831C3C" w:rsidRDefault="00C65FD5">
      <w:pPr>
        <w:pStyle w:val="3"/>
        <w:spacing w:line="280" w:lineRule="exact"/>
        <w:jc w:val="left"/>
        <w:rPr>
          <w:rFonts w:ascii="宋体" w:hAnsi="宋体" w:cs="宋体"/>
          <w:b/>
          <w:bCs/>
        </w:rPr>
      </w:pPr>
      <w:bookmarkStart w:id="146" w:name="_Toc989034"/>
      <w:r w:rsidRPr="00831C3C">
        <w:rPr>
          <w:rFonts w:ascii="宋体" w:hAnsi="宋体" w:cs="宋体"/>
          <w:b/>
          <w:bCs/>
        </w:rPr>
        <w:t>1、股份变动情况</w:t>
      </w:r>
      <w:bookmarkEnd w:id="146"/>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单位：股</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943"/>
        <w:gridCol w:w="1134"/>
        <w:gridCol w:w="709"/>
        <w:gridCol w:w="709"/>
        <w:gridCol w:w="425"/>
        <w:gridCol w:w="851"/>
        <w:gridCol w:w="425"/>
        <w:gridCol w:w="515"/>
        <w:gridCol w:w="1186"/>
        <w:gridCol w:w="742"/>
      </w:tblGrid>
      <w:tr w:rsidR="00831C3C" w:rsidRPr="00831C3C" w:rsidTr="00AC1232">
        <w:trPr>
          <w:trHeight w:val="240"/>
        </w:trPr>
        <w:tc>
          <w:tcPr>
            <w:tcW w:w="2943"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84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本次变动前</w:t>
            </w:r>
          </w:p>
        </w:tc>
        <w:tc>
          <w:tcPr>
            <w:tcW w:w="2925"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本次变动增减（＋，－）</w:t>
            </w:r>
          </w:p>
        </w:tc>
        <w:tc>
          <w:tcPr>
            <w:tcW w:w="1928"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本次变动后</w:t>
            </w:r>
          </w:p>
        </w:tc>
      </w:tr>
      <w:tr w:rsidR="00831C3C" w:rsidRPr="00831C3C" w:rsidTr="00AC1232">
        <w:trPr>
          <w:trHeight w:val="240"/>
        </w:trPr>
        <w:tc>
          <w:tcPr>
            <w:tcW w:w="2943"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134"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数量</w:t>
            </w:r>
          </w:p>
        </w:tc>
        <w:tc>
          <w:tcPr>
            <w:tcW w:w="70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比例</w:t>
            </w:r>
          </w:p>
        </w:tc>
        <w:tc>
          <w:tcPr>
            <w:tcW w:w="70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发行新股</w:t>
            </w:r>
          </w:p>
        </w:tc>
        <w:tc>
          <w:tcPr>
            <w:tcW w:w="42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送股</w:t>
            </w:r>
          </w:p>
        </w:tc>
        <w:tc>
          <w:tcPr>
            <w:tcW w:w="85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公积金转股</w:t>
            </w:r>
          </w:p>
        </w:tc>
        <w:tc>
          <w:tcPr>
            <w:tcW w:w="42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其他</w:t>
            </w:r>
          </w:p>
        </w:tc>
        <w:tc>
          <w:tcPr>
            <w:tcW w:w="51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小计</w:t>
            </w:r>
          </w:p>
        </w:tc>
        <w:tc>
          <w:tcPr>
            <w:tcW w:w="118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数量</w:t>
            </w:r>
          </w:p>
        </w:tc>
        <w:tc>
          <w:tcPr>
            <w:tcW w:w="74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比例</w:t>
            </w:r>
          </w:p>
        </w:tc>
      </w:tr>
      <w:tr w:rsidR="00831C3C" w:rsidRPr="00831C3C" w:rsidTr="00AC1232">
        <w:trPr>
          <w:trHeight w:val="240"/>
        </w:trPr>
        <w:tc>
          <w:tcPr>
            <w:tcW w:w="294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一、有限</w:t>
            </w:r>
            <w:proofErr w:type="gramStart"/>
            <w:r w:rsidRPr="00831C3C">
              <w:rPr>
                <w:rFonts w:ascii="宋体" w:eastAsia="宋体" w:hAnsi="宋体" w:cs="宋体"/>
                <w:sz w:val="18"/>
                <w:szCs w:val="18"/>
              </w:rPr>
              <w:t>售条件</w:t>
            </w:r>
            <w:proofErr w:type="gramEnd"/>
            <w:r w:rsidRPr="00831C3C">
              <w:rPr>
                <w:rFonts w:ascii="宋体" w:eastAsia="宋体" w:hAnsi="宋体" w:cs="宋体"/>
                <w:sz w:val="18"/>
                <w:szCs w:val="18"/>
              </w:rPr>
              <w:t>股份</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0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0.00%</w:t>
            </w:r>
          </w:p>
        </w:tc>
        <w:tc>
          <w:tcPr>
            <w:tcW w:w="70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42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85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42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51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18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7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0.00%</w:t>
            </w:r>
          </w:p>
        </w:tc>
      </w:tr>
      <w:tr w:rsidR="00831C3C" w:rsidRPr="00831C3C" w:rsidTr="00AC1232">
        <w:trPr>
          <w:trHeight w:val="240"/>
        </w:trPr>
        <w:tc>
          <w:tcPr>
            <w:tcW w:w="294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1、国家持股</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51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18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rsidTr="00AC1232">
        <w:trPr>
          <w:trHeight w:val="240"/>
        </w:trPr>
        <w:tc>
          <w:tcPr>
            <w:tcW w:w="294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2、国有法人持股</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51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18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rsidTr="00AC1232">
        <w:trPr>
          <w:trHeight w:val="240"/>
        </w:trPr>
        <w:tc>
          <w:tcPr>
            <w:tcW w:w="294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3、其他内资持股</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51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18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rsidTr="00AC1232">
        <w:trPr>
          <w:trHeight w:val="240"/>
        </w:trPr>
        <w:tc>
          <w:tcPr>
            <w:tcW w:w="294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其中：境内法人持股</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51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18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rsidTr="00AC1232">
        <w:trPr>
          <w:trHeight w:val="240"/>
        </w:trPr>
        <w:tc>
          <w:tcPr>
            <w:tcW w:w="294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境内自然人持股</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51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18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rsidTr="00AC1232">
        <w:trPr>
          <w:trHeight w:val="240"/>
        </w:trPr>
        <w:tc>
          <w:tcPr>
            <w:tcW w:w="294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4、外资持股</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51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18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rsidTr="00AC1232">
        <w:trPr>
          <w:trHeight w:val="240"/>
        </w:trPr>
        <w:tc>
          <w:tcPr>
            <w:tcW w:w="294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其中：境外法人持股</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51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18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rsidTr="00AC1232">
        <w:trPr>
          <w:trHeight w:val="240"/>
        </w:trPr>
        <w:tc>
          <w:tcPr>
            <w:tcW w:w="294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境外自然人持股</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51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18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rsidTr="00AC1232">
        <w:trPr>
          <w:trHeight w:val="240"/>
        </w:trPr>
        <w:tc>
          <w:tcPr>
            <w:tcW w:w="294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二、无限</w:t>
            </w:r>
            <w:proofErr w:type="gramStart"/>
            <w:r w:rsidRPr="00831C3C">
              <w:rPr>
                <w:rFonts w:ascii="宋体" w:eastAsia="宋体" w:hAnsi="宋体" w:cs="宋体"/>
                <w:sz w:val="18"/>
                <w:szCs w:val="18"/>
              </w:rPr>
              <w:t>售条件</w:t>
            </w:r>
            <w:proofErr w:type="gramEnd"/>
            <w:r w:rsidRPr="00831C3C">
              <w:rPr>
                <w:rFonts w:ascii="宋体" w:eastAsia="宋体" w:hAnsi="宋体" w:cs="宋体"/>
                <w:sz w:val="18"/>
                <w:szCs w:val="18"/>
              </w:rPr>
              <w:t>股份</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1,700,681,355</w:t>
            </w:r>
          </w:p>
        </w:tc>
        <w:tc>
          <w:tcPr>
            <w:tcW w:w="70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w:t>
            </w:r>
          </w:p>
        </w:tc>
        <w:tc>
          <w:tcPr>
            <w:tcW w:w="70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42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85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42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51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18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1,700,681,355</w:t>
            </w:r>
          </w:p>
        </w:tc>
        <w:tc>
          <w:tcPr>
            <w:tcW w:w="7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w:t>
            </w:r>
          </w:p>
        </w:tc>
      </w:tr>
      <w:tr w:rsidR="00831C3C" w:rsidRPr="00831C3C" w:rsidTr="00AC1232">
        <w:trPr>
          <w:trHeight w:val="240"/>
        </w:trPr>
        <w:tc>
          <w:tcPr>
            <w:tcW w:w="294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1、人民币普通股</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1,700,681,355</w:t>
            </w:r>
          </w:p>
        </w:tc>
        <w:tc>
          <w:tcPr>
            <w:tcW w:w="70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w:t>
            </w:r>
          </w:p>
        </w:tc>
        <w:tc>
          <w:tcPr>
            <w:tcW w:w="70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42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85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42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51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18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1,700,681,355</w:t>
            </w:r>
          </w:p>
        </w:tc>
        <w:tc>
          <w:tcPr>
            <w:tcW w:w="7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w:t>
            </w:r>
          </w:p>
        </w:tc>
      </w:tr>
      <w:tr w:rsidR="00831C3C" w:rsidRPr="00831C3C" w:rsidTr="00AC1232">
        <w:trPr>
          <w:trHeight w:val="240"/>
        </w:trPr>
        <w:tc>
          <w:tcPr>
            <w:tcW w:w="294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2、境内上市的外资股</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51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18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rsidTr="00AC1232">
        <w:trPr>
          <w:trHeight w:val="240"/>
        </w:trPr>
        <w:tc>
          <w:tcPr>
            <w:tcW w:w="294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3、境外上市的外资股</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51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18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rsidTr="00AC1232">
        <w:trPr>
          <w:trHeight w:val="240"/>
        </w:trPr>
        <w:tc>
          <w:tcPr>
            <w:tcW w:w="294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4、其他</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0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85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42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51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18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rsidTr="00AC1232">
        <w:trPr>
          <w:trHeight w:val="240"/>
        </w:trPr>
        <w:tc>
          <w:tcPr>
            <w:tcW w:w="294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三、股份总数</w:t>
            </w:r>
          </w:p>
        </w:tc>
        <w:tc>
          <w:tcPr>
            <w:tcW w:w="113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1,700,681,355</w:t>
            </w:r>
          </w:p>
        </w:tc>
        <w:tc>
          <w:tcPr>
            <w:tcW w:w="70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w:t>
            </w:r>
          </w:p>
        </w:tc>
        <w:tc>
          <w:tcPr>
            <w:tcW w:w="70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42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85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42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51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18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1,700,681,355</w:t>
            </w:r>
          </w:p>
        </w:tc>
        <w:tc>
          <w:tcPr>
            <w:tcW w:w="7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股份变动的原因</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股份变动的批准情况</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股份变动的过户情况</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股份变动对最近一年和最近一期基本每股收益和稀释每股收益、归属于公司普通股股东的每股净资产等财务指标的影响</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公司认为必要或证券监管机构要求披露的其他内容</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pStyle w:val="3"/>
        <w:spacing w:line="280" w:lineRule="exact"/>
        <w:jc w:val="left"/>
        <w:rPr>
          <w:rFonts w:ascii="宋体" w:hAnsi="宋体" w:cs="宋体"/>
          <w:b/>
          <w:bCs/>
        </w:rPr>
      </w:pPr>
      <w:bookmarkStart w:id="147" w:name="_Toc989035"/>
      <w:r w:rsidRPr="00831C3C">
        <w:rPr>
          <w:rFonts w:ascii="宋体" w:hAnsi="宋体" w:cs="宋体"/>
          <w:b/>
          <w:bCs/>
        </w:rPr>
        <w:t>2、限售股份变动情况</w:t>
      </w:r>
      <w:bookmarkEnd w:id="147"/>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pStyle w:val="2"/>
        <w:spacing w:before="300" w:after="300" w:line="320" w:lineRule="exact"/>
        <w:rPr>
          <w:rFonts w:ascii="宋体" w:eastAsia="宋体" w:hAnsi="宋体" w:cs="宋体"/>
          <w:b/>
          <w:bCs/>
          <w:sz w:val="24"/>
          <w:szCs w:val="24"/>
        </w:rPr>
      </w:pPr>
      <w:bookmarkStart w:id="148" w:name="_Toc989036"/>
      <w:r w:rsidRPr="00831C3C">
        <w:rPr>
          <w:rFonts w:ascii="宋体" w:eastAsia="宋体" w:hAnsi="宋体" w:cs="宋体"/>
          <w:b/>
          <w:bCs/>
          <w:sz w:val="24"/>
          <w:szCs w:val="24"/>
        </w:rPr>
        <w:lastRenderedPageBreak/>
        <w:t>二、证券发行与上市情况</w:t>
      </w:r>
      <w:bookmarkEnd w:id="148"/>
    </w:p>
    <w:p w:rsidR="00E23A97" w:rsidRPr="00831C3C" w:rsidRDefault="00C65FD5">
      <w:pPr>
        <w:pStyle w:val="3"/>
        <w:spacing w:line="280" w:lineRule="exact"/>
        <w:jc w:val="left"/>
        <w:rPr>
          <w:rFonts w:ascii="宋体" w:hAnsi="宋体" w:cs="宋体"/>
          <w:b/>
          <w:bCs/>
        </w:rPr>
      </w:pPr>
      <w:bookmarkStart w:id="149" w:name="_Toc989037"/>
      <w:r w:rsidRPr="00831C3C">
        <w:rPr>
          <w:rFonts w:ascii="宋体" w:hAnsi="宋体" w:cs="宋体"/>
          <w:b/>
          <w:bCs/>
        </w:rPr>
        <w:t>1、报告期内证券发行（不含优先股）情况</w:t>
      </w:r>
      <w:bookmarkEnd w:id="149"/>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pStyle w:val="3"/>
        <w:spacing w:line="280" w:lineRule="exact"/>
        <w:jc w:val="left"/>
        <w:rPr>
          <w:rFonts w:ascii="宋体" w:hAnsi="宋体" w:cs="宋体"/>
          <w:b/>
          <w:bCs/>
        </w:rPr>
      </w:pPr>
      <w:bookmarkStart w:id="150" w:name="_Toc989038"/>
      <w:r w:rsidRPr="00831C3C">
        <w:rPr>
          <w:rFonts w:ascii="宋体" w:hAnsi="宋体" w:cs="宋体"/>
          <w:b/>
          <w:bCs/>
        </w:rPr>
        <w:t>2、公司股份总数及股东结构的变动、公司资产和负债结构的变动情况说明</w:t>
      </w:r>
      <w:bookmarkEnd w:id="150"/>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pStyle w:val="3"/>
        <w:spacing w:line="280" w:lineRule="exact"/>
        <w:jc w:val="left"/>
        <w:rPr>
          <w:rFonts w:ascii="宋体" w:hAnsi="宋体" w:cs="宋体"/>
          <w:b/>
          <w:bCs/>
        </w:rPr>
      </w:pPr>
      <w:bookmarkStart w:id="151" w:name="_Toc989039"/>
      <w:r w:rsidRPr="00831C3C">
        <w:rPr>
          <w:rFonts w:ascii="宋体" w:hAnsi="宋体" w:cs="宋体"/>
          <w:b/>
          <w:bCs/>
        </w:rPr>
        <w:t>3、现存的内部职工股情况</w:t>
      </w:r>
      <w:bookmarkEnd w:id="151"/>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pStyle w:val="2"/>
        <w:spacing w:before="300" w:after="300" w:line="320" w:lineRule="exact"/>
        <w:rPr>
          <w:rFonts w:ascii="宋体" w:eastAsia="宋体" w:hAnsi="宋体" w:cs="宋体"/>
          <w:b/>
          <w:bCs/>
          <w:sz w:val="24"/>
          <w:szCs w:val="24"/>
        </w:rPr>
      </w:pPr>
      <w:bookmarkStart w:id="152" w:name="_Toc989040"/>
      <w:r w:rsidRPr="00831C3C">
        <w:rPr>
          <w:rFonts w:ascii="宋体" w:eastAsia="宋体" w:hAnsi="宋体" w:cs="宋体"/>
          <w:b/>
          <w:bCs/>
          <w:sz w:val="24"/>
          <w:szCs w:val="24"/>
        </w:rPr>
        <w:t>三、股东和实际控制人情况</w:t>
      </w:r>
      <w:bookmarkEnd w:id="152"/>
    </w:p>
    <w:p w:rsidR="00E23A97" w:rsidRPr="00831C3C" w:rsidRDefault="00C65FD5">
      <w:pPr>
        <w:pStyle w:val="3"/>
        <w:spacing w:line="280" w:lineRule="exact"/>
        <w:jc w:val="left"/>
        <w:rPr>
          <w:rFonts w:ascii="宋体" w:hAnsi="宋体" w:cs="宋体"/>
          <w:b/>
          <w:bCs/>
        </w:rPr>
      </w:pPr>
      <w:bookmarkStart w:id="153" w:name="_Toc989041"/>
      <w:r w:rsidRPr="00831C3C">
        <w:rPr>
          <w:rFonts w:ascii="宋体" w:hAnsi="宋体" w:cs="宋体"/>
          <w:b/>
          <w:bCs/>
        </w:rPr>
        <w:t>1、公司股东数量及持股情况</w:t>
      </w:r>
      <w:bookmarkEnd w:id="153"/>
    </w:p>
    <w:p w:rsidR="00E23A97" w:rsidRPr="00831C3C" w:rsidRDefault="00C65FD5">
      <w:pPr>
        <w:spacing w:before="120" w:after="120" w:line="240" w:lineRule="exact"/>
        <w:jc w:val="right"/>
        <w:rPr>
          <w:rFonts w:ascii="宋体" w:eastAsia="宋体" w:hAnsi="宋体" w:cs="宋体"/>
          <w:sz w:val="18"/>
          <w:szCs w:val="18"/>
        </w:rPr>
      </w:pPr>
      <w:r w:rsidRPr="00831C3C">
        <w:rPr>
          <w:rFonts w:ascii="宋体" w:eastAsia="宋体" w:hAnsi="宋体" w:cs="宋体"/>
          <w:sz w:val="18"/>
          <w:szCs w:val="18"/>
        </w:rPr>
        <w:t>单位：股</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071"/>
        <w:gridCol w:w="738"/>
        <w:gridCol w:w="333"/>
        <w:gridCol w:w="660"/>
        <w:gridCol w:w="708"/>
        <w:gridCol w:w="774"/>
        <w:gridCol w:w="1778"/>
        <w:gridCol w:w="364"/>
        <w:gridCol w:w="1071"/>
        <w:gridCol w:w="975"/>
        <w:gridCol w:w="283"/>
        <w:gridCol w:w="425"/>
        <w:gridCol w:w="459"/>
      </w:tblGrid>
      <w:tr w:rsidR="00831C3C" w:rsidRPr="00831C3C" w:rsidTr="00AC1232">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报告期末普通股股东总数</w:t>
            </w:r>
          </w:p>
        </w:tc>
        <w:tc>
          <w:tcPr>
            <w:tcW w:w="1071"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29,628</w:t>
            </w:r>
          </w:p>
        </w:tc>
        <w:tc>
          <w:tcPr>
            <w:tcW w:w="1368"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年度报告披露日前上一月末普通股股东总数</w:t>
            </w:r>
          </w:p>
        </w:tc>
        <w:tc>
          <w:tcPr>
            <w:tcW w:w="77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27,213</w:t>
            </w:r>
          </w:p>
        </w:tc>
        <w:tc>
          <w:tcPr>
            <w:tcW w:w="177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报告期末表决权恢复的优先股股东总数（如有）（参见注8）</w:t>
            </w:r>
          </w:p>
        </w:tc>
        <w:tc>
          <w:tcPr>
            <w:tcW w:w="36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2754"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年度报告披露日前上一月末表决权恢复的优先股股东总数（如有）（参见注8）</w:t>
            </w:r>
          </w:p>
        </w:tc>
        <w:tc>
          <w:tcPr>
            <w:tcW w:w="459"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r>
      <w:tr w:rsidR="00831C3C" w:rsidRPr="00831C3C">
        <w:trPr>
          <w:trHeight w:val="240"/>
        </w:trPr>
        <w:tc>
          <w:tcPr>
            <w:tcW w:w="9639" w:type="dxa"/>
            <w:gridSpan w:val="13"/>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持股5%以上的股东或前10名股东持股情况（不含通过转融通出借股份）</w:t>
            </w:r>
          </w:p>
        </w:tc>
      </w:tr>
      <w:tr w:rsidR="00831C3C" w:rsidRPr="00831C3C" w:rsidTr="00AC1232">
        <w:trPr>
          <w:trHeight w:val="240"/>
        </w:trPr>
        <w:tc>
          <w:tcPr>
            <w:tcW w:w="1809" w:type="dxa"/>
            <w:gridSpan w:val="2"/>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股东名称</w:t>
            </w:r>
          </w:p>
        </w:tc>
        <w:tc>
          <w:tcPr>
            <w:tcW w:w="993" w:type="dxa"/>
            <w:gridSpan w:val="2"/>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股东性质</w:t>
            </w:r>
          </w:p>
        </w:tc>
        <w:tc>
          <w:tcPr>
            <w:tcW w:w="70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持股比例</w:t>
            </w:r>
          </w:p>
        </w:tc>
        <w:tc>
          <w:tcPr>
            <w:tcW w:w="774"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报告期末持股数量</w:t>
            </w:r>
          </w:p>
        </w:tc>
        <w:tc>
          <w:tcPr>
            <w:tcW w:w="177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报告期内增减变动情况</w:t>
            </w:r>
          </w:p>
        </w:tc>
        <w:tc>
          <w:tcPr>
            <w:tcW w:w="364"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持有有限</w:t>
            </w:r>
            <w:proofErr w:type="gramStart"/>
            <w:r w:rsidRPr="00831C3C">
              <w:rPr>
                <w:rFonts w:ascii="宋体" w:eastAsia="宋体" w:hAnsi="宋体" w:cs="宋体"/>
                <w:sz w:val="18"/>
                <w:szCs w:val="18"/>
              </w:rPr>
              <w:t>售条件</w:t>
            </w:r>
            <w:proofErr w:type="gramEnd"/>
            <w:r w:rsidRPr="00831C3C">
              <w:rPr>
                <w:rFonts w:ascii="宋体" w:eastAsia="宋体" w:hAnsi="宋体" w:cs="宋体"/>
                <w:sz w:val="18"/>
                <w:szCs w:val="18"/>
              </w:rPr>
              <w:t>的股份数量</w:t>
            </w:r>
          </w:p>
        </w:tc>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持有无限</w:t>
            </w:r>
            <w:proofErr w:type="gramStart"/>
            <w:r w:rsidRPr="00831C3C">
              <w:rPr>
                <w:rFonts w:ascii="宋体" w:eastAsia="宋体" w:hAnsi="宋体" w:cs="宋体"/>
                <w:sz w:val="18"/>
                <w:szCs w:val="18"/>
              </w:rPr>
              <w:t>售条件</w:t>
            </w:r>
            <w:proofErr w:type="gramEnd"/>
            <w:r w:rsidRPr="00831C3C">
              <w:rPr>
                <w:rFonts w:ascii="宋体" w:eastAsia="宋体" w:hAnsi="宋体" w:cs="宋体"/>
                <w:sz w:val="18"/>
                <w:szCs w:val="18"/>
              </w:rPr>
              <w:t>的股份数量</w:t>
            </w:r>
          </w:p>
        </w:tc>
        <w:tc>
          <w:tcPr>
            <w:tcW w:w="2142"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质押、标记或冻结情况</w:t>
            </w:r>
          </w:p>
        </w:tc>
      </w:tr>
      <w:tr w:rsidR="00831C3C" w:rsidRPr="00831C3C" w:rsidTr="00AC1232">
        <w:trPr>
          <w:trHeight w:val="240"/>
        </w:trPr>
        <w:tc>
          <w:tcPr>
            <w:tcW w:w="1809" w:type="dxa"/>
            <w:gridSpan w:val="2"/>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993" w:type="dxa"/>
            <w:gridSpan w:val="2"/>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708"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774"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778"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364"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258"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股份状态</w:t>
            </w:r>
          </w:p>
        </w:tc>
        <w:tc>
          <w:tcPr>
            <w:tcW w:w="88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数量</w:t>
            </w:r>
          </w:p>
        </w:tc>
      </w:tr>
      <w:tr w:rsidR="00831C3C" w:rsidRPr="00831C3C" w:rsidTr="00AC1232">
        <w:trPr>
          <w:trHeight w:val="240"/>
        </w:trPr>
        <w:tc>
          <w:tcPr>
            <w:tcW w:w="1809"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华孚控股有限公司</w:t>
            </w:r>
          </w:p>
        </w:tc>
        <w:tc>
          <w:tcPr>
            <w:tcW w:w="993"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境内非国有法人</w:t>
            </w:r>
          </w:p>
        </w:tc>
        <w:tc>
          <w:tcPr>
            <w:tcW w:w="70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29.50%</w:t>
            </w:r>
          </w:p>
        </w:tc>
        <w:tc>
          <w:tcPr>
            <w:tcW w:w="77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501,655,862</w:t>
            </w:r>
          </w:p>
        </w:tc>
        <w:tc>
          <w:tcPr>
            <w:tcW w:w="177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0</w:t>
            </w:r>
          </w:p>
        </w:tc>
        <w:tc>
          <w:tcPr>
            <w:tcW w:w="36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258"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不适用</w:t>
            </w:r>
          </w:p>
        </w:tc>
        <w:tc>
          <w:tcPr>
            <w:tcW w:w="884"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r>
      <w:tr w:rsidR="00831C3C" w:rsidRPr="00831C3C" w:rsidTr="00AC1232">
        <w:trPr>
          <w:trHeight w:val="240"/>
        </w:trPr>
        <w:tc>
          <w:tcPr>
            <w:tcW w:w="1809"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安徽飞亚纺织有限公司</w:t>
            </w:r>
          </w:p>
        </w:tc>
        <w:tc>
          <w:tcPr>
            <w:tcW w:w="993"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境内非国有法人</w:t>
            </w:r>
          </w:p>
        </w:tc>
        <w:tc>
          <w:tcPr>
            <w:tcW w:w="70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7.59%</w:t>
            </w:r>
          </w:p>
        </w:tc>
        <w:tc>
          <w:tcPr>
            <w:tcW w:w="77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129,058,312</w:t>
            </w:r>
          </w:p>
        </w:tc>
        <w:tc>
          <w:tcPr>
            <w:tcW w:w="177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0</w:t>
            </w:r>
          </w:p>
        </w:tc>
        <w:tc>
          <w:tcPr>
            <w:tcW w:w="36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258"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不适用</w:t>
            </w:r>
          </w:p>
        </w:tc>
        <w:tc>
          <w:tcPr>
            <w:tcW w:w="884"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r>
      <w:tr w:rsidR="00831C3C" w:rsidRPr="00831C3C" w:rsidTr="00AC1232">
        <w:trPr>
          <w:trHeight w:val="240"/>
        </w:trPr>
        <w:tc>
          <w:tcPr>
            <w:tcW w:w="1809"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深圳市华人投资有限公司</w:t>
            </w:r>
          </w:p>
        </w:tc>
        <w:tc>
          <w:tcPr>
            <w:tcW w:w="993"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境内非国有法人</w:t>
            </w:r>
          </w:p>
        </w:tc>
        <w:tc>
          <w:tcPr>
            <w:tcW w:w="70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4.82%</w:t>
            </w:r>
          </w:p>
        </w:tc>
        <w:tc>
          <w:tcPr>
            <w:tcW w:w="77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81,973,588</w:t>
            </w:r>
          </w:p>
        </w:tc>
        <w:tc>
          <w:tcPr>
            <w:tcW w:w="177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0</w:t>
            </w:r>
          </w:p>
        </w:tc>
        <w:tc>
          <w:tcPr>
            <w:tcW w:w="36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258"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不适用</w:t>
            </w:r>
          </w:p>
        </w:tc>
        <w:tc>
          <w:tcPr>
            <w:tcW w:w="884"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r>
      <w:tr w:rsidR="00831C3C" w:rsidRPr="00831C3C" w:rsidTr="00AC1232">
        <w:trPr>
          <w:trHeight w:val="240"/>
        </w:trPr>
        <w:tc>
          <w:tcPr>
            <w:tcW w:w="1809"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广西</w:t>
            </w:r>
            <w:proofErr w:type="gramStart"/>
            <w:r w:rsidRPr="00831C3C">
              <w:rPr>
                <w:rFonts w:ascii="宋体" w:eastAsia="宋体" w:hAnsi="宋体" w:cs="宋体"/>
                <w:sz w:val="18"/>
                <w:szCs w:val="18"/>
              </w:rPr>
              <w:t>沣盛供应</w:t>
            </w:r>
            <w:proofErr w:type="gramEnd"/>
            <w:r w:rsidRPr="00831C3C">
              <w:rPr>
                <w:rFonts w:ascii="宋体" w:eastAsia="宋体" w:hAnsi="宋体" w:cs="宋体"/>
                <w:sz w:val="18"/>
                <w:szCs w:val="18"/>
              </w:rPr>
              <w:t>链管理有限公司</w:t>
            </w:r>
          </w:p>
        </w:tc>
        <w:tc>
          <w:tcPr>
            <w:tcW w:w="993"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境内非国有法人</w:t>
            </w:r>
          </w:p>
        </w:tc>
        <w:tc>
          <w:tcPr>
            <w:tcW w:w="70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1.66%</w:t>
            </w:r>
          </w:p>
        </w:tc>
        <w:tc>
          <w:tcPr>
            <w:tcW w:w="77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28,239,302</w:t>
            </w:r>
          </w:p>
        </w:tc>
        <w:tc>
          <w:tcPr>
            <w:tcW w:w="177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-17,043,800</w:t>
            </w:r>
          </w:p>
        </w:tc>
        <w:tc>
          <w:tcPr>
            <w:tcW w:w="36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258"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质押</w:t>
            </w:r>
          </w:p>
        </w:tc>
        <w:tc>
          <w:tcPr>
            <w:tcW w:w="884"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28,239,302</w:t>
            </w:r>
          </w:p>
        </w:tc>
      </w:tr>
      <w:tr w:rsidR="00831C3C" w:rsidRPr="00831C3C" w:rsidTr="00AC1232">
        <w:trPr>
          <w:trHeight w:val="240"/>
        </w:trPr>
        <w:tc>
          <w:tcPr>
            <w:tcW w:w="1809"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香港中央结算有限公司</w:t>
            </w:r>
          </w:p>
        </w:tc>
        <w:tc>
          <w:tcPr>
            <w:tcW w:w="993"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境外法人</w:t>
            </w:r>
          </w:p>
        </w:tc>
        <w:tc>
          <w:tcPr>
            <w:tcW w:w="70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0.83%</w:t>
            </w:r>
          </w:p>
        </w:tc>
        <w:tc>
          <w:tcPr>
            <w:tcW w:w="77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14,165,676</w:t>
            </w:r>
          </w:p>
        </w:tc>
        <w:tc>
          <w:tcPr>
            <w:tcW w:w="177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-18,667,872</w:t>
            </w:r>
          </w:p>
        </w:tc>
        <w:tc>
          <w:tcPr>
            <w:tcW w:w="36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258"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不适用</w:t>
            </w:r>
          </w:p>
        </w:tc>
        <w:tc>
          <w:tcPr>
            <w:tcW w:w="884"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r>
      <w:tr w:rsidR="00831C3C" w:rsidRPr="00831C3C" w:rsidTr="00AC1232">
        <w:trPr>
          <w:trHeight w:val="240"/>
        </w:trPr>
        <w:tc>
          <w:tcPr>
            <w:tcW w:w="1809"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许双青</w:t>
            </w:r>
            <w:proofErr w:type="gramEnd"/>
          </w:p>
        </w:tc>
        <w:tc>
          <w:tcPr>
            <w:tcW w:w="993"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境内自然人</w:t>
            </w:r>
          </w:p>
        </w:tc>
        <w:tc>
          <w:tcPr>
            <w:tcW w:w="70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0.83%</w:t>
            </w:r>
          </w:p>
        </w:tc>
        <w:tc>
          <w:tcPr>
            <w:tcW w:w="77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14,110,450</w:t>
            </w:r>
          </w:p>
        </w:tc>
        <w:tc>
          <w:tcPr>
            <w:tcW w:w="177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13,210,450</w:t>
            </w:r>
          </w:p>
        </w:tc>
        <w:tc>
          <w:tcPr>
            <w:tcW w:w="36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258"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不适用</w:t>
            </w:r>
          </w:p>
        </w:tc>
        <w:tc>
          <w:tcPr>
            <w:tcW w:w="884"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r>
      <w:tr w:rsidR="00831C3C" w:rsidRPr="00831C3C" w:rsidTr="00AC1232">
        <w:trPr>
          <w:trHeight w:val="240"/>
        </w:trPr>
        <w:tc>
          <w:tcPr>
            <w:tcW w:w="1809"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杭州金蟾蜍投资管理有限公司－金蟾蜍</w:t>
            </w:r>
            <w:proofErr w:type="gramStart"/>
            <w:r w:rsidRPr="00831C3C">
              <w:rPr>
                <w:rFonts w:ascii="宋体" w:eastAsia="宋体" w:hAnsi="宋体" w:cs="宋体"/>
                <w:sz w:val="18"/>
                <w:szCs w:val="18"/>
              </w:rPr>
              <w:t>睿</w:t>
            </w:r>
            <w:proofErr w:type="gramEnd"/>
            <w:r w:rsidRPr="00831C3C">
              <w:rPr>
                <w:rFonts w:ascii="宋体" w:eastAsia="宋体" w:hAnsi="宋体" w:cs="宋体"/>
                <w:sz w:val="18"/>
                <w:szCs w:val="18"/>
              </w:rPr>
              <w:t>达一号私募证券投资基金</w:t>
            </w:r>
          </w:p>
        </w:tc>
        <w:tc>
          <w:tcPr>
            <w:tcW w:w="993"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其他</w:t>
            </w:r>
          </w:p>
        </w:tc>
        <w:tc>
          <w:tcPr>
            <w:tcW w:w="70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0.77%</w:t>
            </w:r>
          </w:p>
        </w:tc>
        <w:tc>
          <w:tcPr>
            <w:tcW w:w="77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13,072,800</w:t>
            </w:r>
          </w:p>
        </w:tc>
        <w:tc>
          <w:tcPr>
            <w:tcW w:w="177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5,178,600</w:t>
            </w:r>
          </w:p>
        </w:tc>
        <w:tc>
          <w:tcPr>
            <w:tcW w:w="36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258"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不适用</w:t>
            </w:r>
          </w:p>
        </w:tc>
        <w:tc>
          <w:tcPr>
            <w:tcW w:w="884"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r>
      <w:tr w:rsidR="00831C3C" w:rsidRPr="00831C3C" w:rsidTr="00AC1232">
        <w:trPr>
          <w:trHeight w:val="240"/>
        </w:trPr>
        <w:tc>
          <w:tcPr>
            <w:tcW w:w="1809"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lastRenderedPageBreak/>
              <w:t>陆超祖</w:t>
            </w:r>
            <w:proofErr w:type="gramEnd"/>
          </w:p>
        </w:tc>
        <w:tc>
          <w:tcPr>
            <w:tcW w:w="993"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境内自然人</w:t>
            </w:r>
          </w:p>
        </w:tc>
        <w:tc>
          <w:tcPr>
            <w:tcW w:w="70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0.70%</w:t>
            </w:r>
          </w:p>
        </w:tc>
        <w:tc>
          <w:tcPr>
            <w:tcW w:w="77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11,827,150</w:t>
            </w:r>
          </w:p>
        </w:tc>
        <w:tc>
          <w:tcPr>
            <w:tcW w:w="177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-1,010,478</w:t>
            </w:r>
          </w:p>
        </w:tc>
        <w:tc>
          <w:tcPr>
            <w:tcW w:w="36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258"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不适用</w:t>
            </w:r>
          </w:p>
        </w:tc>
        <w:tc>
          <w:tcPr>
            <w:tcW w:w="884"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r>
      <w:tr w:rsidR="00831C3C" w:rsidRPr="00831C3C" w:rsidTr="00AC1232">
        <w:trPr>
          <w:trHeight w:val="240"/>
        </w:trPr>
        <w:tc>
          <w:tcPr>
            <w:tcW w:w="1809"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袁应松</w:t>
            </w:r>
          </w:p>
        </w:tc>
        <w:tc>
          <w:tcPr>
            <w:tcW w:w="993"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境内自然人</w:t>
            </w:r>
          </w:p>
        </w:tc>
        <w:tc>
          <w:tcPr>
            <w:tcW w:w="70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0.66%</w:t>
            </w:r>
          </w:p>
        </w:tc>
        <w:tc>
          <w:tcPr>
            <w:tcW w:w="77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11,244,629</w:t>
            </w:r>
          </w:p>
        </w:tc>
        <w:tc>
          <w:tcPr>
            <w:tcW w:w="177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4,724,900</w:t>
            </w:r>
          </w:p>
        </w:tc>
        <w:tc>
          <w:tcPr>
            <w:tcW w:w="36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258"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不适用</w:t>
            </w:r>
          </w:p>
        </w:tc>
        <w:tc>
          <w:tcPr>
            <w:tcW w:w="884"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r>
      <w:tr w:rsidR="00831C3C" w:rsidRPr="00831C3C" w:rsidTr="00AC1232">
        <w:trPr>
          <w:trHeight w:val="240"/>
        </w:trPr>
        <w:tc>
          <w:tcPr>
            <w:tcW w:w="1809"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金元顺安基金－兴业银行－上海爱建信托－爱建信托欣欣7号定向增发事务管理类单一资金信托</w:t>
            </w:r>
          </w:p>
        </w:tc>
        <w:tc>
          <w:tcPr>
            <w:tcW w:w="993"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其他</w:t>
            </w:r>
          </w:p>
        </w:tc>
        <w:tc>
          <w:tcPr>
            <w:tcW w:w="70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0.65%</w:t>
            </w:r>
          </w:p>
        </w:tc>
        <w:tc>
          <w:tcPr>
            <w:tcW w:w="77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11,136,056</w:t>
            </w:r>
          </w:p>
        </w:tc>
        <w:tc>
          <w:tcPr>
            <w:tcW w:w="177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-26,119,948</w:t>
            </w:r>
          </w:p>
        </w:tc>
        <w:tc>
          <w:tcPr>
            <w:tcW w:w="364"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c>
          <w:tcPr>
            <w:tcW w:w="1258"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不适用</w:t>
            </w:r>
          </w:p>
        </w:tc>
        <w:tc>
          <w:tcPr>
            <w:tcW w:w="884"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w:t>
            </w:r>
          </w:p>
        </w:tc>
      </w:tr>
      <w:tr w:rsidR="00831C3C" w:rsidRPr="00831C3C" w:rsidTr="00AC1232">
        <w:trPr>
          <w:trHeight w:val="240"/>
        </w:trPr>
        <w:tc>
          <w:tcPr>
            <w:tcW w:w="2802"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战略投资者或一般法人因配售新股成为前10名股东的情况（如有）（参见注3）</w:t>
            </w:r>
          </w:p>
        </w:tc>
        <w:tc>
          <w:tcPr>
            <w:tcW w:w="6837" w:type="dxa"/>
            <w:gridSpan w:val="9"/>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r>
      <w:tr w:rsidR="00831C3C" w:rsidRPr="00831C3C" w:rsidTr="00AC1232">
        <w:trPr>
          <w:trHeight w:val="240"/>
        </w:trPr>
        <w:tc>
          <w:tcPr>
            <w:tcW w:w="2802"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上述股东关联关系或一致行动的说明</w:t>
            </w:r>
          </w:p>
        </w:tc>
        <w:tc>
          <w:tcPr>
            <w:tcW w:w="6837" w:type="dxa"/>
            <w:gridSpan w:val="9"/>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上述股东中华</w:t>
            </w:r>
            <w:proofErr w:type="gramStart"/>
            <w:r w:rsidRPr="00831C3C">
              <w:rPr>
                <w:rFonts w:ascii="宋体" w:eastAsia="宋体" w:hAnsi="宋体" w:cs="宋体"/>
                <w:sz w:val="18"/>
                <w:szCs w:val="18"/>
              </w:rPr>
              <w:t>孚</w:t>
            </w:r>
            <w:proofErr w:type="gramEnd"/>
            <w:r w:rsidRPr="00831C3C">
              <w:rPr>
                <w:rFonts w:ascii="宋体" w:eastAsia="宋体" w:hAnsi="宋体" w:cs="宋体"/>
                <w:sz w:val="18"/>
                <w:szCs w:val="18"/>
              </w:rPr>
              <w:t>控股有限公司、安徽飞亚纺织有限公司、深圳市华人投资有限公司为公司控股股东</w:t>
            </w:r>
            <w:proofErr w:type="gramStart"/>
            <w:r w:rsidRPr="00831C3C">
              <w:rPr>
                <w:rFonts w:ascii="宋体" w:eastAsia="宋体" w:hAnsi="宋体" w:cs="宋体"/>
                <w:sz w:val="18"/>
                <w:szCs w:val="18"/>
              </w:rPr>
              <w:t>及一致</w:t>
            </w:r>
            <w:proofErr w:type="gramEnd"/>
            <w:r w:rsidRPr="00831C3C">
              <w:rPr>
                <w:rFonts w:ascii="宋体" w:eastAsia="宋体" w:hAnsi="宋体" w:cs="宋体"/>
                <w:sz w:val="18"/>
                <w:szCs w:val="18"/>
              </w:rPr>
              <w:t>行动人，其余流通股东与控股股东之间不存在关联关系，也不属于一致行动人。未知其余流通股股东之间是否存在关联关系或是否属于一致行动人。</w:t>
            </w:r>
          </w:p>
        </w:tc>
      </w:tr>
      <w:tr w:rsidR="00831C3C" w:rsidRPr="00831C3C" w:rsidTr="00AC1232">
        <w:trPr>
          <w:trHeight w:val="240"/>
        </w:trPr>
        <w:tc>
          <w:tcPr>
            <w:tcW w:w="2802"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上述股东涉及委托/受托表决权、放弃表决权情况的说明</w:t>
            </w:r>
          </w:p>
        </w:tc>
        <w:tc>
          <w:tcPr>
            <w:tcW w:w="6837" w:type="dxa"/>
            <w:gridSpan w:val="9"/>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r>
      <w:tr w:rsidR="00831C3C" w:rsidRPr="00831C3C" w:rsidTr="00AC1232">
        <w:trPr>
          <w:trHeight w:val="240"/>
        </w:trPr>
        <w:tc>
          <w:tcPr>
            <w:tcW w:w="2802"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前10名股东中存在回购专户的特别说明（如有）（参见注10）</w:t>
            </w:r>
          </w:p>
        </w:tc>
        <w:tc>
          <w:tcPr>
            <w:tcW w:w="6837" w:type="dxa"/>
            <w:gridSpan w:val="9"/>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前十名股东中存在回购专户，按要求不纳入前十大股东列示。截止12月31日，回购专</w:t>
            </w:r>
            <w:proofErr w:type="gramStart"/>
            <w:r w:rsidRPr="00831C3C">
              <w:rPr>
                <w:rFonts w:ascii="宋体" w:eastAsia="宋体" w:hAnsi="宋体" w:cs="宋体"/>
                <w:sz w:val="18"/>
                <w:szCs w:val="18"/>
              </w:rPr>
              <w:t>户股份</w:t>
            </w:r>
            <w:proofErr w:type="gramEnd"/>
            <w:r w:rsidRPr="00831C3C">
              <w:rPr>
                <w:rFonts w:ascii="宋体" w:eastAsia="宋体" w:hAnsi="宋体" w:cs="宋体"/>
                <w:sz w:val="18"/>
                <w:szCs w:val="18"/>
              </w:rPr>
              <w:t>数量为95,478,485股，占比5.61%</w:t>
            </w:r>
          </w:p>
        </w:tc>
      </w:tr>
      <w:tr w:rsidR="00831C3C" w:rsidRPr="00831C3C">
        <w:trPr>
          <w:trHeight w:val="240"/>
        </w:trPr>
        <w:tc>
          <w:tcPr>
            <w:tcW w:w="9639" w:type="dxa"/>
            <w:gridSpan w:val="13"/>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前10名无限</w:t>
            </w:r>
            <w:proofErr w:type="gramStart"/>
            <w:r w:rsidRPr="00831C3C">
              <w:rPr>
                <w:rFonts w:ascii="宋体" w:eastAsia="宋体" w:hAnsi="宋体" w:cs="宋体"/>
                <w:sz w:val="18"/>
                <w:szCs w:val="18"/>
              </w:rPr>
              <w:t>售条件</w:t>
            </w:r>
            <w:proofErr w:type="gramEnd"/>
            <w:r w:rsidRPr="00831C3C">
              <w:rPr>
                <w:rFonts w:ascii="宋体" w:eastAsia="宋体" w:hAnsi="宋体" w:cs="宋体"/>
                <w:sz w:val="18"/>
                <w:szCs w:val="18"/>
              </w:rPr>
              <w:t>股东持股情况（不含通过转融通出借股份、高管锁定股）</w:t>
            </w:r>
          </w:p>
        </w:tc>
      </w:tr>
      <w:tr w:rsidR="00831C3C" w:rsidRPr="00831C3C" w:rsidTr="00AC1232">
        <w:trPr>
          <w:trHeight w:val="240"/>
        </w:trPr>
        <w:tc>
          <w:tcPr>
            <w:tcW w:w="2802" w:type="dxa"/>
            <w:gridSpan w:val="4"/>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股东名称</w:t>
            </w:r>
          </w:p>
        </w:tc>
        <w:tc>
          <w:tcPr>
            <w:tcW w:w="4695" w:type="dxa"/>
            <w:gridSpan w:val="5"/>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报告期末持有无限</w:t>
            </w:r>
            <w:proofErr w:type="gramStart"/>
            <w:r w:rsidRPr="00831C3C">
              <w:rPr>
                <w:rFonts w:ascii="宋体" w:eastAsia="宋体" w:hAnsi="宋体" w:cs="宋体"/>
                <w:sz w:val="18"/>
                <w:szCs w:val="18"/>
              </w:rPr>
              <w:t>售条件</w:t>
            </w:r>
            <w:proofErr w:type="gramEnd"/>
            <w:r w:rsidRPr="00831C3C">
              <w:rPr>
                <w:rFonts w:ascii="宋体" w:eastAsia="宋体" w:hAnsi="宋体" w:cs="宋体"/>
                <w:sz w:val="18"/>
                <w:szCs w:val="18"/>
              </w:rPr>
              <w:t>股份数量</w:t>
            </w:r>
          </w:p>
        </w:tc>
        <w:tc>
          <w:tcPr>
            <w:tcW w:w="2142"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股份种类</w:t>
            </w:r>
          </w:p>
        </w:tc>
      </w:tr>
      <w:tr w:rsidR="00831C3C" w:rsidRPr="00831C3C" w:rsidTr="00AC1232">
        <w:trPr>
          <w:trHeight w:val="240"/>
        </w:trPr>
        <w:tc>
          <w:tcPr>
            <w:tcW w:w="2802" w:type="dxa"/>
            <w:gridSpan w:val="4"/>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4695" w:type="dxa"/>
            <w:gridSpan w:val="5"/>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97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股份种类</w:t>
            </w:r>
          </w:p>
        </w:tc>
        <w:tc>
          <w:tcPr>
            <w:tcW w:w="1167"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数量</w:t>
            </w:r>
          </w:p>
        </w:tc>
      </w:tr>
      <w:tr w:rsidR="00831C3C" w:rsidRPr="00831C3C" w:rsidTr="00AC1232">
        <w:trPr>
          <w:trHeight w:val="240"/>
        </w:trPr>
        <w:tc>
          <w:tcPr>
            <w:tcW w:w="2802" w:type="dxa"/>
            <w:gridSpan w:val="4"/>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华孚控股有限公司</w:t>
            </w:r>
          </w:p>
        </w:tc>
        <w:tc>
          <w:tcPr>
            <w:tcW w:w="4695" w:type="dxa"/>
            <w:gridSpan w:val="5"/>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501,655,862</w:t>
            </w:r>
          </w:p>
        </w:tc>
        <w:tc>
          <w:tcPr>
            <w:tcW w:w="97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人民币普通股</w:t>
            </w:r>
          </w:p>
        </w:tc>
        <w:tc>
          <w:tcPr>
            <w:tcW w:w="1167" w:type="dxa"/>
            <w:gridSpan w:val="3"/>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501,655,862</w:t>
            </w:r>
          </w:p>
        </w:tc>
      </w:tr>
      <w:tr w:rsidR="00831C3C" w:rsidRPr="00831C3C" w:rsidTr="00AC1232">
        <w:trPr>
          <w:trHeight w:val="240"/>
        </w:trPr>
        <w:tc>
          <w:tcPr>
            <w:tcW w:w="2802" w:type="dxa"/>
            <w:gridSpan w:val="4"/>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安徽飞亚纺织有限公司</w:t>
            </w:r>
          </w:p>
        </w:tc>
        <w:tc>
          <w:tcPr>
            <w:tcW w:w="4695" w:type="dxa"/>
            <w:gridSpan w:val="5"/>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129,058,312</w:t>
            </w:r>
          </w:p>
        </w:tc>
        <w:tc>
          <w:tcPr>
            <w:tcW w:w="97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人民币普通股</w:t>
            </w:r>
          </w:p>
        </w:tc>
        <w:tc>
          <w:tcPr>
            <w:tcW w:w="1167" w:type="dxa"/>
            <w:gridSpan w:val="3"/>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129,058,312</w:t>
            </w:r>
          </w:p>
        </w:tc>
      </w:tr>
      <w:tr w:rsidR="00831C3C" w:rsidRPr="00831C3C" w:rsidTr="00AC1232">
        <w:trPr>
          <w:trHeight w:val="240"/>
        </w:trPr>
        <w:tc>
          <w:tcPr>
            <w:tcW w:w="2802" w:type="dxa"/>
            <w:gridSpan w:val="4"/>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深圳市华人投资有限公司</w:t>
            </w:r>
          </w:p>
        </w:tc>
        <w:tc>
          <w:tcPr>
            <w:tcW w:w="4695" w:type="dxa"/>
            <w:gridSpan w:val="5"/>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81,973,588</w:t>
            </w:r>
          </w:p>
        </w:tc>
        <w:tc>
          <w:tcPr>
            <w:tcW w:w="97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人民币普通股</w:t>
            </w:r>
          </w:p>
        </w:tc>
        <w:tc>
          <w:tcPr>
            <w:tcW w:w="1167" w:type="dxa"/>
            <w:gridSpan w:val="3"/>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81,973,588</w:t>
            </w:r>
          </w:p>
        </w:tc>
      </w:tr>
      <w:tr w:rsidR="00831C3C" w:rsidRPr="00831C3C" w:rsidTr="00AC1232">
        <w:trPr>
          <w:trHeight w:val="240"/>
        </w:trPr>
        <w:tc>
          <w:tcPr>
            <w:tcW w:w="2802" w:type="dxa"/>
            <w:gridSpan w:val="4"/>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广西</w:t>
            </w:r>
            <w:proofErr w:type="gramStart"/>
            <w:r w:rsidRPr="00831C3C">
              <w:rPr>
                <w:rFonts w:ascii="宋体" w:eastAsia="宋体" w:hAnsi="宋体" w:cs="宋体"/>
                <w:sz w:val="18"/>
                <w:szCs w:val="18"/>
              </w:rPr>
              <w:t>沣盛供应</w:t>
            </w:r>
            <w:proofErr w:type="gramEnd"/>
            <w:r w:rsidRPr="00831C3C">
              <w:rPr>
                <w:rFonts w:ascii="宋体" w:eastAsia="宋体" w:hAnsi="宋体" w:cs="宋体"/>
                <w:sz w:val="18"/>
                <w:szCs w:val="18"/>
              </w:rPr>
              <w:t>链管理有限公司</w:t>
            </w:r>
          </w:p>
        </w:tc>
        <w:tc>
          <w:tcPr>
            <w:tcW w:w="4695" w:type="dxa"/>
            <w:gridSpan w:val="5"/>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28,239,302</w:t>
            </w:r>
          </w:p>
        </w:tc>
        <w:tc>
          <w:tcPr>
            <w:tcW w:w="97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人民币普通股</w:t>
            </w:r>
          </w:p>
        </w:tc>
        <w:tc>
          <w:tcPr>
            <w:tcW w:w="1167" w:type="dxa"/>
            <w:gridSpan w:val="3"/>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28,239,302</w:t>
            </w:r>
          </w:p>
        </w:tc>
      </w:tr>
      <w:tr w:rsidR="00831C3C" w:rsidRPr="00831C3C" w:rsidTr="00AC1232">
        <w:trPr>
          <w:trHeight w:val="240"/>
        </w:trPr>
        <w:tc>
          <w:tcPr>
            <w:tcW w:w="2802" w:type="dxa"/>
            <w:gridSpan w:val="4"/>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香港中央结算有限公司</w:t>
            </w:r>
          </w:p>
        </w:tc>
        <w:tc>
          <w:tcPr>
            <w:tcW w:w="4695" w:type="dxa"/>
            <w:gridSpan w:val="5"/>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14,165,676</w:t>
            </w:r>
          </w:p>
        </w:tc>
        <w:tc>
          <w:tcPr>
            <w:tcW w:w="97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人民币普通股</w:t>
            </w:r>
          </w:p>
        </w:tc>
        <w:tc>
          <w:tcPr>
            <w:tcW w:w="1167" w:type="dxa"/>
            <w:gridSpan w:val="3"/>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14,165,676</w:t>
            </w:r>
          </w:p>
        </w:tc>
      </w:tr>
      <w:tr w:rsidR="00831C3C" w:rsidRPr="00831C3C" w:rsidTr="00AC1232">
        <w:trPr>
          <w:trHeight w:val="240"/>
        </w:trPr>
        <w:tc>
          <w:tcPr>
            <w:tcW w:w="2802" w:type="dxa"/>
            <w:gridSpan w:val="4"/>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许双青</w:t>
            </w:r>
            <w:proofErr w:type="gramEnd"/>
          </w:p>
        </w:tc>
        <w:tc>
          <w:tcPr>
            <w:tcW w:w="4695" w:type="dxa"/>
            <w:gridSpan w:val="5"/>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14,110,450</w:t>
            </w:r>
          </w:p>
        </w:tc>
        <w:tc>
          <w:tcPr>
            <w:tcW w:w="97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人民币普通股</w:t>
            </w:r>
          </w:p>
        </w:tc>
        <w:tc>
          <w:tcPr>
            <w:tcW w:w="1167" w:type="dxa"/>
            <w:gridSpan w:val="3"/>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14,110,450</w:t>
            </w:r>
          </w:p>
        </w:tc>
      </w:tr>
      <w:tr w:rsidR="00831C3C" w:rsidRPr="00831C3C" w:rsidTr="00AC1232">
        <w:trPr>
          <w:trHeight w:val="240"/>
        </w:trPr>
        <w:tc>
          <w:tcPr>
            <w:tcW w:w="2802" w:type="dxa"/>
            <w:gridSpan w:val="4"/>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杭州金蟾蜍投资管理有限公司－金蟾蜍</w:t>
            </w:r>
            <w:proofErr w:type="gramStart"/>
            <w:r w:rsidRPr="00831C3C">
              <w:rPr>
                <w:rFonts w:ascii="宋体" w:eastAsia="宋体" w:hAnsi="宋体" w:cs="宋体"/>
                <w:sz w:val="18"/>
                <w:szCs w:val="18"/>
              </w:rPr>
              <w:t>睿</w:t>
            </w:r>
            <w:proofErr w:type="gramEnd"/>
            <w:r w:rsidRPr="00831C3C">
              <w:rPr>
                <w:rFonts w:ascii="宋体" w:eastAsia="宋体" w:hAnsi="宋体" w:cs="宋体"/>
                <w:sz w:val="18"/>
                <w:szCs w:val="18"/>
              </w:rPr>
              <w:t>达一号私募证券投资基金</w:t>
            </w:r>
          </w:p>
        </w:tc>
        <w:tc>
          <w:tcPr>
            <w:tcW w:w="4695" w:type="dxa"/>
            <w:gridSpan w:val="5"/>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13,072,800</w:t>
            </w:r>
          </w:p>
        </w:tc>
        <w:tc>
          <w:tcPr>
            <w:tcW w:w="97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人民币普通股</w:t>
            </w:r>
          </w:p>
        </w:tc>
        <w:tc>
          <w:tcPr>
            <w:tcW w:w="1167" w:type="dxa"/>
            <w:gridSpan w:val="3"/>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13,072,800</w:t>
            </w:r>
          </w:p>
        </w:tc>
      </w:tr>
      <w:tr w:rsidR="00831C3C" w:rsidRPr="00831C3C" w:rsidTr="00AC1232">
        <w:trPr>
          <w:trHeight w:val="240"/>
        </w:trPr>
        <w:tc>
          <w:tcPr>
            <w:tcW w:w="2802" w:type="dxa"/>
            <w:gridSpan w:val="4"/>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陆超祖</w:t>
            </w:r>
            <w:proofErr w:type="gramEnd"/>
          </w:p>
        </w:tc>
        <w:tc>
          <w:tcPr>
            <w:tcW w:w="4695" w:type="dxa"/>
            <w:gridSpan w:val="5"/>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11,827,150</w:t>
            </w:r>
          </w:p>
        </w:tc>
        <w:tc>
          <w:tcPr>
            <w:tcW w:w="97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人民币普通股</w:t>
            </w:r>
          </w:p>
        </w:tc>
        <w:tc>
          <w:tcPr>
            <w:tcW w:w="1167" w:type="dxa"/>
            <w:gridSpan w:val="3"/>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11,827,150</w:t>
            </w:r>
          </w:p>
        </w:tc>
      </w:tr>
      <w:tr w:rsidR="00831C3C" w:rsidRPr="00831C3C" w:rsidTr="00AC1232">
        <w:trPr>
          <w:trHeight w:val="240"/>
        </w:trPr>
        <w:tc>
          <w:tcPr>
            <w:tcW w:w="2802" w:type="dxa"/>
            <w:gridSpan w:val="4"/>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袁应松</w:t>
            </w:r>
          </w:p>
        </w:tc>
        <w:tc>
          <w:tcPr>
            <w:tcW w:w="4695" w:type="dxa"/>
            <w:gridSpan w:val="5"/>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11,244,629</w:t>
            </w:r>
          </w:p>
        </w:tc>
        <w:tc>
          <w:tcPr>
            <w:tcW w:w="97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人民币普通股</w:t>
            </w:r>
          </w:p>
        </w:tc>
        <w:tc>
          <w:tcPr>
            <w:tcW w:w="1167" w:type="dxa"/>
            <w:gridSpan w:val="3"/>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11,244,629</w:t>
            </w:r>
          </w:p>
        </w:tc>
      </w:tr>
      <w:tr w:rsidR="00831C3C" w:rsidRPr="00831C3C" w:rsidTr="00AC1232">
        <w:trPr>
          <w:trHeight w:val="240"/>
        </w:trPr>
        <w:tc>
          <w:tcPr>
            <w:tcW w:w="2802" w:type="dxa"/>
            <w:gridSpan w:val="4"/>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金元顺安基金－兴业银行－上海爱建信托－爱建信托欣欣7号定向增发事务管理类单一资金信托</w:t>
            </w:r>
          </w:p>
        </w:tc>
        <w:tc>
          <w:tcPr>
            <w:tcW w:w="4695" w:type="dxa"/>
            <w:gridSpan w:val="5"/>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11,136,056</w:t>
            </w:r>
          </w:p>
        </w:tc>
        <w:tc>
          <w:tcPr>
            <w:tcW w:w="97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人民币普通股</w:t>
            </w:r>
          </w:p>
        </w:tc>
        <w:tc>
          <w:tcPr>
            <w:tcW w:w="1167" w:type="dxa"/>
            <w:gridSpan w:val="3"/>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11,136,056</w:t>
            </w:r>
          </w:p>
        </w:tc>
      </w:tr>
      <w:tr w:rsidR="00831C3C" w:rsidRPr="00831C3C" w:rsidTr="00AC1232">
        <w:trPr>
          <w:trHeight w:val="240"/>
        </w:trPr>
        <w:tc>
          <w:tcPr>
            <w:tcW w:w="2802"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前10名无限</w:t>
            </w:r>
            <w:proofErr w:type="gramStart"/>
            <w:r w:rsidRPr="00831C3C">
              <w:rPr>
                <w:rFonts w:ascii="宋体" w:eastAsia="宋体" w:hAnsi="宋体" w:cs="宋体"/>
                <w:sz w:val="18"/>
                <w:szCs w:val="18"/>
              </w:rPr>
              <w:t>售流通</w:t>
            </w:r>
            <w:proofErr w:type="gramEnd"/>
            <w:r w:rsidRPr="00831C3C">
              <w:rPr>
                <w:rFonts w:ascii="宋体" w:eastAsia="宋体" w:hAnsi="宋体" w:cs="宋体"/>
                <w:sz w:val="18"/>
                <w:szCs w:val="18"/>
              </w:rPr>
              <w:t>股股东之间，以及前10名无限</w:t>
            </w:r>
            <w:proofErr w:type="gramStart"/>
            <w:r w:rsidRPr="00831C3C">
              <w:rPr>
                <w:rFonts w:ascii="宋体" w:eastAsia="宋体" w:hAnsi="宋体" w:cs="宋体"/>
                <w:sz w:val="18"/>
                <w:szCs w:val="18"/>
              </w:rPr>
              <w:t>售流通</w:t>
            </w:r>
            <w:proofErr w:type="gramEnd"/>
            <w:r w:rsidRPr="00831C3C">
              <w:rPr>
                <w:rFonts w:ascii="宋体" w:eastAsia="宋体" w:hAnsi="宋体" w:cs="宋体"/>
                <w:sz w:val="18"/>
                <w:szCs w:val="18"/>
              </w:rPr>
              <w:t>股股东和前10名股东之间关联关系或一致行动的说明</w:t>
            </w:r>
          </w:p>
        </w:tc>
        <w:tc>
          <w:tcPr>
            <w:tcW w:w="6837" w:type="dxa"/>
            <w:gridSpan w:val="9"/>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上述股东中华</w:t>
            </w:r>
            <w:proofErr w:type="gramStart"/>
            <w:r w:rsidRPr="00831C3C">
              <w:rPr>
                <w:rFonts w:ascii="宋体" w:eastAsia="宋体" w:hAnsi="宋体" w:cs="宋体"/>
                <w:sz w:val="18"/>
                <w:szCs w:val="18"/>
              </w:rPr>
              <w:t>孚</w:t>
            </w:r>
            <w:proofErr w:type="gramEnd"/>
            <w:r w:rsidRPr="00831C3C">
              <w:rPr>
                <w:rFonts w:ascii="宋体" w:eastAsia="宋体" w:hAnsi="宋体" w:cs="宋体"/>
                <w:sz w:val="18"/>
                <w:szCs w:val="18"/>
              </w:rPr>
              <w:t>控股有限公司、安徽飞亚纺织有限公司、深圳市华人投资有限公司为公司控股股东</w:t>
            </w:r>
            <w:proofErr w:type="gramStart"/>
            <w:r w:rsidRPr="00831C3C">
              <w:rPr>
                <w:rFonts w:ascii="宋体" w:eastAsia="宋体" w:hAnsi="宋体" w:cs="宋体"/>
                <w:sz w:val="18"/>
                <w:szCs w:val="18"/>
              </w:rPr>
              <w:t>及一致</w:t>
            </w:r>
            <w:proofErr w:type="gramEnd"/>
            <w:r w:rsidRPr="00831C3C">
              <w:rPr>
                <w:rFonts w:ascii="宋体" w:eastAsia="宋体" w:hAnsi="宋体" w:cs="宋体"/>
                <w:sz w:val="18"/>
                <w:szCs w:val="18"/>
              </w:rPr>
              <w:t>行动人，其余流通股东与控股股东之间不存在关联关系，也不属于一致行动人。未知其余流通股股东之间是否存在关联关系或是否属于一致行动人。</w:t>
            </w:r>
          </w:p>
        </w:tc>
      </w:tr>
      <w:tr w:rsidR="00831C3C" w:rsidRPr="00831C3C" w:rsidTr="00AC1232">
        <w:trPr>
          <w:trHeight w:val="240"/>
        </w:trPr>
        <w:tc>
          <w:tcPr>
            <w:tcW w:w="2802"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前10名普通股股东参与融资融券业务情况说明（如有）（参见注4）</w:t>
            </w:r>
          </w:p>
        </w:tc>
        <w:tc>
          <w:tcPr>
            <w:tcW w:w="6837" w:type="dxa"/>
            <w:gridSpan w:val="9"/>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不适用</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持股5%以上股东、前10名股东及前10名无限</w:t>
      </w:r>
      <w:proofErr w:type="gramStart"/>
      <w:r w:rsidRPr="00831C3C">
        <w:rPr>
          <w:rFonts w:ascii="宋体" w:eastAsia="宋体" w:hAnsi="宋体" w:cs="宋体"/>
          <w:sz w:val="18"/>
          <w:szCs w:val="18"/>
        </w:rPr>
        <w:t>售流通</w:t>
      </w:r>
      <w:proofErr w:type="gramEnd"/>
      <w:r w:rsidRPr="00831C3C">
        <w:rPr>
          <w:rFonts w:ascii="宋体" w:eastAsia="宋体" w:hAnsi="宋体" w:cs="宋体"/>
          <w:sz w:val="18"/>
          <w:szCs w:val="18"/>
        </w:rPr>
        <w:t>股股东参与转融通业务出借股份情况</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lastRenderedPageBreak/>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前10名股东及前10名无限</w:t>
      </w:r>
      <w:proofErr w:type="gramStart"/>
      <w:r w:rsidRPr="00831C3C">
        <w:rPr>
          <w:rFonts w:ascii="宋体" w:eastAsia="宋体" w:hAnsi="宋体" w:cs="宋体"/>
          <w:sz w:val="18"/>
          <w:szCs w:val="18"/>
        </w:rPr>
        <w:t>售流通</w:t>
      </w:r>
      <w:proofErr w:type="gramEnd"/>
      <w:r w:rsidRPr="00831C3C">
        <w:rPr>
          <w:rFonts w:ascii="宋体" w:eastAsia="宋体" w:hAnsi="宋体" w:cs="宋体"/>
          <w:sz w:val="18"/>
          <w:szCs w:val="18"/>
        </w:rPr>
        <w:t>股股东因转融通出借/归还原因导致较上期发生变化</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公司前10名普通股股东、前10名无限</w:t>
      </w:r>
      <w:proofErr w:type="gramStart"/>
      <w:r w:rsidRPr="00831C3C">
        <w:rPr>
          <w:rFonts w:ascii="宋体" w:eastAsia="宋体" w:hAnsi="宋体" w:cs="宋体"/>
          <w:sz w:val="18"/>
          <w:szCs w:val="18"/>
        </w:rPr>
        <w:t>售条件</w:t>
      </w:r>
      <w:proofErr w:type="gramEnd"/>
      <w:r w:rsidRPr="00831C3C">
        <w:rPr>
          <w:rFonts w:ascii="宋体" w:eastAsia="宋体" w:hAnsi="宋体" w:cs="宋体"/>
          <w:sz w:val="18"/>
          <w:szCs w:val="18"/>
        </w:rPr>
        <w:t>普通股股东在报告期内是否进行约定购回交易</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□是</w:t>
      </w:r>
      <w:r w:rsidRPr="00831C3C">
        <w:rPr>
          <w:rFonts w:ascii="宋体" w:eastAsia="宋体" w:hAnsi="宋体" w:cs="宋体"/>
          <w:sz w:val="18"/>
          <w:szCs w:val="18"/>
        </w:rPr>
        <w:sym w:font="Wingdings 2" w:char="F052"/>
      </w:r>
      <w:r w:rsidRPr="00831C3C">
        <w:rPr>
          <w:rFonts w:ascii="宋体" w:eastAsia="宋体" w:hAnsi="宋体" w:cs="宋体"/>
          <w:sz w:val="18"/>
          <w:szCs w:val="18"/>
        </w:rPr>
        <w:t>否</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公司前10名普通股股东、前10名无限</w:t>
      </w:r>
      <w:proofErr w:type="gramStart"/>
      <w:r w:rsidRPr="00831C3C">
        <w:rPr>
          <w:rFonts w:ascii="宋体" w:eastAsia="宋体" w:hAnsi="宋体" w:cs="宋体"/>
          <w:sz w:val="18"/>
          <w:szCs w:val="18"/>
        </w:rPr>
        <w:t>售条件</w:t>
      </w:r>
      <w:proofErr w:type="gramEnd"/>
      <w:r w:rsidRPr="00831C3C">
        <w:rPr>
          <w:rFonts w:ascii="宋体" w:eastAsia="宋体" w:hAnsi="宋体" w:cs="宋体"/>
          <w:sz w:val="18"/>
          <w:szCs w:val="18"/>
        </w:rPr>
        <w:t>普通股股东在报告期内未进行约定购回交易。</w:t>
      </w:r>
    </w:p>
    <w:p w:rsidR="00E23A97" w:rsidRPr="00831C3C" w:rsidRDefault="00C65FD5">
      <w:pPr>
        <w:pStyle w:val="3"/>
        <w:spacing w:line="280" w:lineRule="exact"/>
        <w:jc w:val="left"/>
        <w:rPr>
          <w:rFonts w:ascii="宋体" w:hAnsi="宋体" w:cs="宋体"/>
          <w:b/>
          <w:bCs/>
        </w:rPr>
      </w:pPr>
      <w:bookmarkStart w:id="154" w:name="_Toc989042"/>
      <w:r w:rsidRPr="00831C3C">
        <w:rPr>
          <w:rFonts w:ascii="宋体" w:hAnsi="宋体" w:cs="宋体"/>
          <w:b/>
          <w:bCs/>
        </w:rPr>
        <w:t>2、公司控股股东情况</w:t>
      </w:r>
      <w:bookmarkEnd w:id="154"/>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控股股东性质：自然人控股</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控股股东类型：法人</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242"/>
        <w:gridCol w:w="993"/>
        <w:gridCol w:w="1701"/>
        <w:gridCol w:w="1842"/>
        <w:gridCol w:w="3861"/>
      </w:tblGrid>
      <w:tr w:rsidR="00831C3C" w:rsidRPr="00831C3C" w:rsidTr="00AC1232">
        <w:trPr>
          <w:trHeight w:val="240"/>
        </w:trPr>
        <w:tc>
          <w:tcPr>
            <w:tcW w:w="124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控股股东名称</w:t>
            </w:r>
          </w:p>
        </w:tc>
        <w:tc>
          <w:tcPr>
            <w:tcW w:w="99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法定代表人/单位负责人</w:t>
            </w:r>
          </w:p>
        </w:tc>
        <w:tc>
          <w:tcPr>
            <w:tcW w:w="170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成立日期</w:t>
            </w:r>
          </w:p>
        </w:tc>
        <w:tc>
          <w:tcPr>
            <w:tcW w:w="184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组织机构代码</w:t>
            </w:r>
          </w:p>
        </w:tc>
        <w:tc>
          <w:tcPr>
            <w:tcW w:w="386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主要经营业务</w:t>
            </w:r>
          </w:p>
        </w:tc>
      </w:tr>
      <w:tr w:rsidR="00831C3C" w:rsidRPr="00831C3C" w:rsidTr="00AC1232">
        <w:trPr>
          <w:trHeight w:val="240"/>
        </w:trPr>
        <w:tc>
          <w:tcPr>
            <w:tcW w:w="12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华孚控股有限公司</w:t>
            </w:r>
          </w:p>
        </w:tc>
        <w:tc>
          <w:tcPr>
            <w:tcW w:w="9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孙伟挺</w:t>
            </w:r>
          </w:p>
        </w:tc>
        <w:tc>
          <w:tcPr>
            <w:tcW w:w="170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2002年09月23日</w:t>
            </w:r>
          </w:p>
        </w:tc>
        <w:tc>
          <w:tcPr>
            <w:tcW w:w="184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91440300743219206L</w:t>
            </w:r>
          </w:p>
        </w:tc>
        <w:tc>
          <w:tcPr>
            <w:tcW w:w="386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投资兴办实业(具体项目另行申报);服装经营;纺织原材料的销售(不含专营、专控、专卖商品);纺织设备进出口业务;在合法取得的土地使用权范围内从事房地产开发、经营;计算机应用、软件开发。化工产品销售(不含许可类化工产品)。(除依法须经批准的项目外,凭营业执照依法自主开展经营活动)无</w:t>
            </w:r>
          </w:p>
        </w:tc>
      </w:tr>
      <w:tr w:rsidR="00831C3C" w:rsidRPr="00831C3C" w:rsidTr="00AC1232">
        <w:trPr>
          <w:trHeight w:val="240"/>
        </w:trPr>
        <w:tc>
          <w:tcPr>
            <w:tcW w:w="5778"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控股股东报告期内控股和参股的其他境内外上市公司的股权情况</w:t>
            </w:r>
          </w:p>
        </w:tc>
        <w:tc>
          <w:tcPr>
            <w:tcW w:w="386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控股股东报告期内变更</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公司报告期控股股东未发生变更。</w:t>
      </w:r>
    </w:p>
    <w:p w:rsidR="00E23A97" w:rsidRPr="00831C3C" w:rsidRDefault="00C65FD5">
      <w:pPr>
        <w:pStyle w:val="3"/>
        <w:spacing w:line="280" w:lineRule="exact"/>
        <w:jc w:val="left"/>
        <w:rPr>
          <w:rFonts w:ascii="宋体" w:hAnsi="宋体" w:cs="宋体"/>
          <w:b/>
          <w:bCs/>
        </w:rPr>
      </w:pPr>
      <w:bookmarkStart w:id="155" w:name="_Toc989043"/>
      <w:r w:rsidRPr="00831C3C">
        <w:rPr>
          <w:rFonts w:ascii="宋体" w:hAnsi="宋体" w:cs="宋体"/>
          <w:b/>
          <w:bCs/>
        </w:rPr>
        <w:t>3、公司实际控制人及其一致行动人</w:t>
      </w:r>
      <w:bookmarkEnd w:id="155"/>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实际控制人性质：境内自然人</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实际控制人类型：自然人</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实际控制人姓名</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与实际控制人关系</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国籍</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是否取得其他国家或地区居留权</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孙伟挺</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本人</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中国</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陈玲芬</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本人</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中国</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主要职业及职务</w:t>
            </w:r>
          </w:p>
        </w:tc>
        <w:tc>
          <w:tcPr>
            <w:tcW w:w="7229" w:type="dxa"/>
            <w:gridSpan w:val="3"/>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孙伟挺先生于1993年创办华孚，任华孚控股有限公司董事长；2008年2月起，担任安徽飞亚纺织发展股份有限公司董事；2008年12月至今，任本公司董事长。陈玲芬女士于1993年创办华孚，担任副董事长、总裁等职务。2008年2月起任安徽飞亚纺织发展股份有限公司董事。2009年5月至今，任公司董事、副董事长、总裁。</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过去10年曾控股的境内外上市公司情况</w:t>
            </w:r>
          </w:p>
        </w:tc>
        <w:tc>
          <w:tcPr>
            <w:tcW w:w="7229" w:type="dxa"/>
            <w:gridSpan w:val="3"/>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实际控制人报告期内变更</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公司报告期实际控制人未发生变更。</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公司与实际控制人之间的产权及控制关系的方框图</w:t>
      </w:r>
    </w:p>
    <w:p w:rsidR="00E23A97" w:rsidRPr="00831C3C" w:rsidRDefault="00C65FD5">
      <w:pPr>
        <w:spacing w:before="40" w:after="40" w:line="0" w:lineRule="atLeast"/>
        <w:jc w:val="center"/>
        <w:rPr>
          <w:rFonts w:ascii="Times New Roman" w:eastAsia="宋体" w:hAnsi="Times New Roman" w:cs="Times New Roman"/>
        </w:rPr>
      </w:pPr>
      <w:r w:rsidRPr="00831C3C">
        <w:rPr>
          <w:rFonts w:ascii="Times New Roman" w:eastAsia="宋体" w:hAnsi="Times New Roman" w:cs="Times New Roman"/>
          <w:noProof/>
        </w:rPr>
        <w:lastRenderedPageBreak/>
        <w:drawing>
          <wp:inline distT="0" distB="0" distL="0" distR="0" wp14:anchorId="04BBA5D1" wp14:editId="2DD50803">
            <wp:extent cx="4810125" cy="24471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Bitmap Image.jpg"/>
                    <pic:cNvPicPr/>
                  </pic:nvPicPr>
                  <pic:blipFill>
                    <a:blip r:embed="rId10" cstate="print">
                      <a:extLst/>
                    </a:blip>
                    <a:stretch>
                      <a:fillRect/>
                    </a:stretch>
                  </pic:blipFill>
                  <pic:spPr>
                    <a:xfrm>
                      <a:off x="0" y="0"/>
                      <a:ext cx="4823945" cy="2454164"/>
                    </a:xfrm>
                    <a:prstGeom prst="rect">
                      <a:avLst/>
                    </a:prstGeom>
                  </pic:spPr>
                </pic:pic>
              </a:graphicData>
            </a:graphic>
          </wp:inline>
        </w:drawing>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实际控制人通过信托或其他资产管理方式控制公司</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pStyle w:val="3"/>
        <w:spacing w:line="280" w:lineRule="exact"/>
        <w:jc w:val="left"/>
        <w:rPr>
          <w:rFonts w:ascii="宋体" w:hAnsi="宋体" w:cs="宋体"/>
          <w:b/>
          <w:bCs/>
        </w:rPr>
      </w:pPr>
      <w:bookmarkStart w:id="156" w:name="_Toc989044"/>
      <w:r w:rsidRPr="00831C3C">
        <w:rPr>
          <w:rFonts w:ascii="宋体" w:hAnsi="宋体" w:cs="宋体"/>
          <w:b/>
          <w:bCs/>
        </w:rPr>
        <w:t>4、公司控股股东或第一大股东及其一致行动人累计质押股份数量占其所持公司股份数量比例达到80%</w:t>
      </w:r>
      <w:bookmarkEnd w:id="156"/>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pStyle w:val="3"/>
        <w:spacing w:line="280" w:lineRule="exact"/>
        <w:jc w:val="left"/>
        <w:rPr>
          <w:rFonts w:ascii="宋体" w:hAnsi="宋体" w:cs="宋体"/>
          <w:b/>
          <w:bCs/>
        </w:rPr>
      </w:pPr>
      <w:bookmarkStart w:id="157" w:name="_Toc989045"/>
      <w:r w:rsidRPr="00831C3C">
        <w:rPr>
          <w:rFonts w:ascii="宋体" w:hAnsi="宋体" w:cs="宋体"/>
          <w:b/>
          <w:bCs/>
        </w:rPr>
        <w:t>5、其他持股在10%以上的法人股东</w:t>
      </w:r>
      <w:bookmarkEnd w:id="157"/>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pStyle w:val="3"/>
        <w:spacing w:line="280" w:lineRule="exact"/>
        <w:jc w:val="left"/>
        <w:rPr>
          <w:rFonts w:ascii="宋体" w:hAnsi="宋体" w:cs="宋体"/>
          <w:b/>
          <w:bCs/>
        </w:rPr>
      </w:pPr>
      <w:bookmarkStart w:id="158" w:name="_Toc989046"/>
      <w:r w:rsidRPr="00831C3C">
        <w:rPr>
          <w:rFonts w:ascii="宋体" w:hAnsi="宋体" w:cs="宋体"/>
          <w:b/>
          <w:bCs/>
        </w:rPr>
        <w:t>6、控股股东、实际控制人、重组方及其他承诺主体股份限制减持情况</w:t>
      </w:r>
      <w:bookmarkEnd w:id="158"/>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pStyle w:val="2"/>
        <w:spacing w:before="300" w:after="300" w:line="320" w:lineRule="exact"/>
        <w:rPr>
          <w:rFonts w:ascii="宋体" w:eastAsia="宋体" w:hAnsi="宋体" w:cs="宋体"/>
          <w:b/>
          <w:bCs/>
          <w:sz w:val="24"/>
          <w:szCs w:val="24"/>
        </w:rPr>
      </w:pPr>
      <w:bookmarkStart w:id="159" w:name="_Toc989047"/>
      <w:r w:rsidRPr="00831C3C">
        <w:rPr>
          <w:rFonts w:ascii="宋体" w:eastAsia="宋体" w:hAnsi="宋体" w:cs="宋体"/>
          <w:b/>
          <w:bCs/>
          <w:sz w:val="24"/>
          <w:szCs w:val="24"/>
        </w:rPr>
        <w:t>四、股份回购在报告期的具体实施情况</w:t>
      </w:r>
      <w:bookmarkEnd w:id="159"/>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股份回购的实施进展情况</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适用□不适用</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204"/>
        <w:gridCol w:w="1205"/>
        <w:gridCol w:w="1205"/>
        <w:gridCol w:w="1205"/>
        <w:gridCol w:w="1205"/>
        <w:gridCol w:w="1205"/>
        <w:gridCol w:w="1205"/>
        <w:gridCol w:w="1205"/>
      </w:tblGrid>
      <w:tr w:rsidR="00831C3C" w:rsidRPr="00831C3C">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方案披露时间</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proofErr w:type="gramStart"/>
            <w:r w:rsidRPr="00831C3C">
              <w:rPr>
                <w:rFonts w:ascii="宋体" w:eastAsia="宋体" w:hAnsi="宋体" w:cs="宋体"/>
                <w:sz w:val="18"/>
                <w:szCs w:val="18"/>
              </w:rPr>
              <w:t>拟回购股</w:t>
            </w:r>
            <w:proofErr w:type="gramEnd"/>
            <w:r w:rsidRPr="00831C3C">
              <w:rPr>
                <w:rFonts w:ascii="宋体" w:eastAsia="宋体" w:hAnsi="宋体" w:cs="宋体"/>
                <w:sz w:val="18"/>
                <w:szCs w:val="18"/>
              </w:rPr>
              <w:t>份数量（股）</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占总股本的比例</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拟回购金额（万元）</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拟回购期间</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回购用途</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已回购数量（股）</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已回购数量占股权激励计划所涉及的标的股票的比例（如有）</w:t>
            </w:r>
          </w:p>
        </w:tc>
      </w:tr>
      <w:tr w:rsidR="00831C3C" w:rsidRPr="00831C3C">
        <w:trPr>
          <w:trHeight w:val="240"/>
        </w:trPr>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2024年02月01日</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回购总金额为不低于人民币10,000万元，不超过人民币20,000万元，回购价格不超过5.50元/股，按回购资金总额下限人民币</w:t>
            </w:r>
            <w:r w:rsidRPr="00831C3C">
              <w:rPr>
                <w:rFonts w:ascii="宋体" w:eastAsia="宋体" w:hAnsi="宋体" w:cs="宋体"/>
                <w:sz w:val="18"/>
                <w:szCs w:val="18"/>
              </w:rPr>
              <w:lastRenderedPageBreak/>
              <w:t>10,000万元和回购股份价格上限5.50元/股测算，</w:t>
            </w:r>
            <w:proofErr w:type="gramStart"/>
            <w:r w:rsidRPr="00831C3C">
              <w:rPr>
                <w:rFonts w:ascii="宋体" w:eastAsia="宋体" w:hAnsi="宋体" w:cs="宋体"/>
                <w:sz w:val="18"/>
                <w:szCs w:val="18"/>
              </w:rPr>
              <w:t>预计回</w:t>
            </w:r>
            <w:proofErr w:type="gramEnd"/>
            <w:r w:rsidRPr="00831C3C">
              <w:rPr>
                <w:rFonts w:ascii="宋体" w:eastAsia="宋体" w:hAnsi="宋体" w:cs="宋体"/>
                <w:sz w:val="18"/>
                <w:szCs w:val="18"/>
              </w:rPr>
              <w:t>购股份数量约为18,181,818股，约占目前公司总股本的1.07%；按回购总金额上限人民币20,000万元和回购股份价格上限5.50元/股测算，</w:t>
            </w:r>
            <w:proofErr w:type="gramStart"/>
            <w:r w:rsidRPr="00831C3C">
              <w:rPr>
                <w:rFonts w:ascii="宋体" w:eastAsia="宋体" w:hAnsi="宋体" w:cs="宋体"/>
                <w:sz w:val="18"/>
                <w:szCs w:val="18"/>
              </w:rPr>
              <w:t>预计回</w:t>
            </w:r>
            <w:proofErr w:type="gramEnd"/>
            <w:r w:rsidRPr="00831C3C">
              <w:rPr>
                <w:rFonts w:ascii="宋体" w:eastAsia="宋体" w:hAnsi="宋体" w:cs="宋体"/>
                <w:sz w:val="18"/>
                <w:szCs w:val="18"/>
              </w:rPr>
              <w:t>购股份数量约为36,363,636股，约占目前公司总股本的2.14%。</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lastRenderedPageBreak/>
              <w:t>1.07%-2.14%</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10,000-20,000</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回购股份的实施期限为自董事会审议通过本次回购股</w:t>
            </w:r>
            <w:proofErr w:type="gramStart"/>
            <w:r w:rsidRPr="00831C3C">
              <w:rPr>
                <w:rFonts w:ascii="宋体" w:eastAsia="宋体" w:hAnsi="宋体" w:cs="宋体"/>
                <w:sz w:val="18"/>
                <w:szCs w:val="18"/>
              </w:rPr>
              <w:t>份方案</w:t>
            </w:r>
            <w:proofErr w:type="gramEnd"/>
            <w:r w:rsidRPr="00831C3C">
              <w:rPr>
                <w:rFonts w:ascii="宋体" w:eastAsia="宋体" w:hAnsi="宋体" w:cs="宋体"/>
                <w:sz w:val="18"/>
                <w:szCs w:val="18"/>
              </w:rPr>
              <w:t>之日起不超过三个月</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回购股</w:t>
            </w:r>
            <w:proofErr w:type="gramStart"/>
            <w:r w:rsidRPr="00831C3C">
              <w:rPr>
                <w:rFonts w:ascii="宋体" w:eastAsia="宋体" w:hAnsi="宋体" w:cs="宋体"/>
                <w:sz w:val="18"/>
                <w:szCs w:val="18"/>
              </w:rPr>
              <w:t>份用于</w:t>
            </w:r>
            <w:proofErr w:type="gramEnd"/>
            <w:r w:rsidRPr="00831C3C">
              <w:rPr>
                <w:rFonts w:ascii="宋体" w:eastAsia="宋体" w:hAnsi="宋体" w:cs="宋体"/>
                <w:sz w:val="18"/>
                <w:szCs w:val="18"/>
              </w:rPr>
              <w:t>维护公司价值及股东权益所必需，公司本次回购的股份后续将按有关规定予以全部出售</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34,403,171</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0.00%</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lastRenderedPageBreak/>
        <w:t>采用集中竞价交易方式减持回购股份的实施进展情况</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r w:rsidRPr="00831C3C">
        <w:br w:type="page"/>
      </w:r>
    </w:p>
    <w:p w:rsidR="00E23A97" w:rsidRPr="00831C3C" w:rsidRDefault="00C65FD5">
      <w:pPr>
        <w:pStyle w:val="headingh1"/>
        <w:spacing w:before="340" w:after="330" w:line="773" w:lineRule="exact"/>
        <w:jc w:val="center"/>
        <w:rPr>
          <w:rFonts w:ascii="宋体" w:eastAsia="宋体" w:hAnsi="宋体" w:cs="宋体"/>
          <w:b/>
          <w:bCs/>
          <w:sz w:val="32"/>
          <w:szCs w:val="32"/>
        </w:rPr>
      </w:pPr>
      <w:bookmarkStart w:id="160" w:name="_Toc989048"/>
      <w:r w:rsidRPr="00831C3C">
        <w:rPr>
          <w:rFonts w:ascii="宋体" w:eastAsia="宋体" w:hAnsi="宋体" w:cs="宋体"/>
          <w:b/>
          <w:bCs/>
          <w:sz w:val="32"/>
          <w:szCs w:val="32"/>
        </w:rPr>
        <w:lastRenderedPageBreak/>
        <w:t>第八节优先股相关情况</w:t>
      </w:r>
      <w:bookmarkEnd w:id="160"/>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报告期公司不存在优先股。</w:t>
      </w:r>
    </w:p>
    <w:p w:rsidR="00E23A97" w:rsidRPr="00831C3C" w:rsidRDefault="00C65FD5">
      <w:pPr>
        <w:pStyle w:val="headingh1"/>
        <w:spacing w:before="340" w:after="330" w:line="773" w:lineRule="exact"/>
        <w:jc w:val="center"/>
        <w:rPr>
          <w:rFonts w:ascii="宋体" w:eastAsia="宋体" w:hAnsi="宋体" w:cs="宋体"/>
          <w:b/>
          <w:bCs/>
          <w:sz w:val="32"/>
          <w:szCs w:val="32"/>
        </w:rPr>
      </w:pPr>
      <w:bookmarkStart w:id="161" w:name="_Toc989049"/>
      <w:r w:rsidRPr="00831C3C">
        <w:rPr>
          <w:rFonts w:ascii="宋体" w:eastAsia="宋体" w:hAnsi="宋体" w:cs="宋体"/>
          <w:b/>
          <w:bCs/>
          <w:sz w:val="32"/>
          <w:szCs w:val="32"/>
        </w:rPr>
        <w:t>第九节债券相关情况</w:t>
      </w:r>
      <w:bookmarkEnd w:id="161"/>
    </w:p>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r w:rsidRPr="00831C3C">
        <w:br w:type="page"/>
      </w:r>
    </w:p>
    <w:p w:rsidR="00E23A97" w:rsidRPr="00831C3C" w:rsidRDefault="00C65FD5">
      <w:pPr>
        <w:pStyle w:val="headingh1"/>
        <w:spacing w:before="340" w:after="330" w:line="773" w:lineRule="exact"/>
        <w:jc w:val="center"/>
        <w:rPr>
          <w:rFonts w:ascii="宋体" w:eastAsia="宋体" w:hAnsi="宋体" w:cs="宋体"/>
          <w:b/>
          <w:bCs/>
          <w:sz w:val="32"/>
          <w:szCs w:val="32"/>
        </w:rPr>
      </w:pPr>
      <w:bookmarkStart w:id="162" w:name="_Toc989050"/>
      <w:r w:rsidRPr="00831C3C">
        <w:rPr>
          <w:rFonts w:ascii="宋体" w:eastAsia="宋体" w:hAnsi="宋体" w:cs="宋体"/>
          <w:b/>
          <w:bCs/>
          <w:sz w:val="32"/>
          <w:szCs w:val="32"/>
        </w:rPr>
        <w:lastRenderedPageBreak/>
        <w:t>第十节财务报告</w:t>
      </w:r>
      <w:bookmarkEnd w:id="162"/>
    </w:p>
    <w:p w:rsidR="00E23A97" w:rsidRPr="00831C3C" w:rsidRDefault="00C65FD5">
      <w:pPr>
        <w:pStyle w:val="2"/>
        <w:spacing w:before="300" w:after="300" w:line="320" w:lineRule="exact"/>
        <w:rPr>
          <w:rFonts w:ascii="宋体" w:eastAsia="宋体" w:hAnsi="宋体" w:cs="宋体"/>
          <w:b/>
          <w:bCs/>
          <w:sz w:val="24"/>
          <w:szCs w:val="24"/>
        </w:rPr>
      </w:pPr>
      <w:bookmarkStart w:id="163" w:name="_Toc989051"/>
      <w:r w:rsidRPr="00831C3C">
        <w:rPr>
          <w:rFonts w:ascii="宋体" w:eastAsia="宋体" w:hAnsi="宋体" w:cs="宋体"/>
          <w:b/>
          <w:bCs/>
          <w:sz w:val="24"/>
          <w:szCs w:val="24"/>
        </w:rPr>
        <w:t>一、审计报告</w:t>
      </w:r>
      <w:bookmarkEnd w:id="163"/>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802"/>
        <w:gridCol w:w="6837"/>
      </w:tblGrid>
      <w:tr w:rsidR="00831C3C" w:rsidRPr="00831C3C" w:rsidTr="00AC1232">
        <w:trPr>
          <w:trHeight w:val="240"/>
        </w:trPr>
        <w:tc>
          <w:tcPr>
            <w:tcW w:w="28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审计意见类型</w:t>
            </w:r>
          </w:p>
        </w:tc>
        <w:tc>
          <w:tcPr>
            <w:tcW w:w="683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标准的无保留意见</w:t>
            </w:r>
          </w:p>
        </w:tc>
      </w:tr>
      <w:tr w:rsidR="00831C3C" w:rsidRPr="00831C3C" w:rsidTr="00AC1232">
        <w:trPr>
          <w:trHeight w:val="240"/>
        </w:trPr>
        <w:tc>
          <w:tcPr>
            <w:tcW w:w="28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审计报告签署日期</w:t>
            </w:r>
          </w:p>
        </w:tc>
        <w:tc>
          <w:tcPr>
            <w:tcW w:w="683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2025年04月24日</w:t>
            </w:r>
          </w:p>
        </w:tc>
      </w:tr>
      <w:tr w:rsidR="00831C3C" w:rsidRPr="00831C3C" w:rsidTr="00AC1232">
        <w:trPr>
          <w:trHeight w:val="240"/>
        </w:trPr>
        <w:tc>
          <w:tcPr>
            <w:tcW w:w="28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审计机构名称</w:t>
            </w:r>
          </w:p>
        </w:tc>
        <w:tc>
          <w:tcPr>
            <w:tcW w:w="683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政</w:t>
            </w:r>
            <w:proofErr w:type="gramStart"/>
            <w:r w:rsidRPr="00831C3C">
              <w:rPr>
                <w:rFonts w:ascii="宋体" w:eastAsia="宋体" w:hAnsi="宋体" w:cs="宋体"/>
                <w:sz w:val="18"/>
                <w:szCs w:val="18"/>
              </w:rPr>
              <w:t>旦</w:t>
            </w:r>
            <w:proofErr w:type="gramEnd"/>
            <w:r w:rsidRPr="00831C3C">
              <w:rPr>
                <w:rFonts w:ascii="宋体" w:eastAsia="宋体" w:hAnsi="宋体" w:cs="宋体"/>
                <w:sz w:val="18"/>
                <w:szCs w:val="18"/>
              </w:rPr>
              <w:t>志远（深圳）会计师事务所（特殊普通合伙）</w:t>
            </w:r>
          </w:p>
        </w:tc>
      </w:tr>
      <w:tr w:rsidR="00831C3C" w:rsidRPr="00831C3C" w:rsidTr="00AC1232">
        <w:trPr>
          <w:trHeight w:val="240"/>
        </w:trPr>
        <w:tc>
          <w:tcPr>
            <w:tcW w:w="28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审计报告文号</w:t>
            </w:r>
          </w:p>
        </w:tc>
        <w:tc>
          <w:tcPr>
            <w:tcW w:w="683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政</w:t>
            </w:r>
            <w:proofErr w:type="gramStart"/>
            <w:r w:rsidRPr="00831C3C">
              <w:rPr>
                <w:rFonts w:ascii="宋体" w:eastAsia="宋体" w:hAnsi="宋体" w:cs="宋体"/>
                <w:sz w:val="18"/>
                <w:szCs w:val="18"/>
              </w:rPr>
              <w:t>旦志远审字</w:t>
            </w:r>
            <w:proofErr w:type="gramEnd"/>
            <w:r w:rsidRPr="00831C3C">
              <w:rPr>
                <w:rFonts w:ascii="宋体" w:eastAsia="宋体" w:hAnsi="宋体" w:cs="宋体"/>
                <w:sz w:val="18"/>
                <w:szCs w:val="18"/>
              </w:rPr>
              <w:t>第2500481号</w:t>
            </w:r>
          </w:p>
        </w:tc>
      </w:tr>
      <w:tr w:rsidR="00831C3C" w:rsidRPr="00831C3C" w:rsidTr="00AC1232">
        <w:trPr>
          <w:trHeight w:val="240"/>
        </w:trPr>
        <w:tc>
          <w:tcPr>
            <w:tcW w:w="28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注册会计师姓名</w:t>
            </w:r>
          </w:p>
        </w:tc>
        <w:tc>
          <w:tcPr>
            <w:tcW w:w="683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陈磊、张吉宝</w:t>
            </w:r>
          </w:p>
        </w:tc>
      </w:tr>
    </w:tbl>
    <w:p w:rsidR="00AC1232" w:rsidRPr="00831C3C" w:rsidRDefault="00AC1232">
      <w:pPr>
        <w:spacing w:before="100" w:after="100" w:line="240" w:lineRule="exact"/>
        <w:jc w:val="center"/>
        <w:rPr>
          <w:rFonts w:ascii="宋体" w:eastAsia="宋体" w:hAnsi="宋体" w:cs="宋体"/>
          <w:sz w:val="18"/>
          <w:szCs w:val="18"/>
        </w:rPr>
      </w:pPr>
    </w:p>
    <w:p w:rsidR="00AC1232" w:rsidRPr="00831C3C" w:rsidRDefault="00AC1232">
      <w:pPr>
        <w:spacing w:before="100" w:after="100" w:line="240" w:lineRule="exact"/>
        <w:jc w:val="center"/>
        <w:rPr>
          <w:rFonts w:ascii="宋体" w:eastAsia="宋体" w:hAnsi="宋体" w:cs="宋体"/>
          <w:sz w:val="18"/>
          <w:szCs w:val="18"/>
        </w:rPr>
      </w:pPr>
    </w:p>
    <w:p w:rsidR="00E23A97" w:rsidRPr="00831C3C" w:rsidRDefault="00C65FD5">
      <w:pPr>
        <w:spacing w:before="100" w:after="100" w:line="240" w:lineRule="exact"/>
        <w:jc w:val="center"/>
        <w:rPr>
          <w:rFonts w:ascii="宋体" w:eastAsia="宋体" w:hAnsi="宋体" w:cs="宋体"/>
          <w:sz w:val="18"/>
          <w:szCs w:val="18"/>
        </w:rPr>
      </w:pPr>
      <w:r w:rsidRPr="00831C3C">
        <w:rPr>
          <w:rFonts w:ascii="宋体" w:eastAsia="宋体" w:hAnsi="宋体" w:cs="宋体"/>
          <w:sz w:val="18"/>
          <w:szCs w:val="18"/>
        </w:rPr>
        <w:t>审计报告正文</w:t>
      </w:r>
    </w:p>
    <w:p w:rsidR="00C65FD5" w:rsidRPr="00831C3C" w:rsidRDefault="00C65FD5">
      <w:pPr>
        <w:pStyle w:val="a3"/>
        <w:spacing w:before="0" w:beforeAutospacing="0" w:after="0" w:afterAutospacing="0" w:line="360" w:lineRule="auto"/>
        <w:divId w:val="2057580877"/>
        <w:rPr>
          <w:sz w:val="21"/>
          <w:szCs w:val="21"/>
        </w:rPr>
      </w:pPr>
      <w:r w:rsidRPr="00831C3C">
        <w:rPr>
          <w:rStyle w:val="a4"/>
          <w:rFonts w:hint="eastAsia"/>
          <w:sz w:val="28"/>
          <w:szCs w:val="28"/>
        </w:rPr>
        <w:t>华孚时尚股份有限公司全体股东：</w:t>
      </w:r>
    </w:p>
    <w:p w:rsidR="00C65FD5" w:rsidRPr="00831C3C" w:rsidRDefault="00C65FD5" w:rsidP="00AC1232">
      <w:pPr>
        <w:widowControl/>
        <w:numPr>
          <w:ilvl w:val="0"/>
          <w:numId w:val="1"/>
        </w:numPr>
        <w:divId w:val="2057580877"/>
        <w:rPr>
          <w:rFonts w:asciiTheme="minorEastAsia" w:hAnsiTheme="minorEastAsia"/>
          <w:sz w:val="18"/>
          <w:szCs w:val="18"/>
        </w:rPr>
      </w:pPr>
      <w:r w:rsidRPr="00831C3C">
        <w:rPr>
          <w:rStyle w:val="a4"/>
          <w:rFonts w:asciiTheme="minorEastAsia" w:hAnsiTheme="minorEastAsia" w:hint="eastAsia"/>
          <w:sz w:val="18"/>
          <w:szCs w:val="18"/>
        </w:rPr>
        <w:t>审计意见</w:t>
      </w:r>
    </w:p>
    <w:p w:rsidR="00C65FD5" w:rsidRPr="00831C3C" w:rsidRDefault="00C65FD5" w:rsidP="00AC1232">
      <w:pPr>
        <w:pStyle w:val="a3"/>
        <w:spacing w:before="0" w:beforeAutospacing="0" w:after="0" w:afterAutospacing="0"/>
        <w:ind w:firstLine="560"/>
        <w:jc w:val="both"/>
        <w:divId w:val="2057580877"/>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我们审计了华孚时尚股份有限公司</w:t>
      </w:r>
      <w:r w:rsidRPr="00831C3C">
        <w:rPr>
          <w:rFonts w:asciiTheme="minorEastAsia" w:eastAsiaTheme="minorEastAsia" w:hAnsiTheme="minorEastAsia" w:cs="Arial"/>
          <w:sz w:val="18"/>
          <w:szCs w:val="18"/>
        </w:rPr>
        <w:t>(</w:t>
      </w:r>
      <w:r w:rsidRPr="00831C3C">
        <w:rPr>
          <w:rFonts w:asciiTheme="minorEastAsia" w:eastAsiaTheme="minorEastAsia" w:hAnsiTheme="minorEastAsia" w:cs="Times New Roman" w:hint="eastAsia"/>
          <w:sz w:val="18"/>
          <w:szCs w:val="18"/>
        </w:rPr>
        <w:t>以下简称华孚时尚公司</w:t>
      </w:r>
      <w:r w:rsidRPr="00831C3C">
        <w:rPr>
          <w:rFonts w:asciiTheme="minorEastAsia" w:eastAsiaTheme="minorEastAsia" w:hAnsiTheme="minorEastAsia" w:cs="Arial"/>
          <w:sz w:val="18"/>
          <w:szCs w:val="18"/>
        </w:rPr>
        <w:t>)</w:t>
      </w:r>
      <w:r w:rsidRPr="00831C3C">
        <w:rPr>
          <w:rFonts w:asciiTheme="minorEastAsia" w:eastAsiaTheme="minorEastAsia" w:hAnsiTheme="minorEastAsia" w:cs="Times New Roman" w:hint="eastAsia"/>
          <w:sz w:val="18"/>
          <w:szCs w:val="18"/>
        </w:rPr>
        <w:t>财务报表，包括</w:t>
      </w:r>
      <w:r w:rsidRPr="00831C3C">
        <w:rPr>
          <w:rFonts w:asciiTheme="minorEastAsia" w:eastAsiaTheme="minorEastAsia" w:hAnsiTheme="minorEastAsia" w:cs="Arial"/>
          <w:sz w:val="18"/>
          <w:szCs w:val="18"/>
        </w:rPr>
        <w:t>2024</w:t>
      </w:r>
      <w:r w:rsidRPr="00831C3C">
        <w:rPr>
          <w:rFonts w:asciiTheme="minorEastAsia" w:eastAsiaTheme="minorEastAsia" w:hAnsiTheme="minorEastAsia" w:cs="Times New Roman" w:hint="eastAsia"/>
          <w:sz w:val="18"/>
          <w:szCs w:val="18"/>
        </w:rPr>
        <w:t>年</w:t>
      </w:r>
      <w:r w:rsidRPr="00831C3C">
        <w:rPr>
          <w:rFonts w:asciiTheme="minorEastAsia" w:eastAsiaTheme="minorEastAsia" w:hAnsiTheme="minorEastAsia" w:cs="Arial"/>
          <w:sz w:val="18"/>
          <w:szCs w:val="18"/>
        </w:rPr>
        <w:t>12</w:t>
      </w:r>
      <w:r w:rsidRPr="00831C3C">
        <w:rPr>
          <w:rFonts w:asciiTheme="minorEastAsia" w:eastAsiaTheme="minorEastAsia" w:hAnsiTheme="minorEastAsia" w:cs="Times New Roman" w:hint="eastAsia"/>
          <w:sz w:val="18"/>
          <w:szCs w:val="18"/>
        </w:rPr>
        <w:t>月</w:t>
      </w:r>
      <w:r w:rsidRPr="00831C3C">
        <w:rPr>
          <w:rFonts w:asciiTheme="minorEastAsia" w:eastAsiaTheme="minorEastAsia" w:hAnsiTheme="minorEastAsia" w:cs="Arial"/>
          <w:sz w:val="18"/>
          <w:szCs w:val="18"/>
        </w:rPr>
        <w:t>31</w:t>
      </w:r>
      <w:r w:rsidRPr="00831C3C">
        <w:rPr>
          <w:rFonts w:asciiTheme="minorEastAsia" w:eastAsiaTheme="minorEastAsia" w:hAnsiTheme="minorEastAsia" w:cs="Times New Roman" w:hint="eastAsia"/>
          <w:sz w:val="18"/>
          <w:szCs w:val="18"/>
        </w:rPr>
        <w:t>日的合并及母公司资产负债表，</w:t>
      </w:r>
      <w:r w:rsidRPr="00831C3C">
        <w:rPr>
          <w:rFonts w:asciiTheme="minorEastAsia" w:eastAsiaTheme="minorEastAsia" w:hAnsiTheme="minorEastAsia" w:cs="Arial"/>
          <w:sz w:val="18"/>
          <w:szCs w:val="18"/>
        </w:rPr>
        <w:t>2024</w:t>
      </w:r>
      <w:r w:rsidRPr="00831C3C">
        <w:rPr>
          <w:rFonts w:asciiTheme="minorEastAsia" w:eastAsiaTheme="minorEastAsia" w:hAnsiTheme="minorEastAsia" w:cs="Times New Roman" w:hint="eastAsia"/>
          <w:sz w:val="18"/>
          <w:szCs w:val="18"/>
        </w:rPr>
        <w:t>年度的合并及母公司利润表、合并及母公司现金流量表、合并及母公司股东权益变动表以及相关财务报表附注。</w:t>
      </w:r>
    </w:p>
    <w:p w:rsidR="00C65FD5" w:rsidRPr="00831C3C" w:rsidRDefault="00C65FD5" w:rsidP="00AC1232">
      <w:pPr>
        <w:pStyle w:val="a3"/>
        <w:spacing w:before="0" w:beforeAutospacing="0" w:after="0" w:afterAutospacing="0"/>
        <w:ind w:firstLine="560"/>
        <w:jc w:val="both"/>
        <w:divId w:val="2057580877"/>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我们认为，后附的财务报表在所有重大方面按照企业会计准则的规定编制，公允反映了华孚时尚公司</w:t>
      </w:r>
      <w:r w:rsidRPr="00831C3C">
        <w:rPr>
          <w:rFonts w:asciiTheme="minorEastAsia" w:eastAsiaTheme="minorEastAsia" w:hAnsiTheme="minorEastAsia" w:cs="Arial"/>
          <w:sz w:val="18"/>
          <w:szCs w:val="18"/>
        </w:rPr>
        <w:t>2024</w:t>
      </w:r>
      <w:r w:rsidRPr="00831C3C">
        <w:rPr>
          <w:rFonts w:asciiTheme="minorEastAsia" w:eastAsiaTheme="minorEastAsia" w:hAnsiTheme="minorEastAsia" w:cs="Times New Roman" w:hint="eastAsia"/>
          <w:sz w:val="18"/>
          <w:szCs w:val="18"/>
        </w:rPr>
        <w:t>年</w:t>
      </w:r>
      <w:r w:rsidRPr="00831C3C">
        <w:rPr>
          <w:rFonts w:asciiTheme="minorEastAsia" w:eastAsiaTheme="minorEastAsia" w:hAnsiTheme="minorEastAsia" w:cs="Arial"/>
          <w:sz w:val="18"/>
          <w:szCs w:val="18"/>
        </w:rPr>
        <w:t>12</w:t>
      </w:r>
      <w:r w:rsidRPr="00831C3C">
        <w:rPr>
          <w:rFonts w:asciiTheme="minorEastAsia" w:eastAsiaTheme="minorEastAsia" w:hAnsiTheme="minorEastAsia" w:cs="Times New Roman" w:hint="eastAsia"/>
          <w:sz w:val="18"/>
          <w:szCs w:val="18"/>
        </w:rPr>
        <w:t>月</w:t>
      </w:r>
      <w:r w:rsidRPr="00831C3C">
        <w:rPr>
          <w:rFonts w:asciiTheme="minorEastAsia" w:eastAsiaTheme="minorEastAsia" w:hAnsiTheme="minorEastAsia" w:cs="Arial"/>
          <w:sz w:val="18"/>
          <w:szCs w:val="18"/>
        </w:rPr>
        <w:t>31</w:t>
      </w:r>
      <w:r w:rsidRPr="00831C3C">
        <w:rPr>
          <w:rFonts w:asciiTheme="minorEastAsia" w:eastAsiaTheme="minorEastAsia" w:hAnsiTheme="minorEastAsia" w:cs="Times New Roman" w:hint="eastAsia"/>
          <w:sz w:val="18"/>
          <w:szCs w:val="18"/>
        </w:rPr>
        <w:t>日的合并及母公司财务状况以及</w:t>
      </w:r>
      <w:r w:rsidRPr="00831C3C">
        <w:rPr>
          <w:rFonts w:asciiTheme="minorEastAsia" w:eastAsiaTheme="minorEastAsia" w:hAnsiTheme="minorEastAsia" w:cs="Arial"/>
          <w:sz w:val="18"/>
          <w:szCs w:val="18"/>
        </w:rPr>
        <w:t>2024</w:t>
      </w:r>
      <w:r w:rsidRPr="00831C3C">
        <w:rPr>
          <w:rFonts w:asciiTheme="minorEastAsia" w:eastAsiaTheme="minorEastAsia" w:hAnsiTheme="minorEastAsia" w:cs="Times New Roman" w:hint="eastAsia"/>
          <w:sz w:val="18"/>
          <w:szCs w:val="18"/>
        </w:rPr>
        <w:t>年度的合并及母公司经营成果和现金流量。</w:t>
      </w:r>
    </w:p>
    <w:p w:rsidR="00C65FD5" w:rsidRPr="00831C3C" w:rsidRDefault="00C65FD5" w:rsidP="00AC1232">
      <w:pPr>
        <w:widowControl/>
        <w:numPr>
          <w:ilvl w:val="0"/>
          <w:numId w:val="2"/>
        </w:numPr>
        <w:divId w:val="2057580877"/>
        <w:rPr>
          <w:rFonts w:asciiTheme="minorEastAsia" w:hAnsiTheme="minorEastAsia" w:cs="宋体"/>
          <w:sz w:val="18"/>
          <w:szCs w:val="18"/>
        </w:rPr>
      </w:pPr>
      <w:r w:rsidRPr="00831C3C">
        <w:rPr>
          <w:rStyle w:val="a4"/>
          <w:rFonts w:asciiTheme="minorEastAsia" w:hAnsiTheme="minorEastAsia" w:hint="eastAsia"/>
          <w:sz w:val="18"/>
          <w:szCs w:val="18"/>
        </w:rPr>
        <w:t>形成审计意见的基础</w:t>
      </w:r>
    </w:p>
    <w:p w:rsidR="00C65FD5" w:rsidRPr="00831C3C" w:rsidRDefault="00C65FD5" w:rsidP="00AC1232">
      <w:pPr>
        <w:pStyle w:val="a3"/>
        <w:spacing w:before="0" w:beforeAutospacing="0" w:after="0" w:afterAutospacing="0"/>
        <w:ind w:firstLine="560"/>
        <w:jc w:val="both"/>
        <w:divId w:val="2057580877"/>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我们按照中国注册会计师审计准则的规定执行了审计工作。审计报告的</w:t>
      </w:r>
      <w:r w:rsidRPr="00831C3C">
        <w:rPr>
          <w:rFonts w:asciiTheme="minorEastAsia" w:eastAsiaTheme="minorEastAsia" w:hAnsiTheme="minorEastAsia" w:cs="Arial"/>
          <w:sz w:val="18"/>
          <w:szCs w:val="18"/>
        </w:rPr>
        <w:t>“</w:t>
      </w:r>
      <w:r w:rsidRPr="00831C3C">
        <w:rPr>
          <w:rFonts w:asciiTheme="minorEastAsia" w:eastAsiaTheme="minorEastAsia" w:hAnsiTheme="minorEastAsia" w:cs="Times New Roman" w:hint="eastAsia"/>
          <w:sz w:val="18"/>
          <w:szCs w:val="18"/>
        </w:rPr>
        <w:t>注册会计师对财务报表审计的责任</w:t>
      </w:r>
      <w:r w:rsidRPr="00831C3C">
        <w:rPr>
          <w:rFonts w:asciiTheme="minorEastAsia" w:eastAsiaTheme="minorEastAsia" w:hAnsiTheme="minorEastAsia" w:cs="Arial"/>
          <w:sz w:val="18"/>
          <w:szCs w:val="18"/>
        </w:rPr>
        <w:t>”</w:t>
      </w:r>
      <w:r w:rsidRPr="00831C3C">
        <w:rPr>
          <w:rFonts w:asciiTheme="minorEastAsia" w:eastAsiaTheme="minorEastAsia" w:hAnsiTheme="minorEastAsia" w:cs="Times New Roman" w:hint="eastAsia"/>
          <w:sz w:val="18"/>
          <w:szCs w:val="18"/>
        </w:rPr>
        <w:t>部分进一步阐述了我们在这些准则下的责任。按照中国注册会计师职业道德守则，我们独立于华孚时尚公司，并履行了职业道德方面的其他责任。我们相信，我们获取的审计证据是充分、适当的，为发表审计意见提供了基础。</w:t>
      </w:r>
    </w:p>
    <w:p w:rsidR="00C65FD5" w:rsidRPr="00831C3C" w:rsidRDefault="00C65FD5" w:rsidP="00AC1232">
      <w:pPr>
        <w:widowControl/>
        <w:numPr>
          <w:ilvl w:val="0"/>
          <w:numId w:val="3"/>
        </w:numPr>
        <w:divId w:val="2057580877"/>
        <w:rPr>
          <w:rFonts w:asciiTheme="minorEastAsia" w:hAnsiTheme="minorEastAsia" w:cs="宋体"/>
          <w:sz w:val="18"/>
          <w:szCs w:val="18"/>
        </w:rPr>
      </w:pPr>
      <w:r w:rsidRPr="00831C3C">
        <w:rPr>
          <w:rStyle w:val="a4"/>
          <w:rFonts w:asciiTheme="minorEastAsia" w:hAnsiTheme="minorEastAsia" w:hint="eastAsia"/>
          <w:sz w:val="18"/>
          <w:szCs w:val="18"/>
        </w:rPr>
        <w:t>关键审计事项</w:t>
      </w:r>
    </w:p>
    <w:p w:rsidR="00C65FD5" w:rsidRPr="00831C3C" w:rsidRDefault="00C65FD5" w:rsidP="00AC1232">
      <w:pPr>
        <w:pStyle w:val="a3"/>
        <w:spacing w:before="0" w:beforeAutospacing="0" w:after="0" w:afterAutospacing="0"/>
        <w:ind w:firstLine="560"/>
        <w:jc w:val="both"/>
        <w:divId w:val="2057580877"/>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关键审计事项是我们根据职业判断，认为对本期财务报表审计最为重要的事项。这些事项的应对以对财务报表整体进行审计并形成审计意见为背景，我们不对这些事项单独发表意见。</w:t>
      </w:r>
    </w:p>
    <w:p w:rsidR="00C65FD5" w:rsidRPr="00831C3C" w:rsidRDefault="00C65FD5" w:rsidP="00AC1232">
      <w:pPr>
        <w:pStyle w:val="a3"/>
        <w:spacing w:before="0" w:beforeAutospacing="0" w:after="0" w:afterAutospacing="0"/>
        <w:ind w:firstLine="560"/>
        <w:jc w:val="both"/>
        <w:divId w:val="2057580877"/>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我们确定下列事项是需要在审计报告中沟通的关键审计事项。</w:t>
      </w:r>
    </w:p>
    <w:p w:rsidR="00C65FD5" w:rsidRPr="00831C3C" w:rsidRDefault="00C65FD5" w:rsidP="00AC1232">
      <w:pPr>
        <w:widowControl/>
        <w:numPr>
          <w:ilvl w:val="0"/>
          <w:numId w:val="4"/>
        </w:numPr>
        <w:divId w:val="2057580877"/>
        <w:rPr>
          <w:rFonts w:asciiTheme="minorEastAsia" w:hAnsiTheme="minorEastAsia" w:cs="宋体"/>
          <w:sz w:val="18"/>
          <w:szCs w:val="18"/>
        </w:rPr>
      </w:pPr>
      <w:r w:rsidRPr="00831C3C">
        <w:rPr>
          <w:rFonts w:asciiTheme="minorEastAsia" w:hAnsiTheme="minorEastAsia" w:hint="eastAsia"/>
          <w:sz w:val="18"/>
          <w:szCs w:val="18"/>
        </w:rPr>
        <w:t>存货的存在性与可变现净值</w:t>
      </w:r>
    </w:p>
    <w:p w:rsidR="00C65FD5" w:rsidRPr="00831C3C" w:rsidRDefault="00C65FD5" w:rsidP="00AC1232">
      <w:pPr>
        <w:widowControl/>
        <w:numPr>
          <w:ilvl w:val="0"/>
          <w:numId w:val="4"/>
        </w:numPr>
        <w:divId w:val="2057580877"/>
        <w:rPr>
          <w:rFonts w:asciiTheme="minorEastAsia" w:hAnsiTheme="minorEastAsia"/>
          <w:sz w:val="18"/>
          <w:szCs w:val="18"/>
        </w:rPr>
      </w:pPr>
      <w:r w:rsidRPr="00831C3C">
        <w:rPr>
          <w:rFonts w:asciiTheme="minorEastAsia" w:hAnsiTheme="minorEastAsia" w:hint="eastAsia"/>
          <w:sz w:val="18"/>
          <w:szCs w:val="18"/>
        </w:rPr>
        <w:t>收入的确认</w:t>
      </w:r>
    </w:p>
    <w:p w:rsidR="00C65FD5" w:rsidRPr="00831C3C" w:rsidRDefault="00C65FD5" w:rsidP="00AC1232">
      <w:pPr>
        <w:widowControl/>
        <w:numPr>
          <w:ilvl w:val="0"/>
          <w:numId w:val="5"/>
        </w:numPr>
        <w:divId w:val="2057580877"/>
        <w:rPr>
          <w:rFonts w:asciiTheme="minorEastAsia" w:hAnsiTheme="minorEastAsia"/>
          <w:sz w:val="18"/>
          <w:szCs w:val="18"/>
        </w:rPr>
      </w:pPr>
      <w:r w:rsidRPr="00831C3C">
        <w:rPr>
          <w:rFonts w:asciiTheme="minorEastAsia" w:hAnsiTheme="minorEastAsia" w:hint="eastAsia"/>
          <w:sz w:val="18"/>
          <w:szCs w:val="18"/>
        </w:rPr>
        <w:t>存货的存在性与可变现净值事项</w:t>
      </w:r>
    </w:p>
    <w:p w:rsidR="00C65FD5" w:rsidRPr="00831C3C" w:rsidRDefault="00C65FD5" w:rsidP="00AC1232">
      <w:pPr>
        <w:widowControl/>
        <w:numPr>
          <w:ilvl w:val="0"/>
          <w:numId w:val="6"/>
        </w:numPr>
        <w:divId w:val="2057580877"/>
        <w:rPr>
          <w:rFonts w:asciiTheme="minorEastAsia" w:hAnsiTheme="minorEastAsia"/>
          <w:sz w:val="18"/>
          <w:szCs w:val="18"/>
        </w:rPr>
      </w:pPr>
      <w:r w:rsidRPr="00831C3C">
        <w:rPr>
          <w:rFonts w:asciiTheme="minorEastAsia" w:hAnsiTheme="minorEastAsia" w:hint="eastAsia"/>
          <w:sz w:val="18"/>
          <w:szCs w:val="18"/>
        </w:rPr>
        <w:t>事项描述</w:t>
      </w:r>
    </w:p>
    <w:p w:rsidR="00C65FD5" w:rsidRPr="00831C3C" w:rsidRDefault="00C65FD5" w:rsidP="00AC1232">
      <w:pPr>
        <w:pStyle w:val="a3"/>
        <w:spacing w:before="0" w:beforeAutospacing="0" w:after="0" w:afterAutospacing="0"/>
        <w:ind w:firstLine="567"/>
        <w:jc w:val="both"/>
        <w:divId w:val="2057580877"/>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截止2024年12月31日，华孚时尚公司存货原值48.48亿元，占总资产的比例为28.22%，存货占总资产的比例较高。存货跌价准备8,598.71万元，计提比例为1.77%。存货详细信息请参阅合并财务报表附注三、(十五)及附注五、注释7。存货的存在性存在重大错报风险，因此我们将存货的存在性作为关键审计事项。资产负债表日，存货采用成本与可变现净值孰低计量，按照单个存货成本高于可变现净值的差额计提存货跌价准备。管理层在考虑持有存货目的的基础上，根据历史售价、实际售价、合同约定售价、相同或类似产品的市场售价、未来市场趋势等确定估计售价，并按照估计售价减去至完工时估计将要发生的成本、估计的销售费用和相关税费后的金额确定存货的可变现净值。由于存货金额重大，且确定存货可变现净值涉及重大管理层判断，因此我们同时将存货可变现净值确定为关键审计事项。</w:t>
      </w:r>
    </w:p>
    <w:p w:rsidR="00C65FD5" w:rsidRPr="00831C3C" w:rsidRDefault="00C65FD5" w:rsidP="00AC1232">
      <w:pPr>
        <w:widowControl/>
        <w:numPr>
          <w:ilvl w:val="0"/>
          <w:numId w:val="7"/>
        </w:numPr>
        <w:divId w:val="2057580877"/>
        <w:rPr>
          <w:rFonts w:asciiTheme="minorEastAsia" w:hAnsiTheme="minorEastAsia" w:cs="宋体"/>
          <w:sz w:val="18"/>
          <w:szCs w:val="18"/>
        </w:rPr>
      </w:pPr>
      <w:r w:rsidRPr="00831C3C">
        <w:rPr>
          <w:rFonts w:asciiTheme="minorEastAsia" w:hAnsiTheme="minorEastAsia" w:hint="eastAsia"/>
          <w:sz w:val="18"/>
          <w:szCs w:val="18"/>
        </w:rPr>
        <w:t>审计应对</w:t>
      </w:r>
    </w:p>
    <w:p w:rsidR="00C65FD5" w:rsidRPr="00831C3C" w:rsidRDefault="00C65FD5" w:rsidP="00AC1232">
      <w:pPr>
        <w:pStyle w:val="a3"/>
        <w:spacing w:before="0" w:beforeAutospacing="0" w:after="0" w:afterAutospacing="0"/>
        <w:ind w:left="420"/>
        <w:jc w:val="both"/>
        <w:divId w:val="2057580877"/>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我们对于存货的存在性与可变现净值所实施的重要审计程序包括：</w:t>
      </w:r>
    </w:p>
    <w:p w:rsidR="00C65FD5" w:rsidRPr="00831C3C" w:rsidRDefault="00C65FD5" w:rsidP="00AC1232">
      <w:pPr>
        <w:widowControl/>
        <w:numPr>
          <w:ilvl w:val="0"/>
          <w:numId w:val="8"/>
        </w:numPr>
        <w:divId w:val="2057580877"/>
        <w:rPr>
          <w:rFonts w:asciiTheme="minorEastAsia" w:hAnsiTheme="minorEastAsia" w:cs="宋体"/>
          <w:sz w:val="18"/>
          <w:szCs w:val="18"/>
        </w:rPr>
      </w:pPr>
      <w:r w:rsidRPr="00831C3C">
        <w:rPr>
          <w:rFonts w:asciiTheme="minorEastAsia" w:hAnsiTheme="minorEastAsia" w:hint="eastAsia"/>
          <w:sz w:val="18"/>
          <w:szCs w:val="18"/>
        </w:rPr>
        <w:lastRenderedPageBreak/>
        <w:t>了解与存货的存在性与可变现净值相关的关键内部控制，评价这些控制的设计，确定其是否得到执行，并测试相关内部控制的运行有效性；</w:t>
      </w:r>
    </w:p>
    <w:p w:rsidR="00C65FD5" w:rsidRPr="00831C3C" w:rsidRDefault="00C65FD5" w:rsidP="00AC1232">
      <w:pPr>
        <w:widowControl/>
        <w:numPr>
          <w:ilvl w:val="0"/>
          <w:numId w:val="8"/>
        </w:numPr>
        <w:divId w:val="2057580877"/>
        <w:rPr>
          <w:rFonts w:asciiTheme="minorEastAsia" w:hAnsiTheme="minorEastAsia"/>
          <w:sz w:val="18"/>
          <w:szCs w:val="18"/>
        </w:rPr>
      </w:pPr>
      <w:r w:rsidRPr="00831C3C">
        <w:rPr>
          <w:rFonts w:asciiTheme="minorEastAsia" w:hAnsiTheme="minorEastAsia" w:hint="eastAsia"/>
          <w:sz w:val="18"/>
          <w:szCs w:val="18"/>
        </w:rPr>
        <w:t>了解公司的盘点计划以及存货存放地点的情况,在存货盘点现场实施监盘，评价管理层用以记录和控制存货盘点结果的指令和程序并观察管理层制定的盘点程序的执行情况，检查存货状况并实施抽盘；</w:t>
      </w:r>
    </w:p>
    <w:p w:rsidR="00C65FD5" w:rsidRPr="00831C3C" w:rsidRDefault="00C65FD5" w:rsidP="00AC1232">
      <w:pPr>
        <w:widowControl/>
        <w:numPr>
          <w:ilvl w:val="0"/>
          <w:numId w:val="8"/>
        </w:numPr>
        <w:divId w:val="2057580877"/>
        <w:rPr>
          <w:rFonts w:asciiTheme="minorEastAsia" w:hAnsiTheme="minorEastAsia"/>
          <w:sz w:val="18"/>
          <w:szCs w:val="18"/>
        </w:rPr>
      </w:pPr>
      <w:r w:rsidRPr="00831C3C">
        <w:rPr>
          <w:rFonts w:asciiTheme="minorEastAsia" w:hAnsiTheme="minorEastAsia" w:hint="eastAsia"/>
          <w:sz w:val="18"/>
          <w:szCs w:val="18"/>
        </w:rPr>
        <w:t>对发出商品、委托加工物资、棉花监管库进行函证，确认是否双方就发出商品、委托加工物资、棉花的数量等已达成一致意见，针对资产负债表日前后的存货收发进行测试，评估存货是否记录在适用的会计期间；</w:t>
      </w:r>
    </w:p>
    <w:p w:rsidR="00C65FD5" w:rsidRPr="00831C3C" w:rsidRDefault="00C65FD5" w:rsidP="00AC1232">
      <w:pPr>
        <w:widowControl/>
        <w:numPr>
          <w:ilvl w:val="0"/>
          <w:numId w:val="8"/>
        </w:numPr>
        <w:divId w:val="2057580877"/>
        <w:rPr>
          <w:rFonts w:asciiTheme="minorEastAsia" w:hAnsiTheme="minorEastAsia"/>
          <w:sz w:val="18"/>
          <w:szCs w:val="18"/>
        </w:rPr>
      </w:pPr>
      <w:r w:rsidRPr="00831C3C">
        <w:rPr>
          <w:rFonts w:asciiTheme="minorEastAsia" w:hAnsiTheme="minorEastAsia" w:hint="eastAsia"/>
          <w:sz w:val="18"/>
          <w:szCs w:val="18"/>
        </w:rPr>
        <w:t>查询公司本年度主要原材料单价变动情况，了解棉花价格的走势，考虑存货受棉花价格影响的程度，结合在手订单及期后棉花期货价格走势，判断产生存货跌价的风险；</w:t>
      </w:r>
    </w:p>
    <w:p w:rsidR="00C65FD5" w:rsidRPr="00831C3C" w:rsidRDefault="00C65FD5" w:rsidP="00AC1232">
      <w:pPr>
        <w:widowControl/>
        <w:numPr>
          <w:ilvl w:val="0"/>
          <w:numId w:val="8"/>
        </w:numPr>
        <w:divId w:val="2057580877"/>
        <w:rPr>
          <w:rFonts w:asciiTheme="minorEastAsia" w:hAnsiTheme="minorEastAsia"/>
          <w:sz w:val="18"/>
          <w:szCs w:val="18"/>
        </w:rPr>
      </w:pPr>
      <w:r w:rsidRPr="00831C3C">
        <w:rPr>
          <w:rFonts w:asciiTheme="minorEastAsia" w:hAnsiTheme="minorEastAsia" w:hint="eastAsia"/>
          <w:sz w:val="18"/>
          <w:szCs w:val="18"/>
        </w:rPr>
        <w:t>获取公司存货可变现净值计算表，分析管理层对产品售价预测的合理性，复核管理层关于存货可变现净值的计算过程和计算方法；</w:t>
      </w:r>
    </w:p>
    <w:p w:rsidR="00C65FD5" w:rsidRPr="00831C3C" w:rsidRDefault="00C65FD5" w:rsidP="00AC1232">
      <w:pPr>
        <w:widowControl/>
        <w:numPr>
          <w:ilvl w:val="0"/>
          <w:numId w:val="8"/>
        </w:numPr>
        <w:divId w:val="2057580877"/>
        <w:rPr>
          <w:rFonts w:asciiTheme="minorEastAsia" w:hAnsiTheme="minorEastAsia"/>
          <w:sz w:val="18"/>
          <w:szCs w:val="18"/>
        </w:rPr>
      </w:pPr>
      <w:r w:rsidRPr="00831C3C">
        <w:rPr>
          <w:rFonts w:asciiTheme="minorEastAsia" w:hAnsiTheme="minorEastAsia" w:hint="eastAsia"/>
          <w:sz w:val="18"/>
          <w:szCs w:val="18"/>
        </w:rPr>
        <w:t>取得公司存货的</w:t>
      </w:r>
      <w:proofErr w:type="gramStart"/>
      <w:r w:rsidRPr="00831C3C">
        <w:rPr>
          <w:rFonts w:asciiTheme="minorEastAsia" w:hAnsiTheme="minorEastAsia" w:hint="eastAsia"/>
          <w:sz w:val="18"/>
          <w:szCs w:val="18"/>
        </w:rPr>
        <w:t>年末库龄清单</w:t>
      </w:r>
      <w:proofErr w:type="gramEnd"/>
      <w:r w:rsidRPr="00831C3C">
        <w:rPr>
          <w:rFonts w:asciiTheme="minorEastAsia" w:hAnsiTheme="minorEastAsia" w:hint="eastAsia"/>
          <w:sz w:val="18"/>
          <w:szCs w:val="18"/>
        </w:rPr>
        <w:t>,结合监盘，</w:t>
      </w:r>
      <w:proofErr w:type="gramStart"/>
      <w:r w:rsidRPr="00831C3C">
        <w:rPr>
          <w:rFonts w:asciiTheme="minorEastAsia" w:hAnsiTheme="minorEastAsia" w:hint="eastAsia"/>
          <w:sz w:val="18"/>
          <w:szCs w:val="18"/>
        </w:rPr>
        <w:t>对库龄较长</w:t>
      </w:r>
      <w:proofErr w:type="gramEnd"/>
      <w:r w:rsidRPr="00831C3C">
        <w:rPr>
          <w:rFonts w:asciiTheme="minorEastAsia" w:hAnsiTheme="minorEastAsia" w:hint="eastAsia"/>
          <w:sz w:val="18"/>
          <w:szCs w:val="18"/>
        </w:rPr>
        <w:t>的存货进行分析性复核,评价管理层就存货可变现净值所作估计的合理性。</w:t>
      </w:r>
    </w:p>
    <w:p w:rsidR="00C65FD5" w:rsidRPr="00831C3C" w:rsidRDefault="00C65FD5" w:rsidP="00AC1232">
      <w:pPr>
        <w:pStyle w:val="a3"/>
        <w:spacing w:before="0" w:beforeAutospacing="0" w:after="0" w:afterAutospacing="0"/>
        <w:ind w:firstLine="560"/>
        <w:jc w:val="both"/>
        <w:divId w:val="2057580877"/>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基于已执行的审计工作，我们认为，管理层在存货中采用的假设和方法是可接受的、管理层对存货的存在的总体评估是可以接受的、管理层对存货跌价准备的相关判断及估计是合理的。</w:t>
      </w:r>
    </w:p>
    <w:p w:rsidR="00C65FD5" w:rsidRPr="00831C3C" w:rsidRDefault="00C65FD5" w:rsidP="00AC1232">
      <w:pPr>
        <w:widowControl/>
        <w:numPr>
          <w:ilvl w:val="0"/>
          <w:numId w:val="9"/>
        </w:numPr>
        <w:divId w:val="2057580877"/>
        <w:rPr>
          <w:rFonts w:asciiTheme="minorEastAsia" w:hAnsiTheme="minorEastAsia"/>
          <w:sz w:val="18"/>
          <w:szCs w:val="18"/>
        </w:rPr>
      </w:pPr>
      <w:r w:rsidRPr="00831C3C">
        <w:rPr>
          <w:rFonts w:asciiTheme="minorEastAsia" w:hAnsiTheme="minorEastAsia" w:hint="eastAsia"/>
          <w:sz w:val="18"/>
          <w:szCs w:val="18"/>
        </w:rPr>
        <w:t>收入的确认事项</w:t>
      </w:r>
    </w:p>
    <w:p w:rsidR="00C65FD5" w:rsidRPr="00831C3C" w:rsidRDefault="00C65FD5" w:rsidP="00AC1232">
      <w:pPr>
        <w:widowControl/>
        <w:numPr>
          <w:ilvl w:val="0"/>
          <w:numId w:val="10"/>
        </w:numPr>
        <w:divId w:val="2057580877"/>
        <w:rPr>
          <w:rFonts w:asciiTheme="minorEastAsia" w:hAnsiTheme="minorEastAsia"/>
          <w:sz w:val="18"/>
          <w:szCs w:val="18"/>
        </w:rPr>
      </w:pPr>
      <w:r w:rsidRPr="00831C3C">
        <w:rPr>
          <w:rFonts w:asciiTheme="minorEastAsia" w:hAnsiTheme="minorEastAsia" w:hint="eastAsia"/>
          <w:sz w:val="18"/>
          <w:szCs w:val="18"/>
        </w:rPr>
        <w:t>事项描述</w:t>
      </w:r>
    </w:p>
    <w:p w:rsidR="00C65FD5" w:rsidRPr="00831C3C" w:rsidRDefault="00C65FD5" w:rsidP="00AC1232">
      <w:pPr>
        <w:pStyle w:val="a3"/>
        <w:spacing w:before="0" w:beforeAutospacing="0" w:after="0" w:afterAutospacing="0"/>
        <w:ind w:firstLine="567"/>
        <w:jc w:val="both"/>
        <w:divId w:val="2057580877"/>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2024年度，华孚时尚公司收入107.62亿元，比2023年度收入136.63亿元减少29.02亿元，减少比例21.24%。收入详细信息请参阅合并财务报表附注三、(三十五)及附注五、注释44。由于收入的确认存在比较高的固有风险，收入确认是否真实、完整可能存在潜在错报，收入对于华孚时尚公司的财务报表具有重要性，因此我们将收入的确认认定为关键审计事项。</w:t>
      </w:r>
    </w:p>
    <w:p w:rsidR="00C65FD5" w:rsidRPr="00831C3C" w:rsidRDefault="00C65FD5" w:rsidP="00AC1232">
      <w:pPr>
        <w:widowControl/>
        <w:numPr>
          <w:ilvl w:val="0"/>
          <w:numId w:val="11"/>
        </w:numPr>
        <w:divId w:val="2057580877"/>
        <w:rPr>
          <w:rFonts w:asciiTheme="minorEastAsia" w:hAnsiTheme="minorEastAsia" w:cs="宋体"/>
          <w:sz w:val="18"/>
          <w:szCs w:val="18"/>
        </w:rPr>
      </w:pPr>
      <w:r w:rsidRPr="00831C3C">
        <w:rPr>
          <w:rFonts w:asciiTheme="minorEastAsia" w:hAnsiTheme="minorEastAsia" w:hint="eastAsia"/>
          <w:sz w:val="18"/>
          <w:szCs w:val="18"/>
        </w:rPr>
        <w:t>审计应对</w:t>
      </w:r>
    </w:p>
    <w:p w:rsidR="00C65FD5" w:rsidRPr="00831C3C" w:rsidRDefault="00C65FD5" w:rsidP="00AC1232">
      <w:pPr>
        <w:pStyle w:val="a3"/>
        <w:spacing w:before="0" w:beforeAutospacing="0" w:after="0" w:afterAutospacing="0"/>
        <w:ind w:firstLine="567"/>
        <w:jc w:val="both"/>
        <w:divId w:val="2057580877"/>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我们对于收入的确认所实施的重要审计程序包括：</w:t>
      </w:r>
    </w:p>
    <w:p w:rsidR="00C65FD5" w:rsidRPr="00831C3C" w:rsidRDefault="00C65FD5" w:rsidP="00AC1232">
      <w:pPr>
        <w:widowControl/>
        <w:numPr>
          <w:ilvl w:val="0"/>
          <w:numId w:val="12"/>
        </w:numPr>
        <w:divId w:val="2057580877"/>
        <w:rPr>
          <w:rFonts w:asciiTheme="minorEastAsia" w:hAnsiTheme="minorEastAsia" w:cs="宋体"/>
          <w:sz w:val="18"/>
          <w:szCs w:val="18"/>
        </w:rPr>
      </w:pPr>
      <w:r w:rsidRPr="00831C3C">
        <w:rPr>
          <w:rFonts w:asciiTheme="minorEastAsia" w:hAnsiTheme="minorEastAsia" w:hint="eastAsia"/>
          <w:sz w:val="18"/>
          <w:szCs w:val="18"/>
        </w:rPr>
        <w:t>了解与收入确认相关的关键内部控制，评价这些控制的设计，确定其是否得到执行，并测试相关内部控制的运行有效性；</w:t>
      </w:r>
    </w:p>
    <w:p w:rsidR="00C65FD5" w:rsidRPr="00831C3C" w:rsidRDefault="00C65FD5" w:rsidP="00AC1232">
      <w:pPr>
        <w:widowControl/>
        <w:numPr>
          <w:ilvl w:val="0"/>
          <w:numId w:val="12"/>
        </w:numPr>
        <w:divId w:val="2057580877"/>
        <w:rPr>
          <w:rFonts w:asciiTheme="minorEastAsia" w:hAnsiTheme="minorEastAsia"/>
          <w:sz w:val="18"/>
          <w:szCs w:val="18"/>
        </w:rPr>
      </w:pPr>
      <w:r w:rsidRPr="00831C3C">
        <w:rPr>
          <w:rFonts w:asciiTheme="minorEastAsia" w:hAnsiTheme="minorEastAsia" w:hint="eastAsia"/>
          <w:sz w:val="18"/>
          <w:szCs w:val="18"/>
        </w:rPr>
        <w:t>检查销售合同，了解主要合同条款或条件，评价收入确认方法是否适当；</w:t>
      </w:r>
    </w:p>
    <w:p w:rsidR="00C65FD5" w:rsidRPr="00831C3C" w:rsidRDefault="00C65FD5" w:rsidP="00AC1232">
      <w:pPr>
        <w:widowControl/>
        <w:numPr>
          <w:ilvl w:val="0"/>
          <w:numId w:val="12"/>
        </w:numPr>
        <w:divId w:val="2057580877"/>
        <w:rPr>
          <w:rFonts w:asciiTheme="minorEastAsia" w:hAnsiTheme="minorEastAsia"/>
          <w:sz w:val="18"/>
          <w:szCs w:val="18"/>
        </w:rPr>
      </w:pPr>
      <w:r w:rsidRPr="00831C3C">
        <w:rPr>
          <w:rFonts w:asciiTheme="minorEastAsia" w:hAnsiTheme="minorEastAsia" w:hint="eastAsia"/>
          <w:sz w:val="18"/>
          <w:szCs w:val="18"/>
        </w:rPr>
        <w:t>对收入和成本执行分析程序，包括：对本期各月度收入、成本、毛利波动分析，识别是否存在重大或异常波动，并查明波动原因；</w:t>
      </w:r>
    </w:p>
    <w:p w:rsidR="00C65FD5" w:rsidRPr="00831C3C" w:rsidRDefault="00C65FD5" w:rsidP="00AC1232">
      <w:pPr>
        <w:widowControl/>
        <w:numPr>
          <w:ilvl w:val="0"/>
          <w:numId w:val="12"/>
        </w:numPr>
        <w:divId w:val="2057580877"/>
        <w:rPr>
          <w:rFonts w:asciiTheme="minorEastAsia" w:hAnsiTheme="minorEastAsia"/>
          <w:sz w:val="18"/>
          <w:szCs w:val="18"/>
        </w:rPr>
      </w:pPr>
      <w:r w:rsidRPr="00831C3C">
        <w:rPr>
          <w:rFonts w:asciiTheme="minorEastAsia" w:hAnsiTheme="minorEastAsia" w:hint="eastAsia"/>
          <w:sz w:val="18"/>
          <w:szCs w:val="18"/>
        </w:rPr>
        <w:t>获取公司与客户签订的协议，对合同关键条款进行核实，如发货及验收、付款及结算、换货及退货政策等；查询客户的工商资料，对重要客户走访、访谈，询问客户及公司相关人员，以确认客户与公司是否存在关联关系；</w:t>
      </w:r>
    </w:p>
    <w:p w:rsidR="00C65FD5" w:rsidRPr="00831C3C" w:rsidRDefault="00C65FD5" w:rsidP="00AC1232">
      <w:pPr>
        <w:widowControl/>
        <w:numPr>
          <w:ilvl w:val="0"/>
          <w:numId w:val="12"/>
        </w:numPr>
        <w:divId w:val="2057580877"/>
        <w:rPr>
          <w:rFonts w:asciiTheme="minorEastAsia" w:hAnsiTheme="minorEastAsia"/>
          <w:sz w:val="18"/>
          <w:szCs w:val="18"/>
        </w:rPr>
      </w:pPr>
      <w:r w:rsidRPr="00831C3C">
        <w:rPr>
          <w:rFonts w:asciiTheme="minorEastAsia" w:hAnsiTheme="minorEastAsia" w:hint="eastAsia"/>
          <w:sz w:val="18"/>
          <w:szCs w:val="18"/>
        </w:rPr>
        <w:t>对于内销收入，以抽样方式检查与收入确认相关的支持性文件，包括销售合同、订单、销售发票、出库单、发货单、签收单、</w:t>
      </w:r>
      <w:proofErr w:type="gramStart"/>
      <w:r w:rsidRPr="00831C3C">
        <w:rPr>
          <w:rFonts w:asciiTheme="minorEastAsia" w:hAnsiTheme="minorEastAsia" w:hint="eastAsia"/>
          <w:sz w:val="18"/>
          <w:szCs w:val="18"/>
        </w:rPr>
        <w:t>货转凭证</w:t>
      </w:r>
      <w:proofErr w:type="gramEnd"/>
      <w:r w:rsidRPr="00831C3C">
        <w:rPr>
          <w:rFonts w:asciiTheme="minorEastAsia" w:hAnsiTheme="minorEastAsia" w:hint="eastAsia"/>
          <w:sz w:val="18"/>
          <w:szCs w:val="18"/>
        </w:rPr>
        <w:t>等；对于出口收入，以抽样方式检查销售合同、出口报关单、货运提单、销售发票等支持性文件，同时亲自登录海关报关系统、外汇管理系统和出口退税系统获取进出口报关数据并与账面信息核对；</w:t>
      </w:r>
    </w:p>
    <w:p w:rsidR="00C65FD5" w:rsidRPr="00831C3C" w:rsidRDefault="00C65FD5" w:rsidP="00AC1232">
      <w:pPr>
        <w:widowControl/>
        <w:numPr>
          <w:ilvl w:val="0"/>
          <w:numId w:val="12"/>
        </w:numPr>
        <w:divId w:val="2057580877"/>
        <w:rPr>
          <w:rFonts w:asciiTheme="minorEastAsia" w:hAnsiTheme="minorEastAsia"/>
          <w:sz w:val="18"/>
          <w:szCs w:val="18"/>
        </w:rPr>
      </w:pPr>
      <w:r w:rsidRPr="00831C3C">
        <w:rPr>
          <w:rFonts w:asciiTheme="minorEastAsia" w:hAnsiTheme="minorEastAsia" w:hint="eastAsia"/>
          <w:sz w:val="18"/>
          <w:szCs w:val="18"/>
        </w:rPr>
        <w:t>根据客户的交易金额和应收账款期末余额选取样本</w:t>
      </w:r>
      <w:proofErr w:type="gramStart"/>
      <w:r w:rsidRPr="00831C3C">
        <w:rPr>
          <w:rFonts w:asciiTheme="minorEastAsia" w:hAnsiTheme="minorEastAsia" w:hint="eastAsia"/>
          <w:sz w:val="18"/>
          <w:szCs w:val="18"/>
        </w:rPr>
        <w:t>执行函证程序</w:t>
      </w:r>
      <w:proofErr w:type="gramEnd"/>
      <w:r w:rsidRPr="00831C3C">
        <w:rPr>
          <w:rFonts w:asciiTheme="minorEastAsia" w:hAnsiTheme="minorEastAsia" w:hint="eastAsia"/>
          <w:sz w:val="18"/>
          <w:szCs w:val="18"/>
        </w:rPr>
        <w:t>，以确认销售额和应收账款期末余额；</w:t>
      </w:r>
    </w:p>
    <w:p w:rsidR="00C65FD5" w:rsidRPr="00831C3C" w:rsidRDefault="00C65FD5" w:rsidP="00AC1232">
      <w:pPr>
        <w:widowControl/>
        <w:numPr>
          <w:ilvl w:val="0"/>
          <w:numId w:val="12"/>
        </w:numPr>
        <w:divId w:val="2057580877"/>
        <w:rPr>
          <w:rFonts w:asciiTheme="minorEastAsia" w:hAnsiTheme="minorEastAsia"/>
          <w:sz w:val="18"/>
          <w:szCs w:val="18"/>
        </w:rPr>
      </w:pPr>
      <w:r w:rsidRPr="00831C3C">
        <w:rPr>
          <w:rFonts w:asciiTheme="minorEastAsia" w:hAnsiTheme="minorEastAsia" w:hint="eastAsia"/>
          <w:sz w:val="18"/>
          <w:szCs w:val="18"/>
        </w:rPr>
        <w:t>对客户回款情况，包括期后回款情况进行检查，以确认销售收入和应收账款期末余额的真实性；</w:t>
      </w:r>
    </w:p>
    <w:p w:rsidR="00C65FD5" w:rsidRPr="00831C3C" w:rsidRDefault="00C65FD5" w:rsidP="00AC1232">
      <w:pPr>
        <w:widowControl/>
        <w:numPr>
          <w:ilvl w:val="0"/>
          <w:numId w:val="12"/>
        </w:numPr>
        <w:divId w:val="2057580877"/>
        <w:rPr>
          <w:rFonts w:asciiTheme="minorEastAsia" w:hAnsiTheme="minorEastAsia"/>
          <w:sz w:val="18"/>
          <w:szCs w:val="18"/>
        </w:rPr>
      </w:pPr>
      <w:r w:rsidRPr="00831C3C">
        <w:rPr>
          <w:rFonts w:asciiTheme="minorEastAsia" w:hAnsiTheme="minorEastAsia" w:hint="eastAsia"/>
          <w:sz w:val="18"/>
          <w:szCs w:val="18"/>
        </w:rPr>
        <w:t>针对资产负债表日前后确认的销售收入执行抽样测试，核对至领用并确认接收的单证，以评估销售收入是否在恰当的期间确认。</w:t>
      </w:r>
    </w:p>
    <w:p w:rsidR="00C65FD5" w:rsidRPr="00831C3C" w:rsidRDefault="00C65FD5" w:rsidP="00AC1232">
      <w:pPr>
        <w:pStyle w:val="a3"/>
        <w:spacing w:before="0" w:beforeAutospacing="0" w:after="0" w:afterAutospacing="0"/>
        <w:ind w:firstLine="560"/>
        <w:jc w:val="both"/>
        <w:divId w:val="2057580877"/>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基于已执行的审计工作，我们认为，管理层在收入确认中采用的假设和方法是可接受的、管理层对收入的总体评估是可以接受的、管理层对收入的相关判断及估计是合理的。</w:t>
      </w:r>
    </w:p>
    <w:p w:rsidR="00C65FD5" w:rsidRPr="00831C3C" w:rsidRDefault="00C65FD5" w:rsidP="00AC1232">
      <w:pPr>
        <w:widowControl/>
        <w:numPr>
          <w:ilvl w:val="0"/>
          <w:numId w:val="13"/>
        </w:numPr>
        <w:divId w:val="2057580877"/>
        <w:rPr>
          <w:rFonts w:asciiTheme="minorEastAsia" w:hAnsiTheme="minorEastAsia"/>
          <w:sz w:val="18"/>
          <w:szCs w:val="18"/>
        </w:rPr>
      </w:pPr>
      <w:r w:rsidRPr="00831C3C">
        <w:rPr>
          <w:rStyle w:val="a4"/>
          <w:rFonts w:asciiTheme="minorEastAsia" w:hAnsiTheme="minorEastAsia" w:hint="eastAsia"/>
          <w:sz w:val="18"/>
          <w:szCs w:val="18"/>
        </w:rPr>
        <w:t>其他信息</w:t>
      </w:r>
    </w:p>
    <w:p w:rsidR="00C65FD5" w:rsidRPr="00831C3C" w:rsidRDefault="00C65FD5" w:rsidP="00AC1232">
      <w:pPr>
        <w:pStyle w:val="a3"/>
        <w:spacing w:before="0" w:beforeAutospacing="0" w:after="0" w:afterAutospacing="0"/>
        <w:ind w:firstLine="560"/>
        <w:jc w:val="both"/>
        <w:divId w:val="2057580877"/>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华孚时尚公司管理层对其他信息负责。其他信息包括</w:t>
      </w:r>
      <w:r w:rsidRPr="00831C3C">
        <w:rPr>
          <w:rFonts w:asciiTheme="minorEastAsia" w:eastAsiaTheme="minorEastAsia" w:hAnsiTheme="minorEastAsia" w:cs="Arial"/>
          <w:sz w:val="18"/>
          <w:szCs w:val="18"/>
        </w:rPr>
        <w:t>2024</w:t>
      </w:r>
      <w:r w:rsidRPr="00831C3C">
        <w:rPr>
          <w:rFonts w:asciiTheme="minorEastAsia" w:eastAsiaTheme="minorEastAsia" w:hAnsiTheme="minorEastAsia" w:cs="Times New Roman" w:hint="eastAsia"/>
          <w:sz w:val="18"/>
          <w:szCs w:val="18"/>
        </w:rPr>
        <w:t>年年度报告中涵盖的信息，但不包括财务报表和我们的审计报告。</w:t>
      </w:r>
    </w:p>
    <w:p w:rsidR="00C65FD5" w:rsidRPr="00831C3C" w:rsidRDefault="00C65FD5" w:rsidP="00AC1232">
      <w:pPr>
        <w:pStyle w:val="a3"/>
        <w:spacing w:before="0" w:beforeAutospacing="0" w:after="0" w:afterAutospacing="0"/>
        <w:ind w:firstLine="560"/>
        <w:jc w:val="both"/>
        <w:divId w:val="2057580877"/>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我们对财务报表发表的审计意见</w:t>
      </w:r>
      <w:proofErr w:type="gramStart"/>
      <w:r w:rsidRPr="00831C3C">
        <w:rPr>
          <w:rFonts w:asciiTheme="minorEastAsia" w:eastAsiaTheme="minorEastAsia" w:hAnsiTheme="minorEastAsia" w:cs="Times New Roman" w:hint="eastAsia"/>
          <w:sz w:val="18"/>
          <w:szCs w:val="18"/>
        </w:rPr>
        <w:t>不</w:t>
      </w:r>
      <w:proofErr w:type="gramEnd"/>
      <w:r w:rsidRPr="00831C3C">
        <w:rPr>
          <w:rFonts w:asciiTheme="minorEastAsia" w:eastAsiaTheme="minorEastAsia" w:hAnsiTheme="minorEastAsia" w:cs="Times New Roman" w:hint="eastAsia"/>
          <w:sz w:val="18"/>
          <w:szCs w:val="18"/>
        </w:rPr>
        <w:t>涵盖其他信息，我们也不对其他信息发表任何形式的</w:t>
      </w:r>
      <w:proofErr w:type="gramStart"/>
      <w:r w:rsidRPr="00831C3C">
        <w:rPr>
          <w:rFonts w:asciiTheme="minorEastAsia" w:eastAsiaTheme="minorEastAsia" w:hAnsiTheme="minorEastAsia" w:cs="Times New Roman" w:hint="eastAsia"/>
          <w:sz w:val="18"/>
          <w:szCs w:val="18"/>
        </w:rPr>
        <w:t>鉴证</w:t>
      </w:r>
      <w:proofErr w:type="gramEnd"/>
      <w:r w:rsidRPr="00831C3C">
        <w:rPr>
          <w:rFonts w:asciiTheme="minorEastAsia" w:eastAsiaTheme="minorEastAsia" w:hAnsiTheme="minorEastAsia" w:cs="Times New Roman" w:hint="eastAsia"/>
          <w:sz w:val="18"/>
          <w:szCs w:val="18"/>
        </w:rPr>
        <w:t>结论。</w:t>
      </w:r>
    </w:p>
    <w:p w:rsidR="00C65FD5" w:rsidRPr="00831C3C" w:rsidRDefault="00C65FD5" w:rsidP="00AC1232">
      <w:pPr>
        <w:pStyle w:val="a3"/>
        <w:spacing w:before="0" w:beforeAutospacing="0" w:after="0" w:afterAutospacing="0"/>
        <w:ind w:firstLine="560"/>
        <w:jc w:val="both"/>
        <w:divId w:val="2057580877"/>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lastRenderedPageBreak/>
        <w:t>结合我们对财务报表的审计，我们的责任是阅读其他信息，在此过程中，考虑其他信息是否与财务报表或我们在审计过程中了解的情况存在重大不一致或者似乎存在重大错报。</w:t>
      </w:r>
    </w:p>
    <w:p w:rsidR="00C65FD5" w:rsidRPr="00831C3C" w:rsidRDefault="00C65FD5" w:rsidP="00AC1232">
      <w:pPr>
        <w:pStyle w:val="a3"/>
        <w:spacing w:before="0" w:beforeAutospacing="0" w:after="0" w:afterAutospacing="0"/>
        <w:ind w:firstLine="560"/>
        <w:jc w:val="both"/>
        <w:divId w:val="2057580877"/>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基于我们已执行的工作，如果我们确定其他信息存在重大错报，我们应当报告该事实。在这方面，我们无任何事项需要报告。</w:t>
      </w:r>
    </w:p>
    <w:p w:rsidR="00C65FD5" w:rsidRPr="00831C3C" w:rsidRDefault="00C65FD5" w:rsidP="00AC1232">
      <w:pPr>
        <w:widowControl/>
        <w:numPr>
          <w:ilvl w:val="0"/>
          <w:numId w:val="14"/>
        </w:numPr>
        <w:divId w:val="2057580877"/>
        <w:rPr>
          <w:rFonts w:asciiTheme="minorEastAsia" w:hAnsiTheme="minorEastAsia" w:cs="宋体"/>
          <w:sz w:val="18"/>
          <w:szCs w:val="18"/>
        </w:rPr>
      </w:pPr>
      <w:r w:rsidRPr="00831C3C">
        <w:rPr>
          <w:rStyle w:val="a4"/>
          <w:rFonts w:asciiTheme="minorEastAsia" w:hAnsiTheme="minorEastAsia" w:hint="eastAsia"/>
          <w:sz w:val="18"/>
          <w:szCs w:val="18"/>
        </w:rPr>
        <w:t>管理层和治理层对财务报表的责任</w:t>
      </w:r>
    </w:p>
    <w:p w:rsidR="00C65FD5" w:rsidRPr="00831C3C" w:rsidRDefault="00C65FD5" w:rsidP="00AC1232">
      <w:pPr>
        <w:pStyle w:val="a3"/>
        <w:spacing w:before="0" w:beforeAutospacing="0" w:after="0" w:afterAutospacing="0"/>
        <w:ind w:firstLine="560"/>
        <w:jc w:val="both"/>
        <w:divId w:val="2057580877"/>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华孚时尚公司管理</w:t>
      </w:r>
      <w:proofErr w:type="gramStart"/>
      <w:r w:rsidRPr="00831C3C">
        <w:rPr>
          <w:rFonts w:asciiTheme="minorEastAsia" w:eastAsiaTheme="minorEastAsia" w:hAnsiTheme="minorEastAsia" w:cs="Times New Roman" w:hint="eastAsia"/>
          <w:sz w:val="18"/>
          <w:szCs w:val="18"/>
        </w:rPr>
        <w:t>层负责</w:t>
      </w:r>
      <w:proofErr w:type="gramEnd"/>
      <w:r w:rsidRPr="00831C3C">
        <w:rPr>
          <w:rFonts w:asciiTheme="minorEastAsia" w:eastAsiaTheme="minorEastAsia" w:hAnsiTheme="minorEastAsia" w:cs="Times New Roman" w:hint="eastAsia"/>
          <w:sz w:val="18"/>
          <w:szCs w:val="18"/>
        </w:rPr>
        <w:t>按照企业会计准则的规定编制财务报表，使其实现公允反映，并设计、执行和维护必要的内部控制，以使财务报表不存在由于舞弊或错误导致的重大错报。</w:t>
      </w:r>
    </w:p>
    <w:p w:rsidR="00C65FD5" w:rsidRPr="00831C3C" w:rsidRDefault="00C65FD5" w:rsidP="00AC1232">
      <w:pPr>
        <w:pStyle w:val="a3"/>
        <w:spacing w:before="0" w:beforeAutospacing="0" w:after="0" w:afterAutospacing="0"/>
        <w:ind w:firstLine="560"/>
        <w:jc w:val="both"/>
        <w:divId w:val="2057580877"/>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在编制财务报表时，华孚时尚公司管理</w:t>
      </w:r>
      <w:proofErr w:type="gramStart"/>
      <w:r w:rsidRPr="00831C3C">
        <w:rPr>
          <w:rFonts w:asciiTheme="minorEastAsia" w:eastAsiaTheme="minorEastAsia" w:hAnsiTheme="minorEastAsia" w:cs="Times New Roman" w:hint="eastAsia"/>
          <w:sz w:val="18"/>
          <w:szCs w:val="18"/>
        </w:rPr>
        <w:t>层负责</w:t>
      </w:r>
      <w:proofErr w:type="gramEnd"/>
      <w:r w:rsidRPr="00831C3C">
        <w:rPr>
          <w:rFonts w:asciiTheme="minorEastAsia" w:eastAsiaTheme="minorEastAsia" w:hAnsiTheme="minorEastAsia" w:cs="Times New Roman" w:hint="eastAsia"/>
          <w:sz w:val="18"/>
          <w:szCs w:val="18"/>
        </w:rPr>
        <w:t>评估华孚时尚公司的持续经营能力，披露与持续经营相关的事项（如适用），并运用持续经营假设，除非管理</w:t>
      </w:r>
      <w:proofErr w:type="gramStart"/>
      <w:r w:rsidRPr="00831C3C">
        <w:rPr>
          <w:rFonts w:asciiTheme="minorEastAsia" w:eastAsiaTheme="minorEastAsia" w:hAnsiTheme="minorEastAsia" w:cs="Times New Roman" w:hint="eastAsia"/>
          <w:sz w:val="18"/>
          <w:szCs w:val="18"/>
        </w:rPr>
        <w:t>层计划</w:t>
      </w:r>
      <w:proofErr w:type="gramEnd"/>
      <w:r w:rsidRPr="00831C3C">
        <w:rPr>
          <w:rFonts w:asciiTheme="minorEastAsia" w:eastAsiaTheme="minorEastAsia" w:hAnsiTheme="minorEastAsia" w:cs="Times New Roman" w:hint="eastAsia"/>
          <w:sz w:val="18"/>
          <w:szCs w:val="18"/>
        </w:rPr>
        <w:t>清算华孚时尚公司、终止运营或别无其他现实的选择。</w:t>
      </w:r>
    </w:p>
    <w:p w:rsidR="00C65FD5" w:rsidRPr="00831C3C" w:rsidRDefault="00C65FD5" w:rsidP="00AC1232">
      <w:pPr>
        <w:pStyle w:val="a3"/>
        <w:spacing w:before="0" w:beforeAutospacing="0" w:after="0" w:afterAutospacing="0"/>
        <w:ind w:firstLine="560"/>
        <w:jc w:val="both"/>
        <w:divId w:val="2057580877"/>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治理</w:t>
      </w:r>
      <w:proofErr w:type="gramStart"/>
      <w:r w:rsidRPr="00831C3C">
        <w:rPr>
          <w:rFonts w:asciiTheme="minorEastAsia" w:eastAsiaTheme="minorEastAsia" w:hAnsiTheme="minorEastAsia" w:cs="Times New Roman" w:hint="eastAsia"/>
          <w:sz w:val="18"/>
          <w:szCs w:val="18"/>
        </w:rPr>
        <w:t>层负责</w:t>
      </w:r>
      <w:proofErr w:type="gramEnd"/>
      <w:r w:rsidRPr="00831C3C">
        <w:rPr>
          <w:rFonts w:asciiTheme="minorEastAsia" w:eastAsiaTheme="minorEastAsia" w:hAnsiTheme="minorEastAsia" w:cs="Times New Roman" w:hint="eastAsia"/>
          <w:sz w:val="18"/>
          <w:szCs w:val="18"/>
        </w:rPr>
        <w:t>监督华孚时尚公司的财务报告过程。</w:t>
      </w:r>
    </w:p>
    <w:p w:rsidR="00C65FD5" w:rsidRPr="00831C3C" w:rsidRDefault="00C65FD5" w:rsidP="00AC1232">
      <w:pPr>
        <w:widowControl/>
        <w:numPr>
          <w:ilvl w:val="0"/>
          <w:numId w:val="15"/>
        </w:numPr>
        <w:divId w:val="2057580877"/>
        <w:rPr>
          <w:rFonts w:asciiTheme="minorEastAsia" w:hAnsiTheme="minorEastAsia" w:cs="宋体"/>
          <w:sz w:val="18"/>
          <w:szCs w:val="18"/>
        </w:rPr>
      </w:pPr>
      <w:r w:rsidRPr="00831C3C">
        <w:rPr>
          <w:rStyle w:val="a4"/>
          <w:rFonts w:asciiTheme="minorEastAsia" w:hAnsiTheme="minorEastAsia" w:hint="eastAsia"/>
          <w:sz w:val="18"/>
          <w:szCs w:val="18"/>
        </w:rPr>
        <w:t>注册会计师对财务报表审计的责任</w:t>
      </w:r>
    </w:p>
    <w:p w:rsidR="00C65FD5" w:rsidRPr="00831C3C" w:rsidRDefault="00C65FD5" w:rsidP="00AC1232">
      <w:pPr>
        <w:pStyle w:val="a3"/>
        <w:spacing w:before="0" w:beforeAutospacing="0" w:after="0" w:afterAutospacing="0"/>
        <w:ind w:firstLine="560"/>
        <w:jc w:val="both"/>
        <w:divId w:val="2057580877"/>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sidRPr="00831C3C">
        <w:rPr>
          <w:rFonts w:asciiTheme="minorEastAsia" w:eastAsiaTheme="minorEastAsia" w:hAnsiTheme="minorEastAsia" w:cs="Times New Roman" w:hint="eastAsia"/>
          <w:sz w:val="18"/>
          <w:szCs w:val="18"/>
        </w:rPr>
        <w:t>报存在</w:t>
      </w:r>
      <w:proofErr w:type="gramEnd"/>
      <w:r w:rsidRPr="00831C3C">
        <w:rPr>
          <w:rFonts w:asciiTheme="minorEastAsia" w:eastAsiaTheme="minorEastAsia" w:hAnsiTheme="minorEastAsia" w:cs="Times New Roman" w:hint="eastAsia"/>
          <w:sz w:val="18"/>
          <w:szCs w:val="18"/>
        </w:rPr>
        <w:t>时总能发现。错报可能由于舞弊或错误导致，如果合理预期错报单独或汇总起来可能影响财务报表使用者依据财务报表</w:t>
      </w:r>
      <w:proofErr w:type="gramStart"/>
      <w:r w:rsidRPr="00831C3C">
        <w:rPr>
          <w:rFonts w:asciiTheme="minorEastAsia" w:eastAsiaTheme="minorEastAsia" w:hAnsiTheme="minorEastAsia" w:cs="Times New Roman" w:hint="eastAsia"/>
          <w:sz w:val="18"/>
          <w:szCs w:val="18"/>
        </w:rPr>
        <w:t>作出</w:t>
      </w:r>
      <w:proofErr w:type="gramEnd"/>
      <w:r w:rsidRPr="00831C3C">
        <w:rPr>
          <w:rFonts w:asciiTheme="minorEastAsia" w:eastAsiaTheme="minorEastAsia" w:hAnsiTheme="minorEastAsia" w:cs="Times New Roman" w:hint="eastAsia"/>
          <w:sz w:val="18"/>
          <w:szCs w:val="18"/>
        </w:rPr>
        <w:t>的经济决策，则通常认为错报是重大的。</w:t>
      </w:r>
    </w:p>
    <w:p w:rsidR="00C65FD5" w:rsidRPr="00831C3C" w:rsidRDefault="00C65FD5" w:rsidP="00AC1232">
      <w:pPr>
        <w:pStyle w:val="a3"/>
        <w:spacing w:before="0" w:beforeAutospacing="0" w:after="0" w:afterAutospacing="0"/>
        <w:ind w:firstLine="560"/>
        <w:jc w:val="both"/>
        <w:divId w:val="2057580877"/>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在按照审计准则执行审计工作的过程中，我们运用职业判断，并保持职业怀疑。同时，我们也执行以下工作：</w:t>
      </w:r>
    </w:p>
    <w:p w:rsidR="00C65FD5" w:rsidRPr="00831C3C" w:rsidRDefault="00C65FD5" w:rsidP="00AC1232">
      <w:pPr>
        <w:widowControl/>
        <w:numPr>
          <w:ilvl w:val="0"/>
          <w:numId w:val="16"/>
        </w:numPr>
        <w:divId w:val="2057580877"/>
        <w:rPr>
          <w:rFonts w:asciiTheme="minorEastAsia" w:hAnsiTheme="minorEastAsia" w:cs="宋体"/>
          <w:sz w:val="18"/>
          <w:szCs w:val="18"/>
        </w:rPr>
      </w:pPr>
      <w:r w:rsidRPr="00831C3C">
        <w:rPr>
          <w:rFonts w:asciiTheme="minorEastAsia" w:hAnsiTheme="minorEastAsia" w:hint="eastAsia"/>
          <w:sz w:val="18"/>
          <w:szCs w:val="18"/>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C65FD5" w:rsidRPr="00831C3C" w:rsidRDefault="00C65FD5" w:rsidP="00AC1232">
      <w:pPr>
        <w:widowControl/>
        <w:numPr>
          <w:ilvl w:val="0"/>
          <w:numId w:val="16"/>
        </w:numPr>
        <w:divId w:val="2057580877"/>
        <w:rPr>
          <w:rFonts w:asciiTheme="minorEastAsia" w:hAnsiTheme="minorEastAsia"/>
          <w:sz w:val="18"/>
          <w:szCs w:val="18"/>
        </w:rPr>
      </w:pPr>
      <w:r w:rsidRPr="00831C3C">
        <w:rPr>
          <w:rFonts w:asciiTheme="minorEastAsia" w:hAnsiTheme="minorEastAsia" w:hint="eastAsia"/>
          <w:sz w:val="18"/>
          <w:szCs w:val="18"/>
        </w:rPr>
        <w:t>．了解与审计相关的内部控制，以设计恰当的审计程序。</w:t>
      </w:r>
    </w:p>
    <w:p w:rsidR="00C65FD5" w:rsidRPr="00831C3C" w:rsidRDefault="00C65FD5" w:rsidP="00AC1232">
      <w:pPr>
        <w:widowControl/>
        <w:numPr>
          <w:ilvl w:val="0"/>
          <w:numId w:val="16"/>
        </w:numPr>
        <w:divId w:val="2057580877"/>
        <w:rPr>
          <w:rFonts w:asciiTheme="minorEastAsia" w:hAnsiTheme="minorEastAsia"/>
          <w:sz w:val="18"/>
          <w:szCs w:val="18"/>
        </w:rPr>
      </w:pPr>
      <w:r w:rsidRPr="00831C3C">
        <w:rPr>
          <w:rFonts w:asciiTheme="minorEastAsia" w:hAnsiTheme="minorEastAsia" w:hint="eastAsia"/>
          <w:sz w:val="18"/>
          <w:szCs w:val="18"/>
        </w:rPr>
        <w:t>．评价管理层选用会计政策的恰当性和</w:t>
      </w:r>
      <w:proofErr w:type="gramStart"/>
      <w:r w:rsidRPr="00831C3C">
        <w:rPr>
          <w:rFonts w:asciiTheme="minorEastAsia" w:hAnsiTheme="minorEastAsia" w:hint="eastAsia"/>
          <w:sz w:val="18"/>
          <w:szCs w:val="18"/>
        </w:rPr>
        <w:t>作出</w:t>
      </w:r>
      <w:proofErr w:type="gramEnd"/>
      <w:r w:rsidRPr="00831C3C">
        <w:rPr>
          <w:rFonts w:asciiTheme="minorEastAsia" w:hAnsiTheme="minorEastAsia" w:hint="eastAsia"/>
          <w:sz w:val="18"/>
          <w:szCs w:val="18"/>
        </w:rPr>
        <w:t>会计估计及相关披露的合理性。</w:t>
      </w:r>
    </w:p>
    <w:p w:rsidR="00C65FD5" w:rsidRPr="00831C3C" w:rsidRDefault="00C65FD5" w:rsidP="00AC1232">
      <w:pPr>
        <w:widowControl/>
        <w:numPr>
          <w:ilvl w:val="0"/>
          <w:numId w:val="16"/>
        </w:numPr>
        <w:divId w:val="2057580877"/>
        <w:rPr>
          <w:rFonts w:asciiTheme="minorEastAsia" w:hAnsiTheme="minorEastAsia"/>
          <w:sz w:val="18"/>
          <w:szCs w:val="18"/>
        </w:rPr>
      </w:pPr>
      <w:r w:rsidRPr="00831C3C">
        <w:rPr>
          <w:rFonts w:asciiTheme="minorEastAsia" w:hAnsiTheme="minorEastAsia" w:hint="eastAsia"/>
          <w:sz w:val="18"/>
          <w:szCs w:val="18"/>
        </w:rPr>
        <w:t>．对管理层使用持续经营假设的恰当性得出结论。同时，根据获取的审计证据，就可能导致对华</w:t>
      </w:r>
      <w:proofErr w:type="gramStart"/>
      <w:r w:rsidRPr="00831C3C">
        <w:rPr>
          <w:rFonts w:asciiTheme="minorEastAsia" w:hAnsiTheme="minorEastAsia" w:hint="eastAsia"/>
          <w:sz w:val="18"/>
          <w:szCs w:val="18"/>
        </w:rPr>
        <w:t>孚</w:t>
      </w:r>
      <w:proofErr w:type="gramEnd"/>
      <w:r w:rsidRPr="00831C3C">
        <w:rPr>
          <w:rFonts w:asciiTheme="minorEastAsia" w:hAnsiTheme="minorEastAsia" w:hint="eastAsia"/>
          <w:sz w:val="18"/>
          <w:szCs w:val="18"/>
        </w:rPr>
        <w:t>时尚公司持续经营能力产生重大疑虑的事项或情况是否存在重大不确定性得出结论。如果我们得出结论认为存在重大不确定性，审计准则要求我们在审计报告中提请报告使用者注意财务报表中的相关披露；如果披露不充分，我们应当发表非无保留意见。我们的结论基于截至审计报告日可获得的信息。然而，未来的事项或情况可能导致华孚时尚公司不能持续经营。</w:t>
      </w:r>
    </w:p>
    <w:p w:rsidR="00C65FD5" w:rsidRPr="00831C3C" w:rsidRDefault="00C65FD5" w:rsidP="00AC1232">
      <w:pPr>
        <w:widowControl/>
        <w:numPr>
          <w:ilvl w:val="0"/>
          <w:numId w:val="16"/>
        </w:numPr>
        <w:divId w:val="2057580877"/>
        <w:rPr>
          <w:rFonts w:asciiTheme="minorEastAsia" w:hAnsiTheme="minorEastAsia"/>
          <w:sz w:val="18"/>
          <w:szCs w:val="18"/>
        </w:rPr>
      </w:pPr>
      <w:r w:rsidRPr="00831C3C">
        <w:rPr>
          <w:rFonts w:asciiTheme="minorEastAsia" w:hAnsiTheme="minorEastAsia" w:hint="eastAsia"/>
          <w:sz w:val="18"/>
          <w:szCs w:val="18"/>
        </w:rPr>
        <w:t>．评价财务报表的总</w:t>
      </w:r>
      <w:proofErr w:type="gramStart"/>
      <w:r w:rsidRPr="00831C3C">
        <w:rPr>
          <w:rFonts w:asciiTheme="minorEastAsia" w:hAnsiTheme="minorEastAsia" w:hint="eastAsia"/>
          <w:sz w:val="18"/>
          <w:szCs w:val="18"/>
        </w:rPr>
        <w:t>体列</w:t>
      </w:r>
      <w:proofErr w:type="gramEnd"/>
      <w:r w:rsidRPr="00831C3C">
        <w:rPr>
          <w:rFonts w:asciiTheme="minorEastAsia" w:hAnsiTheme="minorEastAsia" w:hint="eastAsia"/>
          <w:sz w:val="18"/>
          <w:szCs w:val="18"/>
        </w:rPr>
        <w:t>报、结构和内容，并评价财务报表是否公允反映相关交易和事项。</w:t>
      </w:r>
    </w:p>
    <w:p w:rsidR="00C65FD5" w:rsidRPr="00831C3C" w:rsidRDefault="00C65FD5" w:rsidP="00AC1232">
      <w:pPr>
        <w:widowControl/>
        <w:numPr>
          <w:ilvl w:val="0"/>
          <w:numId w:val="16"/>
        </w:numPr>
        <w:divId w:val="2057580877"/>
        <w:rPr>
          <w:rFonts w:asciiTheme="minorEastAsia" w:hAnsiTheme="minorEastAsia"/>
          <w:sz w:val="18"/>
          <w:szCs w:val="18"/>
        </w:rPr>
      </w:pPr>
      <w:r w:rsidRPr="00831C3C">
        <w:rPr>
          <w:rFonts w:asciiTheme="minorEastAsia" w:hAnsiTheme="minorEastAsia" w:hint="eastAsia"/>
          <w:sz w:val="18"/>
          <w:szCs w:val="18"/>
        </w:rPr>
        <w:t>．就华孚时尚公司中实体或业务活动的财务信息获取充分、适当的审计证据，以对财务报表发表意见。我们负责指导、监督和执行集团审计，并对审计意见承担全部责任。</w:t>
      </w:r>
    </w:p>
    <w:p w:rsidR="00C65FD5" w:rsidRPr="00831C3C" w:rsidRDefault="00C65FD5" w:rsidP="00AC1232">
      <w:pPr>
        <w:pStyle w:val="a3"/>
        <w:spacing w:before="0" w:beforeAutospacing="0" w:after="0" w:afterAutospacing="0"/>
        <w:ind w:firstLine="560"/>
        <w:jc w:val="both"/>
        <w:divId w:val="2057580877"/>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我们与治理层就计划的审计范围、时间安排和重大审计发现等事项进行沟通，包括沟通我们在审计中识别出的值得关注的内部控制缺陷。</w:t>
      </w:r>
    </w:p>
    <w:p w:rsidR="00C65FD5" w:rsidRPr="00831C3C" w:rsidRDefault="00C65FD5" w:rsidP="00AC1232">
      <w:pPr>
        <w:pStyle w:val="a3"/>
        <w:spacing w:before="0" w:beforeAutospacing="0" w:after="0" w:afterAutospacing="0"/>
        <w:ind w:firstLine="560"/>
        <w:jc w:val="both"/>
        <w:divId w:val="2057580877"/>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我们还就已遵守与独立性相关的职业道德要求向治理层提供声明，并与治理层沟通可能被</w:t>
      </w:r>
      <w:proofErr w:type="gramStart"/>
      <w:r w:rsidRPr="00831C3C">
        <w:rPr>
          <w:rFonts w:asciiTheme="minorEastAsia" w:eastAsiaTheme="minorEastAsia" w:hAnsiTheme="minorEastAsia" w:cs="Times New Roman" w:hint="eastAsia"/>
          <w:sz w:val="18"/>
          <w:szCs w:val="18"/>
        </w:rPr>
        <w:t>合理认为</w:t>
      </w:r>
      <w:proofErr w:type="gramEnd"/>
      <w:r w:rsidRPr="00831C3C">
        <w:rPr>
          <w:rFonts w:asciiTheme="minorEastAsia" w:eastAsiaTheme="minorEastAsia" w:hAnsiTheme="minorEastAsia" w:cs="Times New Roman" w:hint="eastAsia"/>
          <w:sz w:val="18"/>
          <w:szCs w:val="18"/>
        </w:rPr>
        <w:t>影响我们独立性的所有关系和其他事项，以及相关的防范措施（如适用）。</w:t>
      </w:r>
    </w:p>
    <w:p w:rsidR="00C65FD5" w:rsidRPr="00831C3C" w:rsidRDefault="00C65FD5" w:rsidP="00AC1232">
      <w:pPr>
        <w:pStyle w:val="a3"/>
        <w:spacing w:before="0" w:beforeAutospacing="0" w:after="0" w:afterAutospacing="0"/>
        <w:divId w:val="2057580877"/>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从与治理层沟通过的事项中，我们确定哪些事项对本期财务报表审计最为重要，因而构成关键审计事项。我们在审计报告中描述这些事项，除非法律法规禁止公开披露这些事项，或在极少数情形下，如果合理预期在审计报告中沟通某事项造成的负面后果超过在公众利益方面产生的益处，我们确定不应在审计报告中沟通该事项。</w:t>
      </w:r>
    </w:p>
    <w:p w:rsidR="00AC1232" w:rsidRPr="00831C3C" w:rsidRDefault="00AC1232" w:rsidP="00AC1232">
      <w:pPr>
        <w:pStyle w:val="a3"/>
        <w:spacing w:before="0" w:beforeAutospacing="0" w:after="0" w:afterAutospacing="0"/>
        <w:divId w:val="2057580877"/>
        <w:rPr>
          <w:rFonts w:asciiTheme="minorEastAsia" w:eastAsiaTheme="minorEastAsia" w:hAnsiTheme="minorEastAsia"/>
          <w:sz w:val="18"/>
          <w:szCs w:val="18"/>
        </w:rPr>
      </w:pPr>
    </w:p>
    <w:tbl>
      <w:tblPr>
        <w:tblW w:w="5100" w:type="pct"/>
        <w:tblCellMar>
          <w:left w:w="0" w:type="dxa"/>
          <w:right w:w="0" w:type="dxa"/>
        </w:tblCellMar>
        <w:tblLook w:val="04A0" w:firstRow="1" w:lastRow="0" w:firstColumn="1" w:lastColumn="0" w:noHBand="0" w:noVBand="1"/>
      </w:tblPr>
      <w:tblGrid>
        <w:gridCol w:w="4857"/>
        <w:gridCol w:w="336"/>
        <w:gridCol w:w="2847"/>
        <w:gridCol w:w="2010"/>
      </w:tblGrid>
      <w:tr w:rsidR="00831C3C" w:rsidRPr="00831C3C" w:rsidTr="00AC1232">
        <w:trPr>
          <w:divId w:val="2057580877"/>
          <w:trHeight w:val="84"/>
        </w:trPr>
        <w:tc>
          <w:tcPr>
            <w:tcW w:w="4857" w:type="dxa"/>
            <w:tcMar>
              <w:top w:w="0" w:type="dxa"/>
              <w:left w:w="108" w:type="dxa"/>
              <w:bottom w:w="0" w:type="dxa"/>
              <w:right w:w="108" w:type="dxa"/>
            </w:tcMar>
            <w:vAlign w:val="bottom"/>
            <w:hideMark/>
          </w:tcPr>
          <w:p w:rsidR="00C65FD5" w:rsidRPr="00831C3C" w:rsidRDefault="00C65FD5">
            <w:pPr>
              <w:pStyle w:val="a3"/>
              <w:spacing w:before="0" w:beforeAutospacing="0" w:after="0" w:afterAutospacing="0"/>
              <w:ind w:right="-53"/>
              <w:rPr>
                <w:rFonts w:ascii="Times New Roman" w:hAnsi="Times New Roman" w:cs="Times New Roman"/>
                <w:szCs w:val="21"/>
              </w:rPr>
            </w:pPr>
            <w:r w:rsidRPr="00831C3C">
              <w:rPr>
                <w:rFonts w:cs="Times New Roman" w:hint="eastAsia"/>
                <w:szCs w:val="28"/>
              </w:rPr>
              <w:t>政</w:t>
            </w:r>
            <w:proofErr w:type="gramStart"/>
            <w:r w:rsidRPr="00831C3C">
              <w:rPr>
                <w:rFonts w:cs="Times New Roman" w:hint="eastAsia"/>
                <w:szCs w:val="28"/>
              </w:rPr>
              <w:t>旦</w:t>
            </w:r>
            <w:proofErr w:type="gramEnd"/>
            <w:r w:rsidRPr="00831C3C">
              <w:rPr>
                <w:rFonts w:cs="Times New Roman" w:hint="eastAsia"/>
                <w:szCs w:val="28"/>
              </w:rPr>
              <w:t>志远（深圳）会计师事务所</w:t>
            </w:r>
          </w:p>
        </w:tc>
        <w:tc>
          <w:tcPr>
            <w:tcW w:w="336" w:type="dxa"/>
            <w:tcMar>
              <w:top w:w="0" w:type="dxa"/>
              <w:left w:w="108" w:type="dxa"/>
              <w:bottom w:w="0" w:type="dxa"/>
              <w:right w:w="108" w:type="dxa"/>
            </w:tcMar>
            <w:vAlign w:val="bottom"/>
            <w:hideMark/>
          </w:tcPr>
          <w:p w:rsidR="00C65FD5" w:rsidRPr="00831C3C" w:rsidRDefault="00C65FD5">
            <w:pPr>
              <w:pStyle w:val="a3"/>
              <w:spacing w:before="0" w:beforeAutospacing="0" w:after="0" w:afterAutospacing="0"/>
              <w:rPr>
                <w:rFonts w:ascii="Times New Roman" w:hAnsi="Times New Roman" w:cs="Times New Roman"/>
                <w:szCs w:val="21"/>
              </w:rPr>
            </w:pPr>
          </w:p>
        </w:tc>
        <w:tc>
          <w:tcPr>
            <w:tcW w:w="2847" w:type="dxa"/>
            <w:tcMar>
              <w:top w:w="0" w:type="dxa"/>
              <w:left w:w="108" w:type="dxa"/>
              <w:bottom w:w="0" w:type="dxa"/>
              <w:right w:w="108" w:type="dxa"/>
            </w:tcMar>
            <w:vAlign w:val="bottom"/>
            <w:hideMark/>
          </w:tcPr>
          <w:p w:rsidR="00C65FD5" w:rsidRPr="00831C3C" w:rsidRDefault="00C65FD5">
            <w:pPr>
              <w:pStyle w:val="a3"/>
              <w:spacing w:before="0" w:beforeAutospacing="0" w:after="0" w:afterAutospacing="0"/>
              <w:ind w:left="-53" w:right="-53"/>
              <w:jc w:val="center"/>
              <w:rPr>
                <w:rFonts w:ascii="Times New Roman" w:hAnsi="Times New Roman" w:cs="Times New Roman"/>
                <w:szCs w:val="21"/>
              </w:rPr>
            </w:pPr>
            <w:r w:rsidRPr="00831C3C">
              <w:rPr>
                <w:rFonts w:cs="Times New Roman" w:hint="eastAsia"/>
                <w:szCs w:val="28"/>
              </w:rPr>
              <w:t>中国注册会计师：</w:t>
            </w:r>
          </w:p>
        </w:tc>
        <w:tc>
          <w:tcPr>
            <w:tcW w:w="2010" w:type="dxa"/>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Cs w:val="21"/>
              </w:rPr>
            </w:pPr>
          </w:p>
        </w:tc>
      </w:tr>
      <w:tr w:rsidR="00831C3C" w:rsidRPr="00831C3C" w:rsidTr="00AC1232">
        <w:trPr>
          <w:divId w:val="2057580877"/>
          <w:trHeight w:val="414"/>
        </w:trPr>
        <w:tc>
          <w:tcPr>
            <w:tcW w:w="4857" w:type="dxa"/>
            <w:vMerge w:val="restart"/>
            <w:tcMar>
              <w:top w:w="0" w:type="dxa"/>
              <w:left w:w="108" w:type="dxa"/>
              <w:bottom w:w="0" w:type="dxa"/>
              <w:right w:w="108" w:type="dxa"/>
            </w:tcMar>
            <w:hideMark/>
          </w:tcPr>
          <w:p w:rsidR="00C65FD5" w:rsidRPr="00831C3C" w:rsidRDefault="00C65FD5">
            <w:pPr>
              <w:pStyle w:val="a3"/>
              <w:spacing w:before="0" w:beforeAutospacing="0" w:after="0" w:afterAutospacing="0"/>
              <w:jc w:val="center"/>
              <w:rPr>
                <w:rFonts w:ascii="Times New Roman" w:hAnsi="Times New Roman" w:cs="Times New Roman"/>
                <w:szCs w:val="21"/>
              </w:rPr>
            </w:pPr>
            <w:r w:rsidRPr="00831C3C">
              <w:rPr>
                <w:rFonts w:cs="Times New Roman" w:hint="eastAsia"/>
                <w:szCs w:val="28"/>
              </w:rPr>
              <w:t>（特殊普通合伙）</w:t>
            </w:r>
          </w:p>
          <w:p w:rsidR="00C65FD5" w:rsidRPr="00831C3C" w:rsidRDefault="00C65FD5">
            <w:pPr>
              <w:pStyle w:val="a3"/>
              <w:spacing w:before="0" w:beforeAutospacing="0" w:after="0" w:afterAutospacing="0"/>
              <w:jc w:val="center"/>
              <w:rPr>
                <w:rFonts w:ascii="Times New Roman" w:hAnsi="Times New Roman" w:cs="Times New Roman"/>
                <w:szCs w:val="21"/>
              </w:rPr>
            </w:pPr>
          </w:p>
          <w:p w:rsidR="00C65FD5" w:rsidRPr="00831C3C" w:rsidRDefault="00C65FD5">
            <w:pPr>
              <w:pStyle w:val="a3"/>
              <w:spacing w:before="0" w:beforeAutospacing="0" w:after="0" w:afterAutospacing="0"/>
              <w:jc w:val="center"/>
              <w:rPr>
                <w:rFonts w:ascii="Times New Roman" w:hAnsi="Times New Roman" w:cs="Times New Roman"/>
                <w:szCs w:val="21"/>
              </w:rPr>
            </w:pPr>
          </w:p>
          <w:p w:rsidR="00C65FD5" w:rsidRPr="00831C3C" w:rsidRDefault="00C65FD5">
            <w:pPr>
              <w:pStyle w:val="a3"/>
              <w:spacing w:before="0" w:beforeAutospacing="0" w:after="0" w:afterAutospacing="0"/>
              <w:jc w:val="center"/>
              <w:rPr>
                <w:rFonts w:ascii="Times New Roman" w:hAnsi="Times New Roman" w:cs="Times New Roman"/>
                <w:szCs w:val="21"/>
              </w:rPr>
            </w:pPr>
            <w:r w:rsidRPr="00831C3C">
              <w:rPr>
                <w:rFonts w:cs="Times New Roman" w:hint="eastAsia"/>
                <w:szCs w:val="28"/>
              </w:rPr>
              <w:t>中国</w:t>
            </w:r>
            <w:r w:rsidRPr="00831C3C">
              <w:rPr>
                <w:rStyle w:val="a4"/>
                <w:rFonts w:ascii="Arial" w:hAnsi="Arial" w:cs="Arial"/>
                <w:szCs w:val="28"/>
              </w:rPr>
              <w:t>·</w:t>
            </w:r>
            <w:r w:rsidRPr="00831C3C">
              <w:rPr>
                <w:rFonts w:cs="Times New Roman" w:hint="eastAsia"/>
                <w:szCs w:val="28"/>
              </w:rPr>
              <w:t>深圳</w:t>
            </w:r>
          </w:p>
        </w:tc>
        <w:tc>
          <w:tcPr>
            <w:tcW w:w="336" w:type="dxa"/>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Cs w:val="21"/>
              </w:rPr>
            </w:pPr>
          </w:p>
        </w:tc>
        <w:tc>
          <w:tcPr>
            <w:tcW w:w="2847" w:type="dxa"/>
            <w:tcMar>
              <w:top w:w="0" w:type="dxa"/>
              <w:left w:w="108" w:type="dxa"/>
              <w:bottom w:w="0" w:type="dxa"/>
              <w:right w:w="108" w:type="dxa"/>
            </w:tcMar>
            <w:vAlign w:val="center"/>
            <w:hideMark/>
          </w:tcPr>
          <w:p w:rsidR="00C65FD5" w:rsidRPr="00831C3C" w:rsidRDefault="00C65FD5">
            <w:pPr>
              <w:pStyle w:val="a3"/>
              <w:spacing w:before="0" w:beforeAutospacing="0" w:after="180" w:afterAutospacing="0"/>
              <w:jc w:val="center"/>
              <w:rPr>
                <w:rFonts w:ascii="Times New Roman" w:hAnsi="Times New Roman" w:cs="Times New Roman"/>
                <w:szCs w:val="21"/>
              </w:rPr>
            </w:pPr>
          </w:p>
        </w:tc>
        <w:tc>
          <w:tcPr>
            <w:tcW w:w="2010" w:type="dxa"/>
            <w:tcMar>
              <w:top w:w="0" w:type="dxa"/>
              <w:left w:w="108" w:type="dxa"/>
              <w:bottom w:w="0" w:type="dxa"/>
              <w:right w:w="108" w:type="dxa"/>
            </w:tcMar>
            <w:vAlign w:val="center"/>
            <w:hideMark/>
          </w:tcPr>
          <w:p w:rsidR="00C65FD5" w:rsidRPr="00831C3C" w:rsidRDefault="00C65FD5">
            <w:pPr>
              <w:pStyle w:val="a3"/>
              <w:spacing w:before="0" w:beforeAutospacing="0" w:after="180" w:afterAutospacing="0"/>
              <w:jc w:val="center"/>
              <w:rPr>
                <w:rFonts w:ascii="Times New Roman" w:hAnsi="Times New Roman" w:cs="Times New Roman"/>
                <w:szCs w:val="21"/>
              </w:rPr>
            </w:pPr>
            <w:r w:rsidRPr="00831C3C">
              <w:rPr>
                <w:rFonts w:cs="Times New Roman" w:hint="eastAsia"/>
                <w:szCs w:val="28"/>
              </w:rPr>
              <w:t>陈磊</w:t>
            </w:r>
          </w:p>
        </w:tc>
      </w:tr>
      <w:tr w:rsidR="00831C3C" w:rsidRPr="00831C3C" w:rsidTr="00AC1232">
        <w:trPr>
          <w:divId w:val="2057580877"/>
          <w:trHeight w:val="454"/>
        </w:trPr>
        <w:tc>
          <w:tcPr>
            <w:tcW w:w="0" w:type="auto"/>
            <w:vMerge/>
            <w:vAlign w:val="center"/>
            <w:hideMark/>
          </w:tcPr>
          <w:p w:rsidR="00C65FD5" w:rsidRPr="00831C3C" w:rsidRDefault="00C65FD5">
            <w:pPr>
              <w:rPr>
                <w:rFonts w:ascii="Times New Roman" w:eastAsia="宋体" w:hAnsi="Times New Roman" w:cs="Times New Roman"/>
                <w:sz w:val="24"/>
                <w:szCs w:val="21"/>
              </w:rPr>
            </w:pPr>
          </w:p>
        </w:tc>
        <w:tc>
          <w:tcPr>
            <w:tcW w:w="336" w:type="dxa"/>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Cs w:val="21"/>
              </w:rPr>
            </w:pPr>
          </w:p>
        </w:tc>
        <w:tc>
          <w:tcPr>
            <w:tcW w:w="2847" w:type="dxa"/>
            <w:tcMar>
              <w:top w:w="0" w:type="dxa"/>
              <w:left w:w="108" w:type="dxa"/>
              <w:bottom w:w="0" w:type="dxa"/>
              <w:right w:w="108" w:type="dxa"/>
            </w:tcMar>
            <w:vAlign w:val="center"/>
            <w:hideMark/>
          </w:tcPr>
          <w:p w:rsidR="00C65FD5" w:rsidRPr="00831C3C" w:rsidRDefault="00C65FD5">
            <w:pPr>
              <w:pStyle w:val="a3"/>
              <w:spacing w:before="0" w:beforeAutospacing="0" w:after="0" w:afterAutospacing="0"/>
              <w:ind w:left="-53" w:right="-53"/>
              <w:jc w:val="center"/>
              <w:rPr>
                <w:rFonts w:ascii="Times New Roman" w:hAnsi="Times New Roman" w:cs="Times New Roman"/>
                <w:szCs w:val="21"/>
              </w:rPr>
            </w:pPr>
            <w:r w:rsidRPr="00831C3C">
              <w:rPr>
                <w:rFonts w:cs="Times New Roman" w:hint="eastAsia"/>
                <w:szCs w:val="28"/>
              </w:rPr>
              <w:t>中国注册会计师：</w:t>
            </w:r>
          </w:p>
        </w:tc>
        <w:tc>
          <w:tcPr>
            <w:tcW w:w="2010" w:type="dxa"/>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Cs w:val="21"/>
              </w:rPr>
            </w:pPr>
          </w:p>
        </w:tc>
      </w:tr>
      <w:tr w:rsidR="00831C3C" w:rsidRPr="00831C3C" w:rsidTr="00AC1232">
        <w:trPr>
          <w:divId w:val="2057580877"/>
          <w:trHeight w:val="231"/>
        </w:trPr>
        <w:tc>
          <w:tcPr>
            <w:tcW w:w="0" w:type="auto"/>
            <w:vMerge/>
            <w:vAlign w:val="center"/>
            <w:hideMark/>
          </w:tcPr>
          <w:p w:rsidR="00C65FD5" w:rsidRPr="00831C3C" w:rsidRDefault="00C65FD5">
            <w:pPr>
              <w:rPr>
                <w:rFonts w:ascii="Times New Roman" w:eastAsia="宋体" w:hAnsi="Times New Roman" w:cs="Times New Roman"/>
                <w:sz w:val="24"/>
                <w:szCs w:val="21"/>
              </w:rPr>
            </w:pPr>
          </w:p>
        </w:tc>
        <w:tc>
          <w:tcPr>
            <w:tcW w:w="336" w:type="dxa"/>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Cs w:val="21"/>
              </w:rPr>
            </w:pPr>
          </w:p>
        </w:tc>
        <w:tc>
          <w:tcPr>
            <w:tcW w:w="2847" w:type="dxa"/>
            <w:tcMar>
              <w:top w:w="0" w:type="dxa"/>
              <w:left w:w="108" w:type="dxa"/>
              <w:bottom w:w="0" w:type="dxa"/>
              <w:right w:w="108" w:type="dxa"/>
            </w:tcMar>
            <w:vAlign w:val="center"/>
            <w:hideMark/>
          </w:tcPr>
          <w:p w:rsidR="00C65FD5" w:rsidRPr="00831C3C" w:rsidRDefault="00C65FD5">
            <w:pPr>
              <w:pStyle w:val="a3"/>
              <w:spacing w:before="0" w:beforeAutospacing="0" w:after="180" w:afterAutospacing="0"/>
              <w:jc w:val="center"/>
              <w:rPr>
                <w:rFonts w:ascii="Times New Roman" w:hAnsi="Times New Roman" w:cs="Times New Roman"/>
                <w:szCs w:val="21"/>
              </w:rPr>
            </w:pPr>
          </w:p>
        </w:tc>
        <w:tc>
          <w:tcPr>
            <w:tcW w:w="2010" w:type="dxa"/>
            <w:tcMar>
              <w:top w:w="0" w:type="dxa"/>
              <w:left w:w="108" w:type="dxa"/>
              <w:bottom w:w="0" w:type="dxa"/>
              <w:right w:w="108" w:type="dxa"/>
            </w:tcMar>
            <w:vAlign w:val="center"/>
            <w:hideMark/>
          </w:tcPr>
          <w:p w:rsidR="00C65FD5" w:rsidRPr="00831C3C" w:rsidRDefault="00C65FD5">
            <w:pPr>
              <w:pStyle w:val="a3"/>
              <w:spacing w:before="0" w:beforeAutospacing="0" w:after="180" w:afterAutospacing="0"/>
              <w:jc w:val="center"/>
              <w:rPr>
                <w:rFonts w:ascii="Times New Roman" w:hAnsi="Times New Roman" w:cs="Times New Roman"/>
                <w:szCs w:val="21"/>
              </w:rPr>
            </w:pPr>
            <w:r w:rsidRPr="00831C3C">
              <w:rPr>
                <w:rFonts w:cs="Times New Roman" w:hint="eastAsia"/>
                <w:szCs w:val="28"/>
              </w:rPr>
              <w:t>张吉宝</w:t>
            </w:r>
          </w:p>
        </w:tc>
      </w:tr>
      <w:tr w:rsidR="00831C3C" w:rsidRPr="00831C3C" w:rsidTr="00AC1232">
        <w:trPr>
          <w:divId w:val="2057580877"/>
          <w:trHeight w:val="567"/>
        </w:trPr>
        <w:tc>
          <w:tcPr>
            <w:tcW w:w="4857" w:type="dxa"/>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Cs w:val="21"/>
              </w:rPr>
            </w:pPr>
          </w:p>
        </w:tc>
        <w:tc>
          <w:tcPr>
            <w:tcW w:w="336" w:type="dxa"/>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Cs w:val="21"/>
              </w:rPr>
            </w:pPr>
          </w:p>
        </w:tc>
        <w:tc>
          <w:tcPr>
            <w:tcW w:w="4857" w:type="dxa"/>
            <w:gridSpan w:val="2"/>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Cs w:val="21"/>
              </w:rPr>
            </w:pPr>
            <w:r w:rsidRPr="00831C3C">
              <w:rPr>
                <w:rFonts w:cs="Times New Roman" w:hint="eastAsia"/>
                <w:szCs w:val="28"/>
              </w:rPr>
              <w:t>二〇二五年四月二十四日</w:t>
            </w:r>
          </w:p>
        </w:tc>
      </w:tr>
    </w:tbl>
    <w:p w:rsidR="00C65FD5" w:rsidRPr="00831C3C" w:rsidRDefault="00C65FD5">
      <w:pPr>
        <w:divId w:val="2057580877"/>
        <w:rPr>
          <w:sz w:val="24"/>
          <w:szCs w:val="24"/>
        </w:rPr>
      </w:pPr>
    </w:p>
    <w:p w:rsidR="00E23A97" w:rsidRPr="00831C3C" w:rsidRDefault="00C65FD5">
      <w:pPr>
        <w:pStyle w:val="2"/>
        <w:spacing w:before="300" w:after="300" w:line="320" w:lineRule="exact"/>
        <w:rPr>
          <w:rFonts w:ascii="宋体" w:eastAsia="宋体" w:hAnsi="宋体" w:cs="宋体"/>
          <w:b/>
          <w:bCs/>
          <w:sz w:val="24"/>
          <w:szCs w:val="24"/>
        </w:rPr>
      </w:pPr>
      <w:bookmarkStart w:id="164" w:name="_Toc989052"/>
      <w:r w:rsidRPr="00831C3C">
        <w:rPr>
          <w:rFonts w:ascii="宋体" w:eastAsia="宋体" w:hAnsi="宋体" w:cs="宋体"/>
          <w:b/>
          <w:bCs/>
          <w:sz w:val="24"/>
          <w:szCs w:val="24"/>
        </w:rPr>
        <w:t>二、财务报表</w:t>
      </w:r>
      <w:bookmarkEnd w:id="164"/>
    </w:p>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财务附注中报表的单位为：元</w:t>
      </w:r>
    </w:p>
    <w:p w:rsidR="00E23A97" w:rsidRPr="00831C3C" w:rsidRDefault="00C65FD5">
      <w:pPr>
        <w:pStyle w:val="3"/>
        <w:spacing w:line="280" w:lineRule="exact"/>
        <w:jc w:val="left"/>
        <w:rPr>
          <w:rFonts w:ascii="宋体" w:hAnsi="宋体" w:cs="宋体"/>
          <w:b/>
          <w:bCs/>
        </w:rPr>
      </w:pPr>
      <w:bookmarkStart w:id="165" w:name="_Toc989053"/>
      <w:r w:rsidRPr="00831C3C">
        <w:rPr>
          <w:rFonts w:ascii="宋体" w:hAnsi="宋体" w:cs="宋体"/>
          <w:b/>
          <w:bCs/>
        </w:rPr>
        <w:t>1、合并资产负债表</w:t>
      </w:r>
      <w:bookmarkEnd w:id="165"/>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编制单位：华孚时尚股份有限公司</w:t>
      </w:r>
    </w:p>
    <w:p w:rsidR="00E23A97" w:rsidRPr="00831C3C" w:rsidRDefault="00C65FD5">
      <w:pPr>
        <w:spacing w:line="240" w:lineRule="exact"/>
        <w:jc w:val="center"/>
        <w:rPr>
          <w:rFonts w:ascii="宋体" w:eastAsia="宋体" w:hAnsi="宋体" w:cs="宋体"/>
          <w:sz w:val="18"/>
          <w:szCs w:val="18"/>
        </w:rPr>
      </w:pPr>
      <w:r w:rsidRPr="00831C3C">
        <w:rPr>
          <w:rFonts w:ascii="宋体" w:eastAsia="宋体" w:hAnsi="宋体" w:cs="宋体"/>
          <w:sz w:val="18"/>
          <w:szCs w:val="18"/>
        </w:rPr>
        <w:t>2024年12月31日</w:t>
      </w:r>
    </w:p>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流动资产：</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货币资金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2,495,550,845.58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2,636,623,050.27</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结算备付金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拆出资金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交易性金融资产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231,193,994.30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231,633,768.94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衍生金融资产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应收票据</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56,171,004.50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57,901,832.23</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应收账款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1,457,626,076.42</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1,004,058,465.64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应收款项融资</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预付款项</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796,363,179.47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613,362,244.00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应收保费</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应收分保账款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应收分保合同准备金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其他应收款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175,446,399.19</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231,214,898.67</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其中：应收利息</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500" w:firstLine="900"/>
              <w:rPr>
                <w:rFonts w:ascii="宋体" w:eastAsia="宋体" w:hAnsi="宋体" w:cs="宋体"/>
                <w:sz w:val="18"/>
                <w:szCs w:val="18"/>
              </w:rPr>
            </w:pPr>
            <w:r w:rsidRPr="00831C3C">
              <w:rPr>
                <w:rFonts w:ascii="宋体" w:eastAsia="宋体" w:hAnsi="宋体" w:cs="宋体"/>
                <w:sz w:val="18"/>
                <w:szCs w:val="18"/>
              </w:rPr>
              <w:t>应收股利</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买入返售金融资产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存货</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4,761,974,722.16</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5,007,466,587.13</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其中：数据资源</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合同资产</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持有待售资产</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一年内到期的非流动资产</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3,042,054.56</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2,931,142.48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其他流动资产</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193,526,358.08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125,091,080.55</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流动资产合计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10,170,894,634.26</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9,910,283,069.91</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非流动资产：</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发放贷款和垫款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债权投资</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其他债权投资</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长期应收款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229,309.79</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长期股权投资</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331,632,535.71</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326,084,172.45</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其他权益工具投资</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81,709,147.94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77,716,692.81</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其他非流动金融资产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lastRenderedPageBreak/>
              <w:t>投资性房地产</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134,209,836.72</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132,702,829.02</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固定资产</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4,700,798,389.13</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4,675,835,696.14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在建工程</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324,546,393.57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475,059,478.07</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生产性生物资产</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油气资产</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使用权资产</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29,160,426.37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27,243,799.27</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无形资产</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878,643,973.35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848,651,533.13</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其中：数据资源</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开发支出</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其中：数据资源</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商誉</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131,930,528.33</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151,761,841.47</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长期待摊费用</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11,621,038.46</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18,209,091.31</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递延所得税资产</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213,210,116.57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184,114,307.76</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其他非流动资产</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170,652,289.73</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213,610,511.50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非流动资产合计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7,008,343,985.67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7,130,989,952.93</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资产总计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17,179,238,619.93</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17,041,273,022.84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流动负债：</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短期借款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7,771,483,075.58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7,083,948,407.58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向中央银行借款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拆入资金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交易性金融负债</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199,494.26</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衍生金融负债</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应付票据</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66,703,857.91</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32,923,985.70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应付账款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878,825,537.78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924,554,728.71</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预收款项</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7,589,549.18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7,293,483.28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合同负债</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557,556,525.74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715,430,170.40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卖出回购金融资产款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吸收存款及同业存放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代理买卖证券款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代理承销证券款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应付职工薪酬</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71,223,091.40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69,900,895.46</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应交税费</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42,713,403.37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82,862,010.47</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其他应付款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156,199,710.67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158,535,963.00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其中：应付利息</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500" w:firstLine="900"/>
              <w:rPr>
                <w:rFonts w:ascii="宋体" w:eastAsia="宋体" w:hAnsi="宋体" w:cs="宋体"/>
                <w:sz w:val="18"/>
                <w:szCs w:val="18"/>
              </w:rPr>
            </w:pPr>
            <w:r w:rsidRPr="00831C3C">
              <w:rPr>
                <w:rFonts w:ascii="宋体" w:eastAsia="宋体" w:hAnsi="宋体" w:cs="宋体"/>
                <w:sz w:val="18"/>
                <w:szCs w:val="18"/>
              </w:rPr>
              <w:t>应付股利</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应付手续费及佣金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应付分保账款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持有待售负债</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一年内到期的非流动负债</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317,816,873.42</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415,830,327.16</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其他流动负债</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60,619,344.22</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65,480,068.80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流动负债合计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9,930,930,463.53</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9,556,760,040.56</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非流动负债：</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lastRenderedPageBreak/>
              <w:t>保险合同准备金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长期借款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818,855,854.27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726,461,232.31</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应付债券</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其中：优先股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500" w:firstLine="900"/>
              <w:rPr>
                <w:rFonts w:ascii="宋体" w:eastAsia="宋体" w:hAnsi="宋体" w:cs="宋体"/>
                <w:sz w:val="18"/>
                <w:szCs w:val="18"/>
              </w:rPr>
            </w:pPr>
            <w:r w:rsidRPr="00831C3C">
              <w:rPr>
                <w:rFonts w:ascii="宋体" w:eastAsia="宋体" w:hAnsi="宋体" w:cs="宋体"/>
                <w:sz w:val="18"/>
                <w:szCs w:val="18"/>
              </w:rPr>
              <w:t>永续债</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租赁负债</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23,335,579.97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15,991,096.53</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长期应付款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244,367,138.45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244,367,138.45</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长期应付职工薪酬</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预计负债</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7,610.61</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递延收益</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73,373,233.50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35,626,316.46</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递延所得税负债</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14,335,999.28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13,544,492.46</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其他非流动负债</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非流动负债合计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1,174,267,805.47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1,035,997,886.82</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负债合计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11,105,198,269.00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10,592,757,927.38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所有者权益：</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股本</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1,700,681,355.00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1,700,681,355.00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其他权益工具</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200" w:firstLine="360"/>
              <w:rPr>
                <w:rFonts w:ascii="宋体" w:eastAsia="宋体" w:hAnsi="宋体" w:cs="宋体"/>
                <w:sz w:val="18"/>
                <w:szCs w:val="18"/>
              </w:rPr>
            </w:pPr>
            <w:r w:rsidRPr="00831C3C">
              <w:rPr>
                <w:rFonts w:ascii="宋体" w:eastAsia="宋体" w:hAnsi="宋体" w:cs="宋体"/>
                <w:sz w:val="18"/>
                <w:szCs w:val="18"/>
              </w:rPr>
              <w:t>其中：优先股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500" w:firstLine="900"/>
              <w:rPr>
                <w:rFonts w:ascii="宋体" w:eastAsia="宋体" w:hAnsi="宋体" w:cs="宋体"/>
                <w:sz w:val="18"/>
                <w:szCs w:val="18"/>
              </w:rPr>
            </w:pPr>
            <w:r w:rsidRPr="00831C3C">
              <w:rPr>
                <w:rFonts w:ascii="宋体" w:eastAsia="宋体" w:hAnsi="宋体" w:cs="宋体"/>
                <w:sz w:val="18"/>
                <w:szCs w:val="18"/>
              </w:rPr>
              <w:t>永续债</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资本公积</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2,738,348,953.80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2,738,348,953.80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减：库存股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300,104,207.84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200,071,093.36</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-112,335,813.37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-96,153,506.00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专项储备</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盈余公积</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340,761,640.15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339,467,737.72</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一般风险准备</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未分配利润</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1,415,566,855.48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1,674,292,092.74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归属于母公司所有者权益合计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5,782,918,783.22</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6,156,565,539.90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少数股东权益</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291,121,567.71</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291,949,555.56</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所有者权益合计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6,074,040,350.93</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6,448,515,095.46</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负债和所有者权益总计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17,179,238,619.93</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17,041,273,022.84</w:t>
            </w:r>
          </w:p>
        </w:tc>
      </w:tr>
    </w:tbl>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法定代表人：孙伟挺主管会计工作负责人：陈玲芬会计机构负责人：王国友</w:t>
      </w:r>
    </w:p>
    <w:p w:rsidR="00E23A97" w:rsidRPr="00831C3C" w:rsidRDefault="00C65FD5">
      <w:pPr>
        <w:pStyle w:val="3"/>
        <w:spacing w:line="280" w:lineRule="exact"/>
        <w:jc w:val="left"/>
        <w:rPr>
          <w:rFonts w:ascii="宋体" w:hAnsi="宋体" w:cs="宋体"/>
          <w:b/>
          <w:bCs/>
        </w:rPr>
      </w:pPr>
      <w:bookmarkStart w:id="166" w:name="_Toc989054"/>
      <w:r w:rsidRPr="00831C3C">
        <w:rPr>
          <w:rFonts w:ascii="宋体" w:hAnsi="宋体" w:cs="宋体"/>
          <w:b/>
          <w:bCs/>
        </w:rPr>
        <w:t>2、母公司资产负债表</w:t>
      </w:r>
      <w:bookmarkEnd w:id="166"/>
    </w:p>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流动资产：</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货币资金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115,021,547.26</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37,699,521.00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交易性金融资产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37,354,670.10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39,676,997.22</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衍生金融资产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应收票据</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130,000.00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7,551,910.14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应收账款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7,210,307.45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11,756,379.44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应收款项融资</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预付款项</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1,106,281,125.37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756,170,998.13</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其他应收款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30,894,589.49</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116,709,427.72</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其中：应收利息</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500" w:firstLine="900"/>
              <w:rPr>
                <w:rFonts w:ascii="宋体" w:eastAsia="宋体" w:hAnsi="宋体" w:cs="宋体"/>
                <w:sz w:val="18"/>
                <w:szCs w:val="18"/>
              </w:rPr>
            </w:pPr>
            <w:r w:rsidRPr="00831C3C">
              <w:rPr>
                <w:rFonts w:ascii="宋体" w:eastAsia="宋体" w:hAnsi="宋体" w:cs="宋体"/>
                <w:sz w:val="18"/>
                <w:szCs w:val="18"/>
              </w:rPr>
              <w:t>应收股利</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lastRenderedPageBreak/>
              <w:t>存货</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151,466,130.47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137,345,422.48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其中：数据资源</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合同资产</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持有待售资产</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一年内到期的非流动资产</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其他流动资产</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61,059,875.11</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32,544,715.77</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流动资产合计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1,509,418,245.25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1,139,455,371.90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非流动资产：</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债权投资</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其他债权投资</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长期应收款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长期股权投资</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4,143,101,677.33</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4,126,298,998.00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其他权益工具投资</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58,313,147.94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54,754,746.91</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其他非流动金融资产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投资性房地产</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37,555,447.98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39,320,455.98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固定资产</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694,534,003.45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753,466,009.50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在建工程</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219,218,227.50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141,737,991.73</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生产性生物资产</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油气资产</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使用权资产</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无形资产</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201,632,450.37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206,247,224.26</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其中：数据资源</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开发支出</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其中：数据资源</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商誉</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长期待摊费用</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1,098,976.94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7,330,439.55</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递延所得税资产</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12,808,821.78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8,381,013.51</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其他非流动资产</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21,023,963.79</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4,462,235.46</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非流动资产合计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5,389,286,717.08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5,341,999,114.90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资产总计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6,898,704,962.33</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6,481,454,486.80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流动负债：</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短期借款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170,159,988.89</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30,033,916.67</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交易性金融负债</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衍生金融负债</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应付票据</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应付账款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864,605,193.49</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492,131,086.18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预收款项</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合同负债</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4,475,575.56</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109,349,864.03</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应付职工薪酬</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4,854,762.55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5,583,412.55</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应交税费</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4,065,239.16</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2,094,268.94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其他应付款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20,153,552.36</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46,399,587.48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其中：应付利息</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500" w:firstLine="900"/>
              <w:rPr>
                <w:rFonts w:ascii="宋体" w:eastAsia="宋体" w:hAnsi="宋体" w:cs="宋体"/>
                <w:sz w:val="18"/>
                <w:szCs w:val="18"/>
              </w:rPr>
            </w:pPr>
            <w:r w:rsidRPr="00831C3C">
              <w:rPr>
                <w:rFonts w:ascii="宋体" w:eastAsia="宋体" w:hAnsi="宋体" w:cs="宋体"/>
                <w:sz w:val="18"/>
                <w:szCs w:val="18"/>
              </w:rPr>
              <w:lastRenderedPageBreak/>
              <w:t>应付股利</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持有待售负债</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一年内到期的非流动负债</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60,499,895.19</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其他流动负债</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1,042.30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182,890.72</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流动负债合计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1,128,815,249.50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685,775,026.57</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非流动负债：</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长期借款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357,825,412.46</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306,896,837.81</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应付债券</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其中：优先股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500" w:firstLine="900"/>
              <w:rPr>
                <w:rFonts w:ascii="宋体" w:eastAsia="宋体" w:hAnsi="宋体" w:cs="宋体"/>
                <w:sz w:val="18"/>
                <w:szCs w:val="18"/>
              </w:rPr>
            </w:pPr>
            <w:r w:rsidRPr="00831C3C">
              <w:rPr>
                <w:rFonts w:ascii="宋体" w:eastAsia="宋体" w:hAnsi="宋体" w:cs="宋体"/>
                <w:sz w:val="18"/>
                <w:szCs w:val="18"/>
              </w:rPr>
              <w:t>永续债</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租赁负债</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长期应付款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长期应付职工薪酬</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预计负债</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递延收益</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48,776,994.67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9,095,946.67</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递延所得税负债</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3,004,952.69</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2,471,192.54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其他非流动负债</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非流动负债合计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409,607,359.82</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318,463,977.02</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负债合计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1,538,422,609.32</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1,004,239,003.59</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所有者权益：</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股本</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1,700,681,355.00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1,700,681,355.00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其他权益工具</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200" w:firstLine="360"/>
              <w:rPr>
                <w:rFonts w:ascii="宋体" w:eastAsia="宋体" w:hAnsi="宋体" w:cs="宋体"/>
                <w:sz w:val="18"/>
                <w:szCs w:val="18"/>
              </w:rPr>
            </w:pPr>
            <w:r w:rsidRPr="00831C3C">
              <w:rPr>
                <w:rFonts w:ascii="宋体" w:eastAsia="宋体" w:hAnsi="宋体" w:cs="宋体"/>
                <w:sz w:val="18"/>
                <w:szCs w:val="18"/>
              </w:rPr>
              <w:t>其中：优先股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500" w:firstLine="900"/>
              <w:rPr>
                <w:rFonts w:ascii="宋体" w:eastAsia="宋体" w:hAnsi="宋体" w:cs="宋体"/>
                <w:sz w:val="18"/>
                <w:szCs w:val="18"/>
              </w:rPr>
            </w:pPr>
            <w:r w:rsidRPr="00831C3C">
              <w:rPr>
                <w:rFonts w:ascii="宋体" w:eastAsia="宋体" w:hAnsi="宋体" w:cs="宋体"/>
                <w:sz w:val="18"/>
                <w:szCs w:val="18"/>
              </w:rPr>
              <w:t>永续债</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资本公积</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3,106,930,758.15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3,106,930,758.15</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减：库存股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300,104,207.84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200,071,093.36</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33,830,744.58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14,003,424.37</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专项储备</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盈余公积</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309,166,201.62</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307,872,299.19</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未分配利润</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509,777,501.50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547,798,739.86</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所有者权益合计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5,360,282,353.01</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5,477,215,483.21</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负债和所有者权益总计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6,898,704,962.33</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6,481,454,486.80</w:t>
            </w:r>
          </w:p>
        </w:tc>
      </w:tr>
    </w:tbl>
    <w:p w:rsidR="00E23A97" w:rsidRPr="00831C3C" w:rsidRDefault="00C65FD5">
      <w:pPr>
        <w:pStyle w:val="3"/>
        <w:spacing w:line="280" w:lineRule="exact"/>
        <w:jc w:val="left"/>
        <w:rPr>
          <w:rFonts w:ascii="宋体" w:hAnsi="宋体" w:cs="宋体"/>
          <w:b/>
          <w:bCs/>
        </w:rPr>
      </w:pPr>
      <w:bookmarkStart w:id="167" w:name="_Toc989055"/>
      <w:r w:rsidRPr="00831C3C">
        <w:rPr>
          <w:rFonts w:ascii="宋体" w:hAnsi="宋体" w:cs="宋体"/>
          <w:b/>
          <w:bCs/>
        </w:rPr>
        <w:t>3、合并利润表</w:t>
      </w:r>
      <w:bookmarkEnd w:id="167"/>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2024年度</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2023年度</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一、营业总收入</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10,761,951,965.32</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13,663,469,325.68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其中：营业收入</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10,761,951,965.32</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13,663,469,325.68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利息收入</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已赚保费</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手续费及佣金收入</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二、营业总成本</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11,046,988,147.10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13,925,822,417.27</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其中：营业成本</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10,183,111,747.23</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13,083,816,084.63</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利息支出</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手续费及佣金支出</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lastRenderedPageBreak/>
              <w:t>退保金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赔付支出净额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提取保险责任合同准备金净额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保单红利支出</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分保费用</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税金及附加</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80,532,904.37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80,418,024.82</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销售费用</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112,368,503.45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114,860,021.17</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管理费用</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319,106,479.61</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352,791,850.00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研发费用</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150,806,512.44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113,213,368.59</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财务费用</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201,062,000.00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180,723,068.06</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500" w:firstLine="900"/>
              <w:rPr>
                <w:rFonts w:ascii="宋体" w:eastAsia="宋体" w:hAnsi="宋体" w:cs="宋体"/>
                <w:sz w:val="18"/>
                <w:szCs w:val="18"/>
              </w:rPr>
            </w:pPr>
            <w:r w:rsidRPr="00831C3C">
              <w:rPr>
                <w:rFonts w:ascii="宋体" w:eastAsia="宋体" w:hAnsi="宋体" w:cs="宋体"/>
                <w:sz w:val="18"/>
                <w:szCs w:val="18"/>
              </w:rPr>
              <w:t>其中：利息费用</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243,842,867.60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297,635,396.87</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800" w:firstLine="1440"/>
              <w:rPr>
                <w:rFonts w:ascii="宋体" w:eastAsia="宋体" w:hAnsi="宋体" w:cs="宋体"/>
                <w:sz w:val="18"/>
                <w:szCs w:val="18"/>
              </w:rPr>
            </w:pPr>
            <w:r w:rsidRPr="00831C3C">
              <w:rPr>
                <w:rFonts w:ascii="宋体" w:eastAsia="宋体" w:hAnsi="宋体" w:cs="宋体"/>
                <w:sz w:val="18"/>
                <w:szCs w:val="18"/>
              </w:rPr>
              <w:t>利息收入</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68,519,896.21</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86,056,151.87</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加：其他收益</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132,331,921.35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197,741,196.72</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300" w:firstLine="540"/>
              <w:rPr>
                <w:rFonts w:ascii="宋体" w:eastAsia="宋体" w:hAnsi="宋体" w:cs="宋体"/>
                <w:sz w:val="18"/>
                <w:szCs w:val="18"/>
              </w:rPr>
            </w:pPr>
            <w:r w:rsidRPr="00831C3C">
              <w:rPr>
                <w:rFonts w:ascii="宋体" w:eastAsia="宋体" w:hAnsi="宋体" w:cs="宋体"/>
                <w:sz w:val="18"/>
                <w:szCs w:val="18"/>
              </w:rPr>
              <w:t>投资收益（损失以“－”号填列）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37,787,529.55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43,481,876.64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500" w:firstLine="900"/>
              <w:rPr>
                <w:rFonts w:ascii="宋体" w:eastAsia="宋体" w:hAnsi="宋体" w:cs="宋体"/>
                <w:sz w:val="18"/>
                <w:szCs w:val="18"/>
              </w:rPr>
            </w:pPr>
            <w:r w:rsidRPr="00831C3C">
              <w:rPr>
                <w:rFonts w:ascii="宋体" w:eastAsia="宋体" w:hAnsi="宋体" w:cs="宋体"/>
                <w:sz w:val="18"/>
                <w:szCs w:val="18"/>
              </w:rPr>
              <w:t>其中：对联营企业和合营企业的投资收益</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7,325,415.78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7,932,426.95</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800" w:firstLine="1440"/>
              <w:rPr>
                <w:rFonts w:ascii="宋体" w:eastAsia="宋体" w:hAnsi="宋体" w:cs="宋体"/>
                <w:sz w:val="18"/>
                <w:szCs w:val="18"/>
              </w:rPr>
            </w:pPr>
            <w:r w:rsidRPr="00831C3C">
              <w:rPr>
                <w:rFonts w:ascii="宋体" w:eastAsia="宋体" w:hAnsi="宋体" w:cs="宋体"/>
                <w:sz w:val="18"/>
                <w:szCs w:val="18"/>
              </w:rPr>
              <w:t>以摊</w:t>
            </w:r>
            <w:proofErr w:type="gramStart"/>
            <w:r w:rsidRPr="00831C3C">
              <w:rPr>
                <w:rFonts w:ascii="宋体" w:eastAsia="宋体" w:hAnsi="宋体" w:cs="宋体"/>
                <w:sz w:val="18"/>
                <w:szCs w:val="18"/>
              </w:rPr>
              <w:t>余成本</w:t>
            </w:r>
            <w:proofErr w:type="gramEnd"/>
            <w:r w:rsidRPr="00831C3C">
              <w:rPr>
                <w:rFonts w:ascii="宋体" w:eastAsia="宋体" w:hAnsi="宋体" w:cs="宋体"/>
                <w:sz w:val="18"/>
                <w:szCs w:val="18"/>
              </w:rPr>
              <w:t>计量的金融资产终止确认收益</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300" w:firstLine="540"/>
              <w:rPr>
                <w:rFonts w:ascii="宋体" w:eastAsia="宋体" w:hAnsi="宋体" w:cs="宋体"/>
                <w:sz w:val="18"/>
                <w:szCs w:val="18"/>
              </w:rPr>
            </w:pPr>
            <w:r w:rsidRPr="00831C3C">
              <w:rPr>
                <w:rFonts w:ascii="宋体" w:eastAsia="宋体" w:hAnsi="宋体" w:cs="宋体"/>
                <w:sz w:val="18"/>
                <w:szCs w:val="18"/>
              </w:rPr>
              <w:t>汇兑收益（损失以“-”号填列）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300" w:firstLine="540"/>
              <w:rPr>
                <w:rFonts w:ascii="宋体" w:eastAsia="宋体" w:hAnsi="宋体" w:cs="宋体"/>
                <w:sz w:val="18"/>
                <w:szCs w:val="18"/>
              </w:rPr>
            </w:pPr>
            <w:r w:rsidRPr="00831C3C">
              <w:rPr>
                <w:rFonts w:ascii="宋体" w:eastAsia="宋体" w:hAnsi="宋体" w:cs="宋体"/>
                <w:sz w:val="18"/>
                <w:szCs w:val="18"/>
              </w:rPr>
              <w:t>净敞口套期收益（损失以“－”号填列）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300" w:firstLine="540"/>
              <w:rPr>
                <w:rFonts w:ascii="宋体" w:eastAsia="宋体" w:hAnsi="宋体" w:cs="宋体"/>
                <w:sz w:val="18"/>
                <w:szCs w:val="18"/>
              </w:rPr>
            </w:pPr>
            <w:r w:rsidRPr="00831C3C">
              <w:rPr>
                <w:rFonts w:ascii="宋体" w:eastAsia="宋体" w:hAnsi="宋体" w:cs="宋体"/>
                <w:sz w:val="18"/>
                <w:szCs w:val="18"/>
              </w:rPr>
              <w:t>公允价值变动收益（损失以“－”号填列）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207,118.39</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-16,425,097.75</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300" w:firstLine="540"/>
              <w:rPr>
                <w:rFonts w:ascii="宋体" w:eastAsia="宋体" w:hAnsi="宋体" w:cs="宋体"/>
                <w:sz w:val="18"/>
                <w:szCs w:val="18"/>
              </w:rPr>
            </w:pPr>
            <w:r w:rsidRPr="00831C3C">
              <w:rPr>
                <w:rFonts w:ascii="宋体" w:eastAsia="宋体" w:hAnsi="宋体" w:cs="宋体"/>
                <w:sz w:val="18"/>
                <w:szCs w:val="18"/>
              </w:rPr>
              <w:t>信用减值损失（损失以“-”号填列）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-50,820,326.66</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-34,101,152.58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300" w:firstLine="540"/>
              <w:rPr>
                <w:rFonts w:ascii="宋体" w:eastAsia="宋体" w:hAnsi="宋体" w:cs="宋体"/>
                <w:sz w:val="18"/>
                <w:szCs w:val="18"/>
              </w:rPr>
            </w:pPr>
            <w:r w:rsidRPr="00831C3C">
              <w:rPr>
                <w:rFonts w:ascii="宋体" w:eastAsia="宋体" w:hAnsi="宋体" w:cs="宋体"/>
                <w:sz w:val="18"/>
                <w:szCs w:val="18"/>
              </w:rPr>
              <w:t>资产减值损失（损失以“-”号填列）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-86,122,674.99</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26,310,983.35</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300" w:firstLine="540"/>
              <w:rPr>
                <w:rFonts w:ascii="宋体" w:eastAsia="宋体" w:hAnsi="宋体" w:cs="宋体"/>
                <w:sz w:val="18"/>
                <w:szCs w:val="18"/>
              </w:rPr>
            </w:pPr>
            <w:r w:rsidRPr="00831C3C">
              <w:rPr>
                <w:rFonts w:ascii="宋体" w:eastAsia="宋体" w:hAnsi="宋体" w:cs="宋体"/>
                <w:sz w:val="18"/>
                <w:szCs w:val="18"/>
              </w:rPr>
              <w:t>资产处置收益（损失以“-”号填列）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33,469,308.79</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152,929,040.23</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三、营业利润（亏损以“－”号填列）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-218,183,305.35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107,583,755.02</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加：营业外收入</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11,805,981.25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16,112,684.70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减：营业外支出</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4,388,839.90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5,062,219.81</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四、利润总额（亏损总额以“－”号填列）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-210,766,164.00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118,634,219.91</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减：所得税费用</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-15,687,853.04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49,530,659.93</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五、净利润（净亏损以“－”号填列）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-195,078,310.96</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69,103,559.98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（一）按经营持续性分类</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200" w:firstLine="360"/>
              <w:rPr>
                <w:rFonts w:ascii="宋体" w:eastAsia="宋体" w:hAnsi="宋体" w:cs="宋体"/>
                <w:sz w:val="18"/>
                <w:szCs w:val="18"/>
              </w:rPr>
            </w:pPr>
            <w:r w:rsidRPr="00831C3C">
              <w:rPr>
                <w:rFonts w:ascii="宋体" w:eastAsia="宋体" w:hAnsi="宋体" w:cs="宋体"/>
                <w:sz w:val="18"/>
                <w:szCs w:val="18"/>
              </w:rPr>
              <w:t>1.持续经营净利润（净亏损以“－”号填列）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-195,078,310.96</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69,103,559.98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200" w:firstLine="360"/>
              <w:rPr>
                <w:rFonts w:ascii="宋体" w:eastAsia="宋体" w:hAnsi="宋体" w:cs="宋体"/>
                <w:sz w:val="18"/>
                <w:szCs w:val="18"/>
              </w:rPr>
            </w:pPr>
            <w:r w:rsidRPr="00831C3C">
              <w:rPr>
                <w:rFonts w:ascii="宋体" w:eastAsia="宋体" w:hAnsi="宋体" w:cs="宋体"/>
                <w:sz w:val="18"/>
                <w:szCs w:val="18"/>
              </w:rPr>
              <w:t>2.终止经营净利润（净亏损以“－”号填列）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（二）按所有权归属分类</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200" w:firstLine="360"/>
              <w:rPr>
                <w:rFonts w:ascii="宋体" w:eastAsia="宋体" w:hAnsi="宋体" w:cs="宋体"/>
                <w:sz w:val="18"/>
                <w:szCs w:val="18"/>
              </w:rPr>
            </w:pPr>
            <w:r w:rsidRPr="00831C3C">
              <w:rPr>
                <w:rFonts w:ascii="宋体" w:eastAsia="宋体" w:hAnsi="宋体" w:cs="宋体"/>
                <w:sz w:val="18"/>
                <w:szCs w:val="18"/>
              </w:rPr>
              <w:t>1.归属于母公司股东的净利润</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-207,764,974.56</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66,782,080.49</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200" w:firstLine="360"/>
              <w:rPr>
                <w:rFonts w:ascii="宋体" w:eastAsia="宋体" w:hAnsi="宋体" w:cs="宋体"/>
                <w:sz w:val="18"/>
                <w:szCs w:val="18"/>
              </w:rPr>
            </w:pPr>
            <w:r w:rsidRPr="00831C3C">
              <w:rPr>
                <w:rFonts w:ascii="宋体" w:eastAsia="宋体" w:hAnsi="宋体" w:cs="宋体"/>
                <w:sz w:val="18"/>
                <w:szCs w:val="18"/>
              </w:rPr>
              <w:lastRenderedPageBreak/>
              <w:t>2.少数股东损益</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12,686,663.60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2,321,479.49</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六、其他综合收益的税后净额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-16,182,307.37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-47,977,969.66</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归属母公司所有者的其他综合收益的税后净额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-16,182,307.37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-47,977,969.66</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200" w:firstLine="360"/>
              <w:rPr>
                <w:rFonts w:ascii="宋体" w:eastAsia="宋体" w:hAnsi="宋体" w:cs="宋体"/>
                <w:sz w:val="18"/>
                <w:szCs w:val="18"/>
              </w:rPr>
            </w:pPr>
            <w:r w:rsidRPr="00831C3C">
              <w:rPr>
                <w:rFonts w:ascii="宋体" w:eastAsia="宋体" w:hAnsi="宋体" w:cs="宋体"/>
                <w:sz w:val="18"/>
                <w:szCs w:val="18"/>
              </w:rPr>
              <w:t>（一）不能重分类进损益的其他综合收益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2,202,277.14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-12,033,970.92</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300" w:firstLine="540"/>
              <w:rPr>
                <w:rFonts w:ascii="宋体" w:eastAsia="宋体" w:hAnsi="宋体" w:cs="宋体"/>
                <w:sz w:val="18"/>
                <w:szCs w:val="18"/>
              </w:rPr>
            </w:pPr>
            <w:r w:rsidRPr="00831C3C">
              <w:rPr>
                <w:rFonts w:ascii="宋体" w:eastAsia="宋体" w:hAnsi="宋体" w:cs="宋体"/>
                <w:sz w:val="18"/>
                <w:szCs w:val="18"/>
              </w:rPr>
              <w:t>1.重新计量设定受益计划变动额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300" w:firstLine="540"/>
              <w:rPr>
                <w:rFonts w:ascii="宋体" w:eastAsia="宋体" w:hAnsi="宋体" w:cs="宋体"/>
                <w:sz w:val="18"/>
                <w:szCs w:val="18"/>
              </w:rPr>
            </w:pPr>
            <w:r w:rsidRPr="00831C3C">
              <w:rPr>
                <w:rFonts w:ascii="宋体" w:eastAsia="宋体" w:hAnsi="宋体" w:cs="宋体"/>
                <w:sz w:val="18"/>
                <w:szCs w:val="18"/>
              </w:rPr>
              <w:t>2.权益法下不能转损益的其他综合收益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-756,417.84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-568,156.44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300" w:firstLine="540"/>
              <w:rPr>
                <w:rFonts w:ascii="宋体" w:eastAsia="宋体" w:hAnsi="宋体" w:cs="宋体"/>
                <w:sz w:val="18"/>
                <w:szCs w:val="18"/>
              </w:rPr>
            </w:pPr>
            <w:r w:rsidRPr="00831C3C">
              <w:rPr>
                <w:rFonts w:ascii="宋体" w:eastAsia="宋体" w:hAnsi="宋体" w:cs="宋体"/>
                <w:sz w:val="18"/>
                <w:szCs w:val="18"/>
              </w:rPr>
              <w:t>3.其他权益工具投资公允价值变动</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2,958,694.98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-11,465,814.48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300" w:firstLine="540"/>
              <w:rPr>
                <w:rFonts w:ascii="宋体" w:eastAsia="宋体" w:hAnsi="宋体" w:cs="宋体"/>
                <w:sz w:val="18"/>
                <w:szCs w:val="18"/>
              </w:rPr>
            </w:pPr>
            <w:r w:rsidRPr="00831C3C">
              <w:rPr>
                <w:rFonts w:ascii="宋体" w:eastAsia="宋体" w:hAnsi="宋体" w:cs="宋体"/>
                <w:sz w:val="18"/>
                <w:szCs w:val="18"/>
              </w:rPr>
              <w:t>4.企业自身信用风险公允价值变动</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300" w:firstLine="540"/>
              <w:rPr>
                <w:rFonts w:ascii="宋体" w:eastAsia="宋体" w:hAnsi="宋体" w:cs="宋体"/>
                <w:sz w:val="18"/>
                <w:szCs w:val="18"/>
              </w:rPr>
            </w:pPr>
            <w:r w:rsidRPr="00831C3C">
              <w:rPr>
                <w:rFonts w:ascii="宋体" w:eastAsia="宋体" w:hAnsi="宋体" w:cs="宋体"/>
                <w:sz w:val="18"/>
                <w:szCs w:val="18"/>
              </w:rPr>
              <w:t>5.其他</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200" w:firstLine="360"/>
              <w:rPr>
                <w:rFonts w:ascii="宋体" w:eastAsia="宋体" w:hAnsi="宋体" w:cs="宋体"/>
                <w:sz w:val="18"/>
                <w:szCs w:val="18"/>
              </w:rPr>
            </w:pPr>
            <w:r w:rsidRPr="00831C3C">
              <w:rPr>
                <w:rFonts w:ascii="宋体" w:eastAsia="宋体" w:hAnsi="宋体" w:cs="宋体"/>
                <w:sz w:val="18"/>
                <w:szCs w:val="18"/>
              </w:rPr>
              <w:t>（二）将重分类进损益的其他综合收益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-18,384,584.51</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-35,943,998.74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300" w:firstLine="540"/>
              <w:rPr>
                <w:rFonts w:ascii="宋体" w:eastAsia="宋体" w:hAnsi="宋体" w:cs="宋体"/>
                <w:sz w:val="18"/>
                <w:szCs w:val="18"/>
              </w:rPr>
            </w:pPr>
            <w:r w:rsidRPr="00831C3C">
              <w:rPr>
                <w:rFonts w:ascii="宋体" w:eastAsia="宋体" w:hAnsi="宋体" w:cs="宋体"/>
                <w:sz w:val="18"/>
                <w:szCs w:val="18"/>
              </w:rPr>
              <w:t>1.权益法下可转损益的其他综合收益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300" w:firstLine="540"/>
              <w:rPr>
                <w:rFonts w:ascii="宋体" w:eastAsia="宋体" w:hAnsi="宋体" w:cs="宋体"/>
                <w:sz w:val="18"/>
                <w:szCs w:val="18"/>
              </w:rPr>
            </w:pPr>
            <w:r w:rsidRPr="00831C3C">
              <w:rPr>
                <w:rFonts w:ascii="宋体" w:eastAsia="宋体" w:hAnsi="宋体" w:cs="宋体"/>
                <w:sz w:val="18"/>
                <w:szCs w:val="18"/>
              </w:rPr>
              <w:t>2.其他债权投资公允价值变动</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300" w:firstLine="540"/>
              <w:rPr>
                <w:rFonts w:ascii="宋体" w:eastAsia="宋体" w:hAnsi="宋体" w:cs="宋体"/>
                <w:sz w:val="18"/>
                <w:szCs w:val="18"/>
              </w:rPr>
            </w:pPr>
            <w:r w:rsidRPr="00831C3C">
              <w:rPr>
                <w:rFonts w:ascii="宋体" w:eastAsia="宋体" w:hAnsi="宋体" w:cs="宋体"/>
                <w:sz w:val="18"/>
                <w:szCs w:val="18"/>
              </w:rPr>
              <w:t>3.金融资产重分类计入其他综合收益的金额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300" w:firstLine="540"/>
              <w:rPr>
                <w:rFonts w:ascii="宋体" w:eastAsia="宋体" w:hAnsi="宋体" w:cs="宋体"/>
                <w:sz w:val="18"/>
                <w:szCs w:val="18"/>
              </w:rPr>
            </w:pPr>
            <w:r w:rsidRPr="00831C3C">
              <w:rPr>
                <w:rFonts w:ascii="宋体" w:eastAsia="宋体" w:hAnsi="宋体" w:cs="宋体"/>
                <w:sz w:val="18"/>
                <w:szCs w:val="18"/>
              </w:rPr>
              <w:t>4.其他债权投资信用减值准备</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300" w:firstLine="540"/>
              <w:rPr>
                <w:rFonts w:ascii="宋体" w:eastAsia="宋体" w:hAnsi="宋体" w:cs="宋体"/>
                <w:sz w:val="18"/>
                <w:szCs w:val="18"/>
              </w:rPr>
            </w:pPr>
            <w:r w:rsidRPr="00831C3C">
              <w:rPr>
                <w:rFonts w:ascii="宋体" w:eastAsia="宋体" w:hAnsi="宋体" w:cs="宋体"/>
                <w:sz w:val="18"/>
                <w:szCs w:val="18"/>
              </w:rPr>
              <w:t>5.现金流量套期储备</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300" w:firstLine="540"/>
              <w:rPr>
                <w:rFonts w:ascii="宋体" w:eastAsia="宋体" w:hAnsi="宋体" w:cs="宋体"/>
                <w:sz w:val="18"/>
                <w:szCs w:val="18"/>
              </w:rPr>
            </w:pPr>
            <w:r w:rsidRPr="00831C3C">
              <w:rPr>
                <w:rFonts w:ascii="宋体" w:eastAsia="宋体" w:hAnsi="宋体" w:cs="宋体"/>
                <w:sz w:val="18"/>
                <w:szCs w:val="18"/>
              </w:rPr>
              <w:t>6.外币财务报表折算差额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-18,384,584.51</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-35,943,998.74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300" w:firstLine="540"/>
              <w:rPr>
                <w:rFonts w:ascii="宋体" w:eastAsia="宋体" w:hAnsi="宋体" w:cs="宋体"/>
                <w:sz w:val="18"/>
                <w:szCs w:val="18"/>
              </w:rPr>
            </w:pPr>
            <w:r w:rsidRPr="00831C3C">
              <w:rPr>
                <w:rFonts w:ascii="宋体" w:eastAsia="宋体" w:hAnsi="宋体" w:cs="宋体"/>
                <w:sz w:val="18"/>
                <w:szCs w:val="18"/>
              </w:rPr>
              <w:t>7.其他</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归属于少数股东的其他综合收益的税后净额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七、综合收益总额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-211,260,618.33</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21,125,590.32</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归属于母公司所有者的综合收益总额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-223,947,281.93</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18,804,110.83</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归属于少数股东的综合收益总额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12,686,663.60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2,321,479.49</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八、每股收益</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（一）基本每股收益</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-0.12</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（二）稀释每股收益</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-0.12</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0.04</w:t>
            </w:r>
          </w:p>
        </w:tc>
      </w:tr>
    </w:tbl>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本期发生同</w:t>
      </w:r>
      <w:proofErr w:type="gramStart"/>
      <w:r w:rsidRPr="00831C3C">
        <w:rPr>
          <w:rFonts w:ascii="宋体" w:eastAsia="宋体" w:hAnsi="宋体" w:cs="宋体"/>
          <w:sz w:val="18"/>
          <w:szCs w:val="18"/>
        </w:rPr>
        <w:t>一控制</w:t>
      </w:r>
      <w:proofErr w:type="gramEnd"/>
      <w:r w:rsidRPr="00831C3C">
        <w:rPr>
          <w:rFonts w:ascii="宋体" w:eastAsia="宋体" w:hAnsi="宋体" w:cs="宋体"/>
          <w:sz w:val="18"/>
          <w:szCs w:val="18"/>
        </w:rPr>
        <w:t>下企业合并的，被合并方在合并前实现的净利润为：0.00元，上期被合并方实现的净利润为：0.00元。</w:t>
      </w:r>
    </w:p>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法定代表人：孙伟挺主管会计工作负责人：陈玲芬会计机构负责人：王国友</w:t>
      </w:r>
    </w:p>
    <w:p w:rsidR="00E23A97" w:rsidRPr="00831C3C" w:rsidRDefault="00C65FD5">
      <w:pPr>
        <w:pStyle w:val="3"/>
        <w:spacing w:line="280" w:lineRule="exact"/>
        <w:jc w:val="left"/>
        <w:rPr>
          <w:rFonts w:ascii="宋体" w:hAnsi="宋体" w:cs="宋体"/>
          <w:b/>
          <w:bCs/>
        </w:rPr>
      </w:pPr>
      <w:bookmarkStart w:id="168" w:name="_Toc989056"/>
      <w:r w:rsidRPr="00831C3C">
        <w:rPr>
          <w:rFonts w:ascii="宋体" w:hAnsi="宋体" w:cs="宋体"/>
          <w:b/>
          <w:bCs/>
        </w:rPr>
        <w:t>4、母公司利润表</w:t>
      </w:r>
      <w:bookmarkEnd w:id="168"/>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2024年度</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2023年度</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一、营业收入</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1,100,987,976.84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1,136,761,883.21</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减：营业成本</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1,044,517,895.95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1,062,766,470.22</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300" w:firstLine="540"/>
              <w:rPr>
                <w:rFonts w:ascii="宋体" w:eastAsia="宋体" w:hAnsi="宋体" w:cs="宋体"/>
                <w:sz w:val="18"/>
                <w:szCs w:val="18"/>
              </w:rPr>
            </w:pPr>
            <w:r w:rsidRPr="00831C3C">
              <w:rPr>
                <w:rFonts w:ascii="宋体" w:eastAsia="宋体" w:hAnsi="宋体" w:cs="宋体"/>
                <w:sz w:val="18"/>
                <w:szCs w:val="18"/>
              </w:rPr>
              <w:t>税金及附加</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12,894,475.87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8,439,260.51</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300" w:firstLine="540"/>
              <w:rPr>
                <w:rFonts w:ascii="宋体" w:eastAsia="宋体" w:hAnsi="宋体" w:cs="宋体"/>
                <w:sz w:val="18"/>
                <w:szCs w:val="18"/>
              </w:rPr>
            </w:pPr>
            <w:r w:rsidRPr="00831C3C">
              <w:rPr>
                <w:rFonts w:ascii="宋体" w:eastAsia="宋体" w:hAnsi="宋体" w:cs="宋体"/>
                <w:sz w:val="18"/>
                <w:szCs w:val="18"/>
              </w:rPr>
              <w:t>销售费用</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3,225,485.32</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1,946,409.36</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300" w:firstLine="540"/>
              <w:rPr>
                <w:rFonts w:ascii="宋体" w:eastAsia="宋体" w:hAnsi="宋体" w:cs="宋体"/>
                <w:sz w:val="18"/>
                <w:szCs w:val="18"/>
              </w:rPr>
            </w:pPr>
            <w:r w:rsidRPr="00831C3C">
              <w:rPr>
                <w:rFonts w:ascii="宋体" w:eastAsia="宋体" w:hAnsi="宋体" w:cs="宋体"/>
                <w:sz w:val="18"/>
                <w:szCs w:val="18"/>
              </w:rPr>
              <w:t>管理费用</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24,403,517.68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26,487,902.42</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300" w:firstLine="540"/>
              <w:rPr>
                <w:rFonts w:ascii="宋体" w:eastAsia="宋体" w:hAnsi="宋体" w:cs="宋体"/>
                <w:sz w:val="18"/>
                <w:szCs w:val="18"/>
              </w:rPr>
            </w:pPr>
            <w:r w:rsidRPr="00831C3C">
              <w:rPr>
                <w:rFonts w:ascii="宋体" w:eastAsia="宋体" w:hAnsi="宋体" w:cs="宋体"/>
                <w:sz w:val="18"/>
                <w:szCs w:val="18"/>
              </w:rPr>
              <w:t>研发费用</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38,095,918.22</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44,027,757.34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300" w:firstLine="540"/>
              <w:rPr>
                <w:rFonts w:ascii="宋体" w:eastAsia="宋体" w:hAnsi="宋体" w:cs="宋体"/>
                <w:sz w:val="18"/>
                <w:szCs w:val="18"/>
              </w:rPr>
            </w:pPr>
            <w:r w:rsidRPr="00831C3C">
              <w:rPr>
                <w:rFonts w:ascii="宋体" w:eastAsia="宋体" w:hAnsi="宋体" w:cs="宋体"/>
                <w:sz w:val="18"/>
                <w:szCs w:val="18"/>
              </w:rPr>
              <w:t>财务费用</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19,330,441.96</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13,776,407.89</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其中：利息费用</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19,273,494.61</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15,520,158.27</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700" w:firstLine="1260"/>
              <w:rPr>
                <w:rFonts w:ascii="宋体" w:eastAsia="宋体" w:hAnsi="宋体" w:cs="宋体"/>
                <w:sz w:val="18"/>
                <w:szCs w:val="18"/>
              </w:rPr>
            </w:pPr>
            <w:r w:rsidRPr="00831C3C">
              <w:rPr>
                <w:rFonts w:ascii="宋体" w:eastAsia="宋体" w:hAnsi="宋体" w:cs="宋体"/>
                <w:sz w:val="18"/>
                <w:szCs w:val="18"/>
              </w:rPr>
              <w:t>利息收入</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736,024.78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1,082,035.79</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加：其他收益</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57,562,246.92</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60,279,361.38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300" w:firstLine="540"/>
              <w:rPr>
                <w:rFonts w:ascii="宋体" w:eastAsia="宋体" w:hAnsi="宋体" w:cs="宋体"/>
                <w:sz w:val="18"/>
                <w:szCs w:val="18"/>
              </w:rPr>
            </w:pPr>
            <w:r w:rsidRPr="00831C3C">
              <w:rPr>
                <w:rFonts w:ascii="宋体" w:eastAsia="宋体" w:hAnsi="宋体" w:cs="宋体"/>
                <w:sz w:val="18"/>
                <w:szCs w:val="18"/>
              </w:rPr>
              <w:lastRenderedPageBreak/>
              <w:t>投资收益（损失以“－”号填列）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5,401,761.66</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343,123,969.57</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其中：对联营企业和合营企业的投资收益</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700" w:firstLine="1260"/>
              <w:rPr>
                <w:rFonts w:ascii="宋体" w:eastAsia="宋体" w:hAnsi="宋体" w:cs="宋体"/>
                <w:sz w:val="18"/>
                <w:szCs w:val="18"/>
              </w:rPr>
            </w:pPr>
            <w:r w:rsidRPr="00831C3C">
              <w:rPr>
                <w:rFonts w:ascii="宋体" w:eastAsia="宋体" w:hAnsi="宋体" w:cs="宋体"/>
                <w:sz w:val="18"/>
                <w:szCs w:val="18"/>
              </w:rPr>
              <w:t>以摊</w:t>
            </w:r>
            <w:proofErr w:type="gramStart"/>
            <w:r w:rsidRPr="00831C3C">
              <w:rPr>
                <w:rFonts w:ascii="宋体" w:eastAsia="宋体" w:hAnsi="宋体" w:cs="宋体"/>
                <w:sz w:val="18"/>
                <w:szCs w:val="18"/>
              </w:rPr>
              <w:t>余成本</w:t>
            </w:r>
            <w:proofErr w:type="gramEnd"/>
            <w:r w:rsidRPr="00831C3C">
              <w:rPr>
                <w:rFonts w:ascii="宋体" w:eastAsia="宋体" w:hAnsi="宋体" w:cs="宋体"/>
                <w:sz w:val="18"/>
                <w:szCs w:val="18"/>
              </w:rPr>
              <w:t>计量的金融资产终止确认收益（损失以“-”号填列）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300" w:firstLine="540"/>
              <w:rPr>
                <w:rFonts w:ascii="宋体" w:eastAsia="宋体" w:hAnsi="宋体" w:cs="宋体"/>
                <w:sz w:val="18"/>
                <w:szCs w:val="18"/>
              </w:rPr>
            </w:pPr>
            <w:r w:rsidRPr="00831C3C">
              <w:rPr>
                <w:rFonts w:ascii="宋体" w:eastAsia="宋体" w:hAnsi="宋体" w:cs="宋体"/>
                <w:sz w:val="18"/>
                <w:szCs w:val="18"/>
              </w:rPr>
              <w:t>净敞口套期收益（损失以“－”号填列）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300" w:firstLine="540"/>
              <w:rPr>
                <w:rFonts w:ascii="宋体" w:eastAsia="宋体" w:hAnsi="宋体" w:cs="宋体"/>
                <w:sz w:val="18"/>
                <w:szCs w:val="18"/>
              </w:rPr>
            </w:pPr>
            <w:r w:rsidRPr="00831C3C">
              <w:rPr>
                <w:rFonts w:ascii="宋体" w:eastAsia="宋体" w:hAnsi="宋体" w:cs="宋体"/>
                <w:sz w:val="18"/>
                <w:szCs w:val="18"/>
              </w:rPr>
              <w:t>公允价值变动收益（损失以“－”号填列）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-2,312,327.12</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-21,732,002.78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300" w:firstLine="540"/>
              <w:rPr>
                <w:rFonts w:ascii="宋体" w:eastAsia="宋体" w:hAnsi="宋体" w:cs="宋体"/>
                <w:sz w:val="18"/>
                <w:szCs w:val="18"/>
              </w:rPr>
            </w:pPr>
            <w:r w:rsidRPr="00831C3C">
              <w:rPr>
                <w:rFonts w:ascii="宋体" w:eastAsia="宋体" w:hAnsi="宋体" w:cs="宋体"/>
                <w:sz w:val="18"/>
                <w:szCs w:val="18"/>
              </w:rPr>
              <w:t>信用减值损失（损失以“-”号填列）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-5,076,644.67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-2,141,433.83</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300" w:firstLine="540"/>
              <w:rPr>
                <w:rFonts w:ascii="宋体" w:eastAsia="宋体" w:hAnsi="宋体" w:cs="宋体"/>
                <w:sz w:val="18"/>
                <w:szCs w:val="18"/>
              </w:rPr>
            </w:pPr>
            <w:r w:rsidRPr="00831C3C">
              <w:rPr>
                <w:rFonts w:ascii="宋体" w:eastAsia="宋体" w:hAnsi="宋体" w:cs="宋体"/>
                <w:sz w:val="18"/>
                <w:szCs w:val="18"/>
              </w:rPr>
              <w:t>资产减值损失（损失以“-”号填列）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-7,671,517.67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5,876,523.01</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300" w:firstLine="540"/>
              <w:rPr>
                <w:rFonts w:ascii="宋体" w:eastAsia="宋体" w:hAnsi="宋体" w:cs="宋体"/>
                <w:sz w:val="18"/>
                <w:szCs w:val="18"/>
              </w:rPr>
            </w:pPr>
            <w:r w:rsidRPr="00831C3C">
              <w:rPr>
                <w:rFonts w:ascii="宋体" w:eastAsia="宋体" w:hAnsi="宋体" w:cs="宋体"/>
                <w:sz w:val="18"/>
                <w:szCs w:val="18"/>
              </w:rPr>
              <w:t>资产处置收益（损失以“-”号填列）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-81,316.22</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10,516.24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二、营业利润（亏损以“－”号填列）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6,342,444.74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364,734,609.06</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加：营业外收入</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2,877,093.26</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132,765.49</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减：营业外支出</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708,321.93</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15,047.58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三、利润总额（亏损总额以“－”号填列）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8,511,216.07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364,852,326.97</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减：所得税费用</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-4,427,808.27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-2,446,172.29</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四、净利润（净亏损以“－”号填列）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12,939,024.34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367,298,499.26</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（一）持续经营净利润（净亏损以“－”号填列）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12,939,024.34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367,298,499.26</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（二）终止经营净利润（净亏损以“－”号填列）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五、其他综合收益的税后净额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19,827,320.21</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-1,465,814.48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200" w:firstLine="360"/>
              <w:rPr>
                <w:rFonts w:ascii="宋体" w:eastAsia="宋体" w:hAnsi="宋体" w:cs="宋体"/>
                <w:sz w:val="18"/>
                <w:szCs w:val="18"/>
              </w:rPr>
            </w:pPr>
            <w:r w:rsidRPr="00831C3C">
              <w:rPr>
                <w:rFonts w:ascii="宋体" w:eastAsia="宋体" w:hAnsi="宋体" w:cs="宋体"/>
                <w:sz w:val="18"/>
                <w:szCs w:val="18"/>
              </w:rPr>
              <w:t>（一）不能重分类进损益的其他综合收益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19,827,320.21</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-1,465,814.48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300" w:firstLine="540"/>
              <w:rPr>
                <w:rFonts w:ascii="宋体" w:eastAsia="宋体" w:hAnsi="宋体" w:cs="宋体"/>
                <w:sz w:val="18"/>
                <w:szCs w:val="18"/>
              </w:rPr>
            </w:pPr>
            <w:r w:rsidRPr="00831C3C">
              <w:rPr>
                <w:rFonts w:ascii="宋体" w:eastAsia="宋体" w:hAnsi="宋体" w:cs="宋体"/>
                <w:sz w:val="18"/>
                <w:szCs w:val="18"/>
              </w:rPr>
              <w:t>1.重新计量设定受益计划变动额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300" w:firstLine="540"/>
              <w:rPr>
                <w:rFonts w:ascii="宋体" w:eastAsia="宋体" w:hAnsi="宋体" w:cs="宋体"/>
                <w:sz w:val="18"/>
                <w:szCs w:val="18"/>
              </w:rPr>
            </w:pPr>
            <w:r w:rsidRPr="00831C3C">
              <w:rPr>
                <w:rFonts w:ascii="宋体" w:eastAsia="宋体" w:hAnsi="宋体" w:cs="宋体"/>
                <w:sz w:val="18"/>
                <w:szCs w:val="18"/>
              </w:rPr>
              <w:t>2.权益法下不能转损益的其他综合收益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300" w:firstLine="540"/>
              <w:rPr>
                <w:rFonts w:ascii="宋体" w:eastAsia="宋体" w:hAnsi="宋体" w:cs="宋体"/>
                <w:sz w:val="18"/>
                <w:szCs w:val="18"/>
              </w:rPr>
            </w:pPr>
            <w:r w:rsidRPr="00831C3C">
              <w:rPr>
                <w:rFonts w:ascii="宋体" w:eastAsia="宋体" w:hAnsi="宋体" w:cs="宋体"/>
                <w:sz w:val="18"/>
                <w:szCs w:val="18"/>
              </w:rPr>
              <w:t>3.其他权益工具投资公允价值变动</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3,024,640.88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-1,465,814.48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300" w:firstLine="540"/>
              <w:rPr>
                <w:rFonts w:ascii="宋体" w:eastAsia="宋体" w:hAnsi="宋体" w:cs="宋体"/>
                <w:sz w:val="18"/>
                <w:szCs w:val="18"/>
              </w:rPr>
            </w:pPr>
            <w:r w:rsidRPr="00831C3C">
              <w:rPr>
                <w:rFonts w:ascii="宋体" w:eastAsia="宋体" w:hAnsi="宋体" w:cs="宋体"/>
                <w:sz w:val="18"/>
                <w:szCs w:val="18"/>
              </w:rPr>
              <w:t>4.企业自身信用风险公允价值变动</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300" w:firstLine="540"/>
              <w:rPr>
                <w:rFonts w:ascii="宋体" w:eastAsia="宋体" w:hAnsi="宋体" w:cs="宋体"/>
                <w:sz w:val="18"/>
                <w:szCs w:val="18"/>
              </w:rPr>
            </w:pPr>
            <w:r w:rsidRPr="00831C3C">
              <w:rPr>
                <w:rFonts w:ascii="宋体" w:eastAsia="宋体" w:hAnsi="宋体" w:cs="宋体"/>
                <w:sz w:val="18"/>
                <w:szCs w:val="18"/>
              </w:rPr>
              <w:t>5.其他</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16,802,679.33</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200" w:firstLine="360"/>
              <w:rPr>
                <w:rFonts w:ascii="宋体" w:eastAsia="宋体" w:hAnsi="宋体" w:cs="宋体"/>
                <w:sz w:val="18"/>
                <w:szCs w:val="18"/>
              </w:rPr>
            </w:pPr>
            <w:r w:rsidRPr="00831C3C">
              <w:rPr>
                <w:rFonts w:ascii="宋体" w:eastAsia="宋体" w:hAnsi="宋体" w:cs="宋体"/>
                <w:sz w:val="18"/>
                <w:szCs w:val="18"/>
              </w:rPr>
              <w:t>（二）将重分类进损益的其他综合收益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300" w:firstLine="540"/>
              <w:rPr>
                <w:rFonts w:ascii="宋体" w:eastAsia="宋体" w:hAnsi="宋体" w:cs="宋体"/>
                <w:sz w:val="18"/>
                <w:szCs w:val="18"/>
              </w:rPr>
            </w:pPr>
            <w:r w:rsidRPr="00831C3C">
              <w:rPr>
                <w:rFonts w:ascii="宋体" w:eastAsia="宋体" w:hAnsi="宋体" w:cs="宋体"/>
                <w:sz w:val="18"/>
                <w:szCs w:val="18"/>
              </w:rPr>
              <w:t>1.权益法下可转损益的其他综合收益</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300" w:firstLine="540"/>
              <w:rPr>
                <w:rFonts w:ascii="宋体" w:eastAsia="宋体" w:hAnsi="宋体" w:cs="宋体"/>
                <w:sz w:val="18"/>
                <w:szCs w:val="18"/>
              </w:rPr>
            </w:pPr>
            <w:r w:rsidRPr="00831C3C">
              <w:rPr>
                <w:rFonts w:ascii="宋体" w:eastAsia="宋体" w:hAnsi="宋体" w:cs="宋体"/>
                <w:sz w:val="18"/>
                <w:szCs w:val="18"/>
              </w:rPr>
              <w:t>2.其他债权投资公允价值变动</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300" w:firstLine="540"/>
              <w:rPr>
                <w:rFonts w:ascii="宋体" w:eastAsia="宋体" w:hAnsi="宋体" w:cs="宋体"/>
                <w:sz w:val="18"/>
                <w:szCs w:val="18"/>
              </w:rPr>
            </w:pPr>
            <w:r w:rsidRPr="00831C3C">
              <w:rPr>
                <w:rFonts w:ascii="宋体" w:eastAsia="宋体" w:hAnsi="宋体" w:cs="宋体"/>
                <w:sz w:val="18"/>
                <w:szCs w:val="18"/>
              </w:rPr>
              <w:t>3.金融资产重分类计入其他综合收益的金额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300" w:firstLine="540"/>
              <w:rPr>
                <w:rFonts w:ascii="宋体" w:eastAsia="宋体" w:hAnsi="宋体" w:cs="宋体"/>
                <w:sz w:val="18"/>
                <w:szCs w:val="18"/>
              </w:rPr>
            </w:pPr>
            <w:r w:rsidRPr="00831C3C">
              <w:rPr>
                <w:rFonts w:ascii="宋体" w:eastAsia="宋体" w:hAnsi="宋体" w:cs="宋体"/>
                <w:sz w:val="18"/>
                <w:szCs w:val="18"/>
              </w:rPr>
              <w:t>4.其他债权投资信用减值准备</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300" w:firstLine="540"/>
              <w:rPr>
                <w:rFonts w:ascii="宋体" w:eastAsia="宋体" w:hAnsi="宋体" w:cs="宋体"/>
                <w:sz w:val="18"/>
                <w:szCs w:val="18"/>
              </w:rPr>
            </w:pPr>
            <w:r w:rsidRPr="00831C3C">
              <w:rPr>
                <w:rFonts w:ascii="宋体" w:eastAsia="宋体" w:hAnsi="宋体" w:cs="宋体"/>
                <w:sz w:val="18"/>
                <w:szCs w:val="18"/>
              </w:rPr>
              <w:t>5.现金流量套期储备</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300" w:firstLine="540"/>
              <w:rPr>
                <w:rFonts w:ascii="宋体" w:eastAsia="宋体" w:hAnsi="宋体" w:cs="宋体"/>
                <w:sz w:val="18"/>
                <w:szCs w:val="18"/>
              </w:rPr>
            </w:pPr>
            <w:r w:rsidRPr="00831C3C">
              <w:rPr>
                <w:rFonts w:ascii="宋体" w:eastAsia="宋体" w:hAnsi="宋体" w:cs="宋体"/>
                <w:sz w:val="18"/>
                <w:szCs w:val="18"/>
              </w:rPr>
              <w:t>6.外币财务报表折算差额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300" w:firstLine="540"/>
              <w:rPr>
                <w:rFonts w:ascii="宋体" w:eastAsia="宋体" w:hAnsi="宋体" w:cs="宋体"/>
                <w:sz w:val="18"/>
                <w:szCs w:val="18"/>
              </w:rPr>
            </w:pPr>
            <w:r w:rsidRPr="00831C3C">
              <w:rPr>
                <w:rFonts w:ascii="宋体" w:eastAsia="宋体" w:hAnsi="宋体" w:cs="宋体"/>
                <w:sz w:val="18"/>
                <w:szCs w:val="18"/>
              </w:rPr>
              <w:t>7.其他</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lastRenderedPageBreak/>
              <w:t>六、综合收益总额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32,766,344.55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365,832,684.78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七、每股收益</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（一）基本每股收益</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（二）稀释每股收益</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bl>
    <w:p w:rsidR="00E23A97" w:rsidRPr="00831C3C" w:rsidRDefault="00C65FD5">
      <w:pPr>
        <w:pStyle w:val="3"/>
        <w:spacing w:line="280" w:lineRule="exact"/>
        <w:jc w:val="left"/>
        <w:rPr>
          <w:rFonts w:ascii="宋体" w:hAnsi="宋体" w:cs="宋体"/>
          <w:b/>
          <w:bCs/>
        </w:rPr>
      </w:pPr>
      <w:bookmarkStart w:id="169" w:name="_Toc989057"/>
      <w:r w:rsidRPr="00831C3C">
        <w:rPr>
          <w:rFonts w:ascii="宋体" w:hAnsi="宋体" w:cs="宋体"/>
          <w:b/>
          <w:bCs/>
        </w:rPr>
        <w:t>5、合并现金流量表</w:t>
      </w:r>
      <w:bookmarkEnd w:id="169"/>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jc w:val="center"/>
              <w:rPr>
                <w:rFonts w:ascii="宋体" w:eastAsia="宋体" w:hAnsi="宋体" w:cs="宋体"/>
                <w:sz w:val="18"/>
                <w:szCs w:val="18"/>
              </w:rPr>
            </w:pPr>
            <w:r w:rsidRPr="00831C3C">
              <w:rPr>
                <w:rFonts w:ascii="宋体" w:eastAsia="宋体" w:hAnsi="宋体" w:cs="宋体"/>
                <w:sz w:val="18"/>
                <w:szCs w:val="18"/>
              </w:rPr>
              <w:t>2024年度</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jc w:val="center"/>
              <w:rPr>
                <w:rFonts w:ascii="宋体" w:eastAsia="宋体" w:hAnsi="宋体" w:cs="宋体"/>
                <w:sz w:val="18"/>
                <w:szCs w:val="18"/>
              </w:rPr>
            </w:pPr>
            <w:r w:rsidRPr="00831C3C">
              <w:rPr>
                <w:rFonts w:ascii="宋体" w:eastAsia="宋体" w:hAnsi="宋体" w:cs="宋体"/>
                <w:sz w:val="18"/>
                <w:szCs w:val="18"/>
              </w:rPr>
              <w:t>2023年度</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一、经营活动产生的现金流量：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销售商品、提供劳务收到的现金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11,374,599,041.28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14,836,520,435.64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客户存款和同业存放款项净增加额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向中央银行借款净增加额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向其他金融机构拆入资金净增加额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收到原保险合同保费取得的现金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收到再保业务现金净额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保户储金及投资款净增加额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收取利息、手续费及佣金的现金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拆入资金净增加额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回购业务资金净增加额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代理买卖证券收到的现金净额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收到的税费返还</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2,715,464.57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9,917,819.87</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收到其他与经营活动有关的现金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476,295,398.78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383,497,112.02</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经营活动现金流入小计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11,853,609,904.63</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15,229,935,367.53</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购买商品、接受劳务支付的现金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10,239,208,646.01</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12,997,233,406.32</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客户贷款及垫款净增加额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存放中央银行和同业款项净增加额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支付原保险合同赔付款项的现金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拆出资金净增加额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支付利息、手续费及佣金的现金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支付保单红利的现金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支付给职工以及为职工支付的现金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831,853,372.13</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860,372,744.92</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支付的各项税费</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207,799,022.07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289,079,490.28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支付其他与经营活动有关的现金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302,534,429.03</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225,476,504.62</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经营活动现金流出小计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11,581,395,469.24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14,372,162,146.14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经营活动产生的现金流量净额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272,214,435.39</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857,773,221.39</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二、投资活动产生的现金流量：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收回投资收到的现金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617,547,817.34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2,225,294,027.51</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取得投资收益收到的现金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23,394,273.75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13,487,568.19</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处置固定资产、无形资产和其他长期资产收回的现金净额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81,471,848.12</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217,475,633.35</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处置子公司及其他营业单位收到的现金净额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4,791,831.36</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175,617,708.66</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收到其他与投资活动有关的现金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投资活动现金流入小计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727,205,770.57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2,631,874,937.71</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购建固定资产、无形资产和其他长期资产支付的现金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775,016,507.04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715,575,990.78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投资支付的现金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615,951,986.38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1,909,107,072.53</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质押贷款净增加额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取得子公司及其他营业单位支付的现金净额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lastRenderedPageBreak/>
              <w:t>支付其他与投资活动有关的现金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投资活动现金流出小计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1,390,968,493.42</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2,624,683,063.31</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投资活动产生的现金流量净额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-663,762,722.85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7,191,874.40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三、筹资活动产生的现金流量：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吸收投资收到的现金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4,900,000.00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其中：子公司吸收少数股东投资收到的现金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4,900,000.00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取得借款收到的现金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6,858,717,732.14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5,766,353,836.66</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收到其他与筹资活动有关的现金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113,457,176.61</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421,199,728.41</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筹资活动现金流入小计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6,977,074,908.75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6,187,553,565.07</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偿还债务支付的现金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6,168,761,338.50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6,259,194,501.61</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分配股利、利润或偿付利息支付的现金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303,369,499.98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327,390,709.68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其中：子公司支付给少数股东的股利、利润</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10,132,400.00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76,533,689.39</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支付其他与筹资活动有关的现金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120,408,389.24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159,434,473.57</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筹资活动现金流出小计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6,592,539,227.72</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6,746,019,684.86</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筹资活动产生的现金流量净额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384,535,681.03</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-558,466,119.79</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四、汇率变动对现金及现金等价物的影响</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-19,660,004.98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35,563,027.92</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五、现金及现金等价物净增加额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-26,672,611.41</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342,062,003.92</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加：期初现金及现金等价物余额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2,183,880,557.50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1,841,818,553.58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六、期末现金及现金等价物余额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2,157,207,946.09</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2,183,880,557.50</w:t>
            </w:r>
          </w:p>
        </w:tc>
      </w:tr>
    </w:tbl>
    <w:p w:rsidR="00E23A97" w:rsidRPr="00831C3C" w:rsidRDefault="00C65FD5">
      <w:pPr>
        <w:pStyle w:val="3"/>
        <w:spacing w:line="280" w:lineRule="exact"/>
        <w:jc w:val="left"/>
        <w:rPr>
          <w:rFonts w:ascii="宋体" w:hAnsi="宋体" w:cs="宋体"/>
          <w:b/>
          <w:bCs/>
        </w:rPr>
      </w:pPr>
      <w:bookmarkStart w:id="170" w:name="_Toc989058"/>
      <w:r w:rsidRPr="00831C3C">
        <w:rPr>
          <w:rFonts w:ascii="宋体" w:hAnsi="宋体" w:cs="宋体"/>
          <w:b/>
          <w:bCs/>
        </w:rPr>
        <w:t>6、母公司现金流量表</w:t>
      </w:r>
      <w:bookmarkEnd w:id="170"/>
    </w:p>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jc w:val="center"/>
              <w:rPr>
                <w:rFonts w:ascii="宋体" w:eastAsia="宋体" w:hAnsi="宋体" w:cs="宋体"/>
                <w:sz w:val="18"/>
                <w:szCs w:val="18"/>
              </w:rPr>
            </w:pPr>
            <w:r w:rsidRPr="00831C3C">
              <w:rPr>
                <w:rFonts w:ascii="宋体" w:eastAsia="宋体" w:hAnsi="宋体" w:cs="宋体"/>
                <w:sz w:val="18"/>
                <w:szCs w:val="18"/>
              </w:rPr>
              <w:t>2024年度</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jc w:val="center"/>
              <w:rPr>
                <w:rFonts w:ascii="宋体" w:eastAsia="宋体" w:hAnsi="宋体" w:cs="宋体"/>
                <w:sz w:val="18"/>
                <w:szCs w:val="18"/>
              </w:rPr>
            </w:pPr>
            <w:r w:rsidRPr="00831C3C">
              <w:rPr>
                <w:rFonts w:ascii="宋体" w:eastAsia="宋体" w:hAnsi="宋体" w:cs="宋体"/>
                <w:sz w:val="18"/>
                <w:szCs w:val="18"/>
              </w:rPr>
              <w:t>2023年度</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一、经营活动产生的现金流量：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销售商品、提供劳务收到的现金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1,421,321,476.24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667,828,762.88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收到的税费返还</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收到其他与经营活动有关的现金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95,766,735.90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86,365,155.56</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经营活动现金流入小计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1,517,088,212.14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754,193,918.44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购买商品、接受劳务支付的现金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1,264,716,989.08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1,087,843,360.75</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支付给职工以及为职工支付的现金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81,497,165.05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101,511,556.23</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支付的各项税费</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24,223,030.81</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26,879,430.86</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支付其他与经营活动有关的现金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29,823,566.96</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48,015,944.04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经营活动现金流出小计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1,400,260,751.90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1,264,250,291.88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经营活动产生的现金流量净额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116,827,460.24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-510,056,373.44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二、投资活动产生的现金流量：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收回投资收到的现金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10,000.00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343,914,585.95</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取得投资收益收到的现金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4,868.14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340,024,115.91</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处置固定资产、无形资产和其他长期资产收回的现金净额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1,506,683.74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142,127.06</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处置子公司及其他营业单位收到的现金净额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收到其他与投资活动有关的现金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投资活动现金流入小计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1,521,551.88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684,080,828.92</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购建固定资产、无形资产和其他长期资产支付的现金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191,646,321.00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308,540,172.05</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投资支付的现金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5,306,183.89</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取得子公司及其他营业单位支付的现金净额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支付其他与投资活动有关的现金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投资活动现金流出小计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191,646,321.00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313,846,355.94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lastRenderedPageBreak/>
              <w:t>投资活动产生的现金流量净额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-190,124,769.12</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370,234,472.98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三、筹资活动产生的现金流量：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吸收投资收到的现金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取得借款收到的现金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281,476,171.84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332,866,255.89</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收到其他与筹资活动有关的现金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筹资活动现金流入小计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281,476,171.84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332,866,255.89</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偿还债务支付的现金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30,421,524.97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分配股利、利润或偿付利息支付的现金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65,492,870.60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12,708,842.91</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支付其他与筹资活动有关的现金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39,942,441.13</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282,700,957.36</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筹资活动现金流出小计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135,856,836.70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295,409,800.27</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筹资活动产生的现金流量净额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145,619,335.14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37,456,455.62</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四、汇率变动对现金及现金等价物的影响</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797,993.53</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五、现金及现金等价物净增加额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72,322,026.26</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-101,567,451.31</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ind w:firstLineChars="100" w:firstLine="180"/>
              <w:rPr>
                <w:rFonts w:ascii="宋体" w:eastAsia="宋体" w:hAnsi="宋体" w:cs="宋体"/>
                <w:sz w:val="18"/>
                <w:szCs w:val="18"/>
              </w:rPr>
            </w:pPr>
            <w:r w:rsidRPr="00831C3C">
              <w:rPr>
                <w:rFonts w:ascii="宋体" w:eastAsia="宋体" w:hAnsi="宋体" w:cs="宋体"/>
                <w:sz w:val="18"/>
                <w:szCs w:val="18"/>
              </w:rPr>
              <w:t>加：期初现金及现金等价物余额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35,219,200.57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136,786,651.88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六、期末现金及现金等价物余额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107,541,226.83</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35,219,200.57</w:t>
            </w:r>
          </w:p>
        </w:tc>
      </w:tr>
    </w:tbl>
    <w:p w:rsidR="00E23A97" w:rsidRPr="00831C3C" w:rsidRDefault="00C65FD5">
      <w:pPr>
        <w:pStyle w:val="3"/>
        <w:spacing w:line="280" w:lineRule="exact"/>
        <w:jc w:val="left"/>
        <w:rPr>
          <w:rFonts w:ascii="宋体" w:hAnsi="宋体" w:cs="宋体"/>
          <w:b/>
          <w:bCs/>
        </w:rPr>
      </w:pPr>
      <w:bookmarkStart w:id="171" w:name="_Toc989059"/>
      <w:r w:rsidRPr="00831C3C">
        <w:rPr>
          <w:rFonts w:ascii="宋体" w:hAnsi="宋体" w:cs="宋体"/>
          <w:b/>
          <w:bCs/>
        </w:rPr>
        <w:t>7、合并所有者权益变动表</w:t>
      </w:r>
      <w:bookmarkEnd w:id="171"/>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本期金额</w:t>
      </w:r>
    </w:p>
    <w:p w:rsidR="00E23A97" w:rsidRPr="00831C3C" w:rsidRDefault="00C65FD5">
      <w:pPr>
        <w:spacing w:before="120" w:after="12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602"/>
        <w:gridCol w:w="602"/>
        <w:gridCol w:w="602"/>
        <w:gridCol w:w="602"/>
        <w:gridCol w:w="603"/>
        <w:gridCol w:w="602"/>
        <w:gridCol w:w="602"/>
        <w:gridCol w:w="602"/>
        <w:gridCol w:w="602"/>
        <w:gridCol w:w="602"/>
        <w:gridCol w:w="602"/>
        <w:gridCol w:w="602"/>
        <w:gridCol w:w="602"/>
        <w:gridCol w:w="607"/>
        <w:gridCol w:w="602"/>
        <w:gridCol w:w="603"/>
      </w:tblGrid>
      <w:tr w:rsidR="00831C3C" w:rsidRPr="00831C3C">
        <w:trPr>
          <w:trHeight w:val="240"/>
        </w:trPr>
        <w:tc>
          <w:tcPr>
            <w:tcW w:w="602"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9037" w:type="dxa"/>
            <w:gridSpan w:val="15"/>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2024年度</w:t>
            </w:r>
          </w:p>
        </w:tc>
      </w:tr>
      <w:tr w:rsidR="00831C3C" w:rsidRPr="00831C3C">
        <w:trPr>
          <w:trHeight w:val="240"/>
        </w:trPr>
        <w:tc>
          <w:tcPr>
            <w:tcW w:w="602"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7832" w:type="dxa"/>
            <w:gridSpan w:val="13"/>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归属于母公司所有者权益</w:t>
            </w:r>
          </w:p>
        </w:tc>
        <w:tc>
          <w:tcPr>
            <w:tcW w:w="602"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0" w:lineRule="atLeast"/>
              <w:jc w:val="center"/>
              <w:rPr>
                <w:rFonts w:ascii="宋体" w:eastAsia="宋体" w:hAnsi="宋体" w:cs="宋体"/>
                <w:sz w:val="18"/>
                <w:szCs w:val="18"/>
              </w:rPr>
            </w:pPr>
            <w:r w:rsidRPr="00831C3C">
              <w:rPr>
                <w:rFonts w:ascii="宋体" w:eastAsia="宋体" w:hAnsi="宋体" w:cs="宋体"/>
                <w:sz w:val="18"/>
                <w:szCs w:val="18"/>
              </w:rPr>
              <w:t>少数股东权益</w:t>
            </w:r>
          </w:p>
        </w:tc>
        <w:tc>
          <w:tcPr>
            <w:tcW w:w="602"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所有者权益合计</w:t>
            </w:r>
          </w:p>
        </w:tc>
      </w:tr>
      <w:tr w:rsidR="00831C3C" w:rsidRPr="00831C3C">
        <w:trPr>
          <w:trHeight w:val="240"/>
        </w:trPr>
        <w:tc>
          <w:tcPr>
            <w:tcW w:w="602"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602"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股本</w:t>
            </w:r>
          </w:p>
        </w:tc>
        <w:tc>
          <w:tcPr>
            <w:tcW w:w="1807"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其他权益工具</w:t>
            </w:r>
          </w:p>
        </w:tc>
        <w:tc>
          <w:tcPr>
            <w:tcW w:w="602"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资本公积</w:t>
            </w:r>
          </w:p>
        </w:tc>
        <w:tc>
          <w:tcPr>
            <w:tcW w:w="602"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减：库存股</w:t>
            </w:r>
          </w:p>
        </w:tc>
        <w:tc>
          <w:tcPr>
            <w:tcW w:w="602"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其他综合收益</w:t>
            </w:r>
          </w:p>
        </w:tc>
        <w:tc>
          <w:tcPr>
            <w:tcW w:w="602"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专项储备</w:t>
            </w:r>
          </w:p>
        </w:tc>
        <w:tc>
          <w:tcPr>
            <w:tcW w:w="602"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盈余公积</w:t>
            </w:r>
          </w:p>
        </w:tc>
        <w:tc>
          <w:tcPr>
            <w:tcW w:w="602"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一般风险准备</w:t>
            </w:r>
          </w:p>
        </w:tc>
        <w:tc>
          <w:tcPr>
            <w:tcW w:w="602"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未分配利润</w:t>
            </w:r>
          </w:p>
        </w:tc>
        <w:tc>
          <w:tcPr>
            <w:tcW w:w="602"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其他</w:t>
            </w:r>
          </w:p>
        </w:tc>
        <w:tc>
          <w:tcPr>
            <w:tcW w:w="602"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小计</w:t>
            </w:r>
          </w:p>
        </w:tc>
        <w:tc>
          <w:tcPr>
            <w:tcW w:w="602"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602"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602"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602"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优先股</w:t>
            </w:r>
          </w:p>
        </w:tc>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永续债</w:t>
            </w:r>
          </w:p>
        </w:tc>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其他</w:t>
            </w:r>
          </w:p>
        </w:tc>
        <w:tc>
          <w:tcPr>
            <w:tcW w:w="602"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602"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602"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602" w:type="dxa"/>
            <w:vMerge/>
            <w:tcBorders>
              <w:top w:val="single" w:sz="2" w:space="0" w:color="auto"/>
              <w:left w:val="single" w:sz="2" w:space="0" w:color="auto"/>
              <w:bottom w:val="single" w:sz="2" w:space="0" w:color="auto"/>
              <w:right w:val="single" w:sz="2" w:space="0" w:color="auto"/>
            </w:tcBorders>
            <w:vAlign w:val="center"/>
          </w:tcPr>
          <w:p w:rsidR="00E23A97" w:rsidRPr="00831C3C" w:rsidRDefault="00E23A97"/>
        </w:tc>
        <w:tc>
          <w:tcPr>
            <w:tcW w:w="602"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602"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602"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602"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602"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602"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602"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一、上年期末余额</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1,700,681,355.00</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2,738,348,953.80</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200,071,093.36</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-96,153,506.00</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339,467,737.72</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1,674,292,092.74</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6,156,565,539.90</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291,949,555.56</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6,448,515,095.46</w:t>
            </w: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加：会计政策变更</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前期差错更正</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其他</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二、本年期初余额</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1,700,681,355.00</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2,738,348,953.80</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200,071,093.36</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-96,153,506.00</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339,467,737.72</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1,674,292,092.74</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6,156,565,539.90</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291,949,555.56</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6,448,515,095.46</w:t>
            </w: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三、本期增减变动金额</w:t>
            </w:r>
            <w:r w:rsidRPr="00831C3C">
              <w:rPr>
                <w:rFonts w:ascii="宋体" w:eastAsia="宋体" w:hAnsi="宋体" w:cs="宋体"/>
                <w:sz w:val="18"/>
                <w:szCs w:val="18"/>
              </w:rPr>
              <w:lastRenderedPageBreak/>
              <w:t>（减少以“－”号填列）</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100,033,114.48</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-16,182,307.37</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1,293,902.43</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-258,725,237.26</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-373,646,756.68</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-827,987.85</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-374,474,744.53</w:t>
            </w: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lastRenderedPageBreak/>
              <w:t>（一）综合收益总额</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-16,182,307.37</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-207,764,974.56</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-223,947,281.93</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12,686,663.60</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-211,260,618.33</w:t>
            </w: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（二）所有者投入和减少资本</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100,033,114.48</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-100,033,114.48</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-100,033,114.48</w:t>
            </w: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1．所有者投入的普通股</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2．其他权益工具持有者投入资本</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3．股份支付计入所有者权益的金额</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4．其他</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100,033,114.48</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-100,033,114.48</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-100,033,114.48</w:t>
            </w: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（三）利润分配</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1,293,902.43</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-50,960,262.70</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-49,666,360.27</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-13,514,651.45</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-63,181,011.72</w:t>
            </w: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1．提取盈余公积</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1,293,902.43</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-1,293,902.43</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2．</w:t>
            </w:r>
            <w:r w:rsidRPr="00831C3C">
              <w:rPr>
                <w:rFonts w:ascii="宋体" w:eastAsia="宋体" w:hAnsi="宋体" w:cs="宋体"/>
                <w:sz w:val="18"/>
                <w:szCs w:val="18"/>
              </w:rPr>
              <w:lastRenderedPageBreak/>
              <w:t>提取一般风险准备</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lastRenderedPageBreak/>
              <w:t>3．对所有者（或股东）的分配</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-49,666,360.27</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-49,666,360.27</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-13,514,651.45</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-63,181,011.72</w:t>
            </w: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4．其他</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（四）所有者权益内部结转</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1．资本公积转增资本（或股本）</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2．盈余公积转增资本（或股本）</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3．盈余公积弥补亏损</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4．设定受益计划变动额结转留存收益</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5．其他综合收益结转</w:t>
            </w:r>
            <w:r w:rsidRPr="00831C3C">
              <w:rPr>
                <w:rFonts w:ascii="宋体" w:eastAsia="宋体" w:hAnsi="宋体" w:cs="宋体"/>
                <w:sz w:val="18"/>
                <w:szCs w:val="18"/>
              </w:rPr>
              <w:lastRenderedPageBreak/>
              <w:t>留存收益</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lastRenderedPageBreak/>
              <w:t>6．其他</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（五）专项储备</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1．本期提取</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2．本期使用</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（六）其他</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四、本期期末余额</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1,700,681,355.00</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2,738,348,953.80</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300,104,207.84</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-112,335,813.37</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340,761,640.15</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1,415,566,855.48</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5,782,918,783.22</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291,121,567.71</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6,074,040,350.93</w:t>
            </w:r>
          </w:p>
        </w:tc>
      </w:tr>
    </w:tbl>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上期金额</w:t>
      </w:r>
    </w:p>
    <w:p w:rsidR="00E23A97" w:rsidRPr="00831C3C" w:rsidRDefault="00C65FD5">
      <w:pPr>
        <w:spacing w:before="120" w:after="12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602"/>
        <w:gridCol w:w="602"/>
        <w:gridCol w:w="602"/>
        <w:gridCol w:w="602"/>
        <w:gridCol w:w="603"/>
        <w:gridCol w:w="602"/>
        <w:gridCol w:w="602"/>
        <w:gridCol w:w="602"/>
        <w:gridCol w:w="602"/>
        <w:gridCol w:w="602"/>
        <w:gridCol w:w="602"/>
        <w:gridCol w:w="602"/>
        <w:gridCol w:w="602"/>
        <w:gridCol w:w="607"/>
        <w:gridCol w:w="602"/>
        <w:gridCol w:w="603"/>
      </w:tblGrid>
      <w:tr w:rsidR="00831C3C" w:rsidRPr="00831C3C">
        <w:trPr>
          <w:trHeight w:val="240"/>
        </w:trPr>
        <w:tc>
          <w:tcPr>
            <w:tcW w:w="602"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9037" w:type="dxa"/>
            <w:gridSpan w:val="15"/>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2023年度</w:t>
            </w:r>
          </w:p>
        </w:tc>
      </w:tr>
      <w:tr w:rsidR="00831C3C" w:rsidRPr="00831C3C">
        <w:trPr>
          <w:trHeight w:val="240"/>
        </w:trPr>
        <w:tc>
          <w:tcPr>
            <w:tcW w:w="602"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7832" w:type="dxa"/>
            <w:gridSpan w:val="13"/>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归属于母公司所有者权益</w:t>
            </w:r>
          </w:p>
        </w:tc>
        <w:tc>
          <w:tcPr>
            <w:tcW w:w="602"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少数股东权益</w:t>
            </w:r>
          </w:p>
        </w:tc>
        <w:tc>
          <w:tcPr>
            <w:tcW w:w="602"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所有者权益合计</w:t>
            </w:r>
          </w:p>
        </w:tc>
      </w:tr>
      <w:tr w:rsidR="00831C3C" w:rsidRPr="00831C3C">
        <w:trPr>
          <w:trHeight w:val="240"/>
        </w:trPr>
        <w:tc>
          <w:tcPr>
            <w:tcW w:w="602"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602"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股本</w:t>
            </w:r>
          </w:p>
        </w:tc>
        <w:tc>
          <w:tcPr>
            <w:tcW w:w="1807"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其他权益工具</w:t>
            </w:r>
          </w:p>
        </w:tc>
        <w:tc>
          <w:tcPr>
            <w:tcW w:w="602"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资本公积</w:t>
            </w:r>
          </w:p>
        </w:tc>
        <w:tc>
          <w:tcPr>
            <w:tcW w:w="602"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减：库存股</w:t>
            </w:r>
          </w:p>
        </w:tc>
        <w:tc>
          <w:tcPr>
            <w:tcW w:w="602"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其他综合收益</w:t>
            </w:r>
          </w:p>
        </w:tc>
        <w:tc>
          <w:tcPr>
            <w:tcW w:w="602"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专项储备</w:t>
            </w:r>
          </w:p>
        </w:tc>
        <w:tc>
          <w:tcPr>
            <w:tcW w:w="602"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盈余公积</w:t>
            </w:r>
          </w:p>
        </w:tc>
        <w:tc>
          <w:tcPr>
            <w:tcW w:w="602"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一般风险准备</w:t>
            </w:r>
          </w:p>
        </w:tc>
        <w:tc>
          <w:tcPr>
            <w:tcW w:w="602"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未分配利润</w:t>
            </w:r>
          </w:p>
        </w:tc>
        <w:tc>
          <w:tcPr>
            <w:tcW w:w="602"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其他</w:t>
            </w:r>
          </w:p>
        </w:tc>
        <w:tc>
          <w:tcPr>
            <w:tcW w:w="602"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小计</w:t>
            </w:r>
          </w:p>
        </w:tc>
        <w:tc>
          <w:tcPr>
            <w:tcW w:w="602"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602"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602"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602"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优先股</w:t>
            </w:r>
          </w:p>
        </w:tc>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永续债</w:t>
            </w:r>
          </w:p>
        </w:tc>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其他</w:t>
            </w:r>
          </w:p>
        </w:tc>
        <w:tc>
          <w:tcPr>
            <w:tcW w:w="602"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602"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602"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602" w:type="dxa"/>
            <w:vMerge/>
            <w:tcBorders>
              <w:top w:val="single" w:sz="2" w:space="0" w:color="auto"/>
              <w:left w:val="single" w:sz="2" w:space="0" w:color="auto"/>
              <w:bottom w:val="single" w:sz="2" w:space="0" w:color="auto"/>
              <w:right w:val="single" w:sz="2" w:space="0" w:color="auto"/>
            </w:tcBorders>
            <w:vAlign w:val="center"/>
          </w:tcPr>
          <w:p w:rsidR="00E23A97" w:rsidRPr="00831C3C" w:rsidRDefault="00E23A97"/>
        </w:tc>
        <w:tc>
          <w:tcPr>
            <w:tcW w:w="602"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602"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602"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602" w:type="dxa"/>
            <w:vMerge/>
            <w:tcBorders>
              <w:top w:val="single" w:sz="2" w:space="0" w:color="auto"/>
              <w:left w:val="single" w:sz="2" w:space="0" w:color="auto"/>
              <w:bottom w:val="single" w:sz="2" w:space="0" w:color="auto"/>
              <w:right w:val="single" w:sz="2" w:space="0" w:color="auto"/>
            </w:tcBorders>
            <w:vAlign w:val="center"/>
          </w:tcPr>
          <w:p w:rsidR="00E23A97" w:rsidRPr="00831C3C" w:rsidRDefault="00E23A97"/>
        </w:tc>
        <w:tc>
          <w:tcPr>
            <w:tcW w:w="602" w:type="dxa"/>
            <w:vMerge/>
            <w:tcBorders>
              <w:top w:val="single" w:sz="2" w:space="0" w:color="auto"/>
              <w:left w:val="single" w:sz="2" w:space="0" w:color="auto"/>
              <w:bottom w:val="single" w:sz="2" w:space="0" w:color="auto"/>
              <w:right w:val="single" w:sz="2" w:space="0" w:color="auto"/>
            </w:tcBorders>
            <w:vAlign w:val="center"/>
          </w:tcPr>
          <w:p w:rsidR="00E23A97" w:rsidRPr="00831C3C" w:rsidRDefault="00E23A97"/>
        </w:tc>
        <w:tc>
          <w:tcPr>
            <w:tcW w:w="602"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602"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一、上年期末余额</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1,700,681,355.00</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2,740,935,925.04</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46,974,359.92</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-48,175,536.34</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302,737,887.79</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1,644,239,862.18</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6,293,445,133.75</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485,981,399.13</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6,779,426,532.88</w:t>
            </w: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加：会计政策变更</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前期差错更正</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其他</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二、本年期初余额</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1,700,681,355.00</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2,740,935,925.04</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46,974,359.92</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-48,175,536.34</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302,737,887.79</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1,644,239,862.18</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6,293,445,133.75</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485,981,399.13</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6,779,426,532.88</w:t>
            </w: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三、本期</w:t>
            </w:r>
            <w:r w:rsidRPr="00831C3C">
              <w:rPr>
                <w:rFonts w:ascii="宋体" w:eastAsia="宋体" w:hAnsi="宋体" w:cs="宋体"/>
                <w:sz w:val="18"/>
                <w:szCs w:val="18"/>
              </w:rPr>
              <w:lastRenderedPageBreak/>
              <w:t>增减变动金额（减少以“－”号填列）</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-2,58</w:t>
            </w:r>
            <w:r w:rsidRPr="00831C3C">
              <w:rPr>
                <w:rFonts w:ascii="宋体" w:eastAsia="宋体" w:hAnsi="宋体" w:cs="宋体"/>
                <w:sz w:val="18"/>
                <w:szCs w:val="18"/>
              </w:rPr>
              <w:lastRenderedPageBreak/>
              <w:t>6,971.24</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lastRenderedPageBreak/>
              <w:t>153,096,</w:t>
            </w:r>
            <w:r w:rsidRPr="00831C3C">
              <w:rPr>
                <w:rFonts w:ascii="宋体" w:eastAsia="宋体" w:hAnsi="宋体" w:cs="宋体"/>
                <w:sz w:val="18"/>
                <w:szCs w:val="18"/>
              </w:rPr>
              <w:lastRenderedPageBreak/>
              <w:t>733.44</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lastRenderedPageBreak/>
              <w:t>-47,9</w:t>
            </w:r>
            <w:r w:rsidRPr="00831C3C">
              <w:rPr>
                <w:rFonts w:ascii="宋体" w:eastAsia="宋体" w:hAnsi="宋体" w:cs="宋体"/>
                <w:sz w:val="18"/>
                <w:szCs w:val="18"/>
              </w:rPr>
              <w:lastRenderedPageBreak/>
              <w:t>77,969.66</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36,729,8</w:t>
            </w:r>
            <w:r w:rsidRPr="00831C3C">
              <w:rPr>
                <w:rFonts w:ascii="宋体" w:eastAsia="宋体" w:hAnsi="宋体" w:cs="宋体"/>
                <w:sz w:val="18"/>
                <w:szCs w:val="18"/>
              </w:rPr>
              <w:lastRenderedPageBreak/>
              <w:t>49.93</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30,052,2</w:t>
            </w:r>
            <w:r w:rsidRPr="00831C3C">
              <w:rPr>
                <w:rFonts w:ascii="宋体" w:eastAsia="宋体" w:hAnsi="宋体" w:cs="宋体"/>
                <w:sz w:val="18"/>
                <w:szCs w:val="18"/>
              </w:rPr>
              <w:lastRenderedPageBreak/>
              <w:t>30.56</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-136,</w:t>
            </w:r>
            <w:r w:rsidRPr="00831C3C">
              <w:rPr>
                <w:rFonts w:ascii="宋体" w:eastAsia="宋体" w:hAnsi="宋体" w:cs="宋体"/>
                <w:sz w:val="18"/>
                <w:szCs w:val="18"/>
              </w:rPr>
              <w:lastRenderedPageBreak/>
              <w:t>879,593.85</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lastRenderedPageBreak/>
              <w:t>-194,</w:t>
            </w:r>
            <w:r w:rsidRPr="00831C3C">
              <w:rPr>
                <w:rFonts w:ascii="宋体" w:eastAsia="宋体" w:hAnsi="宋体" w:cs="宋体"/>
                <w:sz w:val="18"/>
                <w:szCs w:val="18"/>
              </w:rPr>
              <w:lastRenderedPageBreak/>
              <w:t>031,843.57</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lastRenderedPageBreak/>
              <w:t>-330,</w:t>
            </w:r>
            <w:r w:rsidRPr="00831C3C">
              <w:rPr>
                <w:rFonts w:ascii="宋体" w:eastAsia="宋体" w:hAnsi="宋体" w:cs="宋体"/>
                <w:sz w:val="18"/>
                <w:szCs w:val="18"/>
              </w:rPr>
              <w:lastRenderedPageBreak/>
              <w:t>911,437.42</w:t>
            </w: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lastRenderedPageBreak/>
              <w:t>（一）综合收益总额</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-47,977,969.66</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66,782,080.49</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18,804,110.83</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2,321,479.49</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21,125,590.32</w:t>
            </w: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（二）所有者投入和减少资本</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153,096,733.44</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-153,096,733.44</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-119,819,633.67</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-272,916,367.11</w:t>
            </w: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1．所有者投入的普通股</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2．其他权益工具持有者投入资本</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3．股份支付计入所有者权益的金额</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4．其他</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153,096,733.44</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-153,096,733.44</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-119,819,633.67</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-272,916,367.11</w:t>
            </w: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（三）利润分配</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36,729,849.93</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-36,729,849.93</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-76,533,689.39</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-76,533,689.39</w:t>
            </w: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1．提取</w:t>
            </w:r>
            <w:r w:rsidRPr="00831C3C">
              <w:rPr>
                <w:rFonts w:ascii="宋体" w:eastAsia="宋体" w:hAnsi="宋体" w:cs="宋体"/>
                <w:sz w:val="18"/>
                <w:szCs w:val="18"/>
              </w:rPr>
              <w:lastRenderedPageBreak/>
              <w:t>盈余公积</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36,729,849.9</w:t>
            </w:r>
            <w:r w:rsidRPr="00831C3C">
              <w:rPr>
                <w:rFonts w:ascii="宋体" w:eastAsia="宋体" w:hAnsi="宋体" w:cs="宋体"/>
                <w:sz w:val="18"/>
                <w:szCs w:val="18"/>
              </w:rPr>
              <w:lastRenderedPageBreak/>
              <w:t>3</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-36,729,8</w:t>
            </w:r>
            <w:r w:rsidRPr="00831C3C">
              <w:rPr>
                <w:rFonts w:ascii="宋体" w:eastAsia="宋体" w:hAnsi="宋体" w:cs="宋体"/>
                <w:sz w:val="18"/>
                <w:szCs w:val="18"/>
              </w:rPr>
              <w:lastRenderedPageBreak/>
              <w:t>49.93</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-76,533,6</w:t>
            </w:r>
            <w:r w:rsidRPr="00831C3C">
              <w:rPr>
                <w:rFonts w:ascii="宋体" w:eastAsia="宋体" w:hAnsi="宋体" w:cs="宋体"/>
                <w:sz w:val="18"/>
                <w:szCs w:val="18"/>
              </w:rPr>
              <w:lastRenderedPageBreak/>
              <w:t>89.39</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lastRenderedPageBreak/>
              <w:t>-76,533,6</w:t>
            </w:r>
            <w:r w:rsidRPr="00831C3C">
              <w:rPr>
                <w:rFonts w:ascii="宋体" w:eastAsia="宋体" w:hAnsi="宋体" w:cs="宋体"/>
                <w:sz w:val="18"/>
                <w:szCs w:val="18"/>
              </w:rPr>
              <w:lastRenderedPageBreak/>
              <w:t>89.39</w:t>
            </w: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lastRenderedPageBreak/>
              <w:t>2．提取一般风险准备</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3．对所有者（或股东）的分配</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4．其他</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（四）所有者权益内部结转</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1．资本公积转增资本（或股本）</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2．盈余公积转增资本（或股本）</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3．盈余公积弥补亏损</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4．设定受益计划变动额结转留存收益</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5．</w:t>
            </w:r>
            <w:r w:rsidRPr="00831C3C">
              <w:rPr>
                <w:rFonts w:ascii="宋体" w:eastAsia="宋体" w:hAnsi="宋体" w:cs="宋体"/>
                <w:sz w:val="18"/>
                <w:szCs w:val="18"/>
              </w:rPr>
              <w:lastRenderedPageBreak/>
              <w:t>其他综合收益结转留存收益</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lastRenderedPageBreak/>
              <w:t>6．其他</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（五）专项储备</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1．本期提取</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2．本期使用</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（六）其他</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-2,586,971.24</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-2,586,971.24</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-2,586,971.24</w:t>
            </w:r>
          </w:p>
        </w:tc>
      </w:tr>
      <w:tr w:rsidR="00831C3C" w:rsidRPr="00831C3C">
        <w:trPr>
          <w:trHeight w:val="240"/>
        </w:trPr>
        <w:tc>
          <w:tcPr>
            <w:tcW w:w="602"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四、本期期末余额</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1,700,681,355.00</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2,738,348,953.80</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200,071,093.36</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-96,153,506.00</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339,467,737.72</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1,674,292,092.74</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6,156,565,539.90</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291,949,555.56</w:t>
            </w:r>
          </w:p>
        </w:tc>
        <w:tc>
          <w:tcPr>
            <w:tcW w:w="602"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6,448,515,095.46</w:t>
            </w:r>
          </w:p>
        </w:tc>
      </w:tr>
    </w:tbl>
    <w:p w:rsidR="00E23A97" w:rsidRPr="00831C3C" w:rsidRDefault="00C65FD5">
      <w:pPr>
        <w:pStyle w:val="3"/>
        <w:spacing w:line="280" w:lineRule="exact"/>
        <w:jc w:val="left"/>
        <w:rPr>
          <w:rFonts w:ascii="宋体" w:hAnsi="宋体" w:cs="宋体"/>
          <w:b/>
          <w:bCs/>
        </w:rPr>
      </w:pPr>
      <w:bookmarkStart w:id="172" w:name="_Toc989060"/>
      <w:r w:rsidRPr="00831C3C">
        <w:rPr>
          <w:rFonts w:ascii="宋体" w:hAnsi="宋体" w:cs="宋体"/>
          <w:b/>
          <w:bCs/>
        </w:rPr>
        <w:t>8、母公司所有者权益变动表</w:t>
      </w:r>
      <w:bookmarkEnd w:id="172"/>
    </w:p>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本期金额</w:t>
      </w:r>
    </w:p>
    <w:p w:rsidR="00E23A97" w:rsidRPr="00831C3C" w:rsidRDefault="00C65FD5">
      <w:pPr>
        <w:spacing w:before="120" w:after="12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741"/>
        <w:gridCol w:w="741"/>
        <w:gridCol w:w="741"/>
        <w:gridCol w:w="741"/>
        <w:gridCol w:w="742"/>
        <w:gridCol w:w="741"/>
        <w:gridCol w:w="741"/>
        <w:gridCol w:w="741"/>
        <w:gridCol w:w="741"/>
        <w:gridCol w:w="741"/>
        <w:gridCol w:w="741"/>
        <w:gridCol w:w="741"/>
        <w:gridCol w:w="746"/>
      </w:tblGrid>
      <w:tr w:rsidR="00831C3C" w:rsidRPr="00831C3C">
        <w:trPr>
          <w:trHeight w:val="240"/>
        </w:trPr>
        <w:tc>
          <w:tcPr>
            <w:tcW w:w="74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8898" w:type="dxa"/>
            <w:gridSpan w:val="1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2024年度</w:t>
            </w:r>
          </w:p>
        </w:tc>
      </w:tr>
      <w:tr w:rsidR="00831C3C" w:rsidRPr="00831C3C">
        <w:trPr>
          <w:trHeight w:val="240"/>
        </w:trPr>
        <w:tc>
          <w:tcPr>
            <w:tcW w:w="74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74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股本</w:t>
            </w:r>
          </w:p>
        </w:tc>
        <w:tc>
          <w:tcPr>
            <w:tcW w:w="2224"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其他权益工具</w:t>
            </w:r>
          </w:p>
        </w:tc>
        <w:tc>
          <w:tcPr>
            <w:tcW w:w="74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资本公积</w:t>
            </w:r>
          </w:p>
        </w:tc>
        <w:tc>
          <w:tcPr>
            <w:tcW w:w="74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减：库存股</w:t>
            </w:r>
          </w:p>
        </w:tc>
        <w:tc>
          <w:tcPr>
            <w:tcW w:w="74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其他综合收益</w:t>
            </w:r>
          </w:p>
        </w:tc>
        <w:tc>
          <w:tcPr>
            <w:tcW w:w="74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专项储备</w:t>
            </w:r>
          </w:p>
        </w:tc>
        <w:tc>
          <w:tcPr>
            <w:tcW w:w="74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盈余公积</w:t>
            </w:r>
          </w:p>
        </w:tc>
        <w:tc>
          <w:tcPr>
            <w:tcW w:w="74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未分配利润</w:t>
            </w:r>
          </w:p>
        </w:tc>
        <w:tc>
          <w:tcPr>
            <w:tcW w:w="74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其他</w:t>
            </w:r>
          </w:p>
        </w:tc>
        <w:tc>
          <w:tcPr>
            <w:tcW w:w="74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所有者权益合计</w:t>
            </w:r>
          </w:p>
        </w:tc>
      </w:tr>
      <w:tr w:rsidR="00831C3C" w:rsidRPr="00831C3C">
        <w:trPr>
          <w:trHeight w:val="240"/>
        </w:trPr>
        <w:tc>
          <w:tcPr>
            <w:tcW w:w="74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74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优先股</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永续债</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其他</w:t>
            </w:r>
          </w:p>
        </w:tc>
        <w:tc>
          <w:tcPr>
            <w:tcW w:w="74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74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74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741" w:type="dxa"/>
            <w:vMerge/>
            <w:tcBorders>
              <w:top w:val="single" w:sz="2" w:space="0" w:color="auto"/>
              <w:left w:val="single" w:sz="2" w:space="0" w:color="auto"/>
              <w:bottom w:val="single" w:sz="2" w:space="0" w:color="auto"/>
              <w:right w:val="single" w:sz="2" w:space="0" w:color="auto"/>
            </w:tcBorders>
            <w:vAlign w:val="center"/>
          </w:tcPr>
          <w:p w:rsidR="00E23A97" w:rsidRPr="00831C3C" w:rsidRDefault="00E23A97"/>
        </w:tc>
        <w:tc>
          <w:tcPr>
            <w:tcW w:w="74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74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741" w:type="dxa"/>
            <w:vMerge/>
            <w:tcBorders>
              <w:top w:val="single" w:sz="2" w:space="0" w:color="auto"/>
              <w:left w:val="single" w:sz="2" w:space="0" w:color="auto"/>
              <w:bottom w:val="single" w:sz="2" w:space="0" w:color="auto"/>
              <w:right w:val="single" w:sz="2" w:space="0" w:color="auto"/>
            </w:tcBorders>
            <w:vAlign w:val="center"/>
          </w:tcPr>
          <w:p w:rsidR="00E23A97" w:rsidRPr="00831C3C" w:rsidRDefault="00E23A97"/>
        </w:tc>
        <w:tc>
          <w:tcPr>
            <w:tcW w:w="74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一、上年期末余额</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1,700,681,355.00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3,106,930,758.15</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200,071,093.36</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14,003,424.37</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307,872,299.19</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547,798,739.86</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5,477,215,483.21</w:t>
            </w: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加：会计政策变更</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前期差错更正</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其他</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lastRenderedPageBreak/>
              <w:t>二、本年期初余额</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1,700,681,355.00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3,106,930,758.15</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200,071,093.36</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14,003,424.37</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307,872,299.19</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547,798,739.86</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5,477,215,483.21</w:t>
            </w: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三、本期增减变动金额（减少以“－”号填列）</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100,033,114.48</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19,827,320.21</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1,293,902.43</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-38,021,238.36</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-116,933,130.20</w:t>
            </w: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（一）综合收益总额</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19,827,320.21</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12,939,024.34</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32,766,344.55</w:t>
            </w: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（二）所有者投入和减少资本</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100,033,114.48</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-100,033,114.48</w:t>
            </w: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1．所有者投入的普通股</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2．其他权益工具持有者投入资本</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3．股份支付计入所有者权益的金额</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4．其他</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100,033,114.48</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-100,033,114.48</w:t>
            </w: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（三）利润分配</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1,293,902.43</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-50,960,262.70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-49,666,360.27</w:t>
            </w: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lastRenderedPageBreak/>
              <w:t>1．提取盈余公积</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1,293,902.43</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-1,293,902.43</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2．对所有者（或股东）的分配</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-49,666,360.27</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-49,666,360.27</w:t>
            </w: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3．其他</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（四）所有者权益内部结转</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1．资本公积转增资本（或股本）</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2．盈余公积转增资本（或股本）</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3．盈余公积弥补亏损</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4．设定受益计划变动额结转留存收益</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5．其他综合收益结转留存收</w:t>
            </w:r>
            <w:r w:rsidRPr="00831C3C">
              <w:rPr>
                <w:rFonts w:ascii="宋体" w:eastAsia="宋体" w:hAnsi="宋体" w:cs="宋体"/>
                <w:sz w:val="18"/>
                <w:szCs w:val="18"/>
              </w:rPr>
              <w:lastRenderedPageBreak/>
              <w:t>益</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lastRenderedPageBreak/>
              <w:t>6．其他</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（五）专项储备</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1．本期提取</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2．本期使用</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（六）其他</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四、本期期末余额</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1,700,681,355.00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3,106,930,758.15</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300,104,207.84</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33,830,744.58</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309,166,201.62</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509,777,501.50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5,360,282,353.01</w:t>
            </w:r>
          </w:p>
        </w:tc>
      </w:tr>
    </w:tbl>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上期金额</w:t>
      </w:r>
    </w:p>
    <w:p w:rsidR="00E23A97" w:rsidRPr="00831C3C" w:rsidRDefault="00C65FD5">
      <w:pPr>
        <w:spacing w:before="120" w:after="12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741"/>
        <w:gridCol w:w="741"/>
        <w:gridCol w:w="741"/>
        <w:gridCol w:w="741"/>
        <w:gridCol w:w="742"/>
        <w:gridCol w:w="741"/>
        <w:gridCol w:w="741"/>
        <w:gridCol w:w="741"/>
        <w:gridCol w:w="741"/>
        <w:gridCol w:w="741"/>
        <w:gridCol w:w="741"/>
        <w:gridCol w:w="741"/>
        <w:gridCol w:w="746"/>
      </w:tblGrid>
      <w:tr w:rsidR="00831C3C" w:rsidRPr="00831C3C">
        <w:trPr>
          <w:trHeight w:val="240"/>
        </w:trPr>
        <w:tc>
          <w:tcPr>
            <w:tcW w:w="74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8898" w:type="dxa"/>
            <w:gridSpan w:val="1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2023年度</w:t>
            </w:r>
          </w:p>
        </w:tc>
      </w:tr>
      <w:tr w:rsidR="00831C3C" w:rsidRPr="00831C3C">
        <w:trPr>
          <w:trHeight w:val="240"/>
        </w:trPr>
        <w:tc>
          <w:tcPr>
            <w:tcW w:w="74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74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股本</w:t>
            </w:r>
          </w:p>
        </w:tc>
        <w:tc>
          <w:tcPr>
            <w:tcW w:w="2224"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其他权益工具</w:t>
            </w:r>
          </w:p>
        </w:tc>
        <w:tc>
          <w:tcPr>
            <w:tcW w:w="74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资本公积</w:t>
            </w:r>
          </w:p>
        </w:tc>
        <w:tc>
          <w:tcPr>
            <w:tcW w:w="74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减：库存股</w:t>
            </w:r>
          </w:p>
        </w:tc>
        <w:tc>
          <w:tcPr>
            <w:tcW w:w="74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其他综合收益</w:t>
            </w:r>
          </w:p>
        </w:tc>
        <w:tc>
          <w:tcPr>
            <w:tcW w:w="74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专项储备</w:t>
            </w:r>
          </w:p>
        </w:tc>
        <w:tc>
          <w:tcPr>
            <w:tcW w:w="74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盈余公积</w:t>
            </w:r>
          </w:p>
        </w:tc>
        <w:tc>
          <w:tcPr>
            <w:tcW w:w="74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未分配利润</w:t>
            </w:r>
          </w:p>
        </w:tc>
        <w:tc>
          <w:tcPr>
            <w:tcW w:w="74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其他</w:t>
            </w:r>
          </w:p>
        </w:tc>
        <w:tc>
          <w:tcPr>
            <w:tcW w:w="74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所有者权益合计</w:t>
            </w:r>
          </w:p>
        </w:tc>
      </w:tr>
      <w:tr w:rsidR="00831C3C" w:rsidRPr="00831C3C">
        <w:trPr>
          <w:trHeight w:val="240"/>
        </w:trPr>
        <w:tc>
          <w:tcPr>
            <w:tcW w:w="74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74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优先股</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永续债</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其他</w:t>
            </w:r>
          </w:p>
        </w:tc>
        <w:tc>
          <w:tcPr>
            <w:tcW w:w="74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74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74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741" w:type="dxa"/>
            <w:vMerge/>
            <w:tcBorders>
              <w:top w:val="single" w:sz="2" w:space="0" w:color="auto"/>
              <w:left w:val="single" w:sz="2" w:space="0" w:color="auto"/>
              <w:bottom w:val="single" w:sz="2" w:space="0" w:color="auto"/>
              <w:right w:val="single" w:sz="2" w:space="0" w:color="auto"/>
            </w:tcBorders>
            <w:vAlign w:val="center"/>
          </w:tcPr>
          <w:p w:rsidR="00E23A97" w:rsidRPr="00831C3C" w:rsidRDefault="00E23A97"/>
        </w:tc>
        <w:tc>
          <w:tcPr>
            <w:tcW w:w="74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74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741" w:type="dxa"/>
            <w:vMerge/>
            <w:tcBorders>
              <w:top w:val="single" w:sz="2" w:space="0" w:color="auto"/>
              <w:left w:val="single" w:sz="2" w:space="0" w:color="auto"/>
              <w:bottom w:val="single" w:sz="2" w:space="0" w:color="auto"/>
              <w:right w:val="single" w:sz="2" w:space="0" w:color="auto"/>
            </w:tcBorders>
            <w:vAlign w:val="center"/>
          </w:tcPr>
          <w:p w:rsidR="00E23A97" w:rsidRPr="00831C3C" w:rsidRDefault="00E23A97"/>
        </w:tc>
        <w:tc>
          <w:tcPr>
            <w:tcW w:w="74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一、上年期末余额</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1,700,681,355.00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3,106,930,758.15</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46,974,359.92</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15,469,238.85</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271,142,449.26</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217,230,090.53</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5,264,479,531.87</w:t>
            </w: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加：会计政策变更</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前期差错更正</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其他</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二、本年期初余额</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1,700,681,355.00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3,106,930,758.15</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46,974,359.92</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15,469,238.85</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271,142,449.26</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217,230,090.53</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5,264,479,531.87</w:t>
            </w: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三、本期增减变动金额</w:t>
            </w:r>
            <w:r w:rsidRPr="00831C3C">
              <w:rPr>
                <w:rFonts w:ascii="宋体" w:eastAsia="宋体" w:hAnsi="宋体" w:cs="宋体"/>
                <w:sz w:val="18"/>
                <w:szCs w:val="18"/>
              </w:rPr>
              <w:lastRenderedPageBreak/>
              <w:t>（减少以“－”号填列）</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153,096,733.44</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-1,465,814.48</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36,729,849.93</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330,568,649.33</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212,735,951.34</w:t>
            </w: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lastRenderedPageBreak/>
              <w:t>（一）综合收益总额</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-1,465,814.48</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367,298,499.26</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365,832,684.78</w:t>
            </w: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（二）所有者投入和减少资本</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153,096,733.44</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-153,096,733.44</w:t>
            </w: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1．所有者投入的普通股</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2．其他权益工具持有者投入资本</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3．股份支付计入所有者权益的金额</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4．其他</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153,096,733.44</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-153,096,733.44</w:t>
            </w: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（三）利润分配</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36,729,849.93</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-36,729,849.93</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1．提取盈余公积</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36,729,849.93</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-36,729,849.93</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2．对所有者（或股</w:t>
            </w:r>
            <w:r w:rsidRPr="00831C3C">
              <w:rPr>
                <w:rFonts w:ascii="宋体" w:eastAsia="宋体" w:hAnsi="宋体" w:cs="宋体"/>
                <w:sz w:val="18"/>
                <w:szCs w:val="18"/>
              </w:rPr>
              <w:lastRenderedPageBreak/>
              <w:t>东）的分配</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lastRenderedPageBreak/>
              <w:t>3．其他</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（四）所有者权益内部结转</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1．资本公积转增资本（或股本）</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2．盈余公积转增资本（或股本）</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3．盈余公积弥补亏损</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4．设定受益计划变动额结转留存收益</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5．其他综合收益结转留存收益</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6．其他</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（五）专项储备</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1．本</w:t>
            </w:r>
            <w:r w:rsidRPr="00831C3C">
              <w:rPr>
                <w:rFonts w:ascii="宋体" w:eastAsia="宋体" w:hAnsi="宋体" w:cs="宋体"/>
                <w:sz w:val="18"/>
                <w:szCs w:val="18"/>
              </w:rPr>
              <w:lastRenderedPageBreak/>
              <w:t>期提取</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lastRenderedPageBreak/>
              <w:t>2．本期使用</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（六）其他</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四、本期期末余额</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1,700,681,355.00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3,106,930,758.15</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200,071,093.36</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14,003,424.37</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307,872,299.19</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547,798,739.86</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5,477,215,483.21</w:t>
            </w:r>
          </w:p>
        </w:tc>
      </w:tr>
    </w:tbl>
    <w:p w:rsidR="00E23A97" w:rsidRPr="00831C3C" w:rsidRDefault="00C65FD5">
      <w:pPr>
        <w:pStyle w:val="2"/>
        <w:spacing w:before="300" w:after="300" w:line="320" w:lineRule="exact"/>
        <w:rPr>
          <w:rFonts w:ascii="宋体" w:eastAsia="宋体" w:hAnsi="宋体" w:cs="宋体"/>
          <w:b/>
          <w:bCs/>
          <w:sz w:val="24"/>
          <w:szCs w:val="24"/>
        </w:rPr>
      </w:pPr>
      <w:bookmarkStart w:id="173" w:name="_Toc989061"/>
      <w:r w:rsidRPr="00831C3C">
        <w:rPr>
          <w:rFonts w:ascii="宋体" w:eastAsia="宋体" w:hAnsi="宋体" w:cs="宋体"/>
          <w:b/>
          <w:bCs/>
          <w:sz w:val="24"/>
          <w:szCs w:val="24"/>
        </w:rPr>
        <w:t>三、公司基本情况</w:t>
      </w:r>
      <w:bookmarkEnd w:id="173"/>
    </w:p>
    <w:p w:rsidR="00C65FD5" w:rsidRPr="00831C3C" w:rsidRDefault="00C65FD5" w:rsidP="00034610">
      <w:pPr>
        <w:widowControl/>
        <w:numPr>
          <w:ilvl w:val="1"/>
          <w:numId w:val="17"/>
        </w:numPr>
        <w:tabs>
          <w:tab w:val="clear" w:pos="1440"/>
          <w:tab w:val="num" w:pos="709"/>
        </w:tabs>
        <w:spacing w:before="100" w:beforeAutospacing="1" w:after="100" w:afterAutospacing="1"/>
        <w:ind w:left="851"/>
        <w:divId w:val="626545240"/>
        <w:rPr>
          <w:sz w:val="18"/>
          <w:szCs w:val="18"/>
        </w:rPr>
      </w:pPr>
      <w:r w:rsidRPr="00831C3C">
        <w:rPr>
          <w:rFonts w:hint="eastAsia"/>
          <w:sz w:val="18"/>
          <w:szCs w:val="18"/>
        </w:rPr>
        <w:t>公司注册地、组织形式和总部地址</w:t>
      </w:r>
    </w:p>
    <w:p w:rsidR="00C65FD5" w:rsidRPr="00831C3C" w:rsidRDefault="00C65FD5" w:rsidP="00034610">
      <w:pPr>
        <w:pStyle w:val="a3"/>
        <w:spacing w:before="0" w:beforeAutospacing="0" w:after="0" w:afterAutospacing="0"/>
        <w:ind w:firstLine="420"/>
        <w:jc w:val="both"/>
        <w:divId w:val="626545240"/>
        <w:rPr>
          <w:sz w:val="18"/>
          <w:szCs w:val="18"/>
        </w:rPr>
      </w:pPr>
      <w:r w:rsidRPr="00831C3C">
        <w:rPr>
          <w:rFonts w:hint="eastAsia"/>
          <w:sz w:val="18"/>
          <w:szCs w:val="18"/>
        </w:rPr>
        <w:t>华孚时尚股份有限公司（以下简称“公司”或“本公司”）前身系于2000年10月经安徽省体改委【皖体改函[2000]79号】、安徽省人民政府【皖府股字[2000]第37号】文批准，由安徽飞亚纺织集团有限公司(以下简称“飞亚集团”)作为主发起人，联合上海东华大学科技园发展有限公司、淮北印染集团公司、上海市纺织科学研究院、安徽省国有资产运营有限公司、淮北市国有资产运营有限公司等五家企业共同发起，采用募集方式设立的股份有限公司。并于2000年10月31日在安徽省工商行政管理局登记注册，注册资本为6,000.00万元。根据本公司2003年第一次临时股东大会决议，并经中国证券监督管理委员会证</w:t>
      </w:r>
      <w:proofErr w:type="gramStart"/>
      <w:r w:rsidRPr="00831C3C">
        <w:rPr>
          <w:rFonts w:hint="eastAsia"/>
          <w:sz w:val="18"/>
          <w:szCs w:val="18"/>
        </w:rPr>
        <w:t>监发行字</w:t>
      </w:r>
      <w:proofErr w:type="gramEnd"/>
      <w:r w:rsidRPr="00831C3C">
        <w:rPr>
          <w:rFonts w:hint="eastAsia"/>
          <w:sz w:val="18"/>
          <w:szCs w:val="18"/>
        </w:rPr>
        <w:t>[2005]9号文核准，本公司于2005年4月向社会公众公开发行股票4,000万股，2005年4月27日在深圳证券交易所挂牌上市。</w:t>
      </w:r>
    </w:p>
    <w:p w:rsidR="00C65FD5" w:rsidRPr="00831C3C" w:rsidRDefault="00C65FD5" w:rsidP="00034610">
      <w:pPr>
        <w:pStyle w:val="a3"/>
        <w:spacing w:before="0" w:beforeAutospacing="0" w:after="0" w:afterAutospacing="0"/>
        <w:ind w:firstLine="420"/>
        <w:jc w:val="both"/>
        <w:divId w:val="626545240"/>
        <w:rPr>
          <w:sz w:val="18"/>
          <w:szCs w:val="18"/>
        </w:rPr>
      </w:pPr>
      <w:r w:rsidRPr="00831C3C">
        <w:rPr>
          <w:rFonts w:hint="eastAsia"/>
          <w:sz w:val="18"/>
          <w:szCs w:val="18"/>
        </w:rPr>
        <w:t>2008年1月22日淮北市人民政府国有资产监督管理委员会与华孚控股有限公司(以下简称“华孚控股”)签订《产权交易合同》，华孚控股拟收购淮北市人民政府国有资产监督管理委员会持有的飞亚集团100%的股权，飞亚集团持有本公司40.55%的股权。</w:t>
      </w:r>
    </w:p>
    <w:p w:rsidR="00C65FD5" w:rsidRPr="00831C3C" w:rsidRDefault="00C65FD5" w:rsidP="00034610">
      <w:pPr>
        <w:pStyle w:val="a3"/>
        <w:spacing w:before="0" w:beforeAutospacing="0" w:after="0" w:afterAutospacing="0"/>
        <w:ind w:firstLine="420"/>
        <w:jc w:val="both"/>
        <w:divId w:val="626545240"/>
        <w:rPr>
          <w:sz w:val="18"/>
          <w:szCs w:val="18"/>
        </w:rPr>
      </w:pPr>
      <w:r w:rsidRPr="00831C3C">
        <w:rPr>
          <w:rFonts w:hint="eastAsia"/>
          <w:sz w:val="18"/>
          <w:szCs w:val="18"/>
        </w:rPr>
        <w:t>上述转让经2008年4月6日国务院国有资产监督管理委员会国资产权［2008］357号《关于安徽飞亚纺织发展股份有限公司间接转让涉及的国有股东性质变更有关问题的批复》以及2008年6月27日中国证券监督管理委员会证监许可［2008］849号《关于核准华孚控股有限公司公告安徽飞亚纺织发展股份有限公司收购报告书的批复》批准。2008年12月10日完成工商变更登记手续，飞亚集团变更为华孚控股全资子公司。</w:t>
      </w:r>
    </w:p>
    <w:p w:rsidR="00C65FD5" w:rsidRPr="00831C3C" w:rsidRDefault="00C65FD5" w:rsidP="00034610">
      <w:pPr>
        <w:pStyle w:val="a3"/>
        <w:spacing w:before="0" w:beforeAutospacing="0" w:after="0" w:afterAutospacing="0"/>
        <w:ind w:firstLine="420"/>
        <w:jc w:val="both"/>
        <w:divId w:val="626545240"/>
        <w:rPr>
          <w:sz w:val="18"/>
          <w:szCs w:val="18"/>
        </w:rPr>
      </w:pPr>
      <w:r w:rsidRPr="00831C3C">
        <w:rPr>
          <w:rFonts w:hint="eastAsia"/>
          <w:sz w:val="18"/>
          <w:szCs w:val="18"/>
        </w:rPr>
        <w:t>2008年1月30日，飞亚集团分别与受让方廖煜、赵伟光和陈敏签署了股权转让协议。飞亚集团以协议转让方式分别向廖煜、赵伟光和陈敏转让499万股本公司股权，合计转让1,497万股权，占本公司总股本的14.97%。飞亚集团减持后持有本公司2,557.91万股，占总股本的25.58%，该转让于2008年12月3日完成股权过户手续。</w:t>
      </w:r>
    </w:p>
    <w:p w:rsidR="00C65FD5" w:rsidRPr="00831C3C" w:rsidRDefault="00C65FD5" w:rsidP="00034610">
      <w:pPr>
        <w:pStyle w:val="a3"/>
        <w:spacing w:before="0" w:beforeAutospacing="0" w:after="0" w:afterAutospacing="0"/>
        <w:ind w:firstLine="420"/>
        <w:jc w:val="both"/>
        <w:divId w:val="626545240"/>
        <w:rPr>
          <w:sz w:val="18"/>
          <w:szCs w:val="18"/>
        </w:rPr>
      </w:pPr>
      <w:r w:rsidRPr="00831C3C">
        <w:rPr>
          <w:rFonts w:hint="eastAsia"/>
          <w:sz w:val="18"/>
          <w:szCs w:val="18"/>
        </w:rPr>
        <w:t>本公司2008年5月15日与华孚控股、深圳市华人投资有限公司及朱翠云、宋江、顾振华、潘金平、齐昌玮、张小荷、项小岳、王斌签署了《非公开发行股份与资产购买协议书》，并经2008年第三届董事会第三次会议决议、2008年第二次临时股东大会决议通过，本公司以通过非公开发行13,511.10万股普通股为对价，认购华孚控股、深圳市华人投资有限公司及朱翠云、宋江、顾振华、潘金平、齐昌玮、张小荷、项小岳、王斌八位自然人合计持有的深圳市华孚进出口有限公司100%股权；认购华孚控股持有的江西华孚色纺有限公司40%股权、持有的浙江缙云华孚纺织有限公司29.70%股权以及持有的浙江金棉纺织有限公司37.50%股权(以下简称“标的资产”)。</w:t>
      </w:r>
    </w:p>
    <w:p w:rsidR="00C65FD5" w:rsidRPr="00831C3C" w:rsidRDefault="00C65FD5" w:rsidP="00034610">
      <w:pPr>
        <w:pStyle w:val="a3"/>
        <w:spacing w:before="0" w:beforeAutospacing="0" w:after="0" w:afterAutospacing="0"/>
        <w:ind w:firstLine="420"/>
        <w:jc w:val="both"/>
        <w:divId w:val="626545240"/>
        <w:rPr>
          <w:sz w:val="18"/>
          <w:szCs w:val="18"/>
        </w:rPr>
      </w:pPr>
      <w:r w:rsidRPr="00831C3C">
        <w:rPr>
          <w:rFonts w:hint="eastAsia"/>
          <w:sz w:val="18"/>
          <w:szCs w:val="18"/>
        </w:rPr>
        <w:t>2008年12月29日，根据中国证券监督管理委员会上市公司并购重组审核委员会审核结果，本公司发行股份购买资产暨关联交易获得有条件通过。</w:t>
      </w:r>
    </w:p>
    <w:p w:rsidR="00C65FD5" w:rsidRPr="00831C3C" w:rsidRDefault="00C65FD5" w:rsidP="00034610">
      <w:pPr>
        <w:pStyle w:val="a3"/>
        <w:spacing w:before="0" w:beforeAutospacing="0" w:after="0" w:afterAutospacing="0"/>
        <w:ind w:firstLine="420"/>
        <w:jc w:val="both"/>
        <w:divId w:val="626545240"/>
        <w:rPr>
          <w:sz w:val="18"/>
          <w:szCs w:val="18"/>
        </w:rPr>
      </w:pPr>
      <w:r w:rsidRPr="00831C3C">
        <w:rPr>
          <w:rFonts w:hint="eastAsia"/>
          <w:sz w:val="18"/>
          <w:szCs w:val="18"/>
        </w:rPr>
        <w:t>2008年12月31日，本公司召开2008年第四次临时股东大会，决议通过《关于变更公司注册名称的议案》，本公司注册名称拟由“安徽飞亚纺织发展股份有限公司”变更为“安徽华孚色纺股份有限公司”，并于2009年1月5日完成工商变更登记手续。</w:t>
      </w:r>
    </w:p>
    <w:p w:rsidR="00C65FD5" w:rsidRPr="00831C3C" w:rsidRDefault="00C65FD5" w:rsidP="00034610">
      <w:pPr>
        <w:pStyle w:val="a3"/>
        <w:spacing w:before="0" w:beforeAutospacing="0" w:after="0" w:afterAutospacing="0"/>
        <w:ind w:firstLine="420"/>
        <w:jc w:val="both"/>
        <w:divId w:val="626545240"/>
        <w:rPr>
          <w:sz w:val="18"/>
          <w:szCs w:val="18"/>
        </w:rPr>
      </w:pPr>
      <w:r w:rsidRPr="00831C3C">
        <w:rPr>
          <w:rFonts w:hint="eastAsia"/>
          <w:sz w:val="18"/>
          <w:szCs w:val="18"/>
        </w:rPr>
        <w:lastRenderedPageBreak/>
        <w:t>2009年3月19日，本公司召开2008年度股东大会，决议通过《关于变更公司注册名称的议案》，本公司注册名称拟由“安徽华孚色纺股份有限公司”变更为“华孚色纺股份有限公司”。</w:t>
      </w:r>
    </w:p>
    <w:p w:rsidR="00C65FD5" w:rsidRPr="00831C3C" w:rsidRDefault="00C65FD5" w:rsidP="00034610">
      <w:pPr>
        <w:pStyle w:val="a3"/>
        <w:spacing w:before="0" w:beforeAutospacing="0" w:after="0" w:afterAutospacing="0"/>
        <w:ind w:firstLine="420"/>
        <w:jc w:val="both"/>
        <w:divId w:val="626545240"/>
        <w:rPr>
          <w:sz w:val="18"/>
          <w:szCs w:val="18"/>
        </w:rPr>
      </w:pPr>
      <w:r w:rsidRPr="00831C3C">
        <w:rPr>
          <w:rFonts w:hint="eastAsia"/>
          <w:sz w:val="18"/>
          <w:szCs w:val="18"/>
        </w:rPr>
        <w:t>本公司2017年8月23日召开第六届董事会第八次会议、2017年9月12日召开2017年第二次临时股东大会审议通过了《关于拟变更公司名称、证券简称及修订〈公司章程〉的议案》，公司名称由华孚色纺股份有限公司变更为华孚时尚股份有限公司，现持有统一社会信用代码为9134060072553187XK的营业执照。</w:t>
      </w:r>
    </w:p>
    <w:p w:rsidR="00C65FD5" w:rsidRPr="00831C3C" w:rsidRDefault="00C65FD5" w:rsidP="00034610">
      <w:pPr>
        <w:pStyle w:val="a3"/>
        <w:spacing w:before="0" w:beforeAutospacing="0" w:after="0" w:afterAutospacing="0"/>
        <w:ind w:firstLine="420"/>
        <w:jc w:val="both"/>
        <w:divId w:val="626545240"/>
        <w:rPr>
          <w:sz w:val="18"/>
          <w:szCs w:val="18"/>
        </w:rPr>
      </w:pPr>
      <w:r w:rsidRPr="00831C3C">
        <w:rPr>
          <w:rFonts w:hint="eastAsia"/>
          <w:sz w:val="18"/>
          <w:szCs w:val="18"/>
        </w:rPr>
        <w:t>经过历年的派送红股、配售新股、转增股本及增发新股，截止2024年12月31日，本公司累计发行股本总数170,068.1355万股，注册资本为170,068.1355万元，注册地址：淮北经济开发区新区石山路6号，总部地址：广东省深圳市福田区</w:t>
      </w:r>
      <w:proofErr w:type="gramStart"/>
      <w:r w:rsidRPr="00831C3C">
        <w:rPr>
          <w:rFonts w:hint="eastAsia"/>
          <w:sz w:val="18"/>
          <w:szCs w:val="18"/>
        </w:rPr>
        <w:t>市花路</w:t>
      </w:r>
      <w:proofErr w:type="gramEnd"/>
      <w:r w:rsidRPr="00831C3C">
        <w:rPr>
          <w:rFonts w:hint="eastAsia"/>
          <w:sz w:val="18"/>
          <w:szCs w:val="18"/>
        </w:rPr>
        <w:t>5号</w:t>
      </w:r>
      <w:proofErr w:type="gramStart"/>
      <w:r w:rsidRPr="00831C3C">
        <w:rPr>
          <w:rFonts w:hint="eastAsia"/>
          <w:sz w:val="18"/>
          <w:szCs w:val="18"/>
        </w:rPr>
        <w:t>长富金茂</w:t>
      </w:r>
      <w:proofErr w:type="gramEnd"/>
      <w:r w:rsidRPr="00831C3C">
        <w:rPr>
          <w:rFonts w:hint="eastAsia"/>
          <w:sz w:val="18"/>
          <w:szCs w:val="18"/>
        </w:rPr>
        <w:t>大厦59楼，母公司为华孚控股有限公司，最终实际控制人为孙伟挺、陈玲芬。</w:t>
      </w:r>
    </w:p>
    <w:p w:rsidR="00E23A97" w:rsidRPr="00831C3C" w:rsidRDefault="00C65FD5">
      <w:pPr>
        <w:pStyle w:val="2"/>
        <w:spacing w:before="300" w:after="300" w:line="320" w:lineRule="exact"/>
        <w:rPr>
          <w:rFonts w:ascii="宋体" w:eastAsia="宋体" w:hAnsi="宋体" w:cs="宋体"/>
          <w:b/>
          <w:bCs/>
          <w:sz w:val="24"/>
          <w:szCs w:val="24"/>
        </w:rPr>
      </w:pPr>
      <w:bookmarkStart w:id="174" w:name="_Toc989062"/>
      <w:r w:rsidRPr="00831C3C">
        <w:rPr>
          <w:rFonts w:ascii="宋体" w:eastAsia="宋体" w:hAnsi="宋体" w:cs="宋体"/>
          <w:b/>
          <w:bCs/>
          <w:sz w:val="24"/>
          <w:szCs w:val="24"/>
        </w:rPr>
        <w:t>四、财务报表的编制基础</w:t>
      </w:r>
      <w:bookmarkEnd w:id="174"/>
    </w:p>
    <w:p w:rsidR="00E23A97" w:rsidRPr="00831C3C" w:rsidRDefault="00C65FD5">
      <w:pPr>
        <w:pStyle w:val="3"/>
        <w:spacing w:line="280" w:lineRule="exact"/>
        <w:jc w:val="left"/>
        <w:rPr>
          <w:rFonts w:ascii="宋体" w:hAnsi="宋体" w:cs="宋体"/>
          <w:b/>
          <w:bCs/>
        </w:rPr>
      </w:pPr>
      <w:bookmarkStart w:id="175" w:name="_Toc989063"/>
      <w:r w:rsidRPr="00831C3C">
        <w:rPr>
          <w:rFonts w:ascii="宋体" w:hAnsi="宋体" w:cs="宋体"/>
          <w:b/>
          <w:bCs/>
        </w:rPr>
        <w:t>1、编制基础</w:t>
      </w:r>
      <w:bookmarkEnd w:id="175"/>
    </w:p>
    <w:p w:rsidR="00C65FD5" w:rsidRPr="00831C3C" w:rsidRDefault="00C65FD5" w:rsidP="00034610">
      <w:pPr>
        <w:pStyle w:val="a3"/>
        <w:spacing w:before="0" w:beforeAutospacing="0" w:after="0" w:afterAutospacing="0"/>
        <w:ind w:firstLine="420"/>
        <w:jc w:val="both"/>
        <w:divId w:val="484593210"/>
        <w:rPr>
          <w:sz w:val="18"/>
          <w:szCs w:val="18"/>
        </w:rPr>
      </w:pPr>
      <w:r w:rsidRPr="00831C3C">
        <w:rPr>
          <w:rFonts w:hint="eastAsia"/>
          <w:sz w:val="18"/>
          <w:szCs w:val="18"/>
        </w:rPr>
        <w:t>本公司根据实际发生的交易和事项，按照财政部颁布的《企业会计准则</w:t>
      </w:r>
      <w:r w:rsidRPr="00831C3C">
        <w:rPr>
          <w:sz w:val="18"/>
          <w:szCs w:val="18"/>
        </w:rPr>
        <w:t>——</w:t>
      </w:r>
      <w:r w:rsidRPr="00831C3C">
        <w:rPr>
          <w:rFonts w:hint="eastAsia"/>
          <w:sz w:val="18"/>
          <w:szCs w:val="18"/>
        </w:rPr>
        <w:t>基本准则》和具体企业会计准则、企业会计准则应用指南、企业会计准则解释及其他相关规定（以下合称</w:t>
      </w:r>
      <w:r w:rsidRPr="00831C3C">
        <w:rPr>
          <w:sz w:val="18"/>
          <w:szCs w:val="18"/>
        </w:rPr>
        <w:t>“</w:t>
      </w:r>
      <w:r w:rsidRPr="00831C3C">
        <w:rPr>
          <w:rFonts w:hint="eastAsia"/>
          <w:sz w:val="18"/>
          <w:szCs w:val="18"/>
        </w:rPr>
        <w:t>企业会计准则</w:t>
      </w:r>
      <w:r w:rsidRPr="00831C3C">
        <w:rPr>
          <w:sz w:val="18"/>
          <w:szCs w:val="18"/>
        </w:rPr>
        <w:t>”</w:t>
      </w:r>
      <w:r w:rsidRPr="00831C3C">
        <w:rPr>
          <w:rFonts w:hint="eastAsia"/>
          <w:sz w:val="18"/>
          <w:szCs w:val="18"/>
        </w:rPr>
        <w:t>）进行确认和计量，在此基础上，结合中国证券监督管理委员会《公开发行证券的公司信息披露编报规则第</w:t>
      </w:r>
      <w:r w:rsidRPr="00831C3C">
        <w:rPr>
          <w:sz w:val="18"/>
          <w:szCs w:val="18"/>
        </w:rPr>
        <w:t>15</w:t>
      </w:r>
      <w:r w:rsidRPr="00831C3C">
        <w:rPr>
          <w:rFonts w:hint="eastAsia"/>
          <w:sz w:val="18"/>
          <w:szCs w:val="18"/>
        </w:rPr>
        <w:t>号</w:t>
      </w:r>
      <w:r w:rsidRPr="00831C3C">
        <w:rPr>
          <w:sz w:val="18"/>
          <w:szCs w:val="18"/>
        </w:rPr>
        <w:t>——</w:t>
      </w:r>
      <w:r w:rsidRPr="00831C3C">
        <w:rPr>
          <w:rFonts w:hint="eastAsia"/>
          <w:sz w:val="18"/>
          <w:szCs w:val="18"/>
        </w:rPr>
        <w:t>财务报告的一般规定》（</w:t>
      </w:r>
      <w:r w:rsidRPr="00831C3C">
        <w:rPr>
          <w:sz w:val="18"/>
          <w:szCs w:val="18"/>
        </w:rPr>
        <w:t>2023</w:t>
      </w:r>
      <w:r w:rsidRPr="00831C3C">
        <w:rPr>
          <w:rFonts w:hint="eastAsia"/>
          <w:sz w:val="18"/>
          <w:szCs w:val="18"/>
        </w:rPr>
        <w:t>年修订）的规定，编制财务报表。</w:t>
      </w:r>
    </w:p>
    <w:p w:rsidR="00E23A97" w:rsidRPr="00831C3C" w:rsidRDefault="00C65FD5">
      <w:pPr>
        <w:pStyle w:val="3"/>
        <w:spacing w:line="280" w:lineRule="exact"/>
        <w:jc w:val="left"/>
        <w:rPr>
          <w:rFonts w:ascii="宋体" w:hAnsi="宋体" w:cs="宋体"/>
          <w:b/>
          <w:bCs/>
        </w:rPr>
      </w:pPr>
      <w:bookmarkStart w:id="176" w:name="_Toc989064"/>
      <w:r w:rsidRPr="00831C3C">
        <w:rPr>
          <w:rFonts w:ascii="宋体" w:hAnsi="宋体" w:cs="宋体"/>
          <w:b/>
          <w:bCs/>
        </w:rPr>
        <w:t>2、持续经营</w:t>
      </w:r>
      <w:bookmarkEnd w:id="176"/>
    </w:p>
    <w:p w:rsidR="00C65FD5" w:rsidRPr="00831C3C" w:rsidRDefault="00C65FD5" w:rsidP="00034610">
      <w:pPr>
        <w:pStyle w:val="a3"/>
        <w:spacing w:before="0" w:beforeAutospacing="0" w:after="0" w:afterAutospacing="0"/>
        <w:ind w:firstLine="420"/>
        <w:jc w:val="both"/>
        <w:divId w:val="788860211"/>
        <w:rPr>
          <w:sz w:val="18"/>
          <w:szCs w:val="18"/>
        </w:rPr>
      </w:pPr>
      <w:r w:rsidRPr="00831C3C">
        <w:rPr>
          <w:rFonts w:hint="eastAsia"/>
          <w:sz w:val="18"/>
          <w:szCs w:val="18"/>
        </w:rPr>
        <w:t>本公司对报告</w:t>
      </w:r>
      <w:proofErr w:type="gramStart"/>
      <w:r w:rsidRPr="00831C3C">
        <w:rPr>
          <w:rFonts w:hint="eastAsia"/>
          <w:sz w:val="18"/>
          <w:szCs w:val="18"/>
        </w:rPr>
        <w:t>期末起</w:t>
      </w:r>
      <w:proofErr w:type="gramEnd"/>
      <w:r w:rsidRPr="00831C3C">
        <w:rPr>
          <w:sz w:val="18"/>
          <w:szCs w:val="18"/>
        </w:rPr>
        <w:t>12</w:t>
      </w:r>
      <w:r w:rsidRPr="00831C3C">
        <w:rPr>
          <w:rFonts w:hint="eastAsia"/>
          <w:sz w:val="18"/>
          <w:szCs w:val="18"/>
        </w:rPr>
        <w:t>个月的持续经营能力进行了评价，未发现对持续经营能力产生重大怀疑的事项或情况。因此，本财务报表系在持续经营假设的基础上编制。</w:t>
      </w:r>
    </w:p>
    <w:p w:rsidR="00E23A97" w:rsidRPr="00831C3C" w:rsidRDefault="00C65FD5">
      <w:pPr>
        <w:pStyle w:val="2"/>
        <w:spacing w:before="300" w:after="300" w:line="560" w:lineRule="exact"/>
        <w:rPr>
          <w:rFonts w:ascii="宋体" w:eastAsia="宋体" w:hAnsi="宋体" w:cs="宋体"/>
          <w:b/>
          <w:bCs/>
          <w:sz w:val="24"/>
          <w:szCs w:val="24"/>
        </w:rPr>
      </w:pPr>
      <w:bookmarkStart w:id="177" w:name="_Toc989065"/>
      <w:r w:rsidRPr="00831C3C">
        <w:rPr>
          <w:rFonts w:ascii="宋体" w:eastAsia="宋体" w:hAnsi="宋体" w:cs="宋体"/>
          <w:b/>
          <w:bCs/>
          <w:sz w:val="24"/>
          <w:szCs w:val="24"/>
        </w:rPr>
        <w:t>五、重要会计政策及会计估计</w:t>
      </w:r>
      <w:bookmarkEnd w:id="177"/>
    </w:p>
    <w:p w:rsidR="00E23A97" w:rsidRPr="00831C3C" w:rsidRDefault="00C65FD5" w:rsidP="00034610">
      <w:pPr>
        <w:pStyle w:val="a3"/>
        <w:spacing w:before="0" w:beforeAutospacing="0" w:after="0" w:afterAutospacing="0"/>
        <w:ind w:firstLine="420"/>
        <w:jc w:val="both"/>
        <w:rPr>
          <w:sz w:val="18"/>
          <w:szCs w:val="18"/>
        </w:rPr>
      </w:pPr>
      <w:r w:rsidRPr="00831C3C">
        <w:rPr>
          <w:sz w:val="18"/>
          <w:szCs w:val="18"/>
        </w:rPr>
        <w:t>具体会计政策和会计估计提示：</w:t>
      </w:r>
    </w:p>
    <w:p w:rsidR="00E23A97" w:rsidRPr="00831C3C" w:rsidRDefault="00C65FD5">
      <w:pPr>
        <w:pStyle w:val="3"/>
        <w:spacing w:line="280" w:lineRule="exact"/>
        <w:jc w:val="left"/>
        <w:rPr>
          <w:rFonts w:ascii="宋体" w:hAnsi="宋体" w:cs="宋体"/>
          <w:b/>
          <w:bCs/>
        </w:rPr>
      </w:pPr>
      <w:bookmarkStart w:id="178" w:name="_Toc989066"/>
      <w:r w:rsidRPr="00831C3C">
        <w:rPr>
          <w:rFonts w:ascii="宋体" w:hAnsi="宋体" w:cs="宋体"/>
          <w:b/>
          <w:bCs/>
        </w:rPr>
        <w:t>1、遵循企业会计准则的声明</w:t>
      </w:r>
      <w:bookmarkEnd w:id="178"/>
    </w:p>
    <w:p w:rsidR="00C65FD5" w:rsidRPr="00831C3C" w:rsidRDefault="00C65FD5" w:rsidP="00034610">
      <w:pPr>
        <w:pStyle w:val="a3"/>
        <w:spacing w:before="0" w:beforeAutospacing="0" w:after="0" w:afterAutospacing="0"/>
        <w:ind w:firstLine="420"/>
        <w:jc w:val="both"/>
        <w:divId w:val="1276059871"/>
        <w:rPr>
          <w:sz w:val="18"/>
          <w:szCs w:val="18"/>
        </w:rPr>
      </w:pPr>
      <w:r w:rsidRPr="00831C3C">
        <w:rPr>
          <w:rFonts w:hint="eastAsia"/>
          <w:sz w:val="18"/>
          <w:szCs w:val="18"/>
        </w:rPr>
        <w:t>本公司所编制的财务报表符合企业会计准则的要求，真实、完整地反映了报告期公司的财务状况、经营成果、现金流量等有关信息。</w:t>
      </w:r>
    </w:p>
    <w:p w:rsidR="00E23A97" w:rsidRPr="00831C3C" w:rsidRDefault="00C65FD5">
      <w:pPr>
        <w:pStyle w:val="3"/>
        <w:spacing w:line="280" w:lineRule="exact"/>
        <w:jc w:val="left"/>
        <w:rPr>
          <w:rFonts w:ascii="宋体" w:hAnsi="宋体" w:cs="宋体"/>
          <w:b/>
          <w:bCs/>
        </w:rPr>
      </w:pPr>
      <w:bookmarkStart w:id="179" w:name="_Toc989067"/>
      <w:r w:rsidRPr="00831C3C">
        <w:rPr>
          <w:rFonts w:ascii="宋体" w:hAnsi="宋体" w:cs="宋体"/>
          <w:b/>
          <w:bCs/>
        </w:rPr>
        <w:t>2、会计期间</w:t>
      </w:r>
      <w:bookmarkEnd w:id="179"/>
    </w:p>
    <w:p w:rsidR="00C65FD5" w:rsidRPr="00831C3C" w:rsidRDefault="00C65FD5" w:rsidP="00034610">
      <w:pPr>
        <w:pStyle w:val="a3"/>
        <w:spacing w:before="0" w:beforeAutospacing="0" w:after="0" w:afterAutospacing="0"/>
        <w:ind w:firstLine="420"/>
        <w:jc w:val="both"/>
        <w:divId w:val="383413391"/>
        <w:rPr>
          <w:sz w:val="18"/>
          <w:szCs w:val="18"/>
        </w:rPr>
      </w:pPr>
      <w:r w:rsidRPr="00831C3C">
        <w:rPr>
          <w:rFonts w:hint="eastAsia"/>
          <w:sz w:val="18"/>
          <w:szCs w:val="18"/>
        </w:rPr>
        <w:t>自公历</w:t>
      </w:r>
      <w:r w:rsidRPr="00831C3C">
        <w:rPr>
          <w:sz w:val="18"/>
          <w:szCs w:val="18"/>
        </w:rPr>
        <w:t>1</w:t>
      </w:r>
      <w:r w:rsidRPr="00831C3C">
        <w:rPr>
          <w:rFonts w:hint="eastAsia"/>
          <w:sz w:val="18"/>
          <w:szCs w:val="18"/>
        </w:rPr>
        <w:t>月</w:t>
      </w:r>
      <w:r w:rsidRPr="00831C3C">
        <w:rPr>
          <w:sz w:val="18"/>
          <w:szCs w:val="18"/>
        </w:rPr>
        <w:t>1</w:t>
      </w:r>
      <w:r w:rsidRPr="00831C3C">
        <w:rPr>
          <w:rFonts w:hint="eastAsia"/>
          <w:sz w:val="18"/>
          <w:szCs w:val="18"/>
        </w:rPr>
        <w:t>日至</w:t>
      </w:r>
      <w:r w:rsidRPr="00831C3C">
        <w:rPr>
          <w:sz w:val="18"/>
          <w:szCs w:val="18"/>
        </w:rPr>
        <w:t>12</w:t>
      </w:r>
      <w:r w:rsidRPr="00831C3C">
        <w:rPr>
          <w:rFonts w:hint="eastAsia"/>
          <w:sz w:val="18"/>
          <w:szCs w:val="18"/>
        </w:rPr>
        <w:t>月</w:t>
      </w:r>
      <w:r w:rsidRPr="00831C3C">
        <w:rPr>
          <w:sz w:val="18"/>
          <w:szCs w:val="18"/>
        </w:rPr>
        <w:t>31</w:t>
      </w:r>
      <w:r w:rsidRPr="00831C3C">
        <w:rPr>
          <w:rFonts w:hint="eastAsia"/>
          <w:sz w:val="18"/>
          <w:szCs w:val="18"/>
        </w:rPr>
        <w:t>日止为一个会计年度。</w:t>
      </w:r>
    </w:p>
    <w:p w:rsidR="00E23A97" w:rsidRPr="00831C3C" w:rsidRDefault="00C65FD5">
      <w:pPr>
        <w:pStyle w:val="3"/>
        <w:spacing w:line="280" w:lineRule="exact"/>
        <w:jc w:val="left"/>
        <w:rPr>
          <w:rFonts w:ascii="宋体" w:hAnsi="宋体" w:cs="宋体"/>
          <w:b/>
          <w:bCs/>
        </w:rPr>
      </w:pPr>
      <w:bookmarkStart w:id="180" w:name="_Toc989068"/>
      <w:r w:rsidRPr="00831C3C">
        <w:rPr>
          <w:rFonts w:ascii="宋体" w:hAnsi="宋体" w:cs="宋体"/>
          <w:b/>
          <w:bCs/>
        </w:rPr>
        <w:t>3、营业周期</w:t>
      </w:r>
      <w:bookmarkEnd w:id="180"/>
    </w:p>
    <w:p w:rsidR="00C65FD5" w:rsidRPr="00831C3C" w:rsidRDefault="00C65FD5" w:rsidP="00034610">
      <w:pPr>
        <w:pStyle w:val="a3"/>
        <w:spacing w:before="0" w:beforeAutospacing="0" w:after="0" w:afterAutospacing="0"/>
        <w:ind w:firstLine="420"/>
        <w:jc w:val="both"/>
        <w:divId w:val="1527593101"/>
        <w:rPr>
          <w:sz w:val="18"/>
          <w:szCs w:val="18"/>
        </w:rPr>
      </w:pPr>
      <w:r w:rsidRPr="00831C3C">
        <w:rPr>
          <w:rFonts w:hint="eastAsia"/>
          <w:sz w:val="18"/>
          <w:szCs w:val="18"/>
        </w:rPr>
        <w:t>营业周期是指企业从购买用于加工的资产起</w:t>
      </w:r>
      <w:proofErr w:type="gramStart"/>
      <w:r w:rsidRPr="00831C3C">
        <w:rPr>
          <w:rFonts w:hint="eastAsia"/>
          <w:sz w:val="18"/>
          <w:szCs w:val="18"/>
        </w:rPr>
        <w:t>至实现</w:t>
      </w:r>
      <w:proofErr w:type="gramEnd"/>
      <w:r w:rsidRPr="00831C3C">
        <w:rPr>
          <w:rFonts w:hint="eastAsia"/>
          <w:sz w:val="18"/>
          <w:szCs w:val="18"/>
        </w:rPr>
        <w:t>现金或现金等价物的期间。本公司以</w:t>
      </w:r>
      <w:r w:rsidRPr="00831C3C">
        <w:rPr>
          <w:sz w:val="18"/>
          <w:szCs w:val="18"/>
        </w:rPr>
        <w:t>12</w:t>
      </w:r>
      <w:r w:rsidRPr="00831C3C">
        <w:rPr>
          <w:rFonts w:hint="eastAsia"/>
          <w:sz w:val="18"/>
          <w:szCs w:val="18"/>
        </w:rPr>
        <w:t>个月作为一个营业周期，并以其作为资产和负债的流动性划分标准。</w:t>
      </w:r>
    </w:p>
    <w:p w:rsidR="00E23A97" w:rsidRPr="00831C3C" w:rsidRDefault="00C65FD5">
      <w:pPr>
        <w:pStyle w:val="3"/>
        <w:spacing w:line="280" w:lineRule="exact"/>
        <w:jc w:val="left"/>
        <w:rPr>
          <w:rFonts w:ascii="宋体" w:hAnsi="宋体" w:cs="宋体"/>
          <w:b/>
          <w:bCs/>
        </w:rPr>
      </w:pPr>
      <w:bookmarkStart w:id="181" w:name="_Toc989069"/>
      <w:r w:rsidRPr="00831C3C">
        <w:rPr>
          <w:rFonts w:ascii="宋体" w:hAnsi="宋体" w:cs="宋体"/>
          <w:b/>
          <w:bCs/>
        </w:rPr>
        <w:t>4、记账本位币</w:t>
      </w:r>
      <w:bookmarkEnd w:id="181"/>
    </w:p>
    <w:p w:rsidR="00C65FD5" w:rsidRPr="00831C3C" w:rsidRDefault="00C65FD5" w:rsidP="00034610">
      <w:pPr>
        <w:pStyle w:val="a3"/>
        <w:spacing w:before="0" w:beforeAutospacing="0" w:after="0" w:afterAutospacing="0"/>
        <w:ind w:firstLine="420"/>
        <w:jc w:val="both"/>
        <w:divId w:val="95489492"/>
        <w:rPr>
          <w:sz w:val="18"/>
          <w:szCs w:val="18"/>
        </w:rPr>
      </w:pPr>
      <w:r w:rsidRPr="00831C3C">
        <w:rPr>
          <w:rFonts w:hint="eastAsia"/>
          <w:sz w:val="18"/>
          <w:szCs w:val="18"/>
        </w:rPr>
        <w:t>采用人民币为记账本位币。境外子公司以其经营所处的主要经济环境中的货币为记账本位币，编制财务报表时折算为人民币。</w:t>
      </w:r>
    </w:p>
    <w:p w:rsidR="00E23A97" w:rsidRPr="00831C3C" w:rsidRDefault="00C65FD5">
      <w:pPr>
        <w:pStyle w:val="3"/>
        <w:spacing w:line="280" w:lineRule="exact"/>
        <w:jc w:val="left"/>
        <w:rPr>
          <w:rFonts w:ascii="宋体" w:hAnsi="宋体" w:cs="宋体"/>
          <w:b/>
          <w:bCs/>
        </w:rPr>
      </w:pPr>
      <w:bookmarkStart w:id="182" w:name="_Toc989070"/>
      <w:r w:rsidRPr="00831C3C">
        <w:rPr>
          <w:rFonts w:ascii="宋体" w:hAnsi="宋体" w:cs="宋体"/>
          <w:b/>
          <w:bCs/>
        </w:rPr>
        <w:lastRenderedPageBreak/>
        <w:t>5、重要性标准确定方法和选择依据</w:t>
      </w:r>
      <w:bookmarkEnd w:id="182"/>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适用□不适用</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4820"/>
        <w:gridCol w:w="4819"/>
      </w:tblGrid>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重要性标准</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项目</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重要性标准</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重要的单项计提坏账准备的应收款项</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金额≥100万元</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本期重要的应收款项核销</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金额≥100万元</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本期坏账准备收回或转回金额重要的应收账款</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金额≥100万元</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账龄超过一年的重要应付款项</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金额≥100万元</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重要的在建工程</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期末或</w:t>
            </w:r>
            <w:proofErr w:type="gramEnd"/>
            <w:r w:rsidRPr="00831C3C">
              <w:rPr>
                <w:rFonts w:ascii="宋体" w:eastAsia="宋体" w:hAnsi="宋体" w:cs="宋体"/>
                <w:sz w:val="18"/>
                <w:szCs w:val="18"/>
              </w:rPr>
              <w:t>期初余额≥1,000万元</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重要的非合资子公司</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少数股东权益≥1,000万元</w:t>
            </w:r>
          </w:p>
        </w:tc>
      </w:tr>
    </w:tbl>
    <w:p w:rsidR="00E23A97" w:rsidRPr="00831C3C" w:rsidRDefault="00C65FD5">
      <w:pPr>
        <w:pStyle w:val="3"/>
        <w:spacing w:line="280" w:lineRule="exact"/>
        <w:jc w:val="left"/>
        <w:rPr>
          <w:rFonts w:ascii="宋体" w:hAnsi="宋体" w:cs="宋体"/>
          <w:b/>
          <w:bCs/>
        </w:rPr>
      </w:pPr>
      <w:bookmarkStart w:id="183" w:name="_Toc989071"/>
      <w:r w:rsidRPr="00831C3C">
        <w:rPr>
          <w:rFonts w:ascii="宋体" w:hAnsi="宋体" w:cs="宋体"/>
          <w:b/>
          <w:bCs/>
        </w:rPr>
        <w:t>6、同</w:t>
      </w:r>
      <w:proofErr w:type="gramStart"/>
      <w:r w:rsidRPr="00831C3C">
        <w:rPr>
          <w:rFonts w:ascii="宋体" w:hAnsi="宋体" w:cs="宋体"/>
          <w:b/>
          <w:bCs/>
        </w:rPr>
        <w:t>一控制</w:t>
      </w:r>
      <w:proofErr w:type="gramEnd"/>
      <w:r w:rsidRPr="00831C3C">
        <w:rPr>
          <w:rFonts w:ascii="宋体" w:hAnsi="宋体" w:cs="宋体"/>
          <w:b/>
          <w:bCs/>
        </w:rPr>
        <w:t>下和非同</w:t>
      </w:r>
      <w:proofErr w:type="gramStart"/>
      <w:r w:rsidRPr="00831C3C">
        <w:rPr>
          <w:rFonts w:ascii="宋体" w:hAnsi="宋体" w:cs="宋体"/>
          <w:b/>
          <w:bCs/>
        </w:rPr>
        <w:t>一控制</w:t>
      </w:r>
      <w:proofErr w:type="gramEnd"/>
      <w:r w:rsidRPr="00831C3C">
        <w:rPr>
          <w:rFonts w:ascii="宋体" w:hAnsi="宋体" w:cs="宋体"/>
          <w:b/>
          <w:bCs/>
        </w:rPr>
        <w:t>下企业合并的会计处理方法</w:t>
      </w:r>
      <w:bookmarkEnd w:id="183"/>
    </w:p>
    <w:p w:rsidR="00C65FD5" w:rsidRPr="00831C3C" w:rsidRDefault="00C65FD5" w:rsidP="00034610">
      <w:pPr>
        <w:widowControl/>
        <w:numPr>
          <w:ilvl w:val="0"/>
          <w:numId w:val="18"/>
        </w:numPr>
        <w:spacing w:before="100" w:beforeAutospacing="1" w:after="100" w:afterAutospacing="1"/>
        <w:divId w:val="1303774012"/>
        <w:rPr>
          <w:rFonts w:asciiTheme="minorEastAsia" w:hAnsiTheme="minorEastAsia"/>
          <w:sz w:val="18"/>
          <w:szCs w:val="18"/>
        </w:rPr>
      </w:pPr>
      <w:r w:rsidRPr="00831C3C">
        <w:rPr>
          <w:rFonts w:asciiTheme="minorEastAsia" w:hAnsiTheme="minorEastAsia" w:hint="eastAsia"/>
          <w:sz w:val="18"/>
          <w:szCs w:val="18"/>
        </w:rPr>
        <w:t>分步实现企业合并过程中的各项交易的条款、条件以及经济影响符合以下一种或多种情况，将多次交易事项作为一揽子交易进行会计处理</w:t>
      </w:r>
    </w:p>
    <w:p w:rsidR="00C65FD5" w:rsidRPr="00831C3C" w:rsidRDefault="00C65FD5" w:rsidP="00034610">
      <w:pPr>
        <w:pStyle w:val="a3"/>
        <w:spacing w:before="50" w:beforeAutospacing="0" w:after="0" w:afterAutospacing="0"/>
        <w:ind w:firstLine="420"/>
        <w:jc w:val="both"/>
        <w:divId w:val="1303774012"/>
        <w:rPr>
          <w:rFonts w:asciiTheme="minorEastAsia" w:eastAsiaTheme="minorEastAsia" w:hAnsiTheme="minorEastAsia"/>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cs="Times New Roman"/>
          <w:sz w:val="18"/>
          <w:szCs w:val="18"/>
        </w:rPr>
        <w:t>1</w:t>
      </w:r>
      <w:r w:rsidRPr="00831C3C">
        <w:rPr>
          <w:rFonts w:asciiTheme="minorEastAsia" w:eastAsiaTheme="minorEastAsia" w:hAnsiTheme="minorEastAsia" w:hint="eastAsia"/>
          <w:sz w:val="18"/>
          <w:szCs w:val="18"/>
        </w:rPr>
        <w:t>）这些交易是同时或者在考虑了彼此影响的情况下订立的；</w:t>
      </w:r>
    </w:p>
    <w:p w:rsidR="00C65FD5" w:rsidRPr="00831C3C" w:rsidRDefault="00C65FD5" w:rsidP="00034610">
      <w:pPr>
        <w:pStyle w:val="a3"/>
        <w:spacing w:before="50" w:beforeAutospacing="0" w:after="0" w:afterAutospacing="0"/>
        <w:ind w:firstLine="420"/>
        <w:jc w:val="both"/>
        <w:divId w:val="1303774012"/>
        <w:rPr>
          <w:rFonts w:asciiTheme="minorEastAsia" w:eastAsiaTheme="minorEastAsia" w:hAnsiTheme="minorEastAsia"/>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cs="Times New Roman"/>
          <w:sz w:val="18"/>
          <w:szCs w:val="18"/>
        </w:rPr>
        <w:t>2</w:t>
      </w:r>
      <w:r w:rsidRPr="00831C3C">
        <w:rPr>
          <w:rFonts w:asciiTheme="minorEastAsia" w:eastAsiaTheme="minorEastAsia" w:hAnsiTheme="minorEastAsia" w:hint="eastAsia"/>
          <w:sz w:val="18"/>
          <w:szCs w:val="18"/>
        </w:rPr>
        <w:t>）这些交易整体才能达成一项完整的商业结果；</w:t>
      </w:r>
    </w:p>
    <w:p w:rsidR="00C65FD5" w:rsidRPr="00831C3C" w:rsidRDefault="00C65FD5" w:rsidP="00034610">
      <w:pPr>
        <w:pStyle w:val="a3"/>
        <w:spacing w:before="50" w:beforeAutospacing="0" w:after="0" w:afterAutospacing="0"/>
        <w:ind w:firstLine="420"/>
        <w:jc w:val="both"/>
        <w:divId w:val="1303774012"/>
        <w:rPr>
          <w:rFonts w:asciiTheme="minorEastAsia" w:eastAsiaTheme="minorEastAsia" w:hAnsiTheme="minorEastAsia"/>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cs="Times New Roman"/>
          <w:sz w:val="18"/>
          <w:szCs w:val="18"/>
        </w:rPr>
        <w:t>3</w:t>
      </w:r>
      <w:r w:rsidRPr="00831C3C">
        <w:rPr>
          <w:rFonts w:asciiTheme="minorEastAsia" w:eastAsiaTheme="minorEastAsia" w:hAnsiTheme="minorEastAsia" w:hint="eastAsia"/>
          <w:sz w:val="18"/>
          <w:szCs w:val="18"/>
        </w:rPr>
        <w:t>）一项交易的发生取决于其他至少一项交易的发生；</w:t>
      </w:r>
    </w:p>
    <w:p w:rsidR="00C65FD5" w:rsidRPr="00831C3C" w:rsidRDefault="00C65FD5" w:rsidP="00034610">
      <w:pPr>
        <w:pStyle w:val="a3"/>
        <w:spacing w:before="50" w:beforeAutospacing="0" w:after="0" w:afterAutospacing="0"/>
        <w:ind w:firstLine="420"/>
        <w:jc w:val="both"/>
        <w:divId w:val="1303774012"/>
        <w:rPr>
          <w:rFonts w:asciiTheme="minorEastAsia" w:eastAsiaTheme="minorEastAsia" w:hAnsiTheme="minorEastAsia"/>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cs="Times New Roman"/>
          <w:sz w:val="18"/>
          <w:szCs w:val="18"/>
        </w:rPr>
        <w:t>4</w:t>
      </w:r>
      <w:r w:rsidRPr="00831C3C">
        <w:rPr>
          <w:rFonts w:asciiTheme="minorEastAsia" w:eastAsiaTheme="minorEastAsia" w:hAnsiTheme="minorEastAsia" w:hint="eastAsia"/>
          <w:sz w:val="18"/>
          <w:szCs w:val="18"/>
        </w:rPr>
        <w:t>）一项交易单独看是不经济的，但是和其他交易一并考虑时是经济的。</w:t>
      </w:r>
    </w:p>
    <w:p w:rsidR="00C65FD5" w:rsidRPr="00831C3C" w:rsidRDefault="00C65FD5" w:rsidP="00034610">
      <w:pPr>
        <w:widowControl/>
        <w:numPr>
          <w:ilvl w:val="0"/>
          <w:numId w:val="19"/>
        </w:numPr>
        <w:spacing w:before="100" w:beforeAutospacing="1" w:after="100" w:afterAutospacing="1"/>
        <w:divId w:val="1303774012"/>
        <w:rPr>
          <w:rFonts w:asciiTheme="minorEastAsia" w:hAnsiTheme="minorEastAsia"/>
          <w:sz w:val="18"/>
          <w:szCs w:val="18"/>
        </w:rPr>
      </w:pPr>
      <w:r w:rsidRPr="00831C3C">
        <w:rPr>
          <w:rFonts w:asciiTheme="minorEastAsia" w:hAnsiTheme="minorEastAsia" w:hint="eastAsia"/>
          <w:sz w:val="18"/>
          <w:szCs w:val="18"/>
        </w:rPr>
        <w:t>．同</w:t>
      </w:r>
      <w:proofErr w:type="gramStart"/>
      <w:r w:rsidRPr="00831C3C">
        <w:rPr>
          <w:rFonts w:asciiTheme="minorEastAsia" w:hAnsiTheme="minorEastAsia" w:hint="eastAsia"/>
          <w:sz w:val="18"/>
          <w:szCs w:val="18"/>
        </w:rPr>
        <w:t>一控制</w:t>
      </w:r>
      <w:proofErr w:type="gramEnd"/>
      <w:r w:rsidRPr="00831C3C">
        <w:rPr>
          <w:rFonts w:asciiTheme="minorEastAsia" w:hAnsiTheme="minorEastAsia" w:hint="eastAsia"/>
          <w:sz w:val="18"/>
          <w:szCs w:val="18"/>
        </w:rPr>
        <w:t>下的企业合并</w:t>
      </w:r>
    </w:p>
    <w:p w:rsidR="00C65FD5" w:rsidRPr="00831C3C" w:rsidRDefault="00C65FD5" w:rsidP="00034610">
      <w:pPr>
        <w:pStyle w:val="a3"/>
        <w:spacing w:before="50" w:beforeAutospacing="0" w:after="0" w:afterAutospacing="0"/>
        <w:ind w:firstLine="420"/>
        <w:jc w:val="both"/>
        <w:divId w:val="1303774012"/>
        <w:rPr>
          <w:rFonts w:asciiTheme="minorEastAsia" w:eastAsiaTheme="minorEastAsia" w:hAnsiTheme="minorEastAsia"/>
        </w:rPr>
      </w:pPr>
      <w:r w:rsidRPr="00831C3C">
        <w:rPr>
          <w:rFonts w:asciiTheme="minorEastAsia" w:eastAsiaTheme="minorEastAsia" w:hAnsiTheme="minorEastAsia" w:hint="eastAsia"/>
          <w:sz w:val="18"/>
          <w:szCs w:val="18"/>
        </w:rPr>
        <w:t>本公司在企业合并中取得的资产和负债，按照</w:t>
      </w:r>
      <w:proofErr w:type="gramStart"/>
      <w:r w:rsidRPr="00831C3C">
        <w:rPr>
          <w:rFonts w:asciiTheme="minorEastAsia" w:eastAsiaTheme="minorEastAsia" w:hAnsiTheme="minorEastAsia" w:hint="eastAsia"/>
          <w:sz w:val="18"/>
          <w:szCs w:val="18"/>
        </w:rPr>
        <w:t>合并日</w:t>
      </w:r>
      <w:proofErr w:type="gramEnd"/>
      <w:r w:rsidRPr="00831C3C">
        <w:rPr>
          <w:rFonts w:asciiTheme="minorEastAsia" w:eastAsiaTheme="minorEastAsia" w:hAnsiTheme="minorEastAsia" w:hint="eastAsia"/>
          <w:sz w:val="18"/>
          <w:szCs w:val="18"/>
        </w:rPr>
        <w:t>在被合并方资产、负债（包括最终控制</w:t>
      </w:r>
      <w:proofErr w:type="gramStart"/>
      <w:r w:rsidRPr="00831C3C">
        <w:rPr>
          <w:rFonts w:asciiTheme="minorEastAsia" w:eastAsiaTheme="minorEastAsia" w:hAnsiTheme="minorEastAsia" w:hint="eastAsia"/>
          <w:sz w:val="18"/>
          <w:szCs w:val="18"/>
        </w:rPr>
        <w:t>方收购</w:t>
      </w:r>
      <w:proofErr w:type="gramEnd"/>
      <w:r w:rsidRPr="00831C3C">
        <w:rPr>
          <w:rFonts w:asciiTheme="minorEastAsia" w:eastAsiaTheme="minorEastAsia" w:hAnsiTheme="minorEastAsia" w:hint="eastAsia"/>
          <w:sz w:val="18"/>
          <w:szCs w:val="18"/>
        </w:rPr>
        <w:t>被合并方而形成的商誉）在最终控制方合并财务报表中的账面价值计量。在合并中取得的净资产账面价值与支付的合并对价账面价值（或发行股份面值总额）的差额，调整资本公积中的股本溢价，资本公积中的股本溢价不足冲减的，调整留存收益。</w:t>
      </w:r>
    </w:p>
    <w:p w:rsidR="00C65FD5" w:rsidRPr="00831C3C" w:rsidRDefault="00C65FD5" w:rsidP="00034610">
      <w:pPr>
        <w:pStyle w:val="a3"/>
        <w:spacing w:before="50" w:beforeAutospacing="0" w:after="0" w:afterAutospacing="0"/>
        <w:ind w:firstLine="420"/>
        <w:jc w:val="both"/>
        <w:divId w:val="1303774012"/>
        <w:rPr>
          <w:rFonts w:asciiTheme="minorEastAsia" w:eastAsiaTheme="minorEastAsia" w:hAnsiTheme="minorEastAsia"/>
        </w:rPr>
      </w:pPr>
      <w:r w:rsidRPr="00831C3C">
        <w:rPr>
          <w:rFonts w:asciiTheme="minorEastAsia" w:eastAsiaTheme="minorEastAsia" w:hAnsiTheme="minorEastAsia" w:hint="eastAsia"/>
          <w:sz w:val="18"/>
          <w:szCs w:val="18"/>
        </w:rPr>
        <w:t>如果存在或有对价并需要确认预计负债或资产，该预计负债或资产金额与后续或有对价结算金额的差额，调整资本公积（资本溢价或股本溢价），资本公</w:t>
      </w:r>
      <w:proofErr w:type="gramStart"/>
      <w:r w:rsidRPr="00831C3C">
        <w:rPr>
          <w:rFonts w:asciiTheme="minorEastAsia" w:eastAsiaTheme="minorEastAsia" w:hAnsiTheme="minorEastAsia" w:hint="eastAsia"/>
          <w:sz w:val="18"/>
          <w:szCs w:val="18"/>
        </w:rPr>
        <w:t>积不足</w:t>
      </w:r>
      <w:proofErr w:type="gramEnd"/>
      <w:r w:rsidRPr="00831C3C">
        <w:rPr>
          <w:rFonts w:asciiTheme="minorEastAsia" w:eastAsiaTheme="minorEastAsia" w:hAnsiTheme="minorEastAsia" w:hint="eastAsia"/>
          <w:sz w:val="18"/>
          <w:szCs w:val="18"/>
        </w:rPr>
        <w:t>的，调整留存收益。</w:t>
      </w:r>
    </w:p>
    <w:p w:rsidR="00C65FD5" w:rsidRPr="00831C3C" w:rsidRDefault="00C65FD5" w:rsidP="00034610">
      <w:pPr>
        <w:pStyle w:val="a3"/>
        <w:spacing w:before="50" w:beforeAutospacing="0" w:after="0" w:afterAutospacing="0"/>
        <w:ind w:firstLine="420"/>
        <w:jc w:val="both"/>
        <w:divId w:val="1303774012"/>
        <w:rPr>
          <w:rFonts w:asciiTheme="minorEastAsia" w:eastAsiaTheme="minorEastAsia" w:hAnsiTheme="minorEastAsia"/>
        </w:rPr>
      </w:pPr>
      <w:r w:rsidRPr="00831C3C">
        <w:rPr>
          <w:rFonts w:asciiTheme="minorEastAsia" w:eastAsiaTheme="minorEastAsia" w:hAnsiTheme="minorEastAsia" w:hint="eastAsia"/>
          <w:sz w:val="18"/>
          <w:szCs w:val="18"/>
        </w:rPr>
        <w:t>对于通过多次交易最终实现企业合并的，属于一揽子交易的，将各项交易作为一项取得控制权的交易进行会计处理；不属于一揽子交易的，在取得控制权日，长期股权投资初始投资成本，与达到合并前的长期股权投资账面价值加上</w:t>
      </w:r>
      <w:proofErr w:type="gramStart"/>
      <w:r w:rsidRPr="00831C3C">
        <w:rPr>
          <w:rFonts w:asciiTheme="minorEastAsia" w:eastAsiaTheme="minorEastAsia" w:hAnsiTheme="minorEastAsia" w:hint="eastAsia"/>
          <w:sz w:val="18"/>
          <w:szCs w:val="18"/>
        </w:rPr>
        <w:t>合并日</w:t>
      </w:r>
      <w:proofErr w:type="gramEnd"/>
      <w:r w:rsidRPr="00831C3C">
        <w:rPr>
          <w:rFonts w:asciiTheme="minorEastAsia" w:eastAsiaTheme="minorEastAsia" w:hAnsiTheme="minorEastAsia" w:hint="eastAsia"/>
          <w:sz w:val="18"/>
          <w:szCs w:val="18"/>
        </w:rPr>
        <w:t>进一步取得股份新支付对价的账面价值之和的差额，调整资本公积；资本公</w:t>
      </w:r>
      <w:proofErr w:type="gramStart"/>
      <w:r w:rsidRPr="00831C3C">
        <w:rPr>
          <w:rFonts w:asciiTheme="minorEastAsia" w:eastAsiaTheme="minorEastAsia" w:hAnsiTheme="minorEastAsia" w:hint="eastAsia"/>
          <w:sz w:val="18"/>
          <w:szCs w:val="18"/>
        </w:rPr>
        <w:t>积不足</w:t>
      </w:r>
      <w:proofErr w:type="gramEnd"/>
      <w:r w:rsidRPr="00831C3C">
        <w:rPr>
          <w:rFonts w:asciiTheme="minorEastAsia" w:eastAsiaTheme="minorEastAsia" w:hAnsiTheme="minorEastAsia" w:hint="eastAsia"/>
          <w:sz w:val="18"/>
          <w:szCs w:val="18"/>
        </w:rPr>
        <w:t>冲减的，调整留存收益。对于</w:t>
      </w:r>
      <w:proofErr w:type="gramStart"/>
      <w:r w:rsidRPr="00831C3C">
        <w:rPr>
          <w:rFonts w:asciiTheme="minorEastAsia" w:eastAsiaTheme="minorEastAsia" w:hAnsiTheme="minorEastAsia" w:hint="eastAsia"/>
          <w:sz w:val="18"/>
          <w:szCs w:val="18"/>
        </w:rPr>
        <w:t>合并日</w:t>
      </w:r>
      <w:proofErr w:type="gramEnd"/>
      <w:r w:rsidRPr="00831C3C">
        <w:rPr>
          <w:rFonts w:asciiTheme="minorEastAsia" w:eastAsiaTheme="minorEastAsia" w:hAnsiTheme="minorEastAsia" w:hint="eastAsia"/>
          <w:sz w:val="18"/>
          <w:szCs w:val="18"/>
        </w:rPr>
        <w:t>之前持有的股权投资，因采用权益法核算或金融工具确认和计量准则核算而确认的其他综合收益，暂不进行会计处理，直至处置该项投资时采用与被投资单位直接处置相关资产或负债相同的基础进行会计处理；因采用权益法核算而确认的被投资单位净资产中除净损益、其他综合收益和利润分配以外的所有者权益其他变动，暂不进行会计处理，直至处置该项投资时转入当期损益。</w:t>
      </w:r>
    </w:p>
    <w:p w:rsidR="00C65FD5" w:rsidRPr="00831C3C" w:rsidRDefault="00C65FD5" w:rsidP="00034610">
      <w:pPr>
        <w:widowControl/>
        <w:numPr>
          <w:ilvl w:val="0"/>
          <w:numId w:val="20"/>
        </w:numPr>
        <w:spacing w:before="100" w:beforeAutospacing="1" w:after="100" w:afterAutospacing="1"/>
        <w:divId w:val="1303774012"/>
        <w:rPr>
          <w:rFonts w:asciiTheme="minorEastAsia" w:hAnsiTheme="minorEastAsia"/>
          <w:sz w:val="18"/>
          <w:szCs w:val="18"/>
        </w:rPr>
      </w:pPr>
      <w:r w:rsidRPr="00831C3C">
        <w:rPr>
          <w:rFonts w:asciiTheme="minorEastAsia" w:hAnsiTheme="minorEastAsia" w:hint="eastAsia"/>
          <w:sz w:val="18"/>
          <w:szCs w:val="18"/>
        </w:rPr>
        <w:t>．非同</w:t>
      </w:r>
      <w:proofErr w:type="gramStart"/>
      <w:r w:rsidRPr="00831C3C">
        <w:rPr>
          <w:rFonts w:asciiTheme="minorEastAsia" w:hAnsiTheme="minorEastAsia" w:hint="eastAsia"/>
          <w:sz w:val="18"/>
          <w:szCs w:val="18"/>
        </w:rPr>
        <w:t>一控制</w:t>
      </w:r>
      <w:proofErr w:type="gramEnd"/>
      <w:r w:rsidRPr="00831C3C">
        <w:rPr>
          <w:rFonts w:asciiTheme="minorEastAsia" w:hAnsiTheme="minorEastAsia" w:hint="eastAsia"/>
          <w:sz w:val="18"/>
          <w:szCs w:val="18"/>
        </w:rPr>
        <w:t>下的企业合并</w:t>
      </w:r>
    </w:p>
    <w:p w:rsidR="00C65FD5" w:rsidRPr="00831C3C" w:rsidRDefault="00C65FD5" w:rsidP="00034610">
      <w:pPr>
        <w:pStyle w:val="a3"/>
        <w:spacing w:before="50" w:beforeAutospacing="0" w:after="0" w:afterAutospacing="0"/>
        <w:ind w:firstLine="420"/>
        <w:jc w:val="both"/>
        <w:divId w:val="1303774012"/>
        <w:rPr>
          <w:rFonts w:asciiTheme="minorEastAsia" w:eastAsiaTheme="minorEastAsia" w:hAnsiTheme="minorEastAsia"/>
        </w:rPr>
      </w:pPr>
      <w:r w:rsidRPr="00831C3C">
        <w:rPr>
          <w:rFonts w:asciiTheme="minorEastAsia" w:eastAsiaTheme="minorEastAsia" w:hAnsiTheme="minorEastAsia" w:hint="eastAsia"/>
          <w:sz w:val="18"/>
          <w:szCs w:val="18"/>
        </w:rPr>
        <w:t>购买日是指本公司实际取得对被购买方控制权的日期，即被购买方的净资产或生产经营决策的控制权转移给本公司的日期。同时满足下列条件时，本公司一般认为实现了控制权的转移：</w:t>
      </w:r>
    </w:p>
    <w:p w:rsidR="00C65FD5" w:rsidRPr="00831C3C" w:rsidRDefault="00C65FD5" w:rsidP="00034610">
      <w:pPr>
        <w:pStyle w:val="a3"/>
        <w:spacing w:before="50" w:beforeAutospacing="0" w:after="0" w:afterAutospacing="0"/>
        <w:ind w:firstLine="420"/>
        <w:jc w:val="both"/>
        <w:divId w:val="1303774012"/>
        <w:rPr>
          <w:rFonts w:asciiTheme="minorEastAsia" w:eastAsiaTheme="minorEastAsia" w:hAnsiTheme="minorEastAsia"/>
        </w:rPr>
      </w:pPr>
      <w:r w:rsidRPr="00831C3C">
        <w:rPr>
          <w:rFonts w:asciiTheme="minorEastAsia" w:eastAsiaTheme="minorEastAsia" w:hAnsiTheme="minorEastAsia" w:hint="eastAsia"/>
          <w:sz w:val="18"/>
          <w:szCs w:val="18"/>
        </w:rPr>
        <w:t>（1）企业合并合同或协议已获本公司内部权力机构通过。</w:t>
      </w:r>
    </w:p>
    <w:p w:rsidR="00C65FD5" w:rsidRPr="00831C3C" w:rsidRDefault="00C65FD5" w:rsidP="00034610">
      <w:pPr>
        <w:pStyle w:val="a3"/>
        <w:spacing w:before="50" w:beforeAutospacing="0" w:after="0" w:afterAutospacing="0"/>
        <w:ind w:firstLine="420"/>
        <w:jc w:val="both"/>
        <w:divId w:val="1303774012"/>
        <w:rPr>
          <w:rFonts w:asciiTheme="minorEastAsia" w:eastAsiaTheme="minorEastAsia" w:hAnsiTheme="minorEastAsia"/>
        </w:rPr>
      </w:pPr>
      <w:r w:rsidRPr="00831C3C">
        <w:rPr>
          <w:rFonts w:asciiTheme="minorEastAsia" w:eastAsiaTheme="minorEastAsia" w:hAnsiTheme="minorEastAsia" w:hint="eastAsia"/>
          <w:sz w:val="18"/>
          <w:szCs w:val="18"/>
        </w:rPr>
        <w:t>（2）企业合并事项需要经过国家有关主管部门审批的，已获得批准。</w:t>
      </w:r>
    </w:p>
    <w:p w:rsidR="00C65FD5" w:rsidRPr="00831C3C" w:rsidRDefault="00C65FD5" w:rsidP="00034610">
      <w:pPr>
        <w:pStyle w:val="a3"/>
        <w:spacing w:before="50" w:beforeAutospacing="0" w:after="0" w:afterAutospacing="0"/>
        <w:ind w:firstLine="420"/>
        <w:jc w:val="both"/>
        <w:divId w:val="1303774012"/>
        <w:rPr>
          <w:rFonts w:asciiTheme="minorEastAsia" w:eastAsiaTheme="minorEastAsia" w:hAnsiTheme="minorEastAsia"/>
        </w:rPr>
      </w:pPr>
      <w:r w:rsidRPr="00831C3C">
        <w:rPr>
          <w:rFonts w:asciiTheme="minorEastAsia" w:eastAsiaTheme="minorEastAsia" w:hAnsiTheme="minorEastAsia" w:hint="eastAsia"/>
          <w:sz w:val="18"/>
          <w:szCs w:val="18"/>
        </w:rPr>
        <w:t>（3）已办理了必要的财产权转移手续。</w:t>
      </w:r>
    </w:p>
    <w:p w:rsidR="00C65FD5" w:rsidRPr="00831C3C" w:rsidRDefault="00C65FD5" w:rsidP="00034610">
      <w:pPr>
        <w:pStyle w:val="a3"/>
        <w:spacing w:before="50" w:beforeAutospacing="0" w:after="0" w:afterAutospacing="0"/>
        <w:ind w:firstLine="420"/>
        <w:jc w:val="both"/>
        <w:divId w:val="1303774012"/>
        <w:rPr>
          <w:rFonts w:asciiTheme="minorEastAsia" w:eastAsiaTheme="minorEastAsia" w:hAnsiTheme="minorEastAsia"/>
        </w:rPr>
      </w:pPr>
      <w:r w:rsidRPr="00831C3C">
        <w:rPr>
          <w:rFonts w:asciiTheme="minorEastAsia" w:eastAsiaTheme="minorEastAsia" w:hAnsiTheme="minorEastAsia" w:hint="eastAsia"/>
          <w:sz w:val="18"/>
          <w:szCs w:val="18"/>
        </w:rPr>
        <w:t>（4）本公司已支付了合并价款的大部分，并且有能力、有计划支付剩余款项。</w:t>
      </w:r>
    </w:p>
    <w:p w:rsidR="00C65FD5" w:rsidRPr="00831C3C" w:rsidRDefault="00C65FD5" w:rsidP="00034610">
      <w:pPr>
        <w:pStyle w:val="a3"/>
        <w:spacing w:before="50" w:beforeAutospacing="0" w:after="0" w:afterAutospacing="0"/>
        <w:ind w:firstLine="420"/>
        <w:jc w:val="both"/>
        <w:divId w:val="1303774012"/>
        <w:rPr>
          <w:rFonts w:asciiTheme="minorEastAsia" w:eastAsiaTheme="minorEastAsia" w:hAnsiTheme="minorEastAsia"/>
        </w:rPr>
      </w:pPr>
      <w:r w:rsidRPr="00831C3C">
        <w:rPr>
          <w:rFonts w:asciiTheme="minorEastAsia" w:eastAsiaTheme="minorEastAsia" w:hAnsiTheme="minorEastAsia" w:hint="eastAsia"/>
          <w:sz w:val="18"/>
          <w:szCs w:val="18"/>
        </w:rPr>
        <w:lastRenderedPageBreak/>
        <w:t>（5）本公司实际上已经控制了被购买方的财务和经营政策，并享有相应的利益、承担相应的风险。</w:t>
      </w:r>
    </w:p>
    <w:p w:rsidR="00C65FD5" w:rsidRPr="00831C3C" w:rsidRDefault="00C65FD5" w:rsidP="00034610">
      <w:pPr>
        <w:pStyle w:val="a3"/>
        <w:spacing w:before="50" w:beforeAutospacing="0" w:after="0" w:afterAutospacing="0"/>
        <w:ind w:firstLine="420"/>
        <w:jc w:val="both"/>
        <w:divId w:val="1303774012"/>
        <w:rPr>
          <w:rFonts w:asciiTheme="minorEastAsia" w:eastAsiaTheme="minorEastAsia" w:hAnsiTheme="minorEastAsia"/>
        </w:rPr>
      </w:pPr>
      <w:r w:rsidRPr="00831C3C">
        <w:rPr>
          <w:rFonts w:asciiTheme="minorEastAsia" w:eastAsiaTheme="minorEastAsia" w:hAnsiTheme="minorEastAsia" w:hint="eastAsia"/>
          <w:sz w:val="18"/>
          <w:szCs w:val="18"/>
        </w:rPr>
        <w:t>本公司在购买日对作为企业合并对价付出的资产、发生或承担的负债按照公允价值计量，公允价值与其账面价值的差额，计入当期损益。</w:t>
      </w:r>
    </w:p>
    <w:p w:rsidR="00C65FD5" w:rsidRPr="00831C3C" w:rsidRDefault="00C65FD5" w:rsidP="00034610">
      <w:pPr>
        <w:pStyle w:val="a3"/>
        <w:spacing w:before="50" w:beforeAutospacing="0" w:after="0" w:afterAutospacing="0"/>
        <w:ind w:firstLine="420"/>
        <w:jc w:val="both"/>
        <w:divId w:val="1303774012"/>
        <w:rPr>
          <w:rFonts w:asciiTheme="minorEastAsia" w:eastAsiaTheme="minorEastAsia" w:hAnsiTheme="minorEastAsia"/>
        </w:rPr>
      </w:pPr>
      <w:r w:rsidRPr="00831C3C">
        <w:rPr>
          <w:rFonts w:asciiTheme="minorEastAsia" w:eastAsiaTheme="minorEastAsia" w:hAnsiTheme="minorEastAsia" w:hint="eastAsia"/>
          <w:sz w:val="18"/>
          <w:szCs w:val="18"/>
        </w:rPr>
        <w:t>本公司对合并成本大于合并中取得的被购买方可辨认净资产公允价值份额的差额，确认为商誉；合并成本小于合并中取得的被购买方可辨认净资产公允价值份额的，首先对取得的被购买</w:t>
      </w:r>
      <w:proofErr w:type="gramStart"/>
      <w:r w:rsidRPr="00831C3C">
        <w:rPr>
          <w:rFonts w:asciiTheme="minorEastAsia" w:eastAsiaTheme="minorEastAsia" w:hAnsiTheme="minorEastAsia" w:hint="eastAsia"/>
          <w:sz w:val="18"/>
          <w:szCs w:val="18"/>
        </w:rPr>
        <w:t>方各项</w:t>
      </w:r>
      <w:proofErr w:type="gramEnd"/>
      <w:r w:rsidRPr="00831C3C">
        <w:rPr>
          <w:rFonts w:asciiTheme="minorEastAsia" w:eastAsiaTheme="minorEastAsia" w:hAnsiTheme="minorEastAsia" w:hint="eastAsia"/>
          <w:sz w:val="18"/>
          <w:szCs w:val="18"/>
        </w:rPr>
        <w:t>可辨认资产、负债及或有负债的公允价值以及合并成本的计量进行复核，复核后合并成本仍小于合并中取得的被购买方可辨认净资产公允价值份额的，计入当期损益。</w:t>
      </w:r>
    </w:p>
    <w:p w:rsidR="00C65FD5" w:rsidRPr="00831C3C" w:rsidRDefault="00C65FD5" w:rsidP="00034610">
      <w:pPr>
        <w:pStyle w:val="a3"/>
        <w:spacing w:before="50" w:beforeAutospacing="0" w:after="0" w:afterAutospacing="0"/>
        <w:ind w:firstLine="420"/>
        <w:jc w:val="both"/>
        <w:divId w:val="1303774012"/>
        <w:rPr>
          <w:rFonts w:asciiTheme="minorEastAsia" w:eastAsiaTheme="minorEastAsia" w:hAnsiTheme="minorEastAsia"/>
        </w:rPr>
      </w:pPr>
      <w:r w:rsidRPr="00831C3C">
        <w:rPr>
          <w:rFonts w:asciiTheme="minorEastAsia" w:eastAsiaTheme="minorEastAsia" w:hAnsiTheme="minorEastAsia" w:hint="eastAsia"/>
          <w:sz w:val="18"/>
          <w:szCs w:val="18"/>
        </w:rPr>
        <w:t>通过多次交换交易分步实现的非同</w:t>
      </w:r>
      <w:proofErr w:type="gramStart"/>
      <w:r w:rsidRPr="00831C3C">
        <w:rPr>
          <w:rFonts w:asciiTheme="minorEastAsia" w:eastAsiaTheme="minorEastAsia" w:hAnsiTheme="minorEastAsia" w:hint="eastAsia"/>
          <w:sz w:val="18"/>
          <w:szCs w:val="18"/>
        </w:rPr>
        <w:t>一控制</w:t>
      </w:r>
      <w:proofErr w:type="gramEnd"/>
      <w:r w:rsidRPr="00831C3C">
        <w:rPr>
          <w:rFonts w:asciiTheme="minorEastAsia" w:eastAsiaTheme="minorEastAsia" w:hAnsiTheme="minorEastAsia" w:hint="eastAsia"/>
          <w:sz w:val="18"/>
          <w:szCs w:val="18"/>
        </w:rPr>
        <w:t>下企业合并，属于一揽子交易的，将各项交易作为一项取得控制权的交易进行会计处理；不属于一揽子交易的，</w:t>
      </w:r>
      <w:proofErr w:type="gramStart"/>
      <w:r w:rsidRPr="00831C3C">
        <w:rPr>
          <w:rFonts w:asciiTheme="minorEastAsia" w:eastAsiaTheme="minorEastAsia" w:hAnsiTheme="minorEastAsia" w:hint="eastAsia"/>
          <w:sz w:val="18"/>
          <w:szCs w:val="18"/>
        </w:rPr>
        <w:t>合并日</w:t>
      </w:r>
      <w:proofErr w:type="gramEnd"/>
      <w:r w:rsidRPr="00831C3C">
        <w:rPr>
          <w:rFonts w:asciiTheme="minorEastAsia" w:eastAsiaTheme="minorEastAsia" w:hAnsiTheme="minorEastAsia" w:hint="eastAsia"/>
          <w:sz w:val="18"/>
          <w:szCs w:val="18"/>
        </w:rPr>
        <w:t>之前持有的股权投资采用权益法核算的，以购买日之前所持被购买方的股权投资的账面价值与购买日新增投资成本之和，作为该项投资的初始投资成本；购买日之前持有的股权投资因采用权益法核算而确认的其他综合收益，在处置该项投资时采用与被投资单位直接处置相关资产或负债相同的基础进行会计处理。</w:t>
      </w:r>
      <w:proofErr w:type="gramStart"/>
      <w:r w:rsidRPr="00831C3C">
        <w:rPr>
          <w:rFonts w:asciiTheme="minorEastAsia" w:eastAsiaTheme="minorEastAsia" w:hAnsiTheme="minorEastAsia" w:hint="eastAsia"/>
          <w:sz w:val="18"/>
          <w:szCs w:val="18"/>
        </w:rPr>
        <w:t>合并日</w:t>
      </w:r>
      <w:proofErr w:type="gramEnd"/>
      <w:r w:rsidRPr="00831C3C">
        <w:rPr>
          <w:rFonts w:asciiTheme="minorEastAsia" w:eastAsiaTheme="minorEastAsia" w:hAnsiTheme="minorEastAsia" w:hint="eastAsia"/>
          <w:sz w:val="18"/>
          <w:szCs w:val="18"/>
        </w:rPr>
        <w:t>之前持有的股权投资采用金融工具确认和计量准则核算的，以该股权投资在</w:t>
      </w:r>
      <w:proofErr w:type="gramStart"/>
      <w:r w:rsidRPr="00831C3C">
        <w:rPr>
          <w:rFonts w:asciiTheme="minorEastAsia" w:eastAsiaTheme="minorEastAsia" w:hAnsiTheme="minorEastAsia" w:hint="eastAsia"/>
          <w:sz w:val="18"/>
          <w:szCs w:val="18"/>
        </w:rPr>
        <w:t>合并日</w:t>
      </w:r>
      <w:proofErr w:type="gramEnd"/>
      <w:r w:rsidRPr="00831C3C">
        <w:rPr>
          <w:rFonts w:asciiTheme="minorEastAsia" w:eastAsiaTheme="minorEastAsia" w:hAnsiTheme="minorEastAsia" w:hint="eastAsia"/>
          <w:sz w:val="18"/>
          <w:szCs w:val="18"/>
        </w:rPr>
        <w:t>的公允价值加上新增投资成本之和，作为</w:t>
      </w:r>
      <w:proofErr w:type="gramStart"/>
      <w:r w:rsidRPr="00831C3C">
        <w:rPr>
          <w:rFonts w:asciiTheme="minorEastAsia" w:eastAsiaTheme="minorEastAsia" w:hAnsiTheme="minorEastAsia" w:hint="eastAsia"/>
          <w:sz w:val="18"/>
          <w:szCs w:val="18"/>
        </w:rPr>
        <w:t>合并日</w:t>
      </w:r>
      <w:proofErr w:type="gramEnd"/>
      <w:r w:rsidRPr="00831C3C">
        <w:rPr>
          <w:rFonts w:asciiTheme="minorEastAsia" w:eastAsiaTheme="minorEastAsia" w:hAnsiTheme="minorEastAsia" w:hint="eastAsia"/>
          <w:sz w:val="18"/>
          <w:szCs w:val="18"/>
        </w:rPr>
        <w:t>的初始投资成本。原持有股权的公允价值与账面价值之间的差额以及原计入其他综合收益的累计公允价值变动应全部转入</w:t>
      </w:r>
      <w:proofErr w:type="gramStart"/>
      <w:r w:rsidRPr="00831C3C">
        <w:rPr>
          <w:rFonts w:asciiTheme="minorEastAsia" w:eastAsiaTheme="minorEastAsia" w:hAnsiTheme="minorEastAsia" w:hint="eastAsia"/>
          <w:sz w:val="18"/>
          <w:szCs w:val="18"/>
        </w:rPr>
        <w:t>合并日</w:t>
      </w:r>
      <w:proofErr w:type="gramEnd"/>
      <w:r w:rsidRPr="00831C3C">
        <w:rPr>
          <w:rFonts w:asciiTheme="minorEastAsia" w:eastAsiaTheme="minorEastAsia" w:hAnsiTheme="minorEastAsia" w:hint="eastAsia"/>
          <w:sz w:val="18"/>
          <w:szCs w:val="18"/>
        </w:rPr>
        <w:t>当期的投资收益。</w:t>
      </w:r>
    </w:p>
    <w:p w:rsidR="00C65FD5" w:rsidRPr="00831C3C" w:rsidRDefault="00C65FD5" w:rsidP="00034610">
      <w:pPr>
        <w:widowControl/>
        <w:numPr>
          <w:ilvl w:val="0"/>
          <w:numId w:val="21"/>
        </w:numPr>
        <w:spacing w:before="100" w:beforeAutospacing="1" w:after="100" w:afterAutospacing="1"/>
        <w:divId w:val="1303774012"/>
        <w:rPr>
          <w:rFonts w:asciiTheme="minorEastAsia" w:hAnsiTheme="minorEastAsia"/>
          <w:sz w:val="18"/>
          <w:szCs w:val="18"/>
        </w:rPr>
      </w:pPr>
      <w:r w:rsidRPr="00831C3C">
        <w:rPr>
          <w:rFonts w:asciiTheme="minorEastAsia" w:hAnsiTheme="minorEastAsia" w:hint="eastAsia"/>
          <w:sz w:val="18"/>
          <w:szCs w:val="18"/>
        </w:rPr>
        <w:t>．为合并发生的相关费用</w:t>
      </w:r>
    </w:p>
    <w:p w:rsidR="00C65FD5" w:rsidRPr="00831C3C" w:rsidRDefault="00C65FD5" w:rsidP="00034610">
      <w:pPr>
        <w:pStyle w:val="a3"/>
        <w:spacing w:before="50" w:beforeAutospacing="0" w:after="0" w:afterAutospacing="0"/>
        <w:ind w:firstLine="420"/>
        <w:jc w:val="both"/>
        <w:divId w:val="1303774012"/>
        <w:rPr>
          <w:rFonts w:asciiTheme="minorEastAsia" w:eastAsiaTheme="minorEastAsia" w:hAnsiTheme="minorEastAsia"/>
        </w:rPr>
      </w:pPr>
      <w:r w:rsidRPr="00831C3C">
        <w:rPr>
          <w:rFonts w:asciiTheme="minorEastAsia" w:eastAsiaTheme="minorEastAsia" w:hAnsiTheme="minorEastAsia" w:hint="eastAsia"/>
          <w:sz w:val="18"/>
          <w:szCs w:val="18"/>
        </w:rPr>
        <w:t>为企业合并发生的审计、法律服务、评估咨询等中介费用以及其他直接相关费用，于发生时计入当期损益；为企业合并而发行权益</w:t>
      </w:r>
      <w:proofErr w:type="gramStart"/>
      <w:r w:rsidRPr="00831C3C">
        <w:rPr>
          <w:rFonts w:asciiTheme="minorEastAsia" w:eastAsiaTheme="minorEastAsia" w:hAnsiTheme="minorEastAsia" w:hint="eastAsia"/>
          <w:sz w:val="18"/>
          <w:szCs w:val="18"/>
        </w:rPr>
        <w:t>性证券</w:t>
      </w:r>
      <w:proofErr w:type="gramEnd"/>
      <w:r w:rsidRPr="00831C3C">
        <w:rPr>
          <w:rFonts w:asciiTheme="minorEastAsia" w:eastAsiaTheme="minorEastAsia" w:hAnsiTheme="minorEastAsia" w:hint="eastAsia"/>
          <w:sz w:val="18"/>
          <w:szCs w:val="18"/>
        </w:rPr>
        <w:t>的交易费用，可直接归属于权益性交易的从权益中扣减。</w:t>
      </w:r>
    </w:p>
    <w:p w:rsidR="00E23A97" w:rsidRPr="00831C3C" w:rsidRDefault="00C65FD5">
      <w:pPr>
        <w:pStyle w:val="3"/>
        <w:spacing w:line="280" w:lineRule="exact"/>
        <w:jc w:val="left"/>
        <w:rPr>
          <w:rFonts w:ascii="宋体" w:hAnsi="宋体" w:cs="宋体"/>
          <w:b/>
          <w:bCs/>
        </w:rPr>
      </w:pPr>
      <w:bookmarkStart w:id="184" w:name="_Toc989072"/>
      <w:r w:rsidRPr="00831C3C">
        <w:rPr>
          <w:rFonts w:ascii="宋体" w:hAnsi="宋体" w:cs="宋体"/>
          <w:b/>
          <w:bCs/>
        </w:rPr>
        <w:t>7、控制的判断标准和合并财务报表的编制方法</w:t>
      </w:r>
      <w:bookmarkEnd w:id="184"/>
    </w:p>
    <w:p w:rsidR="00C65FD5" w:rsidRPr="00831C3C" w:rsidRDefault="00C65FD5">
      <w:pPr>
        <w:widowControl/>
        <w:numPr>
          <w:ilvl w:val="0"/>
          <w:numId w:val="22"/>
        </w:numPr>
        <w:spacing w:before="100" w:beforeAutospacing="1" w:after="100" w:afterAutospacing="1"/>
        <w:divId w:val="376470447"/>
        <w:rPr>
          <w:sz w:val="18"/>
          <w:szCs w:val="18"/>
        </w:rPr>
      </w:pPr>
      <w:r w:rsidRPr="00831C3C">
        <w:rPr>
          <w:rStyle w:val="a4"/>
          <w:rFonts w:hint="eastAsia"/>
          <w:sz w:val="18"/>
          <w:szCs w:val="18"/>
        </w:rPr>
        <w:t>控制的判断标准</w:t>
      </w:r>
    </w:p>
    <w:p w:rsidR="00C65FD5" w:rsidRPr="00831C3C" w:rsidRDefault="00C65FD5" w:rsidP="00034610">
      <w:pPr>
        <w:pStyle w:val="a3"/>
        <w:spacing w:before="0" w:beforeAutospacing="0" w:after="0" w:afterAutospacing="0"/>
        <w:ind w:firstLine="420"/>
        <w:jc w:val="both"/>
        <w:divId w:val="376470447"/>
      </w:pPr>
      <w:r w:rsidRPr="00831C3C">
        <w:rPr>
          <w:rFonts w:hint="eastAsia"/>
          <w:sz w:val="18"/>
          <w:szCs w:val="18"/>
        </w:rPr>
        <w:t>控制，是指投资方拥有对被投资方的权力</w:t>
      </w:r>
      <w:r w:rsidRPr="00831C3C">
        <w:rPr>
          <w:rFonts w:ascii="Arial Narrow" w:hAnsi="Arial Narrow"/>
          <w:sz w:val="18"/>
          <w:szCs w:val="18"/>
        </w:rPr>
        <w:t>,</w:t>
      </w:r>
      <w:r w:rsidRPr="00831C3C">
        <w:rPr>
          <w:rFonts w:hint="eastAsia"/>
          <w:sz w:val="18"/>
          <w:szCs w:val="18"/>
        </w:rPr>
        <w:t>通过参与被投资方的相关活动而享有可变回报，并且有能力运用对被投资方的权力影响其回报金额。</w:t>
      </w:r>
    </w:p>
    <w:p w:rsidR="00C65FD5" w:rsidRPr="00831C3C" w:rsidRDefault="00C65FD5" w:rsidP="00034610">
      <w:pPr>
        <w:pStyle w:val="a3"/>
        <w:spacing w:before="0" w:beforeAutospacing="0" w:after="0" w:afterAutospacing="0"/>
        <w:ind w:firstLine="420"/>
        <w:jc w:val="both"/>
        <w:divId w:val="376470447"/>
      </w:pPr>
      <w:r w:rsidRPr="00831C3C">
        <w:rPr>
          <w:rFonts w:hint="eastAsia"/>
          <w:sz w:val="18"/>
          <w:szCs w:val="18"/>
        </w:rPr>
        <w:t>本公司在综合考虑所有相关事实和情况的基础上对是否控制被投资方进行判断。一旦相关事实和情况的变化导致对控制定义所涉及的相关要素发生变化的，本公司会进行重新评估。相关事实和情况主要包括：</w:t>
      </w:r>
    </w:p>
    <w:p w:rsidR="00C65FD5" w:rsidRPr="00831C3C" w:rsidRDefault="00C65FD5" w:rsidP="00034610">
      <w:pPr>
        <w:pStyle w:val="a3"/>
        <w:spacing w:before="0" w:beforeAutospacing="0" w:after="0" w:afterAutospacing="0"/>
        <w:ind w:firstLine="420"/>
        <w:jc w:val="both"/>
        <w:divId w:val="376470447"/>
      </w:pPr>
      <w:r w:rsidRPr="00831C3C">
        <w:rPr>
          <w:rFonts w:hint="eastAsia"/>
          <w:sz w:val="18"/>
          <w:szCs w:val="18"/>
        </w:rPr>
        <w:t>（</w:t>
      </w:r>
      <w:r w:rsidRPr="00831C3C">
        <w:rPr>
          <w:rFonts w:ascii="Arial Narrow" w:hAnsi="Arial Narrow"/>
          <w:sz w:val="18"/>
          <w:szCs w:val="18"/>
        </w:rPr>
        <w:t>1</w:t>
      </w:r>
      <w:r w:rsidRPr="00831C3C">
        <w:rPr>
          <w:rFonts w:hint="eastAsia"/>
          <w:sz w:val="18"/>
          <w:szCs w:val="18"/>
        </w:rPr>
        <w:t>）被投资方的设立目的。</w:t>
      </w:r>
    </w:p>
    <w:p w:rsidR="00C65FD5" w:rsidRPr="00831C3C" w:rsidRDefault="00C65FD5" w:rsidP="00034610">
      <w:pPr>
        <w:pStyle w:val="a3"/>
        <w:spacing w:before="0" w:beforeAutospacing="0" w:after="0" w:afterAutospacing="0"/>
        <w:ind w:firstLine="420"/>
        <w:jc w:val="both"/>
        <w:divId w:val="376470447"/>
      </w:pPr>
      <w:r w:rsidRPr="00831C3C">
        <w:rPr>
          <w:rFonts w:hint="eastAsia"/>
          <w:sz w:val="18"/>
          <w:szCs w:val="18"/>
        </w:rPr>
        <w:t>（</w:t>
      </w:r>
      <w:r w:rsidRPr="00831C3C">
        <w:rPr>
          <w:rFonts w:ascii="Arial Narrow" w:hAnsi="Arial Narrow"/>
          <w:sz w:val="18"/>
          <w:szCs w:val="18"/>
        </w:rPr>
        <w:t>2</w:t>
      </w:r>
      <w:r w:rsidRPr="00831C3C">
        <w:rPr>
          <w:rFonts w:hint="eastAsia"/>
          <w:sz w:val="18"/>
          <w:szCs w:val="18"/>
        </w:rPr>
        <w:t>）被投资方的相关活动以及如何对相关活动</w:t>
      </w:r>
      <w:proofErr w:type="gramStart"/>
      <w:r w:rsidRPr="00831C3C">
        <w:rPr>
          <w:rFonts w:hint="eastAsia"/>
          <w:sz w:val="18"/>
          <w:szCs w:val="18"/>
        </w:rPr>
        <w:t>作出</w:t>
      </w:r>
      <w:proofErr w:type="gramEnd"/>
      <w:r w:rsidRPr="00831C3C">
        <w:rPr>
          <w:rFonts w:hint="eastAsia"/>
          <w:sz w:val="18"/>
          <w:szCs w:val="18"/>
        </w:rPr>
        <w:t>决策。</w:t>
      </w:r>
    </w:p>
    <w:p w:rsidR="00C65FD5" w:rsidRPr="00831C3C" w:rsidRDefault="00C65FD5" w:rsidP="00034610">
      <w:pPr>
        <w:pStyle w:val="a3"/>
        <w:spacing w:before="0" w:beforeAutospacing="0" w:after="0" w:afterAutospacing="0"/>
        <w:ind w:firstLine="420"/>
        <w:jc w:val="both"/>
        <w:divId w:val="376470447"/>
      </w:pPr>
      <w:r w:rsidRPr="00831C3C">
        <w:rPr>
          <w:rFonts w:hint="eastAsia"/>
          <w:sz w:val="18"/>
          <w:szCs w:val="18"/>
        </w:rPr>
        <w:t>（</w:t>
      </w:r>
      <w:r w:rsidRPr="00831C3C">
        <w:rPr>
          <w:rFonts w:ascii="Arial Narrow" w:hAnsi="Arial Narrow"/>
          <w:sz w:val="18"/>
          <w:szCs w:val="18"/>
        </w:rPr>
        <w:t>3</w:t>
      </w:r>
      <w:r w:rsidRPr="00831C3C">
        <w:rPr>
          <w:rFonts w:hint="eastAsia"/>
          <w:sz w:val="18"/>
          <w:szCs w:val="18"/>
        </w:rPr>
        <w:t>）投资方享有的权利是否使其目前有能力主导被投资方的相关活动。</w:t>
      </w:r>
    </w:p>
    <w:p w:rsidR="00C65FD5" w:rsidRPr="00831C3C" w:rsidRDefault="00C65FD5" w:rsidP="00034610">
      <w:pPr>
        <w:pStyle w:val="a3"/>
        <w:spacing w:before="0" w:beforeAutospacing="0" w:after="0" w:afterAutospacing="0"/>
        <w:ind w:firstLine="420"/>
        <w:jc w:val="both"/>
        <w:divId w:val="376470447"/>
      </w:pPr>
      <w:r w:rsidRPr="00831C3C">
        <w:rPr>
          <w:rFonts w:hint="eastAsia"/>
          <w:sz w:val="18"/>
          <w:szCs w:val="18"/>
        </w:rPr>
        <w:t>（</w:t>
      </w:r>
      <w:r w:rsidRPr="00831C3C">
        <w:rPr>
          <w:rFonts w:ascii="Arial Narrow" w:hAnsi="Arial Narrow"/>
          <w:sz w:val="18"/>
          <w:szCs w:val="18"/>
        </w:rPr>
        <w:t>4</w:t>
      </w:r>
      <w:r w:rsidRPr="00831C3C">
        <w:rPr>
          <w:rFonts w:hint="eastAsia"/>
          <w:sz w:val="18"/>
          <w:szCs w:val="18"/>
        </w:rPr>
        <w:t>）投资方是否通过参与被投资方的相关活动而享有可变回报。</w:t>
      </w:r>
    </w:p>
    <w:p w:rsidR="00C65FD5" w:rsidRPr="00831C3C" w:rsidRDefault="00C65FD5" w:rsidP="00034610">
      <w:pPr>
        <w:pStyle w:val="a3"/>
        <w:spacing w:before="0" w:beforeAutospacing="0" w:after="0" w:afterAutospacing="0"/>
        <w:ind w:firstLine="420"/>
        <w:jc w:val="both"/>
        <w:divId w:val="376470447"/>
      </w:pPr>
      <w:r w:rsidRPr="00831C3C">
        <w:rPr>
          <w:rFonts w:hint="eastAsia"/>
          <w:sz w:val="18"/>
          <w:szCs w:val="18"/>
        </w:rPr>
        <w:t>（</w:t>
      </w:r>
      <w:r w:rsidRPr="00831C3C">
        <w:rPr>
          <w:rFonts w:ascii="Arial Narrow" w:hAnsi="Arial Narrow"/>
          <w:sz w:val="18"/>
          <w:szCs w:val="18"/>
        </w:rPr>
        <w:t>5</w:t>
      </w:r>
      <w:r w:rsidRPr="00831C3C">
        <w:rPr>
          <w:rFonts w:hint="eastAsia"/>
          <w:sz w:val="18"/>
          <w:szCs w:val="18"/>
        </w:rPr>
        <w:t>）投资方是否有能力运用对被投资方的权力影响其回报金额。</w:t>
      </w:r>
    </w:p>
    <w:p w:rsidR="00C65FD5" w:rsidRPr="00831C3C" w:rsidRDefault="00C65FD5" w:rsidP="00034610">
      <w:pPr>
        <w:pStyle w:val="a3"/>
        <w:spacing w:before="0" w:beforeAutospacing="0" w:after="0" w:afterAutospacing="0"/>
        <w:ind w:firstLine="420"/>
        <w:jc w:val="both"/>
        <w:divId w:val="376470447"/>
      </w:pPr>
      <w:r w:rsidRPr="00831C3C">
        <w:rPr>
          <w:rFonts w:hint="eastAsia"/>
          <w:sz w:val="18"/>
          <w:szCs w:val="18"/>
        </w:rPr>
        <w:t>（</w:t>
      </w:r>
      <w:r w:rsidRPr="00831C3C">
        <w:rPr>
          <w:rFonts w:ascii="Arial Narrow" w:hAnsi="Arial Narrow"/>
          <w:sz w:val="18"/>
          <w:szCs w:val="18"/>
        </w:rPr>
        <w:t>6</w:t>
      </w:r>
      <w:r w:rsidRPr="00831C3C">
        <w:rPr>
          <w:rFonts w:hint="eastAsia"/>
          <w:sz w:val="18"/>
          <w:szCs w:val="18"/>
        </w:rPr>
        <w:t>）投资方与其他方的关系。</w:t>
      </w:r>
    </w:p>
    <w:p w:rsidR="00C65FD5" w:rsidRPr="00831C3C" w:rsidRDefault="00C65FD5">
      <w:pPr>
        <w:widowControl/>
        <w:numPr>
          <w:ilvl w:val="0"/>
          <w:numId w:val="23"/>
        </w:numPr>
        <w:spacing w:before="100" w:beforeAutospacing="1" w:after="100" w:afterAutospacing="1"/>
        <w:divId w:val="376470447"/>
        <w:rPr>
          <w:sz w:val="18"/>
          <w:szCs w:val="18"/>
        </w:rPr>
      </w:pPr>
      <w:r w:rsidRPr="00831C3C">
        <w:rPr>
          <w:rFonts w:hint="eastAsia"/>
          <w:sz w:val="18"/>
          <w:szCs w:val="18"/>
        </w:rPr>
        <w:t>．</w:t>
      </w:r>
      <w:r w:rsidRPr="00831C3C">
        <w:rPr>
          <w:rStyle w:val="a4"/>
          <w:rFonts w:hint="eastAsia"/>
          <w:sz w:val="18"/>
          <w:szCs w:val="18"/>
        </w:rPr>
        <w:t>合并范围</w:t>
      </w:r>
    </w:p>
    <w:p w:rsidR="00C65FD5" w:rsidRPr="00831C3C" w:rsidRDefault="00C65FD5" w:rsidP="00034610">
      <w:pPr>
        <w:pStyle w:val="a3"/>
        <w:spacing w:before="0" w:beforeAutospacing="0" w:after="0" w:afterAutospacing="0"/>
        <w:ind w:firstLine="420"/>
        <w:jc w:val="both"/>
        <w:divId w:val="376470447"/>
        <w:rPr>
          <w:sz w:val="18"/>
          <w:szCs w:val="18"/>
        </w:rPr>
      </w:pPr>
      <w:r w:rsidRPr="00831C3C">
        <w:rPr>
          <w:rFonts w:hint="eastAsia"/>
          <w:sz w:val="18"/>
          <w:szCs w:val="18"/>
        </w:rPr>
        <w:t>本公司合并财务报表的合并范围以控制为基础确定，所有子公司（包括本公司所控制的单独主体）均纳入合并财务报表。</w:t>
      </w:r>
    </w:p>
    <w:p w:rsidR="00C65FD5" w:rsidRPr="00831C3C" w:rsidRDefault="00C65FD5">
      <w:pPr>
        <w:widowControl/>
        <w:numPr>
          <w:ilvl w:val="0"/>
          <w:numId w:val="24"/>
        </w:numPr>
        <w:spacing w:before="100" w:beforeAutospacing="1" w:after="100" w:afterAutospacing="1"/>
        <w:divId w:val="376470447"/>
        <w:rPr>
          <w:sz w:val="18"/>
          <w:szCs w:val="18"/>
        </w:rPr>
      </w:pPr>
      <w:r w:rsidRPr="00831C3C">
        <w:rPr>
          <w:rFonts w:hint="eastAsia"/>
          <w:sz w:val="18"/>
          <w:szCs w:val="18"/>
        </w:rPr>
        <w:t>．</w:t>
      </w:r>
      <w:r w:rsidRPr="00831C3C">
        <w:rPr>
          <w:rStyle w:val="a4"/>
          <w:rFonts w:hint="eastAsia"/>
          <w:sz w:val="18"/>
          <w:szCs w:val="18"/>
        </w:rPr>
        <w:t>合并程序</w:t>
      </w:r>
    </w:p>
    <w:p w:rsidR="00C65FD5" w:rsidRPr="00831C3C" w:rsidRDefault="00C65FD5" w:rsidP="00034610">
      <w:pPr>
        <w:pStyle w:val="a3"/>
        <w:spacing w:before="50" w:beforeAutospacing="0" w:after="0" w:afterAutospacing="0"/>
        <w:ind w:firstLine="420"/>
        <w:jc w:val="both"/>
        <w:divId w:val="376470447"/>
      </w:pPr>
      <w:r w:rsidRPr="00831C3C">
        <w:rPr>
          <w:rFonts w:hint="eastAsia"/>
          <w:sz w:val="18"/>
          <w:szCs w:val="18"/>
        </w:rPr>
        <w:t>本公司以自身和各子公司的财务报表为基础，根据其他有关资料，编制合并财务报表。本公司编制合并财务报表，将整个企业集团视为一个会计主体，依据相关企业会计准则的确认、计量和列报要求，按照统一的会计政策，反映本企业集团整体财务状况、经营成果和现金流量。</w:t>
      </w:r>
    </w:p>
    <w:p w:rsidR="00C65FD5" w:rsidRPr="00831C3C" w:rsidRDefault="00C65FD5" w:rsidP="00034610">
      <w:pPr>
        <w:pStyle w:val="a3"/>
        <w:spacing w:before="50" w:beforeAutospacing="0" w:after="0" w:afterAutospacing="0"/>
        <w:ind w:firstLine="420"/>
        <w:jc w:val="both"/>
        <w:divId w:val="376470447"/>
      </w:pPr>
      <w:r w:rsidRPr="00831C3C">
        <w:rPr>
          <w:rFonts w:hint="eastAsia"/>
          <w:sz w:val="18"/>
          <w:szCs w:val="18"/>
        </w:rPr>
        <w:lastRenderedPageBreak/>
        <w:t>所有纳入合并财务报表合并范围的子公司所采用的会计政策、会计期间与本公司一致，如子公司采用的会计政策、会计期间与本公司不一致的，在编制合并财务报表时，按本公司的会计政策、会计期间进行必要的调整。</w:t>
      </w:r>
    </w:p>
    <w:p w:rsidR="00C65FD5" w:rsidRPr="00831C3C" w:rsidRDefault="00C65FD5" w:rsidP="00034610">
      <w:pPr>
        <w:pStyle w:val="a3"/>
        <w:spacing w:before="50" w:beforeAutospacing="0" w:after="0" w:afterAutospacing="0"/>
        <w:ind w:firstLine="420"/>
        <w:jc w:val="both"/>
        <w:divId w:val="376470447"/>
      </w:pPr>
      <w:r w:rsidRPr="00831C3C">
        <w:rPr>
          <w:rFonts w:hint="eastAsia"/>
          <w:sz w:val="18"/>
          <w:szCs w:val="18"/>
        </w:rPr>
        <w:t>合并财务报表时</w:t>
      </w:r>
      <w:proofErr w:type="gramStart"/>
      <w:r w:rsidRPr="00831C3C">
        <w:rPr>
          <w:rFonts w:hint="eastAsia"/>
          <w:sz w:val="18"/>
          <w:szCs w:val="18"/>
        </w:rPr>
        <w:t>抵销</w:t>
      </w:r>
      <w:proofErr w:type="gramEnd"/>
      <w:r w:rsidRPr="00831C3C">
        <w:rPr>
          <w:rFonts w:hint="eastAsia"/>
          <w:sz w:val="18"/>
          <w:szCs w:val="18"/>
        </w:rPr>
        <w:t>本公司与各子公司、各子公司相互之间发生的内部交易对合并资产负债表、合并利润表、合并现金流量表、合并股东权益变动表的影响。如果站在企业集团合并财务报表角度与以本公司或子公司为会计主体对同一交易的认定不同时，从企业集团的角度对该交易予以调整。</w:t>
      </w:r>
    </w:p>
    <w:p w:rsidR="00C65FD5" w:rsidRPr="00831C3C" w:rsidRDefault="00C65FD5" w:rsidP="00034610">
      <w:pPr>
        <w:pStyle w:val="a3"/>
        <w:spacing w:before="50" w:beforeAutospacing="0" w:after="0" w:afterAutospacing="0"/>
        <w:ind w:firstLine="420"/>
        <w:jc w:val="both"/>
        <w:divId w:val="376470447"/>
      </w:pPr>
      <w:r w:rsidRPr="00831C3C">
        <w:rPr>
          <w:rFonts w:hint="eastAsia"/>
          <w:sz w:val="18"/>
          <w:szCs w:val="18"/>
        </w:rPr>
        <w:t>子公司所有者权益、当期净损益和当期综合收益中属于少数股东的份额分别在合并资产负债表中所有者权益项目下、合并利润表中净利润项目下和综合收益总额项目下单独列示。子公司少数股东分担的当期亏损超过了少数股东在该子公司期初所有者权益中所享有份额而形成的余额，</w:t>
      </w:r>
      <w:proofErr w:type="gramStart"/>
      <w:r w:rsidRPr="00831C3C">
        <w:rPr>
          <w:rFonts w:hint="eastAsia"/>
          <w:sz w:val="18"/>
          <w:szCs w:val="18"/>
        </w:rPr>
        <w:t>冲减少</w:t>
      </w:r>
      <w:proofErr w:type="gramEnd"/>
      <w:r w:rsidRPr="00831C3C">
        <w:rPr>
          <w:rFonts w:hint="eastAsia"/>
          <w:sz w:val="18"/>
          <w:szCs w:val="18"/>
        </w:rPr>
        <w:t>数股东权益。</w:t>
      </w:r>
    </w:p>
    <w:p w:rsidR="00C65FD5" w:rsidRPr="00831C3C" w:rsidRDefault="00C65FD5" w:rsidP="00034610">
      <w:pPr>
        <w:pStyle w:val="a3"/>
        <w:spacing w:before="50" w:beforeAutospacing="0" w:after="0" w:afterAutospacing="0"/>
        <w:ind w:firstLine="420"/>
        <w:jc w:val="both"/>
        <w:divId w:val="376470447"/>
      </w:pPr>
      <w:r w:rsidRPr="00831C3C">
        <w:rPr>
          <w:rFonts w:hint="eastAsia"/>
          <w:sz w:val="18"/>
          <w:szCs w:val="18"/>
        </w:rPr>
        <w:t>对于同</w:t>
      </w:r>
      <w:proofErr w:type="gramStart"/>
      <w:r w:rsidRPr="00831C3C">
        <w:rPr>
          <w:rFonts w:hint="eastAsia"/>
          <w:sz w:val="18"/>
          <w:szCs w:val="18"/>
        </w:rPr>
        <w:t>一控制</w:t>
      </w:r>
      <w:proofErr w:type="gramEnd"/>
      <w:r w:rsidRPr="00831C3C">
        <w:rPr>
          <w:rFonts w:hint="eastAsia"/>
          <w:sz w:val="18"/>
          <w:szCs w:val="18"/>
        </w:rPr>
        <w:t>下企业合并取得的子公司，以其资产、负债（包括最终控制</w:t>
      </w:r>
      <w:proofErr w:type="gramStart"/>
      <w:r w:rsidRPr="00831C3C">
        <w:rPr>
          <w:rFonts w:hint="eastAsia"/>
          <w:sz w:val="18"/>
          <w:szCs w:val="18"/>
        </w:rPr>
        <w:t>方收购</w:t>
      </w:r>
      <w:proofErr w:type="gramEnd"/>
      <w:r w:rsidRPr="00831C3C">
        <w:rPr>
          <w:rFonts w:hint="eastAsia"/>
          <w:sz w:val="18"/>
          <w:szCs w:val="18"/>
        </w:rPr>
        <w:t>该子公司而形成的商誉）在最终控制方财务报表中的账面价值为基础对其财务报表进行调整。</w:t>
      </w:r>
    </w:p>
    <w:p w:rsidR="00C65FD5" w:rsidRPr="00831C3C" w:rsidRDefault="00C65FD5" w:rsidP="00034610">
      <w:pPr>
        <w:pStyle w:val="a3"/>
        <w:spacing w:before="50" w:beforeAutospacing="0" w:after="0" w:afterAutospacing="0"/>
        <w:ind w:firstLine="420"/>
        <w:jc w:val="both"/>
        <w:divId w:val="376470447"/>
      </w:pPr>
      <w:r w:rsidRPr="00831C3C">
        <w:rPr>
          <w:rFonts w:hint="eastAsia"/>
          <w:sz w:val="18"/>
          <w:szCs w:val="18"/>
        </w:rPr>
        <w:t>对于非同</w:t>
      </w:r>
      <w:proofErr w:type="gramStart"/>
      <w:r w:rsidRPr="00831C3C">
        <w:rPr>
          <w:rFonts w:hint="eastAsia"/>
          <w:sz w:val="18"/>
          <w:szCs w:val="18"/>
        </w:rPr>
        <w:t>一控制</w:t>
      </w:r>
      <w:proofErr w:type="gramEnd"/>
      <w:r w:rsidRPr="00831C3C">
        <w:rPr>
          <w:rFonts w:hint="eastAsia"/>
          <w:sz w:val="18"/>
          <w:szCs w:val="18"/>
        </w:rPr>
        <w:t>下企业合并取得的子公司，以购买日可辨认净资产公允价值为基础对其财务报表进行调整</w:t>
      </w:r>
    </w:p>
    <w:p w:rsidR="00C65FD5" w:rsidRPr="00831C3C" w:rsidRDefault="00C65FD5" w:rsidP="00034610">
      <w:pPr>
        <w:widowControl/>
        <w:numPr>
          <w:ilvl w:val="0"/>
          <w:numId w:val="25"/>
        </w:numPr>
        <w:divId w:val="376470447"/>
        <w:rPr>
          <w:rFonts w:ascii="Calibri" w:hAnsi="Calibri" w:cs="Calibri"/>
          <w:szCs w:val="21"/>
        </w:rPr>
      </w:pPr>
      <w:r w:rsidRPr="00831C3C">
        <w:rPr>
          <w:rFonts w:cs="Calibri" w:hint="eastAsia"/>
          <w:sz w:val="18"/>
          <w:szCs w:val="18"/>
        </w:rPr>
        <w:t>增加子公司或业务</w:t>
      </w:r>
    </w:p>
    <w:p w:rsidR="00C65FD5" w:rsidRPr="00831C3C" w:rsidRDefault="00C65FD5" w:rsidP="00034610">
      <w:pPr>
        <w:pStyle w:val="a3"/>
        <w:spacing w:before="50" w:beforeAutospacing="0" w:after="0" w:afterAutospacing="0"/>
        <w:ind w:firstLine="420"/>
        <w:jc w:val="both"/>
        <w:divId w:val="376470447"/>
      </w:pPr>
      <w:r w:rsidRPr="00831C3C">
        <w:rPr>
          <w:rFonts w:hint="eastAsia"/>
          <w:sz w:val="18"/>
          <w:szCs w:val="18"/>
        </w:rPr>
        <w:t>在报告期内，若因同</w:t>
      </w:r>
      <w:proofErr w:type="gramStart"/>
      <w:r w:rsidRPr="00831C3C">
        <w:rPr>
          <w:rFonts w:hint="eastAsia"/>
          <w:sz w:val="18"/>
          <w:szCs w:val="18"/>
        </w:rPr>
        <w:t>一控制</w:t>
      </w:r>
      <w:proofErr w:type="gramEnd"/>
      <w:r w:rsidRPr="00831C3C">
        <w:rPr>
          <w:rFonts w:hint="eastAsia"/>
          <w:sz w:val="18"/>
          <w:szCs w:val="18"/>
        </w:rPr>
        <w:t>下企业合并增加子公司或业务的，则调整合并资产负债表的期初数；将子公司或业务合并当期期初</w:t>
      </w:r>
      <w:proofErr w:type="gramStart"/>
      <w:r w:rsidRPr="00831C3C">
        <w:rPr>
          <w:rFonts w:hint="eastAsia"/>
          <w:sz w:val="18"/>
          <w:szCs w:val="18"/>
        </w:rPr>
        <w:t>至报告</w:t>
      </w:r>
      <w:proofErr w:type="gramEnd"/>
      <w:r w:rsidRPr="00831C3C">
        <w:rPr>
          <w:rFonts w:hint="eastAsia"/>
          <w:sz w:val="18"/>
          <w:szCs w:val="18"/>
        </w:rPr>
        <w:t>期末的收入、费用、利润纳入合并利润表；将子公司或业务合并当期期初</w:t>
      </w:r>
      <w:proofErr w:type="gramStart"/>
      <w:r w:rsidRPr="00831C3C">
        <w:rPr>
          <w:rFonts w:hint="eastAsia"/>
          <w:sz w:val="18"/>
          <w:szCs w:val="18"/>
        </w:rPr>
        <w:t>至报告</w:t>
      </w:r>
      <w:proofErr w:type="gramEnd"/>
      <w:r w:rsidRPr="00831C3C">
        <w:rPr>
          <w:rFonts w:hint="eastAsia"/>
          <w:sz w:val="18"/>
          <w:szCs w:val="18"/>
        </w:rPr>
        <w:t>期末的现金流量纳入合并现金流量表，同时对比较报表的相关项目进行调整，视同合并后的报告主体</w:t>
      </w:r>
      <w:proofErr w:type="gramStart"/>
      <w:r w:rsidRPr="00831C3C">
        <w:rPr>
          <w:rFonts w:hint="eastAsia"/>
          <w:sz w:val="18"/>
          <w:szCs w:val="18"/>
        </w:rPr>
        <w:t>自最终</w:t>
      </w:r>
      <w:proofErr w:type="gramEnd"/>
      <w:r w:rsidRPr="00831C3C">
        <w:rPr>
          <w:rFonts w:hint="eastAsia"/>
          <w:sz w:val="18"/>
          <w:szCs w:val="18"/>
        </w:rPr>
        <w:t>控制方开始控制时点起一直存在。</w:t>
      </w:r>
    </w:p>
    <w:p w:rsidR="00C65FD5" w:rsidRPr="00831C3C" w:rsidRDefault="00C65FD5" w:rsidP="00034610">
      <w:pPr>
        <w:pStyle w:val="a3"/>
        <w:spacing w:before="50" w:beforeAutospacing="0" w:after="0" w:afterAutospacing="0"/>
        <w:ind w:firstLine="420"/>
        <w:jc w:val="both"/>
        <w:divId w:val="376470447"/>
      </w:pPr>
      <w:r w:rsidRPr="00831C3C">
        <w:rPr>
          <w:rFonts w:hint="eastAsia"/>
          <w:sz w:val="18"/>
          <w:szCs w:val="18"/>
        </w:rPr>
        <w:t>因追加投资等原因能够对同</w:t>
      </w:r>
      <w:proofErr w:type="gramStart"/>
      <w:r w:rsidRPr="00831C3C">
        <w:rPr>
          <w:rFonts w:hint="eastAsia"/>
          <w:sz w:val="18"/>
          <w:szCs w:val="18"/>
        </w:rPr>
        <w:t>一控制</w:t>
      </w:r>
      <w:proofErr w:type="gramEnd"/>
      <w:r w:rsidRPr="00831C3C">
        <w:rPr>
          <w:rFonts w:hint="eastAsia"/>
          <w:sz w:val="18"/>
          <w:szCs w:val="18"/>
        </w:rPr>
        <w:t>下的被投资方实施控制的，视同参与合并的各方在最终控制方开始控制时即以目前的状态存在进行调整。在取得被合并方控制权之前持有的股权投资，在取得原股权之日与合并方和被合并方同处于同</w:t>
      </w:r>
      <w:proofErr w:type="gramStart"/>
      <w:r w:rsidRPr="00831C3C">
        <w:rPr>
          <w:rFonts w:hint="eastAsia"/>
          <w:sz w:val="18"/>
          <w:szCs w:val="18"/>
        </w:rPr>
        <w:t>一控制之日孰晚日</w:t>
      </w:r>
      <w:proofErr w:type="gramEnd"/>
      <w:r w:rsidRPr="00831C3C">
        <w:rPr>
          <w:rFonts w:hint="eastAsia"/>
          <w:sz w:val="18"/>
          <w:szCs w:val="18"/>
        </w:rPr>
        <w:t>起至</w:t>
      </w:r>
      <w:proofErr w:type="gramStart"/>
      <w:r w:rsidRPr="00831C3C">
        <w:rPr>
          <w:rFonts w:hint="eastAsia"/>
          <w:sz w:val="18"/>
          <w:szCs w:val="18"/>
        </w:rPr>
        <w:t>合并日</w:t>
      </w:r>
      <w:proofErr w:type="gramEnd"/>
      <w:r w:rsidRPr="00831C3C">
        <w:rPr>
          <w:rFonts w:hint="eastAsia"/>
          <w:sz w:val="18"/>
          <w:szCs w:val="18"/>
        </w:rPr>
        <w:t>之间已确认有关损益、其他综合收益以及其他净资产变动，分别冲减比较报表期间的期初留存收益或当期损益。</w:t>
      </w:r>
    </w:p>
    <w:p w:rsidR="00C65FD5" w:rsidRPr="00831C3C" w:rsidRDefault="00C65FD5" w:rsidP="00034610">
      <w:pPr>
        <w:pStyle w:val="a3"/>
        <w:spacing w:before="50" w:beforeAutospacing="0" w:after="0" w:afterAutospacing="0"/>
        <w:ind w:firstLine="420"/>
        <w:jc w:val="both"/>
        <w:divId w:val="376470447"/>
      </w:pPr>
      <w:r w:rsidRPr="00831C3C">
        <w:rPr>
          <w:rFonts w:hint="eastAsia"/>
          <w:sz w:val="18"/>
          <w:szCs w:val="18"/>
        </w:rPr>
        <w:t>在报告期内，若因非同</w:t>
      </w:r>
      <w:proofErr w:type="gramStart"/>
      <w:r w:rsidRPr="00831C3C">
        <w:rPr>
          <w:rFonts w:hint="eastAsia"/>
          <w:sz w:val="18"/>
          <w:szCs w:val="18"/>
        </w:rPr>
        <w:t>一控制</w:t>
      </w:r>
      <w:proofErr w:type="gramEnd"/>
      <w:r w:rsidRPr="00831C3C">
        <w:rPr>
          <w:rFonts w:hint="eastAsia"/>
          <w:sz w:val="18"/>
          <w:szCs w:val="18"/>
        </w:rPr>
        <w:t>下企业合并增加子公司或业务的，则不调整合并资产负债表期初数；将该子公司或业务自购买日至报告期末的收入、费用、利润纳入合并利润表；该子公司或业务自购买日至报告期末的现金流量纳入合并现金流量表。</w:t>
      </w:r>
    </w:p>
    <w:p w:rsidR="00C65FD5" w:rsidRPr="00831C3C" w:rsidRDefault="00C65FD5" w:rsidP="00034610">
      <w:pPr>
        <w:pStyle w:val="a3"/>
        <w:spacing w:before="50" w:beforeAutospacing="0" w:after="0" w:afterAutospacing="0"/>
        <w:ind w:firstLine="420"/>
        <w:jc w:val="both"/>
        <w:divId w:val="376470447"/>
      </w:pPr>
      <w:r w:rsidRPr="00831C3C">
        <w:rPr>
          <w:rFonts w:hint="eastAsia"/>
          <w:sz w:val="18"/>
          <w:szCs w:val="18"/>
        </w:rPr>
        <w:t>因追加投资等原因能够对非同</w:t>
      </w:r>
      <w:proofErr w:type="gramStart"/>
      <w:r w:rsidRPr="00831C3C">
        <w:rPr>
          <w:rFonts w:hint="eastAsia"/>
          <w:sz w:val="18"/>
          <w:szCs w:val="18"/>
        </w:rPr>
        <w:t>一控制</w:t>
      </w:r>
      <w:proofErr w:type="gramEnd"/>
      <w:r w:rsidRPr="00831C3C">
        <w:rPr>
          <w:rFonts w:hint="eastAsia"/>
          <w:sz w:val="18"/>
          <w:szCs w:val="18"/>
        </w:rPr>
        <w:t>下的被投资方实施控制的，对于购买日之前持有的被购买方的股权，本公司按照该股权在购买日的公允价值进行重新计量，公允价值与其账面价值的差额计入当期投资收益。购买日之前持有的被购买方的股权涉及权益法核算下的其他综合收益以及除净损益、其他综合收益和利润分配之外的其他所有者权益变动的，与其相关的其他综合收益、其他所有者权益变动转为购买日所属当期投资收益，由于被投资方重新计量设定受益计划净负债或净资产变动而产生的其他综合收益除外。</w:t>
      </w:r>
    </w:p>
    <w:p w:rsidR="00C65FD5" w:rsidRPr="00831C3C" w:rsidRDefault="00C65FD5" w:rsidP="00034610">
      <w:pPr>
        <w:widowControl/>
        <w:numPr>
          <w:ilvl w:val="0"/>
          <w:numId w:val="26"/>
        </w:numPr>
        <w:divId w:val="376470447"/>
        <w:rPr>
          <w:rFonts w:ascii="Calibri" w:hAnsi="Calibri" w:cs="Calibri"/>
          <w:szCs w:val="21"/>
        </w:rPr>
      </w:pPr>
      <w:r w:rsidRPr="00831C3C">
        <w:rPr>
          <w:rFonts w:cs="Calibri" w:hint="eastAsia"/>
          <w:sz w:val="18"/>
          <w:szCs w:val="18"/>
        </w:rPr>
        <w:t>处置子公司或业务</w:t>
      </w:r>
    </w:p>
    <w:p w:rsidR="00C65FD5" w:rsidRPr="00831C3C" w:rsidRDefault="00C65FD5" w:rsidP="00034610">
      <w:pPr>
        <w:pStyle w:val="a3"/>
        <w:spacing w:before="0" w:beforeAutospacing="0" w:after="0" w:afterAutospacing="0"/>
        <w:ind w:firstLine="420"/>
        <w:jc w:val="both"/>
        <w:divId w:val="376470447"/>
      </w:pPr>
      <w:r w:rsidRPr="00831C3C">
        <w:rPr>
          <w:rFonts w:hint="eastAsia"/>
          <w:sz w:val="18"/>
          <w:szCs w:val="18"/>
        </w:rPr>
        <w:t>1）一般处理方法</w:t>
      </w:r>
    </w:p>
    <w:p w:rsidR="00C65FD5" w:rsidRPr="00831C3C" w:rsidRDefault="00C65FD5" w:rsidP="00034610">
      <w:pPr>
        <w:pStyle w:val="a3"/>
        <w:spacing w:before="0" w:beforeAutospacing="0" w:after="0" w:afterAutospacing="0"/>
        <w:ind w:firstLine="420"/>
        <w:jc w:val="both"/>
        <w:divId w:val="376470447"/>
      </w:pPr>
      <w:r w:rsidRPr="00831C3C">
        <w:rPr>
          <w:rFonts w:hint="eastAsia"/>
          <w:sz w:val="18"/>
          <w:szCs w:val="18"/>
        </w:rPr>
        <w:t>在报告期内，本公司处置子公司或业务，则该子公司或业务期初至</w:t>
      </w:r>
      <w:proofErr w:type="gramStart"/>
      <w:r w:rsidRPr="00831C3C">
        <w:rPr>
          <w:rFonts w:hint="eastAsia"/>
          <w:sz w:val="18"/>
          <w:szCs w:val="18"/>
        </w:rPr>
        <w:t>处置日</w:t>
      </w:r>
      <w:proofErr w:type="gramEnd"/>
      <w:r w:rsidRPr="00831C3C">
        <w:rPr>
          <w:rFonts w:hint="eastAsia"/>
          <w:sz w:val="18"/>
          <w:szCs w:val="18"/>
        </w:rPr>
        <w:t>的收入、费用、利润纳入合并利润表；该子公司或业务期初至</w:t>
      </w:r>
      <w:proofErr w:type="gramStart"/>
      <w:r w:rsidRPr="00831C3C">
        <w:rPr>
          <w:rFonts w:hint="eastAsia"/>
          <w:sz w:val="18"/>
          <w:szCs w:val="18"/>
        </w:rPr>
        <w:t>处置日</w:t>
      </w:r>
      <w:proofErr w:type="gramEnd"/>
      <w:r w:rsidRPr="00831C3C">
        <w:rPr>
          <w:rFonts w:hint="eastAsia"/>
          <w:sz w:val="18"/>
          <w:szCs w:val="18"/>
        </w:rPr>
        <w:t>的现金流量纳入合并现金流量表。</w:t>
      </w:r>
    </w:p>
    <w:p w:rsidR="00C65FD5" w:rsidRPr="00831C3C" w:rsidRDefault="00C65FD5" w:rsidP="00034610">
      <w:pPr>
        <w:pStyle w:val="a3"/>
        <w:spacing w:before="0" w:beforeAutospacing="0" w:after="0" w:afterAutospacing="0"/>
        <w:ind w:firstLine="420"/>
        <w:jc w:val="both"/>
        <w:divId w:val="376470447"/>
      </w:pPr>
      <w:r w:rsidRPr="00831C3C">
        <w:rPr>
          <w:rFonts w:hint="eastAsia"/>
          <w:sz w:val="18"/>
          <w:szCs w:val="18"/>
        </w:rPr>
        <w:t>因处置部分股权投资或其他原因丧失了对被投资方控制权时，对于处置后的剩余股权投资，本公司按照其在丧失控制权日的公允价值进行重新计量。处置股权取得的对价与剩余股权公允价值之和，减去按原持股比例计算应享有原有子公司自购买日或</w:t>
      </w:r>
      <w:proofErr w:type="gramStart"/>
      <w:r w:rsidRPr="00831C3C">
        <w:rPr>
          <w:rFonts w:hint="eastAsia"/>
          <w:sz w:val="18"/>
          <w:szCs w:val="18"/>
        </w:rPr>
        <w:t>合并日</w:t>
      </w:r>
      <w:proofErr w:type="gramEnd"/>
      <w:r w:rsidRPr="00831C3C">
        <w:rPr>
          <w:rFonts w:hint="eastAsia"/>
          <w:sz w:val="18"/>
          <w:szCs w:val="18"/>
        </w:rPr>
        <w:t>开始持续计算的净资产的份额与商誉之和的差额，计入丧失控制权当期的投资收益。与原有子公司股权投资相关的其他综合收益或除净损益、其他综合收益及利润分配之外的其他所有者权益变动，在丧失控制权时转为当期投资收益，由于被投资方重新计量设定受益计划净负债或净资产变动而产生的其他综合收益除外。</w:t>
      </w:r>
    </w:p>
    <w:p w:rsidR="00C65FD5" w:rsidRPr="00831C3C" w:rsidRDefault="00C65FD5" w:rsidP="00034610">
      <w:pPr>
        <w:pStyle w:val="a3"/>
        <w:spacing w:before="0" w:beforeAutospacing="0" w:after="0" w:afterAutospacing="0"/>
        <w:ind w:firstLine="420"/>
        <w:jc w:val="both"/>
        <w:divId w:val="376470447"/>
      </w:pPr>
      <w:r w:rsidRPr="00831C3C">
        <w:rPr>
          <w:rFonts w:hint="eastAsia"/>
          <w:sz w:val="18"/>
          <w:szCs w:val="18"/>
        </w:rPr>
        <w:t>2）分步处置子公司</w:t>
      </w:r>
    </w:p>
    <w:p w:rsidR="00C65FD5" w:rsidRPr="00831C3C" w:rsidRDefault="00C65FD5" w:rsidP="00034610">
      <w:pPr>
        <w:pStyle w:val="a3"/>
        <w:spacing w:before="0" w:beforeAutospacing="0" w:after="0" w:afterAutospacing="0"/>
        <w:ind w:firstLine="420"/>
        <w:jc w:val="both"/>
        <w:divId w:val="376470447"/>
      </w:pPr>
      <w:r w:rsidRPr="00831C3C">
        <w:rPr>
          <w:rFonts w:hint="eastAsia"/>
          <w:sz w:val="18"/>
          <w:szCs w:val="18"/>
        </w:rPr>
        <w:t>通过多次交易分步处置对子公司股权投资直至丧失控制权的，处置对子公司股权投资的各项交易的条款、条件以及经济影响符合以下一种或多种情况，通常表明应将多次交易事项作为一揽子交易进行会计处理：</w:t>
      </w:r>
    </w:p>
    <w:p w:rsidR="00C65FD5" w:rsidRPr="00831C3C" w:rsidRDefault="00C65FD5" w:rsidP="00034610">
      <w:pPr>
        <w:pStyle w:val="a3"/>
        <w:spacing w:before="0" w:beforeAutospacing="0" w:after="0" w:afterAutospacing="0"/>
        <w:ind w:firstLine="420"/>
        <w:jc w:val="both"/>
        <w:divId w:val="376470447"/>
      </w:pPr>
      <w:r w:rsidRPr="00831C3C">
        <w:rPr>
          <w:rFonts w:hint="eastAsia"/>
          <w:sz w:val="18"/>
          <w:szCs w:val="18"/>
        </w:rPr>
        <w:t>A.这些交易是同时或者在考虑了彼此影响的情况下订立的；</w:t>
      </w:r>
    </w:p>
    <w:p w:rsidR="00C65FD5" w:rsidRPr="00831C3C" w:rsidRDefault="00C65FD5" w:rsidP="00034610">
      <w:pPr>
        <w:pStyle w:val="a3"/>
        <w:spacing w:before="0" w:beforeAutospacing="0" w:after="0" w:afterAutospacing="0"/>
        <w:ind w:firstLine="420"/>
        <w:jc w:val="both"/>
        <w:divId w:val="376470447"/>
      </w:pPr>
      <w:r w:rsidRPr="00831C3C">
        <w:rPr>
          <w:rFonts w:hint="eastAsia"/>
          <w:sz w:val="18"/>
          <w:szCs w:val="18"/>
        </w:rPr>
        <w:t>B.这些交易整体才能达成一项完整的商业结果；</w:t>
      </w:r>
    </w:p>
    <w:p w:rsidR="00C65FD5" w:rsidRPr="00831C3C" w:rsidRDefault="00C65FD5" w:rsidP="00034610">
      <w:pPr>
        <w:pStyle w:val="a3"/>
        <w:spacing w:before="0" w:beforeAutospacing="0" w:after="0" w:afterAutospacing="0"/>
        <w:ind w:firstLine="420"/>
        <w:jc w:val="both"/>
        <w:divId w:val="376470447"/>
      </w:pPr>
      <w:r w:rsidRPr="00831C3C">
        <w:rPr>
          <w:rFonts w:hint="eastAsia"/>
          <w:sz w:val="18"/>
          <w:szCs w:val="18"/>
        </w:rPr>
        <w:t>C.一项交易的发生取决于其他至少一项交易的发生；</w:t>
      </w:r>
    </w:p>
    <w:p w:rsidR="00C65FD5" w:rsidRPr="00831C3C" w:rsidRDefault="00C65FD5" w:rsidP="00034610">
      <w:pPr>
        <w:pStyle w:val="a3"/>
        <w:spacing w:before="0" w:beforeAutospacing="0" w:after="0" w:afterAutospacing="0"/>
        <w:ind w:firstLine="420"/>
        <w:jc w:val="both"/>
        <w:divId w:val="376470447"/>
      </w:pPr>
      <w:r w:rsidRPr="00831C3C">
        <w:rPr>
          <w:rFonts w:hint="eastAsia"/>
          <w:sz w:val="18"/>
          <w:szCs w:val="18"/>
        </w:rPr>
        <w:t>D.一项交易单独看是不经济的，但是和其他交易一并考虑时是经济的。</w:t>
      </w:r>
    </w:p>
    <w:p w:rsidR="00C65FD5" w:rsidRPr="00831C3C" w:rsidRDefault="00C65FD5" w:rsidP="00034610">
      <w:pPr>
        <w:pStyle w:val="a3"/>
        <w:spacing w:before="0" w:beforeAutospacing="0" w:after="0" w:afterAutospacing="0"/>
        <w:ind w:firstLine="420"/>
        <w:jc w:val="both"/>
        <w:divId w:val="376470447"/>
      </w:pPr>
      <w:r w:rsidRPr="00831C3C">
        <w:rPr>
          <w:rFonts w:hint="eastAsia"/>
          <w:sz w:val="18"/>
          <w:szCs w:val="18"/>
        </w:rPr>
        <w:lastRenderedPageBreak/>
        <w:t>处置对子公司股权投资直至丧失控制权的各项交易属于一揽子交易的，本公司将各项交易作为一项处置子公司并丧失控制权的交易进行会计处理；但是，在丧失控制权之前每一次处置价款与处置投资对应的享有该子公司净资产份额的差额，在合并财务报表中确认为其他综合收益，在丧失控制权时一并转入丧失控制权当期的损益。</w:t>
      </w:r>
    </w:p>
    <w:p w:rsidR="00C65FD5" w:rsidRPr="00831C3C" w:rsidRDefault="00C65FD5" w:rsidP="00034610">
      <w:pPr>
        <w:pStyle w:val="a3"/>
        <w:spacing w:before="0" w:beforeAutospacing="0" w:after="0" w:afterAutospacing="0"/>
        <w:ind w:firstLine="420"/>
        <w:jc w:val="both"/>
        <w:divId w:val="376470447"/>
      </w:pPr>
      <w:r w:rsidRPr="00831C3C">
        <w:rPr>
          <w:rFonts w:hint="eastAsia"/>
          <w:sz w:val="18"/>
          <w:szCs w:val="18"/>
        </w:rPr>
        <w:t>处置对子公司股权投资直至丧失控制权的各项交易不属于一揽子交易的，在丧失控制权之前，按不丧失控制权的情况下部分处置对子公司的股权投资的相关政策进行会计处理；在丧失控制权时，按处置子公司一般处理方法进行会计处理。</w:t>
      </w:r>
    </w:p>
    <w:p w:rsidR="00C65FD5" w:rsidRPr="00831C3C" w:rsidRDefault="00C65FD5" w:rsidP="00034610">
      <w:pPr>
        <w:widowControl/>
        <w:numPr>
          <w:ilvl w:val="0"/>
          <w:numId w:val="27"/>
        </w:numPr>
        <w:divId w:val="376470447"/>
        <w:rPr>
          <w:rFonts w:ascii="Calibri" w:hAnsi="Calibri" w:cs="Calibri"/>
          <w:szCs w:val="21"/>
        </w:rPr>
      </w:pPr>
      <w:r w:rsidRPr="00831C3C">
        <w:rPr>
          <w:rFonts w:cs="Calibri" w:hint="eastAsia"/>
          <w:sz w:val="18"/>
          <w:szCs w:val="18"/>
        </w:rPr>
        <w:t>购买子公司少数股权</w:t>
      </w:r>
    </w:p>
    <w:p w:rsidR="00C65FD5" w:rsidRPr="00831C3C" w:rsidRDefault="00C65FD5" w:rsidP="00034610">
      <w:pPr>
        <w:pStyle w:val="a3"/>
        <w:spacing w:before="0" w:beforeAutospacing="0" w:after="0" w:afterAutospacing="0"/>
        <w:ind w:firstLine="420"/>
        <w:jc w:val="both"/>
        <w:divId w:val="376470447"/>
      </w:pPr>
      <w:r w:rsidRPr="00831C3C">
        <w:rPr>
          <w:rFonts w:hint="eastAsia"/>
          <w:sz w:val="18"/>
          <w:szCs w:val="18"/>
        </w:rPr>
        <w:t>本公司因购买少数股权新取得的长期股权投资与按照新增持股比例计算应享有子公司自购买日（或合并日）开始持续计算的净资产份额之间的差额，调整合并资产负债表中的资本公积中的股本溢价，资本公积中的股本溢价不足冲减的，调整留存收益。</w:t>
      </w:r>
    </w:p>
    <w:p w:rsidR="00C65FD5" w:rsidRPr="00831C3C" w:rsidRDefault="00C65FD5" w:rsidP="00034610">
      <w:pPr>
        <w:widowControl/>
        <w:numPr>
          <w:ilvl w:val="0"/>
          <w:numId w:val="28"/>
        </w:numPr>
        <w:divId w:val="376470447"/>
        <w:rPr>
          <w:rFonts w:ascii="Calibri" w:hAnsi="Calibri" w:cs="Calibri"/>
          <w:szCs w:val="21"/>
        </w:rPr>
      </w:pPr>
      <w:r w:rsidRPr="00831C3C">
        <w:rPr>
          <w:rFonts w:cs="Calibri" w:hint="eastAsia"/>
          <w:sz w:val="18"/>
          <w:szCs w:val="18"/>
        </w:rPr>
        <w:t>不丧失控制权的情况下部分处置对子公司的股权投资</w:t>
      </w:r>
    </w:p>
    <w:p w:rsidR="00C65FD5" w:rsidRPr="00831C3C" w:rsidRDefault="00C65FD5" w:rsidP="00034610">
      <w:pPr>
        <w:pStyle w:val="a3"/>
        <w:divId w:val="376470447"/>
        <w:rPr>
          <w:sz w:val="18"/>
          <w:szCs w:val="18"/>
        </w:rPr>
      </w:pPr>
      <w:r w:rsidRPr="00831C3C">
        <w:rPr>
          <w:rFonts w:hint="eastAsia"/>
          <w:sz w:val="18"/>
          <w:szCs w:val="18"/>
        </w:rPr>
        <w:t>在不丧失控制权的情况下因部分处置对子公司的长期股权投资而取得的处置价款与处置长期股权投资相对应享有子公司自购买日或</w:t>
      </w:r>
      <w:proofErr w:type="gramStart"/>
      <w:r w:rsidRPr="00831C3C">
        <w:rPr>
          <w:rFonts w:hint="eastAsia"/>
          <w:sz w:val="18"/>
          <w:szCs w:val="18"/>
        </w:rPr>
        <w:t>合并日</w:t>
      </w:r>
      <w:proofErr w:type="gramEnd"/>
      <w:r w:rsidRPr="00831C3C">
        <w:rPr>
          <w:rFonts w:hint="eastAsia"/>
          <w:sz w:val="18"/>
          <w:szCs w:val="18"/>
        </w:rPr>
        <w:t>开始持续计算的净资产份额之间的差额，调整合并资产负债表中的资本公积中的股本溢价，资本公积中的股本溢价不足冲减的，调整留存收益。</w:t>
      </w:r>
    </w:p>
    <w:p w:rsidR="00E23A97" w:rsidRPr="00831C3C" w:rsidRDefault="00C65FD5">
      <w:pPr>
        <w:pStyle w:val="3"/>
        <w:spacing w:line="280" w:lineRule="exact"/>
        <w:jc w:val="left"/>
        <w:rPr>
          <w:rFonts w:ascii="宋体" w:hAnsi="宋体" w:cs="宋体"/>
          <w:b/>
          <w:bCs/>
        </w:rPr>
      </w:pPr>
      <w:bookmarkStart w:id="185" w:name="_Toc989073"/>
      <w:r w:rsidRPr="00831C3C">
        <w:rPr>
          <w:rFonts w:ascii="宋体" w:hAnsi="宋体" w:cs="宋体"/>
          <w:b/>
          <w:bCs/>
        </w:rPr>
        <w:t>8、合营安排分类及共同经营会计处理方法</w:t>
      </w:r>
      <w:bookmarkEnd w:id="185"/>
    </w:p>
    <w:p w:rsidR="00C65FD5" w:rsidRPr="00831C3C" w:rsidRDefault="00C65FD5">
      <w:pPr>
        <w:widowControl/>
        <w:numPr>
          <w:ilvl w:val="0"/>
          <w:numId w:val="29"/>
        </w:numPr>
        <w:spacing w:before="100" w:beforeAutospacing="1" w:after="100" w:afterAutospacing="1"/>
        <w:divId w:val="146480717"/>
        <w:rPr>
          <w:sz w:val="18"/>
          <w:szCs w:val="18"/>
        </w:rPr>
      </w:pPr>
      <w:r w:rsidRPr="00831C3C">
        <w:rPr>
          <w:rStyle w:val="a4"/>
          <w:rFonts w:hint="eastAsia"/>
          <w:sz w:val="18"/>
          <w:szCs w:val="18"/>
        </w:rPr>
        <w:t>合营安排的分类</w:t>
      </w:r>
    </w:p>
    <w:p w:rsidR="00C65FD5" w:rsidRPr="00831C3C" w:rsidRDefault="00C65FD5" w:rsidP="00034610">
      <w:pPr>
        <w:pStyle w:val="a3"/>
        <w:spacing w:before="0" w:beforeAutospacing="0" w:after="0" w:afterAutospacing="0"/>
        <w:ind w:firstLine="420"/>
        <w:jc w:val="both"/>
        <w:divId w:val="146480717"/>
      </w:pPr>
      <w:r w:rsidRPr="00831C3C">
        <w:rPr>
          <w:rFonts w:hint="eastAsia"/>
          <w:sz w:val="18"/>
          <w:szCs w:val="18"/>
        </w:rPr>
        <w:t>本公司根据合营安排的结构、法律形式以及合营安排中约定的条款、其他相关事实和情况等因素，将合营安排分为共同经营和合营企业。</w:t>
      </w:r>
    </w:p>
    <w:p w:rsidR="00C65FD5" w:rsidRPr="00831C3C" w:rsidRDefault="00C65FD5" w:rsidP="00034610">
      <w:pPr>
        <w:pStyle w:val="a3"/>
        <w:spacing w:before="0" w:beforeAutospacing="0" w:after="0" w:afterAutospacing="0"/>
        <w:ind w:firstLine="420"/>
        <w:jc w:val="both"/>
        <w:divId w:val="146480717"/>
      </w:pPr>
      <w:r w:rsidRPr="00831C3C">
        <w:rPr>
          <w:rFonts w:hint="eastAsia"/>
          <w:sz w:val="18"/>
          <w:szCs w:val="18"/>
        </w:rPr>
        <w:t>未通过单独主体达成的合营安排，划分为共同经营；通过单独主体达成的合营安排，通常划分为合营企业；但有确凿证据表明满足下列任</w:t>
      </w:r>
      <w:proofErr w:type="gramStart"/>
      <w:r w:rsidRPr="00831C3C">
        <w:rPr>
          <w:rFonts w:hint="eastAsia"/>
          <w:sz w:val="18"/>
          <w:szCs w:val="18"/>
        </w:rPr>
        <w:t>一</w:t>
      </w:r>
      <w:proofErr w:type="gramEnd"/>
      <w:r w:rsidRPr="00831C3C">
        <w:rPr>
          <w:rFonts w:hint="eastAsia"/>
          <w:sz w:val="18"/>
          <w:szCs w:val="18"/>
        </w:rPr>
        <w:t>条件并且符合相关法律法规规定的合营安排划分为共同经营：</w:t>
      </w:r>
    </w:p>
    <w:p w:rsidR="00C65FD5" w:rsidRPr="00831C3C" w:rsidRDefault="00C65FD5" w:rsidP="00CC7D91">
      <w:pPr>
        <w:widowControl/>
        <w:numPr>
          <w:ilvl w:val="1"/>
          <w:numId w:val="30"/>
        </w:numPr>
        <w:divId w:val="146480717"/>
        <w:rPr>
          <w:rFonts w:ascii="Calibri" w:hAnsi="Calibri" w:cs="Calibri"/>
          <w:szCs w:val="21"/>
        </w:rPr>
      </w:pPr>
      <w:r w:rsidRPr="00831C3C">
        <w:rPr>
          <w:rFonts w:cs="Calibri" w:hint="eastAsia"/>
          <w:sz w:val="18"/>
          <w:szCs w:val="18"/>
        </w:rPr>
        <w:t>合营安排的法律形式表明，合营方对该安排中的相关资产和负债分别享有权利和承担义务。</w:t>
      </w:r>
    </w:p>
    <w:p w:rsidR="00C65FD5" w:rsidRPr="00831C3C" w:rsidRDefault="00C65FD5" w:rsidP="00CC7D91">
      <w:pPr>
        <w:widowControl/>
        <w:numPr>
          <w:ilvl w:val="1"/>
          <w:numId w:val="30"/>
        </w:numPr>
        <w:divId w:val="146480717"/>
        <w:rPr>
          <w:rFonts w:ascii="Calibri" w:hAnsi="Calibri" w:cs="Calibri"/>
          <w:szCs w:val="21"/>
        </w:rPr>
      </w:pPr>
      <w:r w:rsidRPr="00831C3C">
        <w:rPr>
          <w:rFonts w:cs="Calibri" w:hint="eastAsia"/>
          <w:sz w:val="18"/>
          <w:szCs w:val="18"/>
        </w:rPr>
        <w:t>合营安排的合同条款约定，合营方对该安排中的相关资产和负债分别享有权利和承担义务。</w:t>
      </w:r>
    </w:p>
    <w:p w:rsidR="00C65FD5" w:rsidRPr="00831C3C" w:rsidRDefault="00C65FD5" w:rsidP="00CC7D91">
      <w:pPr>
        <w:widowControl/>
        <w:numPr>
          <w:ilvl w:val="1"/>
          <w:numId w:val="30"/>
        </w:numPr>
        <w:divId w:val="146480717"/>
        <w:rPr>
          <w:rFonts w:ascii="Calibri" w:hAnsi="Calibri" w:cs="Calibri"/>
          <w:szCs w:val="21"/>
        </w:rPr>
      </w:pPr>
      <w:r w:rsidRPr="00831C3C">
        <w:rPr>
          <w:rFonts w:cs="Calibri" w:hint="eastAsia"/>
          <w:sz w:val="18"/>
          <w:szCs w:val="18"/>
        </w:rPr>
        <w:t>其他相关事实和情况表明，合营方对该安排中的相关资产和负债分别享有权利和承担义务，如合营方享有与合营安排相关的几乎所有产出，并且该安排中负债的清偿持续依赖于合营方的支持。</w:t>
      </w:r>
    </w:p>
    <w:p w:rsidR="00C65FD5" w:rsidRPr="00831C3C" w:rsidRDefault="00C65FD5" w:rsidP="00CC7D91">
      <w:pPr>
        <w:widowControl/>
        <w:numPr>
          <w:ilvl w:val="0"/>
          <w:numId w:val="31"/>
        </w:numPr>
        <w:spacing w:before="100" w:beforeAutospacing="1" w:after="100" w:afterAutospacing="1"/>
        <w:divId w:val="146480717"/>
        <w:rPr>
          <w:rFonts w:ascii="宋体" w:hAnsi="宋体" w:cs="宋体"/>
          <w:sz w:val="18"/>
          <w:szCs w:val="18"/>
        </w:rPr>
      </w:pPr>
      <w:r w:rsidRPr="00831C3C">
        <w:rPr>
          <w:rFonts w:hint="eastAsia"/>
          <w:sz w:val="18"/>
          <w:szCs w:val="18"/>
        </w:rPr>
        <w:t>．</w:t>
      </w:r>
      <w:r w:rsidRPr="00831C3C">
        <w:rPr>
          <w:rStyle w:val="a4"/>
          <w:rFonts w:hint="eastAsia"/>
          <w:sz w:val="18"/>
          <w:szCs w:val="18"/>
        </w:rPr>
        <w:t>共同经营会计处理方法</w:t>
      </w:r>
    </w:p>
    <w:p w:rsidR="00C65FD5" w:rsidRPr="00831C3C" w:rsidRDefault="00C65FD5" w:rsidP="00034610">
      <w:pPr>
        <w:pStyle w:val="a3"/>
        <w:spacing w:before="0" w:beforeAutospacing="0" w:after="0" w:afterAutospacing="0"/>
        <w:ind w:firstLine="420"/>
        <w:jc w:val="both"/>
        <w:divId w:val="146480717"/>
      </w:pPr>
      <w:r w:rsidRPr="00831C3C">
        <w:rPr>
          <w:rFonts w:hint="eastAsia"/>
          <w:sz w:val="18"/>
          <w:szCs w:val="18"/>
        </w:rPr>
        <w:t>本公司确认共同经营中利益份额中与本公司相关的下列项目，并按照相关企业会计准则的规定进行会计处理：</w:t>
      </w:r>
    </w:p>
    <w:p w:rsidR="00C65FD5" w:rsidRPr="00831C3C" w:rsidRDefault="00C65FD5" w:rsidP="00CC7D91">
      <w:pPr>
        <w:widowControl/>
        <w:numPr>
          <w:ilvl w:val="1"/>
          <w:numId w:val="32"/>
        </w:numPr>
        <w:divId w:val="146480717"/>
        <w:rPr>
          <w:rFonts w:ascii="Calibri" w:hAnsi="Calibri" w:cs="Calibri"/>
          <w:szCs w:val="21"/>
        </w:rPr>
      </w:pPr>
      <w:r w:rsidRPr="00831C3C">
        <w:rPr>
          <w:rFonts w:cs="Calibri" w:hint="eastAsia"/>
          <w:sz w:val="18"/>
          <w:szCs w:val="18"/>
        </w:rPr>
        <w:t>确认单独所持有的资产，以及按其份额确认共同持有的资产；</w:t>
      </w:r>
    </w:p>
    <w:p w:rsidR="00C65FD5" w:rsidRPr="00831C3C" w:rsidRDefault="00C65FD5" w:rsidP="00CC7D91">
      <w:pPr>
        <w:widowControl/>
        <w:numPr>
          <w:ilvl w:val="1"/>
          <w:numId w:val="32"/>
        </w:numPr>
        <w:divId w:val="146480717"/>
        <w:rPr>
          <w:rFonts w:ascii="Calibri" w:hAnsi="Calibri" w:cs="Calibri"/>
          <w:szCs w:val="21"/>
        </w:rPr>
      </w:pPr>
      <w:r w:rsidRPr="00831C3C">
        <w:rPr>
          <w:rFonts w:cs="Calibri" w:hint="eastAsia"/>
          <w:sz w:val="18"/>
          <w:szCs w:val="18"/>
        </w:rPr>
        <w:t>确认单独所承担的负债，以及按其份额确认共同承担的负债；</w:t>
      </w:r>
    </w:p>
    <w:p w:rsidR="00C65FD5" w:rsidRPr="00831C3C" w:rsidRDefault="00C65FD5" w:rsidP="00CC7D91">
      <w:pPr>
        <w:widowControl/>
        <w:numPr>
          <w:ilvl w:val="1"/>
          <w:numId w:val="32"/>
        </w:numPr>
        <w:divId w:val="146480717"/>
        <w:rPr>
          <w:rFonts w:ascii="Calibri" w:hAnsi="Calibri" w:cs="Calibri"/>
          <w:szCs w:val="21"/>
        </w:rPr>
      </w:pPr>
      <w:r w:rsidRPr="00831C3C">
        <w:rPr>
          <w:rFonts w:cs="Calibri" w:hint="eastAsia"/>
          <w:sz w:val="18"/>
          <w:szCs w:val="18"/>
        </w:rPr>
        <w:t>确认出售其享有的共同经营产出份额所产生的收入；</w:t>
      </w:r>
    </w:p>
    <w:p w:rsidR="00C65FD5" w:rsidRPr="00831C3C" w:rsidRDefault="00C65FD5" w:rsidP="00CC7D91">
      <w:pPr>
        <w:widowControl/>
        <w:numPr>
          <w:ilvl w:val="1"/>
          <w:numId w:val="32"/>
        </w:numPr>
        <w:divId w:val="146480717"/>
        <w:rPr>
          <w:rFonts w:ascii="Calibri" w:hAnsi="Calibri" w:cs="Calibri"/>
          <w:szCs w:val="21"/>
        </w:rPr>
      </w:pPr>
      <w:r w:rsidRPr="00831C3C">
        <w:rPr>
          <w:rFonts w:cs="Calibri" w:hint="eastAsia"/>
          <w:sz w:val="18"/>
          <w:szCs w:val="18"/>
        </w:rPr>
        <w:t>按其份额确认共同经营因出售产出所产生的收入；</w:t>
      </w:r>
    </w:p>
    <w:p w:rsidR="00C65FD5" w:rsidRPr="00831C3C" w:rsidRDefault="00C65FD5" w:rsidP="00CC7D91">
      <w:pPr>
        <w:widowControl/>
        <w:numPr>
          <w:ilvl w:val="1"/>
          <w:numId w:val="32"/>
        </w:numPr>
        <w:divId w:val="146480717"/>
        <w:rPr>
          <w:rFonts w:ascii="Calibri" w:hAnsi="Calibri" w:cs="Calibri"/>
          <w:szCs w:val="21"/>
        </w:rPr>
      </w:pPr>
      <w:r w:rsidRPr="00831C3C">
        <w:rPr>
          <w:rFonts w:cs="Calibri" w:hint="eastAsia"/>
          <w:sz w:val="18"/>
          <w:szCs w:val="18"/>
        </w:rPr>
        <w:t>确认单独所发生的费用，以及按其份额确认共同经营发生的费用。</w:t>
      </w:r>
    </w:p>
    <w:p w:rsidR="00C65FD5" w:rsidRPr="00831C3C" w:rsidRDefault="00C65FD5" w:rsidP="00034610">
      <w:pPr>
        <w:pStyle w:val="a3"/>
        <w:spacing w:before="0" w:beforeAutospacing="0" w:after="0" w:afterAutospacing="0"/>
        <w:ind w:firstLine="420"/>
        <w:jc w:val="both"/>
        <w:divId w:val="146480717"/>
      </w:pPr>
      <w:r w:rsidRPr="00831C3C">
        <w:rPr>
          <w:rFonts w:hint="eastAsia"/>
          <w:sz w:val="18"/>
          <w:szCs w:val="18"/>
        </w:rPr>
        <w:t>本公司向共同经营投出或出售资产等（该资产构成业务的除外），在该资产等由共同经营出售给第三方之前，仅</w:t>
      </w:r>
      <w:proofErr w:type="gramStart"/>
      <w:r w:rsidRPr="00831C3C">
        <w:rPr>
          <w:rFonts w:hint="eastAsia"/>
          <w:sz w:val="18"/>
          <w:szCs w:val="18"/>
        </w:rPr>
        <w:t>确认因</w:t>
      </w:r>
      <w:proofErr w:type="gramEnd"/>
      <w:r w:rsidRPr="00831C3C">
        <w:rPr>
          <w:rFonts w:hint="eastAsia"/>
          <w:sz w:val="18"/>
          <w:szCs w:val="18"/>
        </w:rPr>
        <w:t>该交易产生的损益中归属于共同经营其他参与方的部分。投出或出售的资产发生符合《企业会计准则第</w:t>
      </w:r>
      <w:r w:rsidRPr="00831C3C">
        <w:rPr>
          <w:rFonts w:ascii="Times New Roman" w:hAnsi="Times New Roman" w:cs="Times New Roman"/>
          <w:sz w:val="18"/>
          <w:szCs w:val="18"/>
        </w:rPr>
        <w:t>8</w:t>
      </w:r>
      <w:r w:rsidRPr="00831C3C">
        <w:rPr>
          <w:rFonts w:hint="eastAsia"/>
          <w:sz w:val="18"/>
          <w:szCs w:val="18"/>
        </w:rPr>
        <w:t>号——资产减值》等规定的资产减值损失的，本公司全额确认该损失。</w:t>
      </w:r>
    </w:p>
    <w:p w:rsidR="00C65FD5" w:rsidRPr="00831C3C" w:rsidRDefault="00C65FD5" w:rsidP="00034610">
      <w:pPr>
        <w:pStyle w:val="a3"/>
        <w:spacing w:before="0" w:beforeAutospacing="0" w:after="0" w:afterAutospacing="0"/>
        <w:ind w:firstLine="420"/>
        <w:jc w:val="both"/>
        <w:divId w:val="146480717"/>
      </w:pPr>
      <w:r w:rsidRPr="00831C3C">
        <w:rPr>
          <w:rFonts w:hint="eastAsia"/>
          <w:sz w:val="18"/>
          <w:szCs w:val="18"/>
        </w:rPr>
        <w:t>本公司</w:t>
      </w:r>
      <w:proofErr w:type="gramStart"/>
      <w:r w:rsidRPr="00831C3C">
        <w:rPr>
          <w:rFonts w:hint="eastAsia"/>
          <w:sz w:val="18"/>
          <w:szCs w:val="18"/>
        </w:rPr>
        <w:t>自共同</w:t>
      </w:r>
      <w:proofErr w:type="gramEnd"/>
      <w:r w:rsidRPr="00831C3C">
        <w:rPr>
          <w:rFonts w:hint="eastAsia"/>
          <w:sz w:val="18"/>
          <w:szCs w:val="18"/>
        </w:rPr>
        <w:t>经营购买资产等（该资产构成业务的除外），在将该资产等出售给第三方之前，仅</w:t>
      </w:r>
      <w:proofErr w:type="gramStart"/>
      <w:r w:rsidRPr="00831C3C">
        <w:rPr>
          <w:rFonts w:hint="eastAsia"/>
          <w:sz w:val="18"/>
          <w:szCs w:val="18"/>
        </w:rPr>
        <w:t>确认因</w:t>
      </w:r>
      <w:proofErr w:type="gramEnd"/>
      <w:r w:rsidRPr="00831C3C">
        <w:rPr>
          <w:rFonts w:hint="eastAsia"/>
          <w:sz w:val="18"/>
          <w:szCs w:val="18"/>
        </w:rPr>
        <w:t>该交易产生的损益中归属于共同经营其他参与方的部分。购入的资产发生符合《企业会计准则第</w:t>
      </w:r>
      <w:r w:rsidRPr="00831C3C">
        <w:rPr>
          <w:rFonts w:ascii="Times New Roman" w:hAnsi="Times New Roman" w:cs="Times New Roman"/>
          <w:sz w:val="18"/>
          <w:szCs w:val="18"/>
        </w:rPr>
        <w:t>8</w:t>
      </w:r>
      <w:r w:rsidRPr="00831C3C">
        <w:rPr>
          <w:rFonts w:hint="eastAsia"/>
          <w:sz w:val="18"/>
          <w:szCs w:val="18"/>
        </w:rPr>
        <w:t>号——资产减值》等规定的资产减值损失的，本公司按承担的份额确认该部分损失。</w:t>
      </w:r>
    </w:p>
    <w:p w:rsidR="00C65FD5" w:rsidRPr="00831C3C" w:rsidRDefault="00C65FD5" w:rsidP="00034610">
      <w:pPr>
        <w:pStyle w:val="a3"/>
        <w:spacing w:before="0" w:beforeAutospacing="0" w:after="0" w:afterAutospacing="0"/>
        <w:ind w:firstLine="420"/>
        <w:jc w:val="both"/>
        <w:divId w:val="146480717"/>
      </w:pPr>
      <w:r w:rsidRPr="00831C3C">
        <w:rPr>
          <w:rFonts w:hint="eastAsia"/>
          <w:sz w:val="18"/>
          <w:szCs w:val="18"/>
        </w:rPr>
        <w:t>本公司对共同经营不享有共同控制，如果本公司享有</w:t>
      </w:r>
      <w:proofErr w:type="gramStart"/>
      <w:r w:rsidRPr="00831C3C">
        <w:rPr>
          <w:rFonts w:hint="eastAsia"/>
          <w:sz w:val="18"/>
          <w:szCs w:val="18"/>
        </w:rPr>
        <w:t>该共同</w:t>
      </w:r>
      <w:proofErr w:type="gramEnd"/>
      <w:r w:rsidRPr="00831C3C">
        <w:rPr>
          <w:rFonts w:hint="eastAsia"/>
          <w:sz w:val="18"/>
          <w:szCs w:val="18"/>
        </w:rPr>
        <w:t>经营相关资产且承担</w:t>
      </w:r>
      <w:proofErr w:type="gramStart"/>
      <w:r w:rsidRPr="00831C3C">
        <w:rPr>
          <w:rFonts w:hint="eastAsia"/>
          <w:sz w:val="18"/>
          <w:szCs w:val="18"/>
        </w:rPr>
        <w:t>该共同</w:t>
      </w:r>
      <w:proofErr w:type="gramEnd"/>
      <w:r w:rsidRPr="00831C3C">
        <w:rPr>
          <w:rFonts w:hint="eastAsia"/>
          <w:sz w:val="18"/>
          <w:szCs w:val="18"/>
        </w:rPr>
        <w:t>经营相关负债的，仍按上述原则进行会计处理，否则，应当按照相关企业会计准则的规定进行会计处理。</w:t>
      </w:r>
    </w:p>
    <w:p w:rsidR="00E23A97" w:rsidRPr="00831C3C" w:rsidRDefault="00C65FD5">
      <w:pPr>
        <w:pStyle w:val="3"/>
        <w:spacing w:line="280" w:lineRule="exact"/>
        <w:jc w:val="left"/>
        <w:rPr>
          <w:rFonts w:ascii="宋体" w:hAnsi="宋体" w:cs="宋体"/>
          <w:b/>
          <w:bCs/>
        </w:rPr>
      </w:pPr>
      <w:bookmarkStart w:id="186" w:name="_Toc989074"/>
      <w:r w:rsidRPr="00831C3C">
        <w:rPr>
          <w:rFonts w:ascii="宋体" w:hAnsi="宋体" w:cs="宋体"/>
          <w:b/>
          <w:bCs/>
        </w:rPr>
        <w:lastRenderedPageBreak/>
        <w:t>9、现金及现金等价物的确定标准</w:t>
      </w:r>
      <w:bookmarkEnd w:id="186"/>
    </w:p>
    <w:p w:rsidR="00C65FD5" w:rsidRPr="00831C3C" w:rsidRDefault="00C65FD5" w:rsidP="00034610">
      <w:pPr>
        <w:pStyle w:val="a3"/>
        <w:spacing w:before="0" w:beforeAutospacing="0" w:after="0" w:afterAutospacing="0"/>
        <w:ind w:firstLine="420"/>
        <w:jc w:val="both"/>
        <w:divId w:val="196895021"/>
      </w:pPr>
      <w:r w:rsidRPr="00831C3C">
        <w:rPr>
          <w:rFonts w:hint="eastAsia"/>
          <w:sz w:val="18"/>
          <w:szCs w:val="18"/>
        </w:rPr>
        <w:t>在编制现金流量表时，将本公司库存现金以及可以随时用于支付的存款确认为现金。将同时具备期限短（一般从购买日起三个月内到期）、流动性强、易于转换为已知金额的现金、价值变动风险很小四个条件的投资，确定为现金等价物。</w:t>
      </w:r>
    </w:p>
    <w:p w:rsidR="00E23A97" w:rsidRPr="00831C3C" w:rsidRDefault="00C65FD5">
      <w:pPr>
        <w:pStyle w:val="3"/>
        <w:spacing w:line="280" w:lineRule="exact"/>
        <w:jc w:val="left"/>
        <w:rPr>
          <w:rFonts w:ascii="宋体" w:hAnsi="宋体" w:cs="宋体"/>
          <w:b/>
          <w:bCs/>
        </w:rPr>
      </w:pPr>
      <w:bookmarkStart w:id="187" w:name="_Toc989075"/>
      <w:r w:rsidRPr="00831C3C">
        <w:rPr>
          <w:rFonts w:ascii="宋体" w:hAnsi="宋体" w:cs="宋体"/>
          <w:b/>
          <w:bCs/>
        </w:rPr>
        <w:t>10、外币业务和外币报表折算</w:t>
      </w:r>
      <w:bookmarkEnd w:id="187"/>
    </w:p>
    <w:p w:rsidR="00C65FD5" w:rsidRPr="00831C3C" w:rsidRDefault="00C65FD5" w:rsidP="00CC7D91">
      <w:pPr>
        <w:widowControl/>
        <w:numPr>
          <w:ilvl w:val="0"/>
          <w:numId w:val="33"/>
        </w:numPr>
        <w:spacing w:before="100" w:beforeAutospacing="1" w:after="100" w:afterAutospacing="1"/>
        <w:divId w:val="551231659"/>
        <w:rPr>
          <w:sz w:val="18"/>
          <w:szCs w:val="18"/>
        </w:rPr>
      </w:pPr>
      <w:r w:rsidRPr="00831C3C">
        <w:rPr>
          <w:rFonts w:hint="eastAsia"/>
          <w:sz w:val="18"/>
          <w:szCs w:val="18"/>
        </w:rPr>
        <w:t>外币业务</w:t>
      </w:r>
    </w:p>
    <w:p w:rsidR="00C65FD5" w:rsidRPr="00831C3C" w:rsidRDefault="00C65FD5" w:rsidP="00034610">
      <w:pPr>
        <w:pStyle w:val="a3"/>
        <w:spacing w:before="0" w:beforeAutospacing="0" w:after="0" w:afterAutospacing="0"/>
        <w:ind w:firstLine="420"/>
        <w:jc w:val="both"/>
        <w:divId w:val="551231659"/>
        <w:rPr>
          <w:sz w:val="18"/>
          <w:szCs w:val="18"/>
        </w:rPr>
      </w:pPr>
      <w:r w:rsidRPr="00831C3C">
        <w:rPr>
          <w:rFonts w:hint="eastAsia"/>
          <w:sz w:val="18"/>
          <w:szCs w:val="18"/>
        </w:rPr>
        <w:t>外币业务交易在初始确认时，采用交易发生日的即期汇率作为折算汇率折合成人民币记账。</w:t>
      </w:r>
    </w:p>
    <w:p w:rsidR="00C65FD5" w:rsidRPr="00831C3C" w:rsidRDefault="00C65FD5" w:rsidP="00034610">
      <w:pPr>
        <w:pStyle w:val="a3"/>
        <w:spacing w:before="0" w:beforeAutospacing="0" w:after="0" w:afterAutospacing="0"/>
        <w:ind w:firstLine="420"/>
        <w:jc w:val="both"/>
        <w:divId w:val="551231659"/>
        <w:rPr>
          <w:sz w:val="18"/>
          <w:szCs w:val="18"/>
        </w:rPr>
      </w:pPr>
      <w:r w:rsidRPr="00831C3C">
        <w:rPr>
          <w:rFonts w:hint="eastAsia"/>
          <w:sz w:val="18"/>
          <w:szCs w:val="18"/>
        </w:rPr>
        <w:t>资产负债表日，外币货币性项目按资产负债表日即期汇率折算，由此产生的汇兑差额，除属于与购建符合资本化条件的资产相关的外币专门借款产生的汇兑差额按照借款费用资本化的原则处理外，均计入当期损益。以历史成本计量的外币非货币性项目，仍采用交易发生日的即期汇率折算，不改变其记账本位币金额。</w:t>
      </w:r>
    </w:p>
    <w:p w:rsidR="00C65FD5" w:rsidRPr="00831C3C" w:rsidRDefault="00C65FD5" w:rsidP="00034610">
      <w:pPr>
        <w:pStyle w:val="a3"/>
        <w:spacing w:before="0" w:beforeAutospacing="0" w:after="0" w:afterAutospacing="0"/>
        <w:ind w:firstLine="420"/>
        <w:jc w:val="both"/>
        <w:divId w:val="551231659"/>
        <w:rPr>
          <w:sz w:val="18"/>
          <w:szCs w:val="18"/>
        </w:rPr>
      </w:pPr>
      <w:bookmarkStart w:id="188" w:name="_Hlk62131940"/>
      <w:bookmarkEnd w:id="188"/>
      <w:r w:rsidRPr="00831C3C">
        <w:rPr>
          <w:rFonts w:hint="eastAsia"/>
          <w:sz w:val="18"/>
          <w:szCs w:val="18"/>
        </w:rPr>
        <w:t>以公允价值计量的外币非货币性项目，采用公允价值确定日的即期汇率折算，折算后的记账本位</w:t>
      </w:r>
      <w:proofErr w:type="gramStart"/>
      <w:r w:rsidRPr="00831C3C">
        <w:rPr>
          <w:rFonts w:hint="eastAsia"/>
          <w:sz w:val="18"/>
          <w:szCs w:val="18"/>
        </w:rPr>
        <w:t>币金额</w:t>
      </w:r>
      <w:proofErr w:type="gramEnd"/>
      <w:r w:rsidRPr="00831C3C">
        <w:rPr>
          <w:rFonts w:hint="eastAsia"/>
          <w:sz w:val="18"/>
          <w:szCs w:val="18"/>
        </w:rPr>
        <w:t>与原记账本位</w:t>
      </w:r>
      <w:proofErr w:type="gramStart"/>
      <w:r w:rsidRPr="00831C3C">
        <w:rPr>
          <w:rFonts w:hint="eastAsia"/>
          <w:sz w:val="18"/>
          <w:szCs w:val="18"/>
        </w:rPr>
        <w:t>币金额</w:t>
      </w:r>
      <w:proofErr w:type="gramEnd"/>
      <w:r w:rsidRPr="00831C3C">
        <w:rPr>
          <w:rFonts w:hint="eastAsia"/>
          <w:sz w:val="18"/>
          <w:szCs w:val="18"/>
        </w:rPr>
        <w:t>的差额，作为公允价值变动</w:t>
      </w:r>
      <w:r w:rsidRPr="00831C3C">
        <w:rPr>
          <w:sz w:val="18"/>
          <w:szCs w:val="18"/>
        </w:rPr>
        <w:t>(</w:t>
      </w:r>
      <w:r w:rsidRPr="00831C3C">
        <w:rPr>
          <w:rFonts w:hint="eastAsia"/>
          <w:sz w:val="18"/>
          <w:szCs w:val="18"/>
        </w:rPr>
        <w:t>含汇率变动</w:t>
      </w:r>
      <w:r w:rsidRPr="00831C3C">
        <w:rPr>
          <w:sz w:val="18"/>
          <w:szCs w:val="18"/>
        </w:rPr>
        <w:t>)</w:t>
      </w:r>
      <w:r w:rsidRPr="00831C3C">
        <w:rPr>
          <w:rFonts w:hint="eastAsia"/>
          <w:sz w:val="18"/>
          <w:szCs w:val="18"/>
        </w:rPr>
        <w:t>处理，计入当期损益或确认为其他综合收益。</w:t>
      </w:r>
    </w:p>
    <w:p w:rsidR="00C65FD5" w:rsidRPr="00831C3C" w:rsidRDefault="00C65FD5" w:rsidP="00CC7D91">
      <w:pPr>
        <w:widowControl/>
        <w:numPr>
          <w:ilvl w:val="0"/>
          <w:numId w:val="34"/>
        </w:numPr>
        <w:spacing w:before="100" w:beforeAutospacing="1" w:after="100" w:afterAutospacing="1"/>
        <w:divId w:val="551231659"/>
        <w:rPr>
          <w:sz w:val="18"/>
          <w:szCs w:val="18"/>
        </w:rPr>
      </w:pPr>
      <w:r w:rsidRPr="00831C3C">
        <w:rPr>
          <w:rFonts w:hint="eastAsia"/>
          <w:sz w:val="18"/>
          <w:szCs w:val="18"/>
        </w:rPr>
        <w:t>．外币财务报表的折算</w:t>
      </w:r>
    </w:p>
    <w:p w:rsidR="00C65FD5" w:rsidRPr="00831C3C" w:rsidRDefault="00C65FD5" w:rsidP="00034610">
      <w:pPr>
        <w:pStyle w:val="a3"/>
        <w:spacing w:before="0" w:beforeAutospacing="0" w:after="0" w:afterAutospacing="0"/>
        <w:ind w:firstLine="420"/>
        <w:jc w:val="both"/>
        <w:divId w:val="551231659"/>
      </w:pPr>
      <w:r w:rsidRPr="00831C3C">
        <w:rPr>
          <w:rFonts w:hint="eastAsia"/>
          <w:sz w:val="18"/>
          <w:szCs w:val="18"/>
        </w:rPr>
        <w:t>资产负债表中的资产和负债项目，采用资产负债表日的即期汇率折算；所有者权益项目除</w:t>
      </w:r>
      <w:r w:rsidRPr="00831C3C">
        <w:rPr>
          <w:rFonts w:ascii="Times New Roman" w:hAnsi="Times New Roman" w:cs="Times New Roman"/>
          <w:sz w:val="18"/>
          <w:szCs w:val="18"/>
        </w:rPr>
        <w:t>“</w:t>
      </w:r>
      <w:r w:rsidRPr="00831C3C">
        <w:rPr>
          <w:rFonts w:hint="eastAsia"/>
          <w:sz w:val="18"/>
          <w:szCs w:val="18"/>
        </w:rPr>
        <w:t>未分配利润</w:t>
      </w:r>
      <w:r w:rsidRPr="00831C3C">
        <w:rPr>
          <w:rFonts w:ascii="Times New Roman" w:hAnsi="Times New Roman" w:cs="Times New Roman"/>
          <w:sz w:val="18"/>
          <w:szCs w:val="18"/>
        </w:rPr>
        <w:t>”</w:t>
      </w:r>
      <w:r w:rsidRPr="00831C3C">
        <w:rPr>
          <w:rFonts w:hint="eastAsia"/>
          <w:sz w:val="18"/>
          <w:szCs w:val="18"/>
        </w:rPr>
        <w:t>项目外，其他项目采用发生时的即期汇率折算。利润表中的收入和费用项目，采用加权平均汇率折算。按照上述折算产生的外币财务报表折算差额计入其他综合收益。</w:t>
      </w:r>
    </w:p>
    <w:p w:rsidR="00C65FD5" w:rsidRPr="00831C3C" w:rsidRDefault="00C65FD5" w:rsidP="00034610">
      <w:pPr>
        <w:pStyle w:val="a3"/>
        <w:divId w:val="551231659"/>
        <w:rPr>
          <w:sz w:val="18"/>
          <w:szCs w:val="18"/>
        </w:rPr>
      </w:pPr>
      <w:r w:rsidRPr="00831C3C">
        <w:rPr>
          <w:rFonts w:hint="eastAsia"/>
          <w:sz w:val="18"/>
          <w:szCs w:val="18"/>
        </w:rPr>
        <w:t>处置境外经营时，将资产负债表中其他综合收益项目中列示的、与该境外经营相关的外币财务报表折算差额，自其他综合收益项目转入处置当期损益；在处置部分股权投资或其他原因导致持有境外经营权益比例降低但不丧失对境外经营控制权时，与该境外经营处置部分相关的外币报表折算差额将归属于少数股东权益，不转入当期损益。在处置境外经营为联营企业或合营企业的部分股权时，与该境外经营相关的外币报表折算差额，按处置该境外经营的比例转入处置当期损益。</w:t>
      </w:r>
    </w:p>
    <w:p w:rsidR="00E23A97" w:rsidRPr="00831C3C" w:rsidRDefault="00C65FD5">
      <w:pPr>
        <w:pStyle w:val="3"/>
        <w:spacing w:line="280" w:lineRule="exact"/>
        <w:jc w:val="left"/>
        <w:rPr>
          <w:rFonts w:ascii="宋体" w:hAnsi="宋体" w:cs="宋体"/>
          <w:b/>
          <w:bCs/>
        </w:rPr>
      </w:pPr>
      <w:bookmarkStart w:id="189" w:name="_Toc989076"/>
      <w:r w:rsidRPr="00831C3C">
        <w:rPr>
          <w:rFonts w:ascii="宋体" w:hAnsi="宋体" w:cs="宋体"/>
          <w:b/>
          <w:bCs/>
        </w:rPr>
        <w:t>11、金融工具</w:t>
      </w:r>
      <w:bookmarkEnd w:id="189"/>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本公司在成为金融工具合同的一方时确认一项金融资产或金融负债。</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实际利率法是指计算金融资产或金融负债的摊</w:t>
      </w:r>
      <w:proofErr w:type="gramStart"/>
      <w:r w:rsidRPr="00831C3C">
        <w:rPr>
          <w:rFonts w:hint="eastAsia"/>
          <w:sz w:val="18"/>
          <w:szCs w:val="18"/>
        </w:rPr>
        <w:t>余成本</w:t>
      </w:r>
      <w:proofErr w:type="gramEnd"/>
      <w:r w:rsidRPr="00831C3C">
        <w:rPr>
          <w:rFonts w:hint="eastAsia"/>
          <w:sz w:val="18"/>
          <w:szCs w:val="18"/>
        </w:rPr>
        <w:t>以及将利息收入或利息费用分摊计入各会计期间的方法。</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实际利率，是指将金融资产或金融负债在预计存续期的估计未来现金流量，折现为该金融资产账面余额或该金融负债摊</w:t>
      </w:r>
      <w:proofErr w:type="gramStart"/>
      <w:r w:rsidRPr="00831C3C">
        <w:rPr>
          <w:rFonts w:hint="eastAsia"/>
          <w:sz w:val="18"/>
          <w:szCs w:val="18"/>
        </w:rPr>
        <w:t>余成本</w:t>
      </w:r>
      <w:proofErr w:type="gramEnd"/>
      <w:r w:rsidRPr="00831C3C">
        <w:rPr>
          <w:rFonts w:hint="eastAsia"/>
          <w:sz w:val="18"/>
          <w:szCs w:val="18"/>
        </w:rPr>
        <w:t>所使用的利率。在确定实际利率时，在考虑金融资产或金融负债所有合同条款</w:t>
      </w:r>
      <w:r w:rsidRPr="00831C3C">
        <w:rPr>
          <w:rFonts w:ascii="Times New Roman" w:hAnsi="Times New Roman" w:cs="Times New Roman"/>
          <w:sz w:val="18"/>
          <w:szCs w:val="18"/>
        </w:rPr>
        <w:t>(</w:t>
      </w:r>
      <w:r w:rsidRPr="00831C3C">
        <w:rPr>
          <w:rFonts w:hint="eastAsia"/>
          <w:sz w:val="18"/>
          <w:szCs w:val="18"/>
        </w:rPr>
        <w:t>如提前还款、展期、看涨期权或其他类似期权等</w:t>
      </w:r>
      <w:r w:rsidRPr="00831C3C">
        <w:rPr>
          <w:rFonts w:ascii="Times New Roman" w:hAnsi="Times New Roman" w:cs="Times New Roman"/>
          <w:sz w:val="18"/>
          <w:szCs w:val="18"/>
        </w:rPr>
        <w:t>)</w:t>
      </w:r>
      <w:r w:rsidRPr="00831C3C">
        <w:rPr>
          <w:rFonts w:hint="eastAsia"/>
          <w:sz w:val="18"/>
          <w:szCs w:val="18"/>
        </w:rPr>
        <w:t>的基础上估计预期现金流量，但不考虑预期信用损失。</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金融资产或金融负债的摊</w:t>
      </w:r>
      <w:proofErr w:type="gramStart"/>
      <w:r w:rsidRPr="00831C3C">
        <w:rPr>
          <w:rFonts w:hint="eastAsia"/>
          <w:sz w:val="18"/>
          <w:szCs w:val="18"/>
        </w:rPr>
        <w:t>余成本</w:t>
      </w:r>
      <w:proofErr w:type="gramEnd"/>
      <w:r w:rsidRPr="00831C3C">
        <w:rPr>
          <w:rFonts w:hint="eastAsia"/>
          <w:sz w:val="18"/>
          <w:szCs w:val="18"/>
        </w:rPr>
        <w:t>是以该金融资产或金融负债的初始确认金额扣除已偿还的本金，加上或减去采用实际利率法将该初始确认金额与到期</w:t>
      </w:r>
      <w:proofErr w:type="gramStart"/>
      <w:r w:rsidRPr="00831C3C">
        <w:rPr>
          <w:rFonts w:hint="eastAsia"/>
          <w:sz w:val="18"/>
          <w:szCs w:val="18"/>
        </w:rPr>
        <w:t>日金额</w:t>
      </w:r>
      <w:proofErr w:type="gramEnd"/>
      <w:r w:rsidRPr="00831C3C">
        <w:rPr>
          <w:rFonts w:hint="eastAsia"/>
          <w:sz w:val="18"/>
          <w:szCs w:val="18"/>
        </w:rPr>
        <w:t>之间的差额进行摊销形成的累计摊销额，再扣除累计计提的损失准备</w:t>
      </w:r>
      <w:r w:rsidRPr="00831C3C">
        <w:rPr>
          <w:rFonts w:ascii="Times New Roman" w:hAnsi="Times New Roman" w:cs="Times New Roman"/>
          <w:sz w:val="18"/>
          <w:szCs w:val="18"/>
        </w:rPr>
        <w:t>(</w:t>
      </w:r>
      <w:r w:rsidRPr="00831C3C">
        <w:rPr>
          <w:rFonts w:hint="eastAsia"/>
          <w:sz w:val="18"/>
          <w:szCs w:val="18"/>
        </w:rPr>
        <w:t>仅适用于金融资产</w:t>
      </w:r>
      <w:r w:rsidRPr="00831C3C">
        <w:rPr>
          <w:rFonts w:ascii="Times New Roman" w:hAnsi="Times New Roman" w:cs="Times New Roman"/>
          <w:sz w:val="18"/>
          <w:szCs w:val="18"/>
        </w:rPr>
        <w:t>)</w:t>
      </w:r>
      <w:r w:rsidRPr="00831C3C">
        <w:rPr>
          <w:rFonts w:hint="eastAsia"/>
          <w:sz w:val="18"/>
          <w:szCs w:val="18"/>
        </w:rPr>
        <w:t>。</w:t>
      </w:r>
    </w:p>
    <w:p w:rsidR="00C65FD5" w:rsidRPr="00831C3C" w:rsidRDefault="00C65FD5" w:rsidP="00CC7D91">
      <w:pPr>
        <w:widowControl/>
        <w:numPr>
          <w:ilvl w:val="0"/>
          <w:numId w:val="35"/>
        </w:numPr>
        <w:spacing w:before="100" w:beforeAutospacing="1" w:after="100" w:afterAutospacing="1"/>
        <w:divId w:val="1788505355"/>
        <w:rPr>
          <w:sz w:val="18"/>
          <w:szCs w:val="18"/>
        </w:rPr>
      </w:pPr>
      <w:r w:rsidRPr="00831C3C">
        <w:rPr>
          <w:rFonts w:hint="eastAsia"/>
          <w:sz w:val="18"/>
          <w:szCs w:val="18"/>
        </w:rPr>
        <w:t>．金融资产的分类、确认和计量</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本公司根据所管理金融资产的业务模式和金融资产的合同现金流量特征，将金融资产划分为以下三类：</w:t>
      </w:r>
    </w:p>
    <w:p w:rsidR="00C65FD5" w:rsidRPr="00831C3C" w:rsidRDefault="00C65FD5" w:rsidP="00CC7D91">
      <w:pPr>
        <w:widowControl/>
        <w:numPr>
          <w:ilvl w:val="1"/>
          <w:numId w:val="36"/>
        </w:numPr>
        <w:divId w:val="1788505355"/>
        <w:rPr>
          <w:rFonts w:ascii="Calibri" w:hAnsi="Calibri" w:cs="Calibri"/>
          <w:szCs w:val="21"/>
        </w:rPr>
      </w:pPr>
      <w:r w:rsidRPr="00831C3C">
        <w:rPr>
          <w:rFonts w:cs="Calibri" w:hint="eastAsia"/>
          <w:sz w:val="18"/>
          <w:szCs w:val="18"/>
        </w:rPr>
        <w:t>以摊</w:t>
      </w:r>
      <w:proofErr w:type="gramStart"/>
      <w:r w:rsidRPr="00831C3C">
        <w:rPr>
          <w:rFonts w:cs="Calibri" w:hint="eastAsia"/>
          <w:sz w:val="18"/>
          <w:szCs w:val="18"/>
        </w:rPr>
        <w:t>余成本</w:t>
      </w:r>
      <w:proofErr w:type="gramEnd"/>
      <w:r w:rsidRPr="00831C3C">
        <w:rPr>
          <w:rFonts w:cs="Calibri" w:hint="eastAsia"/>
          <w:sz w:val="18"/>
          <w:szCs w:val="18"/>
        </w:rPr>
        <w:t>计量的金融资产。</w:t>
      </w:r>
    </w:p>
    <w:p w:rsidR="00C65FD5" w:rsidRPr="00831C3C" w:rsidRDefault="00C65FD5" w:rsidP="00CC7D91">
      <w:pPr>
        <w:widowControl/>
        <w:numPr>
          <w:ilvl w:val="1"/>
          <w:numId w:val="36"/>
        </w:numPr>
        <w:divId w:val="1788505355"/>
        <w:rPr>
          <w:rFonts w:ascii="Calibri" w:hAnsi="Calibri" w:cs="Calibri"/>
          <w:szCs w:val="21"/>
        </w:rPr>
      </w:pPr>
      <w:r w:rsidRPr="00831C3C">
        <w:rPr>
          <w:rFonts w:cs="Calibri" w:hint="eastAsia"/>
          <w:sz w:val="18"/>
          <w:szCs w:val="18"/>
        </w:rPr>
        <w:t>以公允价值计量且其变动计入其他综合收益的金融资产。</w:t>
      </w:r>
    </w:p>
    <w:p w:rsidR="00C65FD5" w:rsidRPr="00831C3C" w:rsidRDefault="00C65FD5" w:rsidP="00CC7D91">
      <w:pPr>
        <w:widowControl/>
        <w:numPr>
          <w:ilvl w:val="1"/>
          <w:numId w:val="36"/>
        </w:numPr>
        <w:divId w:val="1788505355"/>
        <w:rPr>
          <w:rFonts w:ascii="Calibri" w:hAnsi="Calibri" w:cs="Calibri"/>
          <w:szCs w:val="21"/>
        </w:rPr>
      </w:pPr>
      <w:r w:rsidRPr="00831C3C">
        <w:rPr>
          <w:rFonts w:cs="Calibri" w:hint="eastAsia"/>
          <w:sz w:val="18"/>
          <w:szCs w:val="18"/>
        </w:rPr>
        <w:lastRenderedPageBreak/>
        <w:t>以公允价值计量且其变动计入当期损益的金融资产。</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金融资产在初始确认时以公允价值计量，但是因销售商品或提供服务等产生的应收账款或应收票据未包含重大融资成分或不考虑不超过一年的融资成分的，按照交易价格进行初始计量。</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对于以公允价值计量且其变动计入当期损益的金融资产，相关交易费用直接计入当期损益，其他类别的金融资产相关交易费用计入其初始确认金额。</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金融资产的后续计量取决于其分类，当且仅当本公司改变管理金融资产的业务模式时，才对所有受影响的相关金融资产进行重分类。</w:t>
      </w:r>
    </w:p>
    <w:p w:rsidR="00C65FD5" w:rsidRPr="00831C3C" w:rsidRDefault="00C65FD5" w:rsidP="00CC7D91">
      <w:pPr>
        <w:widowControl/>
        <w:numPr>
          <w:ilvl w:val="0"/>
          <w:numId w:val="37"/>
        </w:numPr>
        <w:divId w:val="1788505355"/>
        <w:rPr>
          <w:rFonts w:ascii="Calibri" w:hAnsi="Calibri" w:cs="Calibri"/>
          <w:szCs w:val="21"/>
        </w:rPr>
      </w:pPr>
      <w:r w:rsidRPr="00831C3C">
        <w:rPr>
          <w:rFonts w:cs="Calibri" w:hint="eastAsia"/>
          <w:sz w:val="18"/>
          <w:szCs w:val="18"/>
        </w:rPr>
        <w:t>分类为以摊</w:t>
      </w:r>
      <w:proofErr w:type="gramStart"/>
      <w:r w:rsidRPr="00831C3C">
        <w:rPr>
          <w:rFonts w:cs="Calibri" w:hint="eastAsia"/>
          <w:sz w:val="18"/>
          <w:szCs w:val="18"/>
        </w:rPr>
        <w:t>余成本</w:t>
      </w:r>
      <w:proofErr w:type="gramEnd"/>
      <w:r w:rsidRPr="00831C3C">
        <w:rPr>
          <w:rFonts w:cs="Calibri" w:hint="eastAsia"/>
          <w:sz w:val="18"/>
          <w:szCs w:val="18"/>
        </w:rPr>
        <w:t>计量的金融资产</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金融资产的合同条款规定在特定日期产生的现金流量仅为对本金和以</w:t>
      </w:r>
      <w:proofErr w:type="gramStart"/>
      <w:r w:rsidRPr="00831C3C">
        <w:rPr>
          <w:rFonts w:hint="eastAsia"/>
          <w:sz w:val="18"/>
          <w:szCs w:val="18"/>
        </w:rPr>
        <w:t>未偿付本</w:t>
      </w:r>
      <w:proofErr w:type="gramEnd"/>
      <w:r w:rsidRPr="00831C3C">
        <w:rPr>
          <w:rFonts w:hint="eastAsia"/>
          <w:sz w:val="18"/>
          <w:szCs w:val="18"/>
        </w:rPr>
        <w:t>金金额为基础的利息的支付，且管理该金融资产的业务模式是以收取合同现金流量为目标，则本公司将该金融资产分类为以摊</w:t>
      </w:r>
      <w:proofErr w:type="gramStart"/>
      <w:r w:rsidRPr="00831C3C">
        <w:rPr>
          <w:rFonts w:hint="eastAsia"/>
          <w:sz w:val="18"/>
          <w:szCs w:val="18"/>
        </w:rPr>
        <w:t>余成本</w:t>
      </w:r>
      <w:proofErr w:type="gramEnd"/>
      <w:r w:rsidRPr="00831C3C">
        <w:rPr>
          <w:rFonts w:hint="eastAsia"/>
          <w:sz w:val="18"/>
          <w:szCs w:val="18"/>
        </w:rPr>
        <w:t>计量的金融资产。本公司分类为以摊</w:t>
      </w:r>
      <w:proofErr w:type="gramStart"/>
      <w:r w:rsidRPr="00831C3C">
        <w:rPr>
          <w:rFonts w:hint="eastAsia"/>
          <w:sz w:val="18"/>
          <w:szCs w:val="18"/>
        </w:rPr>
        <w:t>余成本</w:t>
      </w:r>
      <w:proofErr w:type="gramEnd"/>
      <w:r w:rsidRPr="00831C3C">
        <w:rPr>
          <w:rFonts w:hint="eastAsia"/>
          <w:sz w:val="18"/>
          <w:szCs w:val="18"/>
        </w:rPr>
        <w:t>计量的金融资产包括货币资金、应收票据、应收账款、其他应收款、长期应收款等。</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本公司对此类金融资产采用实际利率法确认利息收入，</w:t>
      </w:r>
      <w:proofErr w:type="gramStart"/>
      <w:r w:rsidRPr="00831C3C">
        <w:rPr>
          <w:rFonts w:hint="eastAsia"/>
          <w:sz w:val="18"/>
          <w:szCs w:val="18"/>
        </w:rPr>
        <w:t>按摊余成本</w:t>
      </w:r>
      <w:proofErr w:type="gramEnd"/>
      <w:r w:rsidRPr="00831C3C">
        <w:rPr>
          <w:rFonts w:hint="eastAsia"/>
          <w:sz w:val="18"/>
          <w:szCs w:val="18"/>
        </w:rPr>
        <w:t>进行后续计量，其发生减值时或终止确认、修改产生的利得或损失，计入当期损益。除下列情况外，本公司根据金融资产账面余额乘以实际利率计算确定利息收入：</w:t>
      </w:r>
    </w:p>
    <w:p w:rsidR="00C65FD5" w:rsidRPr="00831C3C" w:rsidRDefault="00C65FD5" w:rsidP="00034610">
      <w:pPr>
        <w:pStyle w:val="a3"/>
        <w:spacing w:before="0" w:beforeAutospacing="0" w:after="0" w:afterAutospacing="0"/>
        <w:ind w:firstLine="420"/>
        <w:jc w:val="both"/>
        <w:divId w:val="1788505355"/>
      </w:pPr>
      <w:r w:rsidRPr="00831C3C">
        <w:rPr>
          <w:rFonts w:ascii="Times New Roman" w:hAnsi="Times New Roman" w:cs="Times New Roman"/>
          <w:sz w:val="18"/>
          <w:szCs w:val="18"/>
        </w:rPr>
        <w:t>1</w:t>
      </w:r>
      <w:r w:rsidRPr="00831C3C">
        <w:rPr>
          <w:rFonts w:hint="eastAsia"/>
          <w:sz w:val="18"/>
          <w:szCs w:val="18"/>
        </w:rPr>
        <w:t>）对于</w:t>
      </w:r>
      <w:proofErr w:type="gramStart"/>
      <w:r w:rsidRPr="00831C3C">
        <w:rPr>
          <w:rFonts w:hint="eastAsia"/>
          <w:sz w:val="18"/>
          <w:szCs w:val="18"/>
        </w:rPr>
        <w:t>购入或源生</w:t>
      </w:r>
      <w:proofErr w:type="gramEnd"/>
      <w:r w:rsidRPr="00831C3C">
        <w:rPr>
          <w:rFonts w:hint="eastAsia"/>
          <w:sz w:val="18"/>
          <w:szCs w:val="18"/>
        </w:rPr>
        <w:t>的已发生信用减值的金融资产，本公司自初始确认起，按照该金融资产的摊</w:t>
      </w:r>
      <w:proofErr w:type="gramStart"/>
      <w:r w:rsidRPr="00831C3C">
        <w:rPr>
          <w:rFonts w:hint="eastAsia"/>
          <w:sz w:val="18"/>
          <w:szCs w:val="18"/>
        </w:rPr>
        <w:t>余成本</w:t>
      </w:r>
      <w:proofErr w:type="gramEnd"/>
      <w:r w:rsidRPr="00831C3C">
        <w:rPr>
          <w:rFonts w:hint="eastAsia"/>
          <w:sz w:val="18"/>
          <w:szCs w:val="18"/>
        </w:rPr>
        <w:t>和经信用调整的实际利率计算确定其利息收入。</w:t>
      </w:r>
    </w:p>
    <w:p w:rsidR="00C65FD5" w:rsidRPr="00831C3C" w:rsidRDefault="00C65FD5" w:rsidP="00034610">
      <w:pPr>
        <w:pStyle w:val="a3"/>
        <w:spacing w:before="0" w:beforeAutospacing="0" w:after="0" w:afterAutospacing="0"/>
        <w:ind w:firstLine="420"/>
        <w:jc w:val="both"/>
        <w:divId w:val="1788505355"/>
      </w:pPr>
      <w:r w:rsidRPr="00831C3C">
        <w:rPr>
          <w:rFonts w:ascii="Times New Roman" w:hAnsi="Times New Roman" w:cs="Times New Roman"/>
          <w:sz w:val="18"/>
          <w:szCs w:val="18"/>
        </w:rPr>
        <w:t>2</w:t>
      </w:r>
      <w:r w:rsidRPr="00831C3C">
        <w:rPr>
          <w:rFonts w:hint="eastAsia"/>
          <w:sz w:val="18"/>
          <w:szCs w:val="18"/>
        </w:rPr>
        <w:t>）对于</w:t>
      </w:r>
      <w:proofErr w:type="gramStart"/>
      <w:r w:rsidRPr="00831C3C">
        <w:rPr>
          <w:rFonts w:hint="eastAsia"/>
          <w:sz w:val="18"/>
          <w:szCs w:val="18"/>
        </w:rPr>
        <w:t>购入或源生</w:t>
      </w:r>
      <w:proofErr w:type="gramEnd"/>
      <w:r w:rsidRPr="00831C3C">
        <w:rPr>
          <w:rFonts w:hint="eastAsia"/>
          <w:sz w:val="18"/>
          <w:szCs w:val="18"/>
        </w:rPr>
        <w:t>的未发生信用减值、但在后续期间成为已发生信用减值的金融资产，本公司在后续期间，按照该金融资产的摊</w:t>
      </w:r>
      <w:proofErr w:type="gramStart"/>
      <w:r w:rsidRPr="00831C3C">
        <w:rPr>
          <w:rFonts w:hint="eastAsia"/>
          <w:sz w:val="18"/>
          <w:szCs w:val="18"/>
        </w:rPr>
        <w:t>余成本</w:t>
      </w:r>
      <w:proofErr w:type="gramEnd"/>
      <w:r w:rsidRPr="00831C3C">
        <w:rPr>
          <w:rFonts w:hint="eastAsia"/>
          <w:sz w:val="18"/>
          <w:szCs w:val="18"/>
        </w:rPr>
        <w:t>和实际利率计算确定其利息收入。若该金融工具在后续期间因其信用风险有所改善而不再存在信用减值，</w:t>
      </w:r>
      <w:proofErr w:type="gramStart"/>
      <w:r w:rsidRPr="00831C3C">
        <w:rPr>
          <w:rFonts w:hint="eastAsia"/>
          <w:sz w:val="18"/>
          <w:szCs w:val="18"/>
        </w:rPr>
        <w:t>本公司转按实际</w:t>
      </w:r>
      <w:proofErr w:type="gramEnd"/>
      <w:r w:rsidRPr="00831C3C">
        <w:rPr>
          <w:rFonts w:hint="eastAsia"/>
          <w:sz w:val="18"/>
          <w:szCs w:val="18"/>
        </w:rPr>
        <w:t>利率乘以该金融资产账面余额来计算确定利息收入。</w:t>
      </w:r>
    </w:p>
    <w:p w:rsidR="00C65FD5" w:rsidRPr="00831C3C" w:rsidRDefault="00C65FD5" w:rsidP="00CC7D91">
      <w:pPr>
        <w:widowControl/>
        <w:numPr>
          <w:ilvl w:val="0"/>
          <w:numId w:val="38"/>
        </w:numPr>
        <w:divId w:val="1788505355"/>
        <w:rPr>
          <w:rFonts w:ascii="Calibri" w:hAnsi="Calibri" w:cs="Calibri"/>
          <w:szCs w:val="21"/>
        </w:rPr>
      </w:pPr>
      <w:r w:rsidRPr="00831C3C">
        <w:rPr>
          <w:rFonts w:cs="Calibri" w:hint="eastAsia"/>
          <w:sz w:val="18"/>
          <w:szCs w:val="18"/>
        </w:rPr>
        <w:t>分类为以公允价值计量且其变动计入其他综合收益的金融资产</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金融资产的合同条款规定在特定日期产生的现金流量仅为对本金和以</w:t>
      </w:r>
      <w:proofErr w:type="gramStart"/>
      <w:r w:rsidRPr="00831C3C">
        <w:rPr>
          <w:rFonts w:hint="eastAsia"/>
          <w:sz w:val="18"/>
          <w:szCs w:val="18"/>
        </w:rPr>
        <w:t>未偿付本</w:t>
      </w:r>
      <w:proofErr w:type="gramEnd"/>
      <w:r w:rsidRPr="00831C3C">
        <w:rPr>
          <w:rFonts w:hint="eastAsia"/>
          <w:sz w:val="18"/>
          <w:szCs w:val="18"/>
        </w:rPr>
        <w:t>金金额为基础的利息的支付，且管理该金融资产的业务模式既以收取合同现金流量为目标又以出售该金融资产为目标，则本公司将该金融资产分类为以公允价值计量且其变动计入其他综合收益的金融资产。</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本公司对此类金融资产采用实际利率法确认利息收入。除利息收入、减值损失及汇兑差额确认为当期损益外，其余公允价值变动计入其他综合收益。当该金融资产终止确认时，之前计入其他综合收益的累计利得或损失从其他综合收益中转出，计入当期损益。</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以公允价值计量且变动计入其他综合收益的应收票据及应收账款列报为应收款项融资，其他此类金融资产列报为其他债权投资，其中：自资产负债表日起一年内到期的其他债权投资列报为一年内到期的非流动资产，原到期日在一年以内的其他债权投资列报为其他流动资产。</w:t>
      </w:r>
    </w:p>
    <w:p w:rsidR="00C65FD5" w:rsidRPr="00831C3C" w:rsidRDefault="00C65FD5" w:rsidP="00CC7D91">
      <w:pPr>
        <w:widowControl/>
        <w:numPr>
          <w:ilvl w:val="0"/>
          <w:numId w:val="39"/>
        </w:numPr>
        <w:divId w:val="1788505355"/>
        <w:rPr>
          <w:rFonts w:ascii="Calibri" w:hAnsi="Calibri" w:cs="Calibri"/>
          <w:szCs w:val="21"/>
        </w:rPr>
      </w:pPr>
      <w:r w:rsidRPr="00831C3C">
        <w:rPr>
          <w:rFonts w:cs="Calibri" w:hint="eastAsia"/>
          <w:sz w:val="18"/>
          <w:szCs w:val="18"/>
        </w:rPr>
        <w:t>指定为以公允价值计量且其变动计入其他综合收益的金融资产</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在初始确认时，本公司可以单项金融资产为基础不可撤销地将</w:t>
      </w:r>
      <w:proofErr w:type="gramStart"/>
      <w:r w:rsidRPr="00831C3C">
        <w:rPr>
          <w:rFonts w:hint="eastAsia"/>
          <w:sz w:val="18"/>
          <w:szCs w:val="18"/>
        </w:rPr>
        <w:t>非交易</w:t>
      </w:r>
      <w:proofErr w:type="gramEnd"/>
      <w:r w:rsidRPr="00831C3C">
        <w:rPr>
          <w:rFonts w:hint="eastAsia"/>
          <w:sz w:val="18"/>
          <w:szCs w:val="18"/>
        </w:rPr>
        <w:t>性权益工具投资指定为以公允价值计量且其变动计入其他综合收益的金融资产。</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此类金融资产的公允价值变动计入其他综合收益，不需计提减值准备。该金融资产终止确认时，之前计入其他综合收益的累计利得或损失从其他综合收益中转出，计入留存收益。本公司持有该权益工具投资期间，在本公司收取股利的权利已经确立，与股利相关的经济利益很可能流入本公司，且股利的金额能够可靠计量时，确认股利收入并计入当期损益。本公司对此类金融资产在其他权益工具投资项目下列报。</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权益工具投资满足下列条件之一的，属于以公允价值计量且其变动计入当期损益的金融资产：取得该金融资产的目的主要是为了近期出售；初始确认时属于集中管理的可辨认金融资产工具组合的一部分，且有客观证据表明近期实际存在短期获利模式；属于衍生工具（符合财务担保合同定义的以及被指定为有效套</w:t>
      </w:r>
      <w:proofErr w:type="gramStart"/>
      <w:r w:rsidRPr="00831C3C">
        <w:rPr>
          <w:rFonts w:hint="eastAsia"/>
          <w:sz w:val="18"/>
          <w:szCs w:val="18"/>
        </w:rPr>
        <w:t>期工具</w:t>
      </w:r>
      <w:proofErr w:type="gramEnd"/>
      <w:r w:rsidRPr="00831C3C">
        <w:rPr>
          <w:rFonts w:hint="eastAsia"/>
          <w:sz w:val="18"/>
          <w:szCs w:val="18"/>
        </w:rPr>
        <w:t>的衍生工具除外）。</w:t>
      </w:r>
    </w:p>
    <w:p w:rsidR="00C65FD5" w:rsidRPr="00831C3C" w:rsidRDefault="00C65FD5" w:rsidP="00CC7D91">
      <w:pPr>
        <w:widowControl/>
        <w:numPr>
          <w:ilvl w:val="0"/>
          <w:numId w:val="40"/>
        </w:numPr>
        <w:divId w:val="1788505355"/>
        <w:rPr>
          <w:rFonts w:ascii="Calibri" w:hAnsi="Calibri" w:cs="Calibri"/>
          <w:szCs w:val="21"/>
        </w:rPr>
      </w:pPr>
      <w:r w:rsidRPr="00831C3C">
        <w:rPr>
          <w:rFonts w:cs="Calibri" w:hint="eastAsia"/>
          <w:sz w:val="18"/>
          <w:szCs w:val="18"/>
        </w:rPr>
        <w:t>分类为以公允价值计量且其变动计入当期损益的金融资产</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不符合分类为以摊</w:t>
      </w:r>
      <w:proofErr w:type="gramStart"/>
      <w:r w:rsidRPr="00831C3C">
        <w:rPr>
          <w:rFonts w:hint="eastAsia"/>
          <w:sz w:val="18"/>
          <w:szCs w:val="18"/>
        </w:rPr>
        <w:t>余成本</w:t>
      </w:r>
      <w:proofErr w:type="gramEnd"/>
      <w:r w:rsidRPr="00831C3C">
        <w:rPr>
          <w:rFonts w:hint="eastAsia"/>
          <w:sz w:val="18"/>
          <w:szCs w:val="18"/>
        </w:rPr>
        <w:t>计量或以公允价值计量且其变动计入其他综合收益的金融资产条件、亦不指定为以公允价值计量且其变动计入其他综合收益的金融资产均分类为以公允价值计量且其变动计入当期损益的金融资产。</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本公司对此类金融资产采用公允价值进行后续计量，将公允价值变动形成的利得或损失以及与此类金融资产相关的股利和利息收入计入当期损益。</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本公司对此类金融资产根据其流动性在交易性金融资产、其他非流动金融资产项目列报。</w:t>
      </w:r>
    </w:p>
    <w:p w:rsidR="00C65FD5" w:rsidRPr="00831C3C" w:rsidRDefault="00C65FD5" w:rsidP="00CC7D91">
      <w:pPr>
        <w:widowControl/>
        <w:numPr>
          <w:ilvl w:val="0"/>
          <w:numId w:val="41"/>
        </w:numPr>
        <w:divId w:val="1788505355"/>
        <w:rPr>
          <w:rFonts w:ascii="Calibri" w:hAnsi="Calibri" w:cs="Calibri"/>
          <w:szCs w:val="21"/>
        </w:rPr>
      </w:pPr>
      <w:r w:rsidRPr="00831C3C">
        <w:rPr>
          <w:rFonts w:cs="Calibri" w:hint="eastAsia"/>
          <w:sz w:val="18"/>
          <w:szCs w:val="18"/>
        </w:rPr>
        <w:lastRenderedPageBreak/>
        <w:t>指定为以公允价值计量且其变动计入当期损益的金融资产</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在初始确认时，本公司为了消除或显著减少会计错配，可以单项金融资产为基础不可撤销地将金融资产指定为以公允价值计量且其变动计入当期损益的金融资产。</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混合合同包含一项或多项嵌入衍生工具，且其主合同不属于以上金融资产的，本公司可以将其整体指定为以公允价值计量且其变动计入当期损益的金融工具。但下列情况除外：</w:t>
      </w:r>
    </w:p>
    <w:p w:rsidR="00C65FD5" w:rsidRPr="00831C3C" w:rsidRDefault="00C65FD5" w:rsidP="00CC7D91">
      <w:pPr>
        <w:widowControl/>
        <w:numPr>
          <w:ilvl w:val="0"/>
          <w:numId w:val="42"/>
        </w:numPr>
        <w:spacing w:before="100" w:beforeAutospacing="1" w:after="100" w:afterAutospacing="1"/>
        <w:divId w:val="1788505355"/>
        <w:rPr>
          <w:sz w:val="18"/>
          <w:szCs w:val="18"/>
        </w:rPr>
      </w:pPr>
      <w:r w:rsidRPr="00831C3C">
        <w:rPr>
          <w:rFonts w:hint="eastAsia"/>
          <w:sz w:val="18"/>
          <w:szCs w:val="18"/>
        </w:rPr>
        <w:t>）嵌入衍生工具不会对混合合同的现金流量产生重大改变。</w:t>
      </w:r>
    </w:p>
    <w:p w:rsidR="00C65FD5" w:rsidRPr="00831C3C" w:rsidRDefault="00C65FD5" w:rsidP="00CC7D91">
      <w:pPr>
        <w:widowControl/>
        <w:numPr>
          <w:ilvl w:val="0"/>
          <w:numId w:val="42"/>
        </w:numPr>
        <w:spacing w:before="100" w:beforeAutospacing="1" w:after="100" w:afterAutospacing="1"/>
        <w:divId w:val="1788505355"/>
        <w:rPr>
          <w:sz w:val="18"/>
          <w:szCs w:val="18"/>
        </w:rPr>
      </w:pPr>
      <w:r w:rsidRPr="00831C3C">
        <w:rPr>
          <w:rFonts w:hint="eastAsia"/>
          <w:sz w:val="18"/>
          <w:szCs w:val="18"/>
        </w:rPr>
        <w:t>）在初次确定类似的混合合同是否需要分拆时，几乎不需分析就能明确其包含的嵌入衍生工具不应分拆。如嵌入贷款的提前还款权，允许持有人以接近摊</w:t>
      </w:r>
      <w:proofErr w:type="gramStart"/>
      <w:r w:rsidRPr="00831C3C">
        <w:rPr>
          <w:rFonts w:hint="eastAsia"/>
          <w:sz w:val="18"/>
          <w:szCs w:val="18"/>
        </w:rPr>
        <w:t>余成本</w:t>
      </w:r>
      <w:proofErr w:type="gramEnd"/>
      <w:r w:rsidRPr="00831C3C">
        <w:rPr>
          <w:rFonts w:hint="eastAsia"/>
          <w:sz w:val="18"/>
          <w:szCs w:val="18"/>
        </w:rPr>
        <w:t>的金额提前偿还贷款，该提前还款权不需要分拆。</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本公司对此类金融资产采用公允价值进行后续计量，将公允价值变动形成的利得或损失以及与此类金融资产相关的股利和利息收入计入当期损益。</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本公司对此类金融资产根据其流动性在交易性金融资产、其他非流动金融资产项目列报。</w:t>
      </w:r>
    </w:p>
    <w:p w:rsidR="00C65FD5" w:rsidRPr="00831C3C" w:rsidRDefault="00C65FD5" w:rsidP="00CC7D91">
      <w:pPr>
        <w:widowControl/>
        <w:numPr>
          <w:ilvl w:val="0"/>
          <w:numId w:val="43"/>
        </w:numPr>
        <w:spacing w:before="100" w:beforeAutospacing="1" w:after="100" w:afterAutospacing="1"/>
        <w:divId w:val="1788505355"/>
        <w:rPr>
          <w:sz w:val="18"/>
          <w:szCs w:val="18"/>
        </w:rPr>
      </w:pPr>
      <w:r w:rsidRPr="00831C3C">
        <w:rPr>
          <w:rFonts w:hint="eastAsia"/>
          <w:sz w:val="18"/>
          <w:szCs w:val="18"/>
        </w:rPr>
        <w:t>．金融负债的分类、确认和计量</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本公司根据所发行金融工具的合同条款及其所反映的经济实质而非仅以法律形式，结合金融负债和权益工具的定义，在初始确认时将该金融工具或其组成部分分类为金融负债或权益工具。金融负债在初始确认时分类为：以公允价值计量且其变动计入当期损益的金融负债、其他金融负债、被指定为有效套</w:t>
      </w:r>
      <w:proofErr w:type="gramStart"/>
      <w:r w:rsidRPr="00831C3C">
        <w:rPr>
          <w:rFonts w:hint="eastAsia"/>
          <w:sz w:val="18"/>
          <w:szCs w:val="18"/>
        </w:rPr>
        <w:t>期工具</w:t>
      </w:r>
      <w:proofErr w:type="gramEnd"/>
      <w:r w:rsidRPr="00831C3C">
        <w:rPr>
          <w:rFonts w:hint="eastAsia"/>
          <w:sz w:val="18"/>
          <w:szCs w:val="18"/>
        </w:rPr>
        <w:t>的衍生工具。</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金融负债在初始确认时以公允价值计量。对于以公允价值计量且其变动计入当期损益的金融负债，相关的交易费用直接计入当期损益；对于其他类别的金融负债，相关交易费用计入初始确认金额。</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金融负债的后续计量取决于其分类：</w:t>
      </w:r>
    </w:p>
    <w:p w:rsidR="00C65FD5" w:rsidRPr="00831C3C" w:rsidRDefault="00C65FD5" w:rsidP="00CC7D91">
      <w:pPr>
        <w:widowControl/>
        <w:numPr>
          <w:ilvl w:val="0"/>
          <w:numId w:val="44"/>
        </w:numPr>
        <w:divId w:val="1788505355"/>
        <w:rPr>
          <w:rFonts w:ascii="Calibri" w:hAnsi="Calibri" w:cs="Calibri"/>
          <w:szCs w:val="21"/>
        </w:rPr>
      </w:pPr>
      <w:r w:rsidRPr="00831C3C">
        <w:rPr>
          <w:rFonts w:cs="Calibri" w:hint="eastAsia"/>
          <w:sz w:val="18"/>
          <w:szCs w:val="18"/>
        </w:rPr>
        <w:t>以公允价值计量且其变动计入当期损益的金融负债</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此类金融负债包括交易性金融负债（</w:t>
      </w:r>
      <w:proofErr w:type="gramStart"/>
      <w:r w:rsidRPr="00831C3C">
        <w:rPr>
          <w:rFonts w:hint="eastAsia"/>
          <w:sz w:val="18"/>
          <w:szCs w:val="18"/>
        </w:rPr>
        <w:t>含属于</w:t>
      </w:r>
      <w:proofErr w:type="gramEnd"/>
      <w:r w:rsidRPr="00831C3C">
        <w:rPr>
          <w:rFonts w:hint="eastAsia"/>
          <w:sz w:val="18"/>
          <w:szCs w:val="18"/>
        </w:rPr>
        <w:t>金融负债的衍生工具）和初始确认时指定为以公允价值计量且其变动计入当期损益的金融负债。</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满足下列条件之一的，属于交易性金融负债：承担相关金融负债的目的主要是为了在近期内出售或回购；属于集中管理的可辨认金融工具组合的一部分，且有客观证据表明企业近期采用短期获利方式模式；属于衍生工具，但是，被指定且为有效套</w:t>
      </w:r>
      <w:proofErr w:type="gramStart"/>
      <w:r w:rsidRPr="00831C3C">
        <w:rPr>
          <w:rFonts w:hint="eastAsia"/>
          <w:sz w:val="18"/>
          <w:szCs w:val="18"/>
        </w:rPr>
        <w:t>期工具</w:t>
      </w:r>
      <w:proofErr w:type="gramEnd"/>
      <w:r w:rsidRPr="00831C3C">
        <w:rPr>
          <w:rFonts w:hint="eastAsia"/>
          <w:sz w:val="18"/>
          <w:szCs w:val="18"/>
        </w:rPr>
        <w:t>的衍生工具、符合财务担保合同的衍生工具除外。交易性金融负债（</w:t>
      </w:r>
      <w:proofErr w:type="gramStart"/>
      <w:r w:rsidRPr="00831C3C">
        <w:rPr>
          <w:rFonts w:hint="eastAsia"/>
          <w:sz w:val="18"/>
          <w:szCs w:val="18"/>
        </w:rPr>
        <w:t>含属于</w:t>
      </w:r>
      <w:proofErr w:type="gramEnd"/>
      <w:r w:rsidRPr="00831C3C">
        <w:rPr>
          <w:rFonts w:hint="eastAsia"/>
          <w:sz w:val="18"/>
          <w:szCs w:val="18"/>
        </w:rPr>
        <w:t>金融负债的衍生工具），按照公允价值进行后续计量，除与套期会计有关外，所有公允价值变动均计入当期损益。</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在初始确认时，为了提供更相关的会计信息，本公司将满足下列条件之一的金融负债不可撤销地指定为以公允价值计量且其变动计入当期损益的金融负债：</w:t>
      </w:r>
    </w:p>
    <w:p w:rsidR="00C65FD5" w:rsidRPr="00831C3C" w:rsidRDefault="00C65FD5" w:rsidP="00CC7D91">
      <w:pPr>
        <w:widowControl/>
        <w:numPr>
          <w:ilvl w:val="0"/>
          <w:numId w:val="45"/>
        </w:numPr>
        <w:spacing w:before="100" w:beforeAutospacing="1" w:after="100" w:afterAutospacing="1"/>
        <w:divId w:val="1788505355"/>
        <w:rPr>
          <w:sz w:val="18"/>
          <w:szCs w:val="18"/>
        </w:rPr>
      </w:pPr>
      <w:r w:rsidRPr="00831C3C">
        <w:rPr>
          <w:rFonts w:hint="eastAsia"/>
          <w:sz w:val="18"/>
          <w:szCs w:val="18"/>
        </w:rPr>
        <w:t>）能够消除或显著减少会计错配。</w:t>
      </w:r>
    </w:p>
    <w:p w:rsidR="00C65FD5" w:rsidRPr="00831C3C" w:rsidRDefault="00C65FD5" w:rsidP="00CC7D91">
      <w:pPr>
        <w:widowControl/>
        <w:numPr>
          <w:ilvl w:val="0"/>
          <w:numId w:val="45"/>
        </w:numPr>
        <w:spacing w:before="100" w:beforeAutospacing="1" w:after="100" w:afterAutospacing="1"/>
        <w:divId w:val="1788505355"/>
        <w:rPr>
          <w:sz w:val="18"/>
          <w:szCs w:val="18"/>
        </w:rPr>
      </w:pPr>
      <w:r w:rsidRPr="00831C3C">
        <w:rPr>
          <w:rFonts w:hint="eastAsia"/>
          <w:sz w:val="18"/>
          <w:szCs w:val="18"/>
        </w:rPr>
        <w:t>）根据正式书面文件载明的企业风险管理或投资策略，以公允价值为基础对金融负债组合或金融资产和金融负债组合进行管理和业绩评价，并在企业内部以此为基础向关键管理人员报告。</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本公司对此类金融负债采用公允价值进行后续计量，除由本公司自身信用风险变动引起的公允价值变动计入其他综合收益之外，其他公允价值变动计入当期损益。除非由本公司自身信用风险变动引起的公允价值变动计入其他综合收益会造成或扩大损益中的会计错配，本公司将所有公允价值变动（包括自身信用风险变动的影响金额）计入当期损益。</w:t>
      </w:r>
    </w:p>
    <w:p w:rsidR="00C65FD5" w:rsidRPr="00831C3C" w:rsidRDefault="00C65FD5" w:rsidP="00CC7D91">
      <w:pPr>
        <w:widowControl/>
        <w:numPr>
          <w:ilvl w:val="0"/>
          <w:numId w:val="46"/>
        </w:numPr>
        <w:divId w:val="1788505355"/>
        <w:rPr>
          <w:rFonts w:ascii="Calibri" w:hAnsi="Calibri" w:cs="Calibri"/>
          <w:szCs w:val="21"/>
        </w:rPr>
      </w:pPr>
      <w:r w:rsidRPr="00831C3C">
        <w:rPr>
          <w:rFonts w:cs="Calibri" w:hint="eastAsia"/>
          <w:sz w:val="18"/>
          <w:szCs w:val="18"/>
        </w:rPr>
        <w:t>其他金融负债</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除下列各项外，公司将金融负债分类为以摊</w:t>
      </w:r>
      <w:proofErr w:type="gramStart"/>
      <w:r w:rsidRPr="00831C3C">
        <w:rPr>
          <w:rFonts w:hint="eastAsia"/>
          <w:sz w:val="18"/>
          <w:szCs w:val="18"/>
        </w:rPr>
        <w:t>余成本</w:t>
      </w:r>
      <w:proofErr w:type="gramEnd"/>
      <w:r w:rsidRPr="00831C3C">
        <w:rPr>
          <w:rFonts w:hint="eastAsia"/>
          <w:sz w:val="18"/>
          <w:szCs w:val="18"/>
        </w:rPr>
        <w:t>计量的金融负债，对此类金融负债采用实际利率法，按照摊</w:t>
      </w:r>
      <w:proofErr w:type="gramStart"/>
      <w:r w:rsidRPr="00831C3C">
        <w:rPr>
          <w:rFonts w:hint="eastAsia"/>
          <w:sz w:val="18"/>
          <w:szCs w:val="18"/>
        </w:rPr>
        <w:t>余成本</w:t>
      </w:r>
      <w:proofErr w:type="gramEnd"/>
      <w:r w:rsidRPr="00831C3C">
        <w:rPr>
          <w:rFonts w:hint="eastAsia"/>
          <w:sz w:val="18"/>
          <w:szCs w:val="18"/>
        </w:rPr>
        <w:t>进行后续计量，终止确认或摊销产生的利得或损失计入当期损益：</w:t>
      </w:r>
    </w:p>
    <w:p w:rsidR="00C65FD5" w:rsidRPr="00831C3C" w:rsidRDefault="00C65FD5" w:rsidP="00CC7D91">
      <w:pPr>
        <w:widowControl/>
        <w:numPr>
          <w:ilvl w:val="0"/>
          <w:numId w:val="47"/>
        </w:numPr>
        <w:spacing w:before="100" w:beforeAutospacing="1" w:after="100" w:afterAutospacing="1"/>
        <w:divId w:val="1788505355"/>
        <w:rPr>
          <w:sz w:val="18"/>
          <w:szCs w:val="18"/>
        </w:rPr>
      </w:pPr>
      <w:r w:rsidRPr="00831C3C">
        <w:rPr>
          <w:rFonts w:hint="eastAsia"/>
          <w:sz w:val="18"/>
          <w:szCs w:val="18"/>
        </w:rPr>
        <w:t>）以公允价值计量且其变动计入当期损益的金融负债。</w:t>
      </w:r>
    </w:p>
    <w:p w:rsidR="00C65FD5" w:rsidRPr="00831C3C" w:rsidRDefault="00C65FD5" w:rsidP="00CC7D91">
      <w:pPr>
        <w:widowControl/>
        <w:numPr>
          <w:ilvl w:val="0"/>
          <w:numId w:val="47"/>
        </w:numPr>
        <w:spacing w:before="100" w:beforeAutospacing="1" w:after="100" w:afterAutospacing="1"/>
        <w:divId w:val="1788505355"/>
        <w:rPr>
          <w:sz w:val="18"/>
          <w:szCs w:val="18"/>
        </w:rPr>
      </w:pPr>
      <w:r w:rsidRPr="00831C3C">
        <w:rPr>
          <w:rFonts w:hint="eastAsia"/>
          <w:sz w:val="18"/>
          <w:szCs w:val="18"/>
        </w:rPr>
        <w:t>）金融资产转移不符合终止确认条件或继续涉入被转移金融资产所形成的金融负债。</w:t>
      </w:r>
    </w:p>
    <w:p w:rsidR="00C65FD5" w:rsidRPr="00831C3C" w:rsidRDefault="00C65FD5" w:rsidP="00CC7D91">
      <w:pPr>
        <w:widowControl/>
        <w:numPr>
          <w:ilvl w:val="0"/>
          <w:numId w:val="47"/>
        </w:numPr>
        <w:spacing w:before="100" w:beforeAutospacing="1" w:after="100" w:afterAutospacing="1"/>
        <w:divId w:val="1788505355"/>
        <w:rPr>
          <w:sz w:val="18"/>
          <w:szCs w:val="18"/>
        </w:rPr>
      </w:pPr>
      <w:r w:rsidRPr="00831C3C">
        <w:rPr>
          <w:rFonts w:hint="eastAsia"/>
          <w:sz w:val="18"/>
          <w:szCs w:val="18"/>
        </w:rPr>
        <w:lastRenderedPageBreak/>
        <w:t>）不属于本条前两类情形的财务担保合同，以及不属于本条第</w:t>
      </w:r>
      <w:r w:rsidRPr="00831C3C">
        <w:rPr>
          <w:rFonts w:ascii="Times New Roman" w:hAnsi="Times New Roman" w:cs="Times New Roman"/>
          <w:sz w:val="18"/>
          <w:szCs w:val="18"/>
        </w:rPr>
        <w:t>1</w:t>
      </w:r>
      <w:r w:rsidRPr="00831C3C">
        <w:rPr>
          <w:rFonts w:hint="eastAsia"/>
          <w:sz w:val="18"/>
          <w:szCs w:val="18"/>
        </w:rPr>
        <w:t>）类情形的以低于市场利率贷款的贷款承诺。</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财务担保合同是指当特定债务人到期不能按照最初或修改后的债务工具条款偿付债务时，要求发行方向蒙受损失的合同持有人赔付特定金额的合同。不属于指定为以公允价值计量且其变动计入当期损益的金融负债的财务担保合同，在初始确认后按照损失准备金额以及初始确认金额扣除担保期内的累计摊销额后的余额孰高进行计量。</w:t>
      </w:r>
    </w:p>
    <w:p w:rsidR="00C65FD5" w:rsidRPr="00831C3C" w:rsidRDefault="00C65FD5" w:rsidP="00CC7D91">
      <w:pPr>
        <w:widowControl/>
        <w:numPr>
          <w:ilvl w:val="0"/>
          <w:numId w:val="48"/>
        </w:numPr>
        <w:spacing w:before="100" w:beforeAutospacing="1" w:after="100" w:afterAutospacing="1"/>
        <w:divId w:val="1788505355"/>
        <w:rPr>
          <w:sz w:val="18"/>
          <w:szCs w:val="18"/>
        </w:rPr>
      </w:pPr>
      <w:r w:rsidRPr="00831C3C">
        <w:rPr>
          <w:rFonts w:hint="eastAsia"/>
          <w:sz w:val="18"/>
          <w:szCs w:val="18"/>
        </w:rPr>
        <w:t>．金融资产和金融负债的终止确认</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w:t>
      </w:r>
      <w:r w:rsidRPr="00831C3C">
        <w:rPr>
          <w:rFonts w:ascii="Times New Roman" w:hAnsi="Times New Roman" w:cs="Times New Roman"/>
          <w:sz w:val="18"/>
          <w:szCs w:val="18"/>
        </w:rPr>
        <w:t>1</w:t>
      </w:r>
      <w:r w:rsidRPr="00831C3C">
        <w:rPr>
          <w:rFonts w:hint="eastAsia"/>
          <w:sz w:val="18"/>
          <w:szCs w:val="18"/>
        </w:rPr>
        <w:t>）金融资产满足下列条件之一的，终止确认金融资产，即从其账户和资产负债表内予以转销：</w:t>
      </w:r>
    </w:p>
    <w:p w:rsidR="00C65FD5" w:rsidRPr="00831C3C" w:rsidRDefault="00C65FD5" w:rsidP="00CC7D91">
      <w:pPr>
        <w:widowControl/>
        <w:numPr>
          <w:ilvl w:val="0"/>
          <w:numId w:val="49"/>
        </w:numPr>
        <w:spacing w:before="100" w:beforeAutospacing="1" w:after="100" w:afterAutospacing="1"/>
        <w:divId w:val="1788505355"/>
        <w:rPr>
          <w:sz w:val="18"/>
          <w:szCs w:val="18"/>
        </w:rPr>
      </w:pPr>
      <w:r w:rsidRPr="00831C3C">
        <w:rPr>
          <w:rFonts w:hint="eastAsia"/>
          <w:sz w:val="18"/>
          <w:szCs w:val="18"/>
        </w:rPr>
        <w:t>）收取该金融资产现金流量的合同权利终止。</w:t>
      </w:r>
    </w:p>
    <w:p w:rsidR="00C65FD5" w:rsidRPr="00831C3C" w:rsidRDefault="00C65FD5" w:rsidP="00CC7D91">
      <w:pPr>
        <w:widowControl/>
        <w:numPr>
          <w:ilvl w:val="0"/>
          <w:numId w:val="49"/>
        </w:numPr>
        <w:spacing w:before="100" w:beforeAutospacing="1" w:after="100" w:afterAutospacing="1"/>
        <w:divId w:val="1788505355"/>
        <w:rPr>
          <w:sz w:val="18"/>
          <w:szCs w:val="18"/>
        </w:rPr>
      </w:pPr>
      <w:r w:rsidRPr="00831C3C">
        <w:rPr>
          <w:rFonts w:hint="eastAsia"/>
          <w:sz w:val="18"/>
          <w:szCs w:val="18"/>
        </w:rPr>
        <w:t>）该金融资产已转移，且</w:t>
      </w:r>
      <w:proofErr w:type="gramStart"/>
      <w:r w:rsidRPr="00831C3C">
        <w:rPr>
          <w:rFonts w:hint="eastAsia"/>
          <w:sz w:val="18"/>
          <w:szCs w:val="18"/>
        </w:rPr>
        <w:t>该转移</w:t>
      </w:r>
      <w:proofErr w:type="gramEnd"/>
      <w:r w:rsidRPr="00831C3C">
        <w:rPr>
          <w:rFonts w:hint="eastAsia"/>
          <w:sz w:val="18"/>
          <w:szCs w:val="18"/>
        </w:rPr>
        <w:t>满足金融资产终止确认的规定。</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w:t>
      </w:r>
      <w:r w:rsidRPr="00831C3C">
        <w:rPr>
          <w:rFonts w:ascii="Times New Roman" w:hAnsi="Times New Roman" w:cs="Times New Roman"/>
          <w:sz w:val="18"/>
          <w:szCs w:val="18"/>
        </w:rPr>
        <w:t>2</w:t>
      </w:r>
      <w:r w:rsidRPr="00831C3C">
        <w:rPr>
          <w:rFonts w:hint="eastAsia"/>
          <w:sz w:val="18"/>
          <w:szCs w:val="18"/>
        </w:rPr>
        <w:t>）金融负债终止确认条件</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金融负债（或其一部分）的现时义务已经解除的，则终止确认该金融负债（或该部分金融负债）。</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本公司与借出方之间签订协议，以承担新金融负债方式替换原金融负债，且新金融负债与原金融负债的合同条款实质上不同的，或对原金融负债（或其一部分）的合同条款做出实质性修改的，则终止确认原金融负债，同时确认一项新金融负债，账面价值与支付的对价（包括转出的非现金资产或承担的负债）之间的差额，计入当期损益。</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本公司回购金融负债一部分的，按照继续确认部分和终止确认部分在回购日各自的公允价值占整体公允价值的比例，对该金融负债整体的账面价值进行分配。分配给终止确认部分的账面价值与支付的对价（包括转出的非现金资产或承担的负债）之间的差额，应当计入当期损益。</w:t>
      </w:r>
    </w:p>
    <w:p w:rsidR="00C65FD5" w:rsidRPr="00831C3C" w:rsidRDefault="00C65FD5" w:rsidP="00CC7D91">
      <w:pPr>
        <w:widowControl/>
        <w:numPr>
          <w:ilvl w:val="0"/>
          <w:numId w:val="50"/>
        </w:numPr>
        <w:spacing w:before="100" w:beforeAutospacing="1" w:after="100" w:afterAutospacing="1"/>
        <w:divId w:val="1788505355"/>
        <w:rPr>
          <w:sz w:val="18"/>
          <w:szCs w:val="18"/>
        </w:rPr>
      </w:pPr>
      <w:r w:rsidRPr="00831C3C">
        <w:rPr>
          <w:rFonts w:hint="eastAsia"/>
          <w:sz w:val="18"/>
          <w:szCs w:val="18"/>
        </w:rPr>
        <w:t>．金融资产转移的确认依据和计量方法</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本公司在发生金融资产转移时，评估其保留金融资产所有权上的风险和报酬的程度，并分别下列情形处理：</w:t>
      </w:r>
    </w:p>
    <w:p w:rsidR="00C65FD5" w:rsidRPr="00831C3C" w:rsidRDefault="00C65FD5" w:rsidP="00CC7D91">
      <w:pPr>
        <w:widowControl/>
        <w:numPr>
          <w:ilvl w:val="1"/>
          <w:numId w:val="51"/>
        </w:numPr>
        <w:divId w:val="1788505355"/>
        <w:rPr>
          <w:rFonts w:ascii="Calibri" w:hAnsi="Calibri" w:cs="Calibri"/>
          <w:szCs w:val="21"/>
        </w:rPr>
      </w:pPr>
      <w:r w:rsidRPr="00831C3C">
        <w:rPr>
          <w:rFonts w:cs="Calibri" w:hint="eastAsia"/>
          <w:sz w:val="18"/>
          <w:szCs w:val="18"/>
        </w:rPr>
        <w:t>转移了金融资产所有权上几乎所有风险和报酬的，则终止确认该金融资产，并将转移中产生或保留的权利和义务单独确认为资产或负债。</w:t>
      </w:r>
    </w:p>
    <w:p w:rsidR="00C65FD5" w:rsidRPr="00831C3C" w:rsidRDefault="00C65FD5" w:rsidP="00CC7D91">
      <w:pPr>
        <w:widowControl/>
        <w:numPr>
          <w:ilvl w:val="1"/>
          <w:numId w:val="51"/>
        </w:numPr>
        <w:divId w:val="1788505355"/>
        <w:rPr>
          <w:rFonts w:ascii="Calibri" w:hAnsi="Calibri" w:cs="Calibri"/>
          <w:szCs w:val="21"/>
        </w:rPr>
      </w:pPr>
      <w:r w:rsidRPr="00831C3C">
        <w:rPr>
          <w:rFonts w:cs="Calibri" w:hint="eastAsia"/>
          <w:sz w:val="18"/>
          <w:szCs w:val="18"/>
        </w:rPr>
        <w:t>保留了金融资产所有权上几乎所有风险和报酬的，则继续确认该金融资产。</w:t>
      </w:r>
    </w:p>
    <w:p w:rsidR="00C65FD5" w:rsidRPr="00831C3C" w:rsidRDefault="00C65FD5" w:rsidP="00CC7D91">
      <w:pPr>
        <w:widowControl/>
        <w:numPr>
          <w:ilvl w:val="1"/>
          <w:numId w:val="51"/>
        </w:numPr>
        <w:divId w:val="1788505355"/>
        <w:rPr>
          <w:rFonts w:ascii="Calibri" w:hAnsi="Calibri" w:cs="Calibri"/>
          <w:szCs w:val="21"/>
        </w:rPr>
      </w:pPr>
      <w:r w:rsidRPr="00831C3C">
        <w:rPr>
          <w:rFonts w:cs="Calibri" w:hint="eastAsia"/>
          <w:sz w:val="18"/>
          <w:szCs w:val="18"/>
        </w:rPr>
        <w:t>既没有转移也没有保留金融资产所有权上几乎所有风险和报酬的（即除本条（</w:t>
      </w:r>
      <w:r w:rsidRPr="00831C3C">
        <w:rPr>
          <w:rFonts w:ascii="Times New Roman" w:hAnsi="Times New Roman" w:cs="Times New Roman"/>
          <w:sz w:val="18"/>
          <w:szCs w:val="18"/>
        </w:rPr>
        <w:t>1</w:t>
      </w:r>
      <w:r w:rsidRPr="00831C3C">
        <w:rPr>
          <w:rFonts w:cs="Calibri" w:hint="eastAsia"/>
          <w:sz w:val="18"/>
          <w:szCs w:val="18"/>
        </w:rPr>
        <w:t>）、（</w:t>
      </w:r>
      <w:r w:rsidRPr="00831C3C">
        <w:rPr>
          <w:rFonts w:ascii="Times New Roman" w:hAnsi="Times New Roman" w:cs="Times New Roman"/>
          <w:sz w:val="18"/>
          <w:szCs w:val="18"/>
        </w:rPr>
        <w:t>2</w:t>
      </w:r>
      <w:r w:rsidRPr="00831C3C">
        <w:rPr>
          <w:rFonts w:cs="Calibri" w:hint="eastAsia"/>
          <w:sz w:val="18"/>
          <w:szCs w:val="18"/>
        </w:rPr>
        <w:t>）之外的其他情形），则根据其是否保留了对金融资产的控制，分别下列情形处理：</w:t>
      </w:r>
    </w:p>
    <w:p w:rsidR="00C65FD5" w:rsidRPr="00831C3C" w:rsidRDefault="00C65FD5" w:rsidP="00CC7D91">
      <w:pPr>
        <w:widowControl/>
        <w:numPr>
          <w:ilvl w:val="0"/>
          <w:numId w:val="52"/>
        </w:numPr>
        <w:spacing w:before="100" w:beforeAutospacing="1" w:after="100" w:afterAutospacing="1"/>
        <w:divId w:val="1788505355"/>
        <w:rPr>
          <w:rFonts w:ascii="宋体" w:hAnsi="宋体" w:cs="宋体"/>
          <w:sz w:val="18"/>
          <w:szCs w:val="18"/>
        </w:rPr>
      </w:pPr>
      <w:r w:rsidRPr="00831C3C">
        <w:rPr>
          <w:rFonts w:hint="eastAsia"/>
          <w:sz w:val="18"/>
          <w:szCs w:val="18"/>
        </w:rPr>
        <w:t>）未保留对该金融资产控制的，则终止确认该金融资产，并将转移中产生或保留的权利和义务单独确认为资产或负债。</w:t>
      </w:r>
    </w:p>
    <w:p w:rsidR="00C65FD5" w:rsidRPr="00831C3C" w:rsidRDefault="00C65FD5" w:rsidP="00CC7D91">
      <w:pPr>
        <w:widowControl/>
        <w:numPr>
          <w:ilvl w:val="0"/>
          <w:numId w:val="52"/>
        </w:numPr>
        <w:spacing w:before="100" w:beforeAutospacing="1" w:after="100" w:afterAutospacing="1"/>
        <w:divId w:val="1788505355"/>
        <w:rPr>
          <w:sz w:val="18"/>
          <w:szCs w:val="18"/>
        </w:rPr>
      </w:pPr>
      <w:r w:rsidRPr="00831C3C">
        <w:rPr>
          <w:rFonts w:hint="eastAsia"/>
          <w:sz w:val="18"/>
          <w:szCs w:val="18"/>
        </w:rPr>
        <w:t>）保留了对该金融资产控制的，则按照其继续涉入被转移金融资产的程度继续确认有关金融资产，并相应确认相关负债。继续涉入被转移金融资产的程度，是指本公司承担的被转移金融资产价值变动风险或报酬的程度。</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在判断金融资产转移是否满足上述金融资产终止确认条件时，采用实质重于形式的原则。公司将金融资产转移区分为金融资产整体转移和部分转移。</w:t>
      </w:r>
    </w:p>
    <w:p w:rsidR="00C65FD5" w:rsidRPr="00831C3C" w:rsidRDefault="00C65FD5" w:rsidP="00CC7D91">
      <w:pPr>
        <w:widowControl/>
        <w:numPr>
          <w:ilvl w:val="0"/>
          <w:numId w:val="53"/>
        </w:numPr>
        <w:divId w:val="1788505355"/>
        <w:rPr>
          <w:rFonts w:ascii="Calibri" w:hAnsi="Calibri" w:cs="Calibri"/>
          <w:szCs w:val="21"/>
        </w:rPr>
      </w:pPr>
      <w:r w:rsidRPr="00831C3C">
        <w:rPr>
          <w:rFonts w:cs="Calibri" w:hint="eastAsia"/>
          <w:sz w:val="18"/>
          <w:szCs w:val="18"/>
        </w:rPr>
        <w:t>金融资产整体转移满足终止确认条件的，将下列两项金额的差额计入当期损益：</w:t>
      </w:r>
    </w:p>
    <w:p w:rsidR="00C65FD5" w:rsidRPr="00831C3C" w:rsidRDefault="00C65FD5" w:rsidP="00CC7D91">
      <w:pPr>
        <w:widowControl/>
        <w:numPr>
          <w:ilvl w:val="0"/>
          <w:numId w:val="54"/>
        </w:numPr>
        <w:spacing w:before="100" w:beforeAutospacing="1" w:after="100" w:afterAutospacing="1"/>
        <w:divId w:val="1788505355"/>
        <w:rPr>
          <w:rFonts w:ascii="宋体" w:hAnsi="宋体" w:cs="宋体"/>
          <w:sz w:val="18"/>
          <w:szCs w:val="18"/>
        </w:rPr>
      </w:pPr>
      <w:r w:rsidRPr="00831C3C">
        <w:rPr>
          <w:rFonts w:hint="eastAsia"/>
          <w:sz w:val="18"/>
          <w:szCs w:val="18"/>
        </w:rPr>
        <w:t>）被转移金融资产在终止确认日的账面价值。</w:t>
      </w:r>
    </w:p>
    <w:p w:rsidR="00C65FD5" w:rsidRPr="00831C3C" w:rsidRDefault="00C65FD5" w:rsidP="00CC7D91">
      <w:pPr>
        <w:widowControl/>
        <w:numPr>
          <w:ilvl w:val="0"/>
          <w:numId w:val="54"/>
        </w:numPr>
        <w:spacing w:before="100" w:beforeAutospacing="1" w:after="100" w:afterAutospacing="1"/>
        <w:divId w:val="1788505355"/>
        <w:rPr>
          <w:sz w:val="18"/>
          <w:szCs w:val="18"/>
        </w:rPr>
      </w:pPr>
      <w:r w:rsidRPr="00831C3C">
        <w:rPr>
          <w:rFonts w:hint="eastAsia"/>
          <w:sz w:val="18"/>
          <w:szCs w:val="18"/>
        </w:rPr>
        <w:t>）因转移金融资产而收到的对价，与</w:t>
      </w:r>
      <w:proofErr w:type="gramStart"/>
      <w:r w:rsidRPr="00831C3C">
        <w:rPr>
          <w:rFonts w:hint="eastAsia"/>
          <w:sz w:val="18"/>
          <w:szCs w:val="18"/>
        </w:rPr>
        <w:t>原直接</w:t>
      </w:r>
      <w:proofErr w:type="gramEnd"/>
      <w:r w:rsidRPr="00831C3C">
        <w:rPr>
          <w:rFonts w:hint="eastAsia"/>
          <w:sz w:val="18"/>
          <w:szCs w:val="18"/>
        </w:rPr>
        <w:t>计入其他综合收益的公允价值变动累计额中对应终止确认部分的金额（涉及转移的金融资产为以公允价值计量且其变动计入其他综合收益的金融资产）之</w:t>
      </w:r>
      <w:proofErr w:type="gramStart"/>
      <w:r w:rsidRPr="00831C3C">
        <w:rPr>
          <w:rFonts w:hint="eastAsia"/>
          <w:sz w:val="18"/>
          <w:szCs w:val="18"/>
        </w:rPr>
        <w:t>和</w:t>
      </w:r>
      <w:proofErr w:type="gramEnd"/>
      <w:r w:rsidRPr="00831C3C">
        <w:rPr>
          <w:rFonts w:hint="eastAsia"/>
          <w:sz w:val="18"/>
          <w:szCs w:val="18"/>
        </w:rPr>
        <w:t>。</w:t>
      </w:r>
    </w:p>
    <w:p w:rsidR="00C65FD5" w:rsidRPr="00831C3C" w:rsidRDefault="00C65FD5" w:rsidP="00CC7D91">
      <w:pPr>
        <w:widowControl/>
        <w:numPr>
          <w:ilvl w:val="0"/>
          <w:numId w:val="55"/>
        </w:numPr>
        <w:divId w:val="1788505355"/>
        <w:rPr>
          <w:rFonts w:ascii="Calibri" w:hAnsi="Calibri" w:cs="Calibri"/>
          <w:szCs w:val="21"/>
        </w:rPr>
      </w:pPr>
      <w:r w:rsidRPr="00831C3C">
        <w:rPr>
          <w:rFonts w:cs="Calibri" w:hint="eastAsia"/>
          <w:sz w:val="18"/>
          <w:szCs w:val="18"/>
        </w:rPr>
        <w:lastRenderedPageBreak/>
        <w:t>金融资产部分转移且该被转移部分整体满足终止确认条件的，将转移前金融资产整体的账面价值，在终止确认部分和继续确认部分（在此种情形下，所保留的服务资产应当视同继续确认金融资产的一部分）之间，按照</w:t>
      </w:r>
      <w:proofErr w:type="gramStart"/>
      <w:r w:rsidRPr="00831C3C">
        <w:rPr>
          <w:rFonts w:cs="Calibri" w:hint="eastAsia"/>
          <w:sz w:val="18"/>
          <w:szCs w:val="18"/>
        </w:rPr>
        <w:t>转移日</w:t>
      </w:r>
      <w:proofErr w:type="gramEnd"/>
      <w:r w:rsidRPr="00831C3C">
        <w:rPr>
          <w:rFonts w:cs="Calibri" w:hint="eastAsia"/>
          <w:sz w:val="18"/>
          <w:szCs w:val="18"/>
        </w:rPr>
        <w:t>各自的相对公允价值进行分摊，并将下列两项金额的差额计入当期损益：</w:t>
      </w:r>
    </w:p>
    <w:p w:rsidR="00C65FD5" w:rsidRPr="00831C3C" w:rsidRDefault="00C65FD5" w:rsidP="00CC7D91">
      <w:pPr>
        <w:widowControl/>
        <w:numPr>
          <w:ilvl w:val="0"/>
          <w:numId w:val="56"/>
        </w:numPr>
        <w:spacing w:before="100" w:beforeAutospacing="1" w:after="100" w:afterAutospacing="1"/>
        <w:divId w:val="1788505355"/>
        <w:rPr>
          <w:rFonts w:ascii="宋体" w:hAnsi="宋体" w:cs="宋体"/>
          <w:sz w:val="18"/>
          <w:szCs w:val="18"/>
        </w:rPr>
      </w:pPr>
      <w:r w:rsidRPr="00831C3C">
        <w:rPr>
          <w:rFonts w:hint="eastAsia"/>
          <w:sz w:val="18"/>
          <w:szCs w:val="18"/>
        </w:rPr>
        <w:t>）终止确认部分在终止确认日的账面价值。</w:t>
      </w:r>
    </w:p>
    <w:p w:rsidR="00C65FD5" w:rsidRPr="00831C3C" w:rsidRDefault="00C65FD5" w:rsidP="00CC7D91">
      <w:pPr>
        <w:widowControl/>
        <w:numPr>
          <w:ilvl w:val="0"/>
          <w:numId w:val="56"/>
        </w:numPr>
        <w:spacing w:before="100" w:beforeAutospacing="1" w:after="100" w:afterAutospacing="1"/>
        <w:divId w:val="1788505355"/>
        <w:rPr>
          <w:sz w:val="18"/>
          <w:szCs w:val="18"/>
        </w:rPr>
      </w:pPr>
      <w:r w:rsidRPr="00831C3C">
        <w:rPr>
          <w:rFonts w:hint="eastAsia"/>
          <w:sz w:val="18"/>
          <w:szCs w:val="18"/>
        </w:rPr>
        <w:t>）终止确认部分收到的对价，与原计入其他综合收益的公允价值变动累计额中对应终止确认部分的金额（涉及转移的金融资产为以公允价值计量且其变动计入其他综合收益的金融资产）之</w:t>
      </w:r>
      <w:proofErr w:type="gramStart"/>
      <w:r w:rsidRPr="00831C3C">
        <w:rPr>
          <w:rFonts w:hint="eastAsia"/>
          <w:sz w:val="18"/>
          <w:szCs w:val="18"/>
        </w:rPr>
        <w:t>和</w:t>
      </w:r>
      <w:proofErr w:type="gramEnd"/>
      <w:r w:rsidRPr="00831C3C">
        <w:rPr>
          <w:rFonts w:hint="eastAsia"/>
          <w:sz w:val="18"/>
          <w:szCs w:val="18"/>
        </w:rPr>
        <w:t>。</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金融资产转移不满足终止确认条件的，继续确认该金融资产，所收到的对价确认为一项金融负债。</w:t>
      </w:r>
    </w:p>
    <w:p w:rsidR="00C65FD5" w:rsidRPr="00831C3C" w:rsidRDefault="00C65FD5" w:rsidP="00CC7D91">
      <w:pPr>
        <w:widowControl/>
        <w:numPr>
          <w:ilvl w:val="0"/>
          <w:numId w:val="57"/>
        </w:numPr>
        <w:spacing w:before="100" w:beforeAutospacing="1" w:after="100" w:afterAutospacing="1"/>
        <w:divId w:val="1788505355"/>
        <w:rPr>
          <w:sz w:val="18"/>
          <w:szCs w:val="18"/>
        </w:rPr>
      </w:pPr>
      <w:r w:rsidRPr="00831C3C">
        <w:rPr>
          <w:rFonts w:hint="eastAsia"/>
          <w:sz w:val="18"/>
          <w:szCs w:val="18"/>
        </w:rPr>
        <w:t>．金融资产和金融负债公允价值的确定方法</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存在活跃市场的金融资产或金融负债，以活跃市场的报价确定其公允价值，除非该项金融资产存在针对资产本身的限售期。对于针对资产本身的限售的金融资产，按照活跃市场的报价扣除市场参与者因承担指定期间内无法在公开市场上出售该金融资产的风险而要求获得的补偿金额后确定。活跃市场的报价包括易于且可定期从交易所、交易商、经纪人、行业集团、定价机构或监管机构等获得相关资产或负债的报价，且能代表在公平交易基础上实际并经常发生的市场交易。</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初始取得或衍生的金融资产或承担的金融负债，以市场交易价格作为确定其公允价值的基础。</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不存在活跃市场的金融资产或金融负债，采用估值技术确定其公允价值。在估值时，本公司采用在当前情况下适用并且有足够可利用数据和其他信息支持的估值技术，选择与市场参与者在相关资产或负债的交易中所考虑的资产或负债特征相一致的输入值，并尽可能优先使用相关可观察输入值。在相关可观察输入值无法取得或取得不切实可行的情况下，使用不可观察输入值。</w:t>
      </w:r>
    </w:p>
    <w:p w:rsidR="00C65FD5" w:rsidRPr="00831C3C" w:rsidRDefault="00C65FD5" w:rsidP="00CC7D91">
      <w:pPr>
        <w:widowControl/>
        <w:numPr>
          <w:ilvl w:val="0"/>
          <w:numId w:val="58"/>
        </w:numPr>
        <w:spacing w:before="100" w:beforeAutospacing="1" w:after="100" w:afterAutospacing="1"/>
        <w:divId w:val="1788505355"/>
        <w:rPr>
          <w:sz w:val="18"/>
          <w:szCs w:val="18"/>
        </w:rPr>
      </w:pPr>
      <w:r w:rsidRPr="00831C3C">
        <w:rPr>
          <w:rFonts w:hint="eastAsia"/>
          <w:sz w:val="18"/>
          <w:szCs w:val="18"/>
        </w:rPr>
        <w:t>．金融工具减值</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本公司对以摊</w:t>
      </w:r>
      <w:proofErr w:type="gramStart"/>
      <w:r w:rsidRPr="00831C3C">
        <w:rPr>
          <w:rFonts w:hint="eastAsia"/>
          <w:sz w:val="18"/>
          <w:szCs w:val="18"/>
        </w:rPr>
        <w:t>余成本</w:t>
      </w:r>
      <w:proofErr w:type="gramEnd"/>
      <w:r w:rsidRPr="00831C3C">
        <w:rPr>
          <w:rFonts w:hint="eastAsia"/>
          <w:sz w:val="18"/>
          <w:szCs w:val="18"/>
        </w:rPr>
        <w:t>计量的金融资产以预期信用损失为基础进行减值会计处理并确认损失准备。</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预期信用损失，是指以发生违约的风险为权重的金融工具信用损失的加权平均值。信用损失，是指本公司按照</w:t>
      </w:r>
      <w:proofErr w:type="gramStart"/>
      <w:r w:rsidRPr="00831C3C">
        <w:rPr>
          <w:rFonts w:hint="eastAsia"/>
          <w:sz w:val="18"/>
          <w:szCs w:val="18"/>
        </w:rPr>
        <w:t>原实际</w:t>
      </w:r>
      <w:proofErr w:type="gramEnd"/>
      <w:r w:rsidRPr="00831C3C">
        <w:rPr>
          <w:rFonts w:hint="eastAsia"/>
          <w:sz w:val="18"/>
          <w:szCs w:val="18"/>
        </w:rPr>
        <w:t>利率折现的、根据合同应收的所有合同现金流量与预期收取的所有现金流量之间的差额，即全部现金短缺的现值。其中，对于本公司</w:t>
      </w:r>
      <w:proofErr w:type="gramStart"/>
      <w:r w:rsidRPr="00831C3C">
        <w:rPr>
          <w:rFonts w:hint="eastAsia"/>
          <w:sz w:val="18"/>
          <w:szCs w:val="18"/>
        </w:rPr>
        <w:t>购买或源生</w:t>
      </w:r>
      <w:proofErr w:type="gramEnd"/>
      <w:r w:rsidRPr="00831C3C">
        <w:rPr>
          <w:rFonts w:hint="eastAsia"/>
          <w:sz w:val="18"/>
          <w:szCs w:val="18"/>
        </w:rPr>
        <w:t>的已发生信用减值的金融资产，应按照该金融资产经信用调整的实际利率折现。</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对于</w:t>
      </w:r>
      <w:proofErr w:type="gramStart"/>
      <w:r w:rsidRPr="00831C3C">
        <w:rPr>
          <w:rFonts w:hint="eastAsia"/>
          <w:sz w:val="18"/>
          <w:szCs w:val="18"/>
        </w:rPr>
        <w:t>购买或源生</w:t>
      </w:r>
      <w:proofErr w:type="gramEnd"/>
      <w:r w:rsidRPr="00831C3C">
        <w:rPr>
          <w:rFonts w:hint="eastAsia"/>
          <w:sz w:val="18"/>
          <w:szCs w:val="18"/>
        </w:rPr>
        <w:t>的已发生信用减值的金融资产，在资产负债表日仅将自初始确认后整个存续期内预期信用损失的累计变动确认为损失准备。在每个资产负债表日，将整个存续期内预期信用损失的变动金额作为减值损失或利得计入当期损益。即使该资产负债表日确定的整个存续期内预期信用损失小于初始确认时估计现金流量所反映的预期信用损失的金额，也将预期信用损失的有利变动确认为减值利得。</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除上述采用简化计量方法和</w:t>
      </w:r>
      <w:proofErr w:type="gramStart"/>
      <w:r w:rsidRPr="00831C3C">
        <w:rPr>
          <w:rFonts w:hint="eastAsia"/>
          <w:sz w:val="18"/>
          <w:szCs w:val="18"/>
        </w:rPr>
        <w:t>购买或源生</w:t>
      </w:r>
      <w:proofErr w:type="gramEnd"/>
      <w:r w:rsidRPr="00831C3C">
        <w:rPr>
          <w:rFonts w:hint="eastAsia"/>
          <w:sz w:val="18"/>
          <w:szCs w:val="18"/>
        </w:rPr>
        <w:t>的已发生信用减值以外的其他金融资产，本公司在每个资产负债表日评估相关金融工具的信用风险自初始确认后是否已显著增加，并按照下列情形分别计量其损失准备、确认预期信用损失及其变动：</w:t>
      </w:r>
    </w:p>
    <w:p w:rsidR="00C65FD5" w:rsidRPr="00831C3C" w:rsidRDefault="00C65FD5" w:rsidP="00CC7D91">
      <w:pPr>
        <w:widowControl/>
        <w:numPr>
          <w:ilvl w:val="1"/>
          <w:numId w:val="59"/>
        </w:numPr>
        <w:divId w:val="1788505355"/>
        <w:rPr>
          <w:rFonts w:ascii="Calibri" w:hAnsi="Calibri" w:cs="Calibri"/>
          <w:szCs w:val="21"/>
        </w:rPr>
      </w:pPr>
      <w:r w:rsidRPr="00831C3C">
        <w:rPr>
          <w:rFonts w:cs="Calibri" w:hint="eastAsia"/>
          <w:sz w:val="18"/>
          <w:szCs w:val="18"/>
        </w:rPr>
        <w:t>如果该金融工具的信用风险自初始确认后并未显著增加，处于第一阶段，则按照相当于该金融工具未来</w:t>
      </w:r>
      <w:r w:rsidRPr="00831C3C">
        <w:rPr>
          <w:rFonts w:ascii="Times New Roman" w:hAnsi="Times New Roman" w:cs="Times New Roman"/>
          <w:sz w:val="18"/>
          <w:szCs w:val="18"/>
        </w:rPr>
        <w:t>12</w:t>
      </w:r>
      <w:r w:rsidRPr="00831C3C">
        <w:rPr>
          <w:rFonts w:cs="Calibri" w:hint="eastAsia"/>
          <w:sz w:val="18"/>
          <w:szCs w:val="18"/>
        </w:rPr>
        <w:t>个月内预期信用损失的金额计量其损失准备，并按照账面余额和实际利率计算利息收入。</w:t>
      </w:r>
    </w:p>
    <w:p w:rsidR="00C65FD5" w:rsidRPr="00831C3C" w:rsidRDefault="00C65FD5" w:rsidP="00CC7D91">
      <w:pPr>
        <w:widowControl/>
        <w:numPr>
          <w:ilvl w:val="1"/>
          <w:numId w:val="59"/>
        </w:numPr>
        <w:divId w:val="1788505355"/>
        <w:rPr>
          <w:rFonts w:ascii="Calibri" w:hAnsi="Calibri" w:cs="Calibri"/>
          <w:szCs w:val="21"/>
        </w:rPr>
      </w:pPr>
      <w:r w:rsidRPr="00831C3C">
        <w:rPr>
          <w:rFonts w:cs="Calibri" w:hint="eastAsia"/>
          <w:sz w:val="18"/>
          <w:szCs w:val="18"/>
        </w:rPr>
        <w:t>如果该金融工具的信用风险自初始确认后已显著增加但尚未发生信用减值的，处于第二阶段，则按照相当于该金融工具整个存续期内预期信用损失的金额计量其损失准备，并按照账面余额和实际利率计算利息收入。</w:t>
      </w:r>
    </w:p>
    <w:p w:rsidR="00C65FD5" w:rsidRPr="00831C3C" w:rsidRDefault="00C65FD5" w:rsidP="00CC7D91">
      <w:pPr>
        <w:widowControl/>
        <w:numPr>
          <w:ilvl w:val="1"/>
          <w:numId w:val="59"/>
        </w:numPr>
        <w:divId w:val="1788505355"/>
        <w:rPr>
          <w:rFonts w:ascii="Calibri" w:hAnsi="Calibri" w:cs="Calibri"/>
          <w:szCs w:val="21"/>
        </w:rPr>
      </w:pPr>
      <w:r w:rsidRPr="00831C3C">
        <w:rPr>
          <w:rFonts w:cs="Calibri" w:hint="eastAsia"/>
          <w:sz w:val="18"/>
          <w:szCs w:val="18"/>
        </w:rPr>
        <w:t>如果该金融工具自初始确认后已经发生信用减值的，处于第三阶段，本公司按照相当于该金融工具整个存续期内预期信用损失的金额计量其损失准备，并按照摊</w:t>
      </w:r>
      <w:proofErr w:type="gramStart"/>
      <w:r w:rsidRPr="00831C3C">
        <w:rPr>
          <w:rFonts w:cs="Calibri" w:hint="eastAsia"/>
          <w:sz w:val="18"/>
          <w:szCs w:val="18"/>
        </w:rPr>
        <w:t>余成本</w:t>
      </w:r>
      <w:proofErr w:type="gramEnd"/>
      <w:r w:rsidRPr="00831C3C">
        <w:rPr>
          <w:rFonts w:cs="Calibri" w:hint="eastAsia"/>
          <w:sz w:val="18"/>
          <w:szCs w:val="18"/>
        </w:rPr>
        <w:t>和实际利率计算利息收入。</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金融工具信用损失准备的增加或转回金额，作为减值损失或利得计入当期损益。除分类为以公允价值计量且其变动计入其他综合收益的金融资产外，信用损失准备抵减金融资产的账面余额。对于分类为以公允价值计量且其变动计入其</w:t>
      </w:r>
      <w:r w:rsidRPr="00831C3C">
        <w:rPr>
          <w:rFonts w:hint="eastAsia"/>
          <w:sz w:val="18"/>
          <w:szCs w:val="18"/>
        </w:rPr>
        <w:lastRenderedPageBreak/>
        <w:t>他综合收益的金融资产，本公司在其他综合收益中确认其信用损失准备，不减少该金融资产在资产负债表中列示的账面价值。</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本公司在前一会计期间已经按照相当于金融工具整个存续期内预期信用损失的金额计量了损失准备，但在当期资产负债表日，该金融工具已不再属于自初始确认后信用风险显著增加的情形的，本公司在当期资产负债表</w:t>
      </w:r>
      <w:proofErr w:type="gramStart"/>
      <w:r w:rsidRPr="00831C3C">
        <w:rPr>
          <w:rFonts w:hint="eastAsia"/>
          <w:sz w:val="18"/>
          <w:szCs w:val="18"/>
        </w:rPr>
        <w:t>日按照</w:t>
      </w:r>
      <w:proofErr w:type="gramEnd"/>
      <w:r w:rsidRPr="00831C3C">
        <w:rPr>
          <w:rFonts w:hint="eastAsia"/>
          <w:sz w:val="18"/>
          <w:szCs w:val="18"/>
        </w:rPr>
        <w:t>相当于未来</w:t>
      </w:r>
      <w:r w:rsidRPr="00831C3C">
        <w:rPr>
          <w:rFonts w:ascii="Times New Roman" w:hAnsi="Times New Roman" w:cs="Times New Roman"/>
          <w:sz w:val="18"/>
          <w:szCs w:val="18"/>
        </w:rPr>
        <w:t>12</w:t>
      </w:r>
      <w:r w:rsidRPr="00831C3C">
        <w:rPr>
          <w:rFonts w:hint="eastAsia"/>
          <w:sz w:val="18"/>
          <w:szCs w:val="18"/>
        </w:rPr>
        <w:t>个月内预期信用损失的金额计量该金融工具的损失准备，由此形成的损失准备的转回金额作为减值利得计入当期损益。</w:t>
      </w:r>
    </w:p>
    <w:p w:rsidR="00C65FD5" w:rsidRPr="00831C3C" w:rsidRDefault="00C65FD5" w:rsidP="00CC7D91">
      <w:pPr>
        <w:widowControl/>
        <w:numPr>
          <w:ilvl w:val="0"/>
          <w:numId w:val="60"/>
        </w:numPr>
        <w:divId w:val="1788505355"/>
        <w:rPr>
          <w:rFonts w:ascii="Calibri" w:hAnsi="Calibri" w:cs="Calibri"/>
          <w:szCs w:val="21"/>
        </w:rPr>
      </w:pPr>
      <w:r w:rsidRPr="00831C3C">
        <w:rPr>
          <w:rFonts w:cs="Calibri" w:hint="eastAsia"/>
          <w:sz w:val="18"/>
          <w:szCs w:val="18"/>
        </w:rPr>
        <w:t>信用风险显著增加</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本公司利用可获得的合理且有依据的前瞻性信息，通过比较金融工具在资产负债表日发生违约的风险与在初始确认日发生违约的风险，以确定金融工具的信用风险自初始确认后是否已显著增加。对于财务担保合同，本公司在应用金融工具减值规定时，将本公司成为做出不可撤销承诺的一方之日作为初始确认日。</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本公司在评估信用风险是否显著增加时会考虑如下因素：</w:t>
      </w:r>
    </w:p>
    <w:p w:rsidR="00C65FD5" w:rsidRPr="00831C3C" w:rsidRDefault="00C65FD5" w:rsidP="00CC7D91">
      <w:pPr>
        <w:widowControl/>
        <w:numPr>
          <w:ilvl w:val="0"/>
          <w:numId w:val="61"/>
        </w:numPr>
        <w:spacing w:before="100" w:beforeAutospacing="1" w:after="100" w:afterAutospacing="1"/>
        <w:divId w:val="1788505355"/>
        <w:rPr>
          <w:sz w:val="18"/>
          <w:szCs w:val="18"/>
        </w:rPr>
      </w:pPr>
      <w:r w:rsidRPr="00831C3C">
        <w:rPr>
          <w:rFonts w:hint="eastAsia"/>
          <w:sz w:val="18"/>
          <w:szCs w:val="18"/>
        </w:rPr>
        <w:t>）债务人经营成果实际或预期是否发生显著变化；</w:t>
      </w:r>
    </w:p>
    <w:p w:rsidR="00C65FD5" w:rsidRPr="00831C3C" w:rsidRDefault="00C65FD5" w:rsidP="00CC7D91">
      <w:pPr>
        <w:widowControl/>
        <w:numPr>
          <w:ilvl w:val="0"/>
          <w:numId w:val="61"/>
        </w:numPr>
        <w:spacing w:before="100" w:beforeAutospacing="1" w:after="100" w:afterAutospacing="1"/>
        <w:divId w:val="1788505355"/>
        <w:rPr>
          <w:sz w:val="18"/>
          <w:szCs w:val="18"/>
        </w:rPr>
      </w:pPr>
      <w:r w:rsidRPr="00831C3C">
        <w:rPr>
          <w:rFonts w:hint="eastAsia"/>
          <w:sz w:val="18"/>
          <w:szCs w:val="18"/>
        </w:rPr>
        <w:t>）债务人所处的监管、经济或技术环境是否发生显著不利变化；</w:t>
      </w:r>
    </w:p>
    <w:p w:rsidR="00C65FD5" w:rsidRPr="00831C3C" w:rsidRDefault="00C65FD5" w:rsidP="00CC7D91">
      <w:pPr>
        <w:widowControl/>
        <w:numPr>
          <w:ilvl w:val="0"/>
          <w:numId w:val="61"/>
        </w:numPr>
        <w:spacing w:before="100" w:beforeAutospacing="1" w:after="100" w:afterAutospacing="1"/>
        <w:divId w:val="1788505355"/>
        <w:rPr>
          <w:sz w:val="18"/>
          <w:szCs w:val="18"/>
        </w:rPr>
      </w:pPr>
      <w:r w:rsidRPr="00831C3C">
        <w:rPr>
          <w:rFonts w:hint="eastAsia"/>
          <w:sz w:val="18"/>
          <w:szCs w:val="18"/>
        </w:rPr>
        <w:t>）作为债务抵押的担保物价值或第三方提供的担保或信用增级质量是否发生显著变化，这些变化预期将降低债务人按合同规定期限还款的经济动机或者影响违约概率；</w:t>
      </w:r>
    </w:p>
    <w:p w:rsidR="00C65FD5" w:rsidRPr="00831C3C" w:rsidRDefault="00C65FD5" w:rsidP="00CC7D91">
      <w:pPr>
        <w:widowControl/>
        <w:numPr>
          <w:ilvl w:val="0"/>
          <w:numId w:val="61"/>
        </w:numPr>
        <w:spacing w:before="100" w:beforeAutospacing="1" w:after="100" w:afterAutospacing="1"/>
        <w:divId w:val="1788505355"/>
        <w:rPr>
          <w:sz w:val="18"/>
          <w:szCs w:val="18"/>
        </w:rPr>
      </w:pPr>
      <w:r w:rsidRPr="00831C3C">
        <w:rPr>
          <w:rFonts w:hint="eastAsia"/>
          <w:sz w:val="18"/>
          <w:szCs w:val="18"/>
        </w:rPr>
        <w:t>）债务人预期表现和还款行为是否发生显著变化；</w:t>
      </w:r>
    </w:p>
    <w:p w:rsidR="00C65FD5" w:rsidRPr="00831C3C" w:rsidRDefault="00C65FD5" w:rsidP="00CC7D91">
      <w:pPr>
        <w:widowControl/>
        <w:numPr>
          <w:ilvl w:val="0"/>
          <w:numId w:val="61"/>
        </w:numPr>
        <w:spacing w:before="100" w:beforeAutospacing="1" w:after="100" w:afterAutospacing="1"/>
        <w:divId w:val="1788505355"/>
        <w:rPr>
          <w:sz w:val="18"/>
          <w:szCs w:val="18"/>
        </w:rPr>
      </w:pPr>
      <w:r w:rsidRPr="00831C3C">
        <w:rPr>
          <w:rFonts w:hint="eastAsia"/>
          <w:sz w:val="18"/>
          <w:szCs w:val="18"/>
        </w:rPr>
        <w:t>）本公司对金融工具信用管理方法是否发生变化等。</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于资产负债表日，若本公司判断金融工具只具有较低的信用风险，则本公司假定该金融工具的信用风险自初始确认后并未显著增加。如果金融工具的违约风险较低，借款人在短期内履行其合同现金流量义务的能力很强，并且即使较长时期内经济形势和经营环境存在不利变化，但未必一定降低借款人履行其合同现金流量义务的能力，则该金融工具被视为具有较低的信用风险。</w:t>
      </w:r>
    </w:p>
    <w:p w:rsidR="00C65FD5" w:rsidRPr="00831C3C" w:rsidRDefault="00C65FD5" w:rsidP="00CC7D91">
      <w:pPr>
        <w:widowControl/>
        <w:numPr>
          <w:ilvl w:val="0"/>
          <w:numId w:val="62"/>
        </w:numPr>
        <w:divId w:val="1788505355"/>
        <w:rPr>
          <w:rFonts w:ascii="Calibri" w:hAnsi="Calibri" w:cs="Calibri"/>
          <w:szCs w:val="21"/>
        </w:rPr>
      </w:pPr>
      <w:r w:rsidRPr="00831C3C">
        <w:rPr>
          <w:rFonts w:cs="Calibri" w:hint="eastAsia"/>
          <w:sz w:val="18"/>
          <w:szCs w:val="18"/>
        </w:rPr>
        <w:t>已发生信用减值的金融资产</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当对金融资产预期未来现金流量具有不利影响的一项或多项事件发生时，该金融资产成为已发生信用减值的金融资产。金融资产已发生信用减值的证据包括下列可观察信息：</w:t>
      </w:r>
    </w:p>
    <w:p w:rsidR="00C65FD5" w:rsidRPr="00831C3C" w:rsidRDefault="00C65FD5" w:rsidP="00CC7D91">
      <w:pPr>
        <w:widowControl/>
        <w:numPr>
          <w:ilvl w:val="1"/>
          <w:numId w:val="63"/>
        </w:numPr>
        <w:spacing w:before="100" w:beforeAutospacing="1" w:after="100" w:afterAutospacing="1"/>
        <w:divId w:val="1788505355"/>
        <w:rPr>
          <w:sz w:val="18"/>
          <w:szCs w:val="18"/>
        </w:rPr>
      </w:pPr>
      <w:r w:rsidRPr="00831C3C">
        <w:rPr>
          <w:rFonts w:hint="eastAsia"/>
          <w:sz w:val="18"/>
          <w:szCs w:val="18"/>
        </w:rPr>
        <w:t>）发行方或债务人发生重大财务困难；</w:t>
      </w:r>
    </w:p>
    <w:p w:rsidR="00C65FD5" w:rsidRPr="00831C3C" w:rsidRDefault="00C65FD5" w:rsidP="00CC7D91">
      <w:pPr>
        <w:widowControl/>
        <w:numPr>
          <w:ilvl w:val="1"/>
          <w:numId w:val="63"/>
        </w:numPr>
        <w:spacing w:before="100" w:beforeAutospacing="1" w:after="100" w:afterAutospacing="1"/>
        <w:divId w:val="1788505355"/>
        <w:rPr>
          <w:sz w:val="18"/>
          <w:szCs w:val="18"/>
        </w:rPr>
      </w:pPr>
      <w:r w:rsidRPr="00831C3C">
        <w:rPr>
          <w:rFonts w:hint="eastAsia"/>
          <w:sz w:val="18"/>
          <w:szCs w:val="18"/>
        </w:rPr>
        <w:t>）债务人违反合同，如偿付利息或本金违约或逾期等；</w:t>
      </w:r>
    </w:p>
    <w:p w:rsidR="00C65FD5" w:rsidRPr="00831C3C" w:rsidRDefault="00C65FD5" w:rsidP="00CC7D91">
      <w:pPr>
        <w:widowControl/>
        <w:numPr>
          <w:ilvl w:val="1"/>
          <w:numId w:val="63"/>
        </w:numPr>
        <w:spacing w:before="100" w:beforeAutospacing="1" w:after="100" w:afterAutospacing="1"/>
        <w:divId w:val="1788505355"/>
        <w:rPr>
          <w:sz w:val="18"/>
          <w:szCs w:val="18"/>
        </w:rPr>
      </w:pPr>
      <w:r w:rsidRPr="00831C3C">
        <w:rPr>
          <w:rFonts w:hint="eastAsia"/>
          <w:sz w:val="18"/>
          <w:szCs w:val="18"/>
        </w:rPr>
        <w:t>）债权人出于与债务人财务困难有关的经济或合同考虑，给予债务人在任何其他情况下都不会做出的让步；</w:t>
      </w:r>
    </w:p>
    <w:p w:rsidR="00C65FD5" w:rsidRPr="00831C3C" w:rsidRDefault="00C65FD5" w:rsidP="00CC7D91">
      <w:pPr>
        <w:widowControl/>
        <w:numPr>
          <w:ilvl w:val="1"/>
          <w:numId w:val="63"/>
        </w:numPr>
        <w:spacing w:before="100" w:beforeAutospacing="1" w:after="100" w:afterAutospacing="1"/>
        <w:divId w:val="1788505355"/>
        <w:rPr>
          <w:sz w:val="18"/>
          <w:szCs w:val="18"/>
        </w:rPr>
      </w:pPr>
      <w:r w:rsidRPr="00831C3C">
        <w:rPr>
          <w:rFonts w:hint="eastAsia"/>
          <w:sz w:val="18"/>
          <w:szCs w:val="18"/>
        </w:rPr>
        <w:t>）债务人很可能破产或进行其他财务重组；</w:t>
      </w:r>
    </w:p>
    <w:p w:rsidR="00C65FD5" w:rsidRPr="00831C3C" w:rsidRDefault="00C65FD5" w:rsidP="00CC7D91">
      <w:pPr>
        <w:widowControl/>
        <w:numPr>
          <w:ilvl w:val="1"/>
          <w:numId w:val="63"/>
        </w:numPr>
        <w:spacing w:before="100" w:beforeAutospacing="1" w:after="100" w:afterAutospacing="1"/>
        <w:divId w:val="1788505355"/>
        <w:rPr>
          <w:sz w:val="18"/>
          <w:szCs w:val="18"/>
        </w:rPr>
      </w:pPr>
      <w:r w:rsidRPr="00831C3C">
        <w:rPr>
          <w:rFonts w:hint="eastAsia"/>
          <w:sz w:val="18"/>
          <w:szCs w:val="18"/>
        </w:rPr>
        <w:t>）发行方或债务人财务困难导致该金融资产的活跃市场消失；</w:t>
      </w:r>
    </w:p>
    <w:p w:rsidR="00C65FD5" w:rsidRPr="00831C3C" w:rsidRDefault="00C65FD5" w:rsidP="00CC7D91">
      <w:pPr>
        <w:widowControl/>
        <w:numPr>
          <w:ilvl w:val="1"/>
          <w:numId w:val="63"/>
        </w:numPr>
        <w:spacing w:before="100" w:beforeAutospacing="1" w:after="100" w:afterAutospacing="1"/>
        <w:divId w:val="1788505355"/>
        <w:rPr>
          <w:sz w:val="18"/>
          <w:szCs w:val="18"/>
        </w:rPr>
      </w:pPr>
      <w:r w:rsidRPr="00831C3C">
        <w:rPr>
          <w:rFonts w:hint="eastAsia"/>
          <w:sz w:val="18"/>
          <w:szCs w:val="18"/>
        </w:rPr>
        <w:t>）以大幅折扣</w:t>
      </w:r>
      <w:proofErr w:type="gramStart"/>
      <w:r w:rsidRPr="00831C3C">
        <w:rPr>
          <w:rFonts w:hint="eastAsia"/>
          <w:sz w:val="18"/>
          <w:szCs w:val="18"/>
        </w:rPr>
        <w:t>购买或源生</w:t>
      </w:r>
      <w:proofErr w:type="gramEnd"/>
      <w:r w:rsidRPr="00831C3C">
        <w:rPr>
          <w:rFonts w:hint="eastAsia"/>
          <w:sz w:val="18"/>
          <w:szCs w:val="18"/>
        </w:rPr>
        <w:t>一项金融资产，该折扣反映了发生信用损失的事实。</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金融资产发生信用减值，有可能是多个事件的共同作用所致，未必是可单独识别的事件所致。</w:t>
      </w:r>
    </w:p>
    <w:p w:rsidR="00C65FD5" w:rsidRPr="00831C3C" w:rsidRDefault="00C65FD5" w:rsidP="00CC7D91">
      <w:pPr>
        <w:widowControl/>
        <w:numPr>
          <w:ilvl w:val="0"/>
          <w:numId w:val="64"/>
        </w:numPr>
        <w:divId w:val="1788505355"/>
        <w:rPr>
          <w:rFonts w:ascii="Calibri" w:hAnsi="Calibri" w:cs="Calibri"/>
          <w:szCs w:val="21"/>
        </w:rPr>
      </w:pPr>
      <w:r w:rsidRPr="00831C3C">
        <w:rPr>
          <w:rFonts w:cs="Calibri" w:hint="eastAsia"/>
          <w:sz w:val="18"/>
          <w:szCs w:val="18"/>
        </w:rPr>
        <w:t>预期信用损失的确定</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本公司基于单项和组合评估金融工具的预期信用损失，在评估预期信用损失时，考虑有关过去事项、当前状况以及未来经济状况预测的合理且有依据的信息。</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本公司以共同信用风险特征为依据，将金融工具分为不同组合。本公司采用的共同信用风险特征包括：金融工具类型、信用风险评级、账龄组合、逾期</w:t>
      </w:r>
      <w:proofErr w:type="gramStart"/>
      <w:r w:rsidRPr="00831C3C">
        <w:rPr>
          <w:rFonts w:hint="eastAsia"/>
          <w:sz w:val="18"/>
          <w:szCs w:val="18"/>
        </w:rPr>
        <w:t>账</w:t>
      </w:r>
      <w:proofErr w:type="gramEnd"/>
      <w:r w:rsidRPr="00831C3C">
        <w:rPr>
          <w:rFonts w:hint="eastAsia"/>
          <w:sz w:val="18"/>
          <w:szCs w:val="18"/>
        </w:rPr>
        <w:t>龄组合、合同结算周期、债务人所处行业等。相关金融工具的单项评估标准和组合信用风险特征详见相关金融工具的会计政策。</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本公司按照下列方法确定相关金融工具的预期信用损失：</w:t>
      </w:r>
    </w:p>
    <w:p w:rsidR="00C65FD5" w:rsidRPr="00831C3C" w:rsidRDefault="00C65FD5" w:rsidP="00034610">
      <w:pPr>
        <w:pStyle w:val="a3"/>
        <w:spacing w:before="0" w:beforeAutospacing="0" w:after="0" w:afterAutospacing="0"/>
        <w:ind w:firstLine="420"/>
        <w:jc w:val="both"/>
        <w:divId w:val="1788505355"/>
      </w:pPr>
      <w:r w:rsidRPr="00831C3C">
        <w:rPr>
          <w:rFonts w:ascii="Times New Roman" w:hAnsi="Times New Roman" w:cs="Times New Roman"/>
          <w:sz w:val="18"/>
          <w:szCs w:val="18"/>
        </w:rPr>
        <w:t>1</w:t>
      </w:r>
      <w:r w:rsidRPr="00831C3C">
        <w:rPr>
          <w:rFonts w:hint="eastAsia"/>
          <w:sz w:val="18"/>
          <w:szCs w:val="18"/>
        </w:rPr>
        <w:t>）对于金融资产，信用损失为本公司应收取的合同现金流量与预期收取的现金流量之间差额的现值。</w:t>
      </w:r>
    </w:p>
    <w:p w:rsidR="00C65FD5" w:rsidRPr="00831C3C" w:rsidRDefault="00C65FD5" w:rsidP="00034610">
      <w:pPr>
        <w:pStyle w:val="a3"/>
        <w:spacing w:before="0" w:beforeAutospacing="0" w:after="0" w:afterAutospacing="0"/>
        <w:ind w:firstLine="420"/>
        <w:jc w:val="both"/>
        <w:divId w:val="1788505355"/>
      </w:pPr>
      <w:r w:rsidRPr="00831C3C">
        <w:rPr>
          <w:rFonts w:ascii="Times New Roman" w:hAnsi="Times New Roman" w:cs="Times New Roman"/>
          <w:sz w:val="18"/>
          <w:szCs w:val="18"/>
        </w:rPr>
        <w:t>2</w:t>
      </w:r>
      <w:r w:rsidRPr="00831C3C">
        <w:rPr>
          <w:rFonts w:hint="eastAsia"/>
          <w:sz w:val="18"/>
          <w:szCs w:val="18"/>
        </w:rPr>
        <w:t>）对于租赁应收款项，信用损失为本公司应收取的合同现金流量与预期收取的现金流量之间差额的现值。</w:t>
      </w:r>
    </w:p>
    <w:p w:rsidR="00C65FD5" w:rsidRPr="00831C3C" w:rsidRDefault="00C65FD5" w:rsidP="00034610">
      <w:pPr>
        <w:pStyle w:val="a3"/>
        <w:spacing w:before="0" w:beforeAutospacing="0" w:after="0" w:afterAutospacing="0"/>
        <w:ind w:firstLine="420"/>
        <w:jc w:val="both"/>
        <w:divId w:val="1788505355"/>
      </w:pPr>
      <w:r w:rsidRPr="00831C3C">
        <w:rPr>
          <w:rFonts w:ascii="Times New Roman" w:hAnsi="Times New Roman" w:cs="Times New Roman"/>
          <w:sz w:val="18"/>
          <w:szCs w:val="18"/>
        </w:rPr>
        <w:lastRenderedPageBreak/>
        <w:t>3</w:t>
      </w:r>
      <w:r w:rsidRPr="00831C3C">
        <w:rPr>
          <w:rFonts w:hint="eastAsia"/>
          <w:sz w:val="18"/>
          <w:szCs w:val="18"/>
        </w:rPr>
        <w:t>）对于财务担保合同，信用损失为本公司就该合同持有人发生的信用损失向其做出赔付的预计付款额，减去本公司预期向该合同持有人、债务人或任何其他方收取的金额之间差额的现值。</w:t>
      </w:r>
    </w:p>
    <w:p w:rsidR="00C65FD5" w:rsidRPr="00831C3C" w:rsidRDefault="00C65FD5" w:rsidP="00034610">
      <w:pPr>
        <w:pStyle w:val="a3"/>
        <w:spacing w:before="0" w:beforeAutospacing="0" w:after="0" w:afterAutospacing="0"/>
        <w:ind w:firstLine="420"/>
        <w:jc w:val="both"/>
        <w:divId w:val="1788505355"/>
      </w:pPr>
      <w:r w:rsidRPr="00831C3C">
        <w:rPr>
          <w:rFonts w:ascii="Times New Roman" w:hAnsi="Times New Roman" w:cs="Times New Roman"/>
          <w:sz w:val="18"/>
          <w:szCs w:val="18"/>
        </w:rPr>
        <w:t>4</w:t>
      </w:r>
      <w:r w:rsidRPr="00831C3C">
        <w:rPr>
          <w:rFonts w:hint="eastAsia"/>
          <w:sz w:val="18"/>
          <w:szCs w:val="18"/>
        </w:rPr>
        <w:t>）对于资产负债表日已发生信用减值但并非</w:t>
      </w:r>
      <w:proofErr w:type="gramStart"/>
      <w:r w:rsidRPr="00831C3C">
        <w:rPr>
          <w:rFonts w:hint="eastAsia"/>
          <w:sz w:val="18"/>
          <w:szCs w:val="18"/>
        </w:rPr>
        <w:t>购买或源生</w:t>
      </w:r>
      <w:proofErr w:type="gramEnd"/>
      <w:r w:rsidRPr="00831C3C">
        <w:rPr>
          <w:rFonts w:hint="eastAsia"/>
          <w:sz w:val="18"/>
          <w:szCs w:val="18"/>
        </w:rPr>
        <w:t>已发生信用减值的金融资产，信用损失为该金融资产账面余额与按</w:t>
      </w:r>
      <w:proofErr w:type="gramStart"/>
      <w:r w:rsidRPr="00831C3C">
        <w:rPr>
          <w:rFonts w:hint="eastAsia"/>
          <w:sz w:val="18"/>
          <w:szCs w:val="18"/>
        </w:rPr>
        <w:t>原实际</w:t>
      </w:r>
      <w:proofErr w:type="gramEnd"/>
      <w:r w:rsidRPr="00831C3C">
        <w:rPr>
          <w:rFonts w:hint="eastAsia"/>
          <w:sz w:val="18"/>
          <w:szCs w:val="18"/>
        </w:rPr>
        <w:t>利率折现的估计未来现金流量的现值之间的差额。</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本公司计量金融工具预期信用损失的方法反映的因素包括：通过评价一系列可能的结果而确定的无偏概率加权平均金额；货币时间价值；在资产负债表日无须付出不必要的额外成本或努力即可获得的有关过去事项、当前状况以及未来经济状况预测的合理且有依据的信息。</w:t>
      </w:r>
    </w:p>
    <w:p w:rsidR="00C65FD5" w:rsidRPr="00831C3C" w:rsidRDefault="00C65FD5" w:rsidP="00CC7D91">
      <w:pPr>
        <w:widowControl/>
        <w:numPr>
          <w:ilvl w:val="0"/>
          <w:numId w:val="65"/>
        </w:numPr>
        <w:divId w:val="1788505355"/>
        <w:rPr>
          <w:rFonts w:ascii="Calibri" w:hAnsi="Calibri" w:cs="Calibri"/>
          <w:szCs w:val="21"/>
        </w:rPr>
      </w:pPr>
      <w:proofErr w:type="gramStart"/>
      <w:r w:rsidRPr="00831C3C">
        <w:rPr>
          <w:rFonts w:cs="Calibri" w:hint="eastAsia"/>
          <w:sz w:val="18"/>
          <w:szCs w:val="18"/>
        </w:rPr>
        <w:t>减记金融资产</w:t>
      </w:r>
      <w:proofErr w:type="gramEnd"/>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当本公司不再合理预期金融资产合同现金流量能够全部或部分收回的，直接</w:t>
      </w:r>
      <w:proofErr w:type="gramStart"/>
      <w:r w:rsidRPr="00831C3C">
        <w:rPr>
          <w:rFonts w:hint="eastAsia"/>
          <w:sz w:val="18"/>
          <w:szCs w:val="18"/>
        </w:rPr>
        <w:t>减记该</w:t>
      </w:r>
      <w:proofErr w:type="gramEnd"/>
      <w:r w:rsidRPr="00831C3C">
        <w:rPr>
          <w:rFonts w:hint="eastAsia"/>
          <w:sz w:val="18"/>
          <w:szCs w:val="18"/>
        </w:rPr>
        <w:t>金融资产的账面余额。这种</w:t>
      </w:r>
      <w:proofErr w:type="gramStart"/>
      <w:r w:rsidRPr="00831C3C">
        <w:rPr>
          <w:rFonts w:hint="eastAsia"/>
          <w:sz w:val="18"/>
          <w:szCs w:val="18"/>
        </w:rPr>
        <w:t>减记构成</w:t>
      </w:r>
      <w:proofErr w:type="gramEnd"/>
      <w:r w:rsidRPr="00831C3C">
        <w:rPr>
          <w:rFonts w:hint="eastAsia"/>
          <w:sz w:val="18"/>
          <w:szCs w:val="18"/>
        </w:rPr>
        <w:t>相关金融资产的终止确认。</w:t>
      </w:r>
    </w:p>
    <w:p w:rsidR="00C65FD5" w:rsidRPr="00831C3C" w:rsidRDefault="00C65FD5" w:rsidP="00CC7D91">
      <w:pPr>
        <w:widowControl/>
        <w:numPr>
          <w:ilvl w:val="0"/>
          <w:numId w:val="66"/>
        </w:numPr>
        <w:divId w:val="1788505355"/>
        <w:rPr>
          <w:sz w:val="18"/>
          <w:szCs w:val="18"/>
        </w:rPr>
      </w:pPr>
      <w:r w:rsidRPr="00831C3C">
        <w:rPr>
          <w:rFonts w:hint="eastAsia"/>
          <w:sz w:val="18"/>
          <w:szCs w:val="18"/>
        </w:rPr>
        <w:t>．金融资产及金融负债的</w:t>
      </w:r>
      <w:proofErr w:type="gramStart"/>
      <w:r w:rsidRPr="00831C3C">
        <w:rPr>
          <w:rFonts w:hint="eastAsia"/>
          <w:sz w:val="18"/>
          <w:szCs w:val="18"/>
        </w:rPr>
        <w:t>抵销</w:t>
      </w:r>
      <w:proofErr w:type="gramEnd"/>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金融资产和金融负债在资产负债表内分别列示，没有相互</w:t>
      </w:r>
      <w:proofErr w:type="gramStart"/>
      <w:r w:rsidRPr="00831C3C">
        <w:rPr>
          <w:rFonts w:hint="eastAsia"/>
          <w:sz w:val="18"/>
          <w:szCs w:val="18"/>
        </w:rPr>
        <w:t>抵销</w:t>
      </w:r>
      <w:proofErr w:type="gramEnd"/>
      <w:r w:rsidRPr="00831C3C">
        <w:rPr>
          <w:rFonts w:hint="eastAsia"/>
          <w:sz w:val="18"/>
          <w:szCs w:val="18"/>
        </w:rPr>
        <w:t>。但是，同时满足下列条件的，以相互</w:t>
      </w:r>
      <w:proofErr w:type="gramStart"/>
      <w:r w:rsidRPr="00831C3C">
        <w:rPr>
          <w:rFonts w:hint="eastAsia"/>
          <w:sz w:val="18"/>
          <w:szCs w:val="18"/>
        </w:rPr>
        <w:t>抵销</w:t>
      </w:r>
      <w:proofErr w:type="gramEnd"/>
      <w:r w:rsidRPr="00831C3C">
        <w:rPr>
          <w:rFonts w:hint="eastAsia"/>
          <w:sz w:val="18"/>
          <w:szCs w:val="18"/>
        </w:rPr>
        <w:t>后的净额在资产负债表内列示：</w:t>
      </w:r>
    </w:p>
    <w:p w:rsidR="00C65FD5" w:rsidRPr="00831C3C" w:rsidRDefault="00C65FD5" w:rsidP="00034610">
      <w:pPr>
        <w:pStyle w:val="a3"/>
        <w:spacing w:before="0" w:beforeAutospacing="0" w:after="0" w:afterAutospacing="0"/>
        <w:ind w:firstLine="420"/>
        <w:jc w:val="both"/>
        <w:divId w:val="1788505355"/>
      </w:pPr>
      <w:r w:rsidRPr="00831C3C">
        <w:rPr>
          <w:rFonts w:hint="eastAsia"/>
          <w:sz w:val="18"/>
          <w:szCs w:val="18"/>
        </w:rPr>
        <w:t>（</w:t>
      </w:r>
      <w:r w:rsidRPr="00831C3C">
        <w:rPr>
          <w:rFonts w:ascii="Times New Roman" w:hAnsi="Times New Roman" w:cs="Times New Roman"/>
          <w:sz w:val="18"/>
          <w:szCs w:val="18"/>
        </w:rPr>
        <w:t>1</w:t>
      </w:r>
      <w:r w:rsidRPr="00831C3C">
        <w:rPr>
          <w:rFonts w:hint="eastAsia"/>
          <w:sz w:val="18"/>
          <w:szCs w:val="18"/>
        </w:rPr>
        <w:t>）本公司具有</w:t>
      </w:r>
      <w:proofErr w:type="gramStart"/>
      <w:r w:rsidRPr="00831C3C">
        <w:rPr>
          <w:rFonts w:hint="eastAsia"/>
          <w:sz w:val="18"/>
          <w:szCs w:val="18"/>
        </w:rPr>
        <w:t>抵销</w:t>
      </w:r>
      <w:proofErr w:type="gramEnd"/>
      <w:r w:rsidRPr="00831C3C">
        <w:rPr>
          <w:rFonts w:hint="eastAsia"/>
          <w:sz w:val="18"/>
          <w:szCs w:val="18"/>
        </w:rPr>
        <w:t>已确认金额的法定权利，且该种法定权利是当前可执行的；</w:t>
      </w:r>
    </w:p>
    <w:p w:rsidR="00C65FD5" w:rsidRPr="00831C3C" w:rsidRDefault="00C65FD5" w:rsidP="00034610">
      <w:pPr>
        <w:pStyle w:val="a3"/>
        <w:spacing w:before="0" w:beforeAutospacing="0" w:after="0" w:afterAutospacing="0"/>
        <w:ind w:firstLineChars="200" w:firstLine="360"/>
        <w:divId w:val="1788505355"/>
        <w:rPr>
          <w:sz w:val="18"/>
          <w:szCs w:val="18"/>
        </w:rPr>
      </w:pPr>
      <w:r w:rsidRPr="00831C3C">
        <w:rPr>
          <w:rFonts w:hint="eastAsia"/>
          <w:sz w:val="18"/>
          <w:szCs w:val="18"/>
        </w:rPr>
        <w:t>（</w:t>
      </w:r>
      <w:r w:rsidRPr="00831C3C">
        <w:rPr>
          <w:rFonts w:ascii="Times New Roman" w:hAnsi="Times New Roman" w:cs="Times New Roman"/>
          <w:sz w:val="18"/>
          <w:szCs w:val="18"/>
        </w:rPr>
        <w:t>2</w:t>
      </w:r>
      <w:r w:rsidRPr="00831C3C">
        <w:rPr>
          <w:rFonts w:hint="eastAsia"/>
          <w:sz w:val="18"/>
          <w:szCs w:val="18"/>
        </w:rPr>
        <w:t>）本公司计划以净额结算，或同时变现该金融资产和清偿该金融负债。</w:t>
      </w:r>
    </w:p>
    <w:p w:rsidR="00E23A97" w:rsidRPr="00831C3C" w:rsidRDefault="00C65FD5" w:rsidP="00034610">
      <w:pPr>
        <w:pStyle w:val="3"/>
        <w:spacing w:line="240" w:lineRule="auto"/>
        <w:jc w:val="left"/>
        <w:rPr>
          <w:rFonts w:ascii="宋体" w:hAnsi="宋体" w:cs="宋体"/>
          <w:b/>
          <w:bCs/>
        </w:rPr>
      </w:pPr>
      <w:bookmarkStart w:id="190" w:name="_Toc989077"/>
      <w:r w:rsidRPr="00831C3C">
        <w:rPr>
          <w:rFonts w:ascii="宋体" w:hAnsi="宋体" w:cs="宋体"/>
          <w:b/>
          <w:bCs/>
        </w:rPr>
        <w:t>12、应收票据</w:t>
      </w:r>
      <w:bookmarkEnd w:id="190"/>
    </w:p>
    <w:p w:rsidR="00C65FD5" w:rsidRPr="00831C3C" w:rsidRDefault="00C65FD5" w:rsidP="00034610">
      <w:pPr>
        <w:pStyle w:val="a3"/>
        <w:spacing w:before="0" w:beforeAutospacing="0" w:after="0" w:afterAutospacing="0"/>
        <w:ind w:firstLine="420"/>
        <w:jc w:val="both"/>
        <w:divId w:val="1145512925"/>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本公司对应收票据的预期信用损失的确定方法及会计处理方法详见本</w:t>
      </w:r>
      <w:r w:rsidR="00257CA8" w:rsidRPr="00831C3C">
        <w:rPr>
          <w:rFonts w:asciiTheme="minorEastAsia" w:eastAsiaTheme="minorEastAsia" w:hAnsiTheme="minorEastAsia" w:hint="eastAsia"/>
          <w:sz w:val="18"/>
          <w:szCs w:val="18"/>
        </w:rPr>
        <w:t>附注（十）6.</w:t>
      </w:r>
      <w:r w:rsidRPr="00831C3C">
        <w:rPr>
          <w:rFonts w:asciiTheme="minorEastAsia" w:eastAsiaTheme="minorEastAsia" w:hAnsiTheme="minorEastAsia" w:hint="eastAsia"/>
          <w:sz w:val="18"/>
          <w:szCs w:val="18"/>
        </w:rPr>
        <w:t>金融工具减值。</w:t>
      </w:r>
    </w:p>
    <w:p w:rsidR="00C65FD5" w:rsidRPr="00831C3C" w:rsidRDefault="00C65FD5" w:rsidP="00034610">
      <w:pPr>
        <w:pStyle w:val="a3"/>
        <w:spacing w:before="0" w:beforeAutospacing="0" w:after="0" w:afterAutospacing="0"/>
        <w:ind w:firstLine="420"/>
        <w:jc w:val="both"/>
        <w:divId w:val="1145512925"/>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对信用风险与组合信用风险显著不同的应收票据，本公司按单项计提预期信用损失。本公司对单项金额重大且在初始确认后已经发生信用减值的应收票据单独确定其信用损失。</w:t>
      </w:r>
    </w:p>
    <w:p w:rsidR="00C65FD5" w:rsidRPr="00831C3C" w:rsidRDefault="00C65FD5" w:rsidP="00034610">
      <w:pPr>
        <w:pStyle w:val="a3"/>
        <w:spacing w:before="0" w:beforeAutospacing="0" w:after="0" w:afterAutospacing="0"/>
        <w:ind w:firstLine="420"/>
        <w:jc w:val="both"/>
        <w:divId w:val="1145512925"/>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当在单项工具层面无法以合理成本评估预期信用损失的充分证据时，本公司参考历史信用损失经验，结合当前状况以及对未来经济状况的判断，依据信用风险特征将应收票据划分为若干组合，在组合基础上计算预期信用损失。确定组合的依据如下：</w:t>
      </w:r>
    </w:p>
    <w:tbl>
      <w:tblPr>
        <w:tblW w:w="4850" w:type="pct"/>
        <w:tblCellMar>
          <w:left w:w="0" w:type="dxa"/>
          <w:right w:w="0" w:type="dxa"/>
        </w:tblCellMar>
        <w:tblLook w:val="04A0" w:firstRow="1" w:lastRow="0" w:firstColumn="1" w:lastColumn="0" w:noHBand="0" w:noVBand="1"/>
        <w:tblCaption w:val="D:\大华\华孚\2024年度\TB|0-合并TB-华孚时尚股份有限公司-2024年度.xlsx|W附注模板|_jds5|0|desc|||0|1"/>
      </w:tblPr>
      <w:tblGrid>
        <w:gridCol w:w="1507"/>
        <w:gridCol w:w="3457"/>
        <w:gridCol w:w="4593"/>
      </w:tblGrid>
      <w:tr w:rsidR="00831C3C" w:rsidRPr="00831C3C">
        <w:trPr>
          <w:divId w:val="1145512925"/>
          <w:trHeight w:val="340"/>
        </w:trPr>
        <w:tc>
          <w:tcPr>
            <w:tcW w:w="13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组合名称</w:t>
            </w:r>
          </w:p>
        </w:tc>
        <w:tc>
          <w:tcPr>
            <w:tcW w:w="30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确定组合的依据</w:t>
            </w:r>
          </w:p>
        </w:tc>
        <w:tc>
          <w:tcPr>
            <w:tcW w:w="39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计提方法</w:t>
            </w:r>
          </w:p>
        </w:tc>
      </w:tr>
      <w:tr w:rsidR="00831C3C" w:rsidRPr="00831C3C">
        <w:trPr>
          <w:divId w:val="1145512925"/>
          <w:trHeight w:val="238"/>
        </w:trPr>
        <w:tc>
          <w:tcPr>
            <w:tcW w:w="13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both"/>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银行承兑汇票组合</w:t>
            </w:r>
          </w:p>
        </w:tc>
        <w:tc>
          <w:tcPr>
            <w:tcW w:w="30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both"/>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出票人具有较高的信用评级，历史上未发生票据违约，信用损失风险极低，在短期内履行其支付合同现金流量义务的能力很强</w:t>
            </w:r>
          </w:p>
        </w:tc>
        <w:tc>
          <w:tcPr>
            <w:tcW w:w="3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both"/>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参考历史信用损失经验，结合当前状况以及对未来经济状况的预测，通过违约风险敞口和整个存续期预期信用损失率，计算预期信用损失</w:t>
            </w:r>
          </w:p>
        </w:tc>
      </w:tr>
      <w:tr w:rsidR="00831C3C" w:rsidRPr="00831C3C">
        <w:trPr>
          <w:divId w:val="1145512925"/>
          <w:trHeight w:val="238"/>
        </w:trPr>
        <w:tc>
          <w:tcPr>
            <w:tcW w:w="131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both"/>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商业承兑汇票组合</w:t>
            </w:r>
          </w:p>
        </w:tc>
        <w:tc>
          <w:tcPr>
            <w:tcW w:w="30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both"/>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在以前年度实际损失率、对未来回收应收票据风险的判断及信用风险特征分析</w:t>
            </w:r>
          </w:p>
        </w:tc>
        <w:tc>
          <w:tcPr>
            <w:tcW w:w="39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both"/>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本公司利用账龄来评估该类组合的预期信用损失。该类组合具有相同的风险特征，账</w:t>
            </w:r>
            <w:proofErr w:type="gramStart"/>
            <w:r w:rsidRPr="00831C3C">
              <w:rPr>
                <w:rFonts w:asciiTheme="minorEastAsia" w:eastAsiaTheme="minorEastAsia" w:hAnsiTheme="minorEastAsia" w:cs="Times New Roman" w:hint="eastAsia"/>
                <w:sz w:val="18"/>
                <w:szCs w:val="18"/>
              </w:rPr>
              <w:t>龄信息</w:t>
            </w:r>
            <w:proofErr w:type="gramEnd"/>
            <w:r w:rsidRPr="00831C3C">
              <w:rPr>
                <w:rFonts w:asciiTheme="minorEastAsia" w:eastAsiaTheme="minorEastAsia" w:hAnsiTheme="minorEastAsia" w:cs="Times New Roman" w:hint="eastAsia"/>
                <w:sz w:val="18"/>
                <w:szCs w:val="18"/>
              </w:rPr>
              <w:t>能反映这类组合与应收款项到期时的偿付能力。于资产负债表日，本公司参考历史信用损失经验，结合当前状况以及对未来经济状况的预测，编制应收票据账龄与预期信用损失率对照表，计算预期信用损失。</w:t>
            </w:r>
          </w:p>
        </w:tc>
      </w:tr>
    </w:tbl>
    <w:p w:rsidR="00C65FD5" w:rsidRPr="00831C3C" w:rsidRDefault="00C65FD5">
      <w:pPr>
        <w:pStyle w:val="a3"/>
        <w:spacing w:before="0" w:beforeAutospacing="0" w:after="0" w:afterAutospacing="0" w:line="360" w:lineRule="auto"/>
        <w:ind w:firstLine="420"/>
        <w:jc w:val="both"/>
        <w:divId w:val="1145512925"/>
        <w:rPr>
          <w:rFonts w:asciiTheme="minorEastAsia" w:eastAsiaTheme="minorEastAsia" w:hAnsiTheme="minorEastAsia"/>
          <w:sz w:val="18"/>
          <w:szCs w:val="18"/>
        </w:rPr>
      </w:pPr>
      <w:proofErr w:type="gramStart"/>
      <w:r w:rsidRPr="00831C3C">
        <w:rPr>
          <w:rFonts w:asciiTheme="minorEastAsia" w:eastAsiaTheme="minorEastAsia" w:hAnsiTheme="minorEastAsia" w:hint="eastAsia"/>
          <w:sz w:val="18"/>
          <w:szCs w:val="18"/>
        </w:rPr>
        <w:t>账</w:t>
      </w:r>
      <w:proofErr w:type="gramEnd"/>
      <w:r w:rsidRPr="00831C3C">
        <w:rPr>
          <w:rFonts w:asciiTheme="minorEastAsia" w:eastAsiaTheme="minorEastAsia" w:hAnsiTheme="minorEastAsia" w:hint="eastAsia"/>
          <w:sz w:val="18"/>
          <w:szCs w:val="18"/>
        </w:rPr>
        <w:t>龄组合的账龄与预期信用损失率对照表如下：</w:t>
      </w:r>
    </w:p>
    <w:tbl>
      <w:tblPr>
        <w:tblW w:w="4850" w:type="pct"/>
        <w:tblCellMar>
          <w:left w:w="0" w:type="dxa"/>
          <w:right w:w="0" w:type="dxa"/>
        </w:tblCellMar>
        <w:tblLook w:val="04A0" w:firstRow="1" w:lastRow="0" w:firstColumn="1" w:lastColumn="0" w:noHBand="0" w:noVBand="1"/>
      </w:tblPr>
      <w:tblGrid>
        <w:gridCol w:w="4778"/>
        <w:gridCol w:w="4779"/>
      </w:tblGrid>
      <w:tr w:rsidR="00831C3C" w:rsidRPr="00831C3C">
        <w:trPr>
          <w:divId w:val="1145512925"/>
          <w:trHeight w:val="340"/>
        </w:trPr>
        <w:tc>
          <w:tcPr>
            <w:tcW w:w="415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账龄</w:t>
            </w:r>
          </w:p>
        </w:tc>
        <w:tc>
          <w:tcPr>
            <w:tcW w:w="41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应收票据预期信用损失率（</w:t>
            </w:r>
            <w:r w:rsidRPr="00831C3C">
              <w:rPr>
                <w:rFonts w:asciiTheme="minorEastAsia" w:eastAsiaTheme="minorEastAsia" w:hAnsiTheme="minorEastAsia" w:cs="Arial"/>
                <w:sz w:val="18"/>
                <w:szCs w:val="18"/>
              </w:rPr>
              <w:t>%</w:t>
            </w:r>
            <w:r w:rsidRPr="00831C3C">
              <w:rPr>
                <w:rFonts w:asciiTheme="minorEastAsia" w:eastAsiaTheme="minorEastAsia" w:hAnsiTheme="minorEastAsia" w:cs="Times New Roman" w:hint="eastAsia"/>
                <w:sz w:val="18"/>
                <w:szCs w:val="18"/>
              </w:rPr>
              <w:t>）</w:t>
            </w:r>
          </w:p>
        </w:tc>
      </w:tr>
      <w:tr w:rsidR="00831C3C" w:rsidRPr="00831C3C">
        <w:trPr>
          <w:divId w:val="1145512925"/>
          <w:trHeight w:val="340"/>
        </w:trPr>
        <w:tc>
          <w:tcPr>
            <w:tcW w:w="4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heme="minorEastAsia" w:eastAsiaTheme="minorEastAsia" w:hAnsiTheme="minorEastAsia" w:cs="Times New Roman"/>
                <w:sz w:val="18"/>
                <w:szCs w:val="18"/>
              </w:rPr>
            </w:pPr>
            <w:r w:rsidRPr="00831C3C">
              <w:rPr>
                <w:rFonts w:asciiTheme="minorEastAsia" w:eastAsiaTheme="minorEastAsia" w:hAnsiTheme="minorEastAsia" w:cs="Arial"/>
                <w:sz w:val="18"/>
                <w:szCs w:val="18"/>
              </w:rPr>
              <w:t>1</w:t>
            </w:r>
            <w:r w:rsidRPr="00831C3C">
              <w:rPr>
                <w:rFonts w:asciiTheme="minorEastAsia" w:eastAsiaTheme="minorEastAsia" w:hAnsiTheme="minorEastAsia" w:cs="Times New Roman" w:hint="eastAsia"/>
                <w:sz w:val="18"/>
                <w:szCs w:val="18"/>
              </w:rPr>
              <w:t>年以内</w:t>
            </w:r>
          </w:p>
        </w:tc>
        <w:tc>
          <w:tcPr>
            <w:tcW w:w="41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5FD5" w:rsidRPr="00831C3C" w:rsidRDefault="00C65FD5">
            <w:pPr>
              <w:pStyle w:val="a3"/>
              <w:spacing w:before="0" w:beforeAutospacing="0" w:after="0" w:afterAutospacing="0"/>
              <w:jc w:val="center"/>
              <w:textAlignment w:val="bottom"/>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5.00</w:t>
            </w:r>
          </w:p>
        </w:tc>
      </w:tr>
      <w:tr w:rsidR="00831C3C" w:rsidRPr="00831C3C">
        <w:trPr>
          <w:divId w:val="1145512925"/>
          <w:trHeight w:val="340"/>
        </w:trPr>
        <w:tc>
          <w:tcPr>
            <w:tcW w:w="4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heme="minorEastAsia" w:eastAsiaTheme="minorEastAsia" w:hAnsiTheme="minorEastAsia" w:cs="Times New Roman"/>
                <w:sz w:val="18"/>
                <w:szCs w:val="18"/>
              </w:rPr>
            </w:pPr>
            <w:r w:rsidRPr="00831C3C">
              <w:rPr>
                <w:rFonts w:asciiTheme="minorEastAsia" w:eastAsiaTheme="minorEastAsia" w:hAnsiTheme="minorEastAsia" w:cs="Arial"/>
                <w:sz w:val="18"/>
                <w:szCs w:val="18"/>
              </w:rPr>
              <w:t>1</w:t>
            </w:r>
            <w:r w:rsidRPr="00831C3C">
              <w:rPr>
                <w:rFonts w:asciiTheme="minorEastAsia" w:eastAsiaTheme="minorEastAsia" w:hAnsiTheme="minorEastAsia" w:cs="Times New Roman" w:hint="eastAsia"/>
                <w:sz w:val="18"/>
                <w:szCs w:val="18"/>
              </w:rPr>
              <w:t>－</w:t>
            </w:r>
            <w:r w:rsidRPr="00831C3C">
              <w:rPr>
                <w:rFonts w:asciiTheme="minorEastAsia" w:eastAsiaTheme="minorEastAsia" w:hAnsiTheme="minorEastAsia" w:cs="Arial"/>
                <w:sz w:val="18"/>
                <w:szCs w:val="18"/>
              </w:rPr>
              <w:t>2</w:t>
            </w:r>
            <w:r w:rsidRPr="00831C3C">
              <w:rPr>
                <w:rFonts w:asciiTheme="minorEastAsia" w:eastAsiaTheme="minorEastAsia" w:hAnsiTheme="minorEastAsia" w:cs="Times New Roman" w:hint="eastAsia"/>
                <w:sz w:val="18"/>
                <w:szCs w:val="18"/>
              </w:rPr>
              <w:t>年</w:t>
            </w:r>
          </w:p>
        </w:tc>
        <w:tc>
          <w:tcPr>
            <w:tcW w:w="41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5FD5" w:rsidRPr="00831C3C" w:rsidRDefault="00C65FD5">
            <w:pPr>
              <w:pStyle w:val="a3"/>
              <w:spacing w:before="0" w:beforeAutospacing="0" w:after="0" w:afterAutospacing="0"/>
              <w:jc w:val="center"/>
              <w:textAlignment w:val="bottom"/>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10.00</w:t>
            </w:r>
          </w:p>
        </w:tc>
      </w:tr>
      <w:tr w:rsidR="00831C3C" w:rsidRPr="00831C3C">
        <w:trPr>
          <w:divId w:val="1145512925"/>
          <w:trHeight w:val="340"/>
        </w:trPr>
        <w:tc>
          <w:tcPr>
            <w:tcW w:w="4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heme="minorEastAsia" w:eastAsiaTheme="minorEastAsia" w:hAnsiTheme="minorEastAsia" w:cs="Times New Roman"/>
                <w:sz w:val="18"/>
                <w:szCs w:val="18"/>
              </w:rPr>
            </w:pPr>
            <w:r w:rsidRPr="00831C3C">
              <w:rPr>
                <w:rFonts w:asciiTheme="minorEastAsia" w:eastAsiaTheme="minorEastAsia" w:hAnsiTheme="minorEastAsia" w:cs="Arial"/>
                <w:sz w:val="18"/>
                <w:szCs w:val="18"/>
              </w:rPr>
              <w:t>2</w:t>
            </w:r>
            <w:r w:rsidRPr="00831C3C">
              <w:rPr>
                <w:rFonts w:asciiTheme="minorEastAsia" w:eastAsiaTheme="minorEastAsia" w:hAnsiTheme="minorEastAsia" w:cs="Times New Roman" w:hint="eastAsia"/>
                <w:sz w:val="18"/>
                <w:szCs w:val="18"/>
              </w:rPr>
              <w:t>－</w:t>
            </w:r>
            <w:r w:rsidRPr="00831C3C">
              <w:rPr>
                <w:rFonts w:asciiTheme="minorEastAsia" w:eastAsiaTheme="minorEastAsia" w:hAnsiTheme="minorEastAsia" w:cs="Arial"/>
                <w:sz w:val="18"/>
                <w:szCs w:val="18"/>
              </w:rPr>
              <w:t>3</w:t>
            </w:r>
            <w:r w:rsidRPr="00831C3C">
              <w:rPr>
                <w:rFonts w:asciiTheme="minorEastAsia" w:eastAsiaTheme="minorEastAsia" w:hAnsiTheme="minorEastAsia" w:cs="Times New Roman" w:hint="eastAsia"/>
                <w:sz w:val="18"/>
                <w:szCs w:val="18"/>
              </w:rPr>
              <w:t>年</w:t>
            </w:r>
          </w:p>
        </w:tc>
        <w:tc>
          <w:tcPr>
            <w:tcW w:w="41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5FD5" w:rsidRPr="00831C3C" w:rsidRDefault="00C65FD5">
            <w:pPr>
              <w:pStyle w:val="a3"/>
              <w:spacing w:before="0" w:beforeAutospacing="0" w:after="0" w:afterAutospacing="0"/>
              <w:jc w:val="center"/>
              <w:textAlignment w:val="bottom"/>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20.00</w:t>
            </w:r>
          </w:p>
        </w:tc>
      </w:tr>
      <w:tr w:rsidR="00831C3C" w:rsidRPr="00831C3C">
        <w:trPr>
          <w:divId w:val="1145512925"/>
          <w:trHeight w:val="340"/>
        </w:trPr>
        <w:tc>
          <w:tcPr>
            <w:tcW w:w="4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heme="minorEastAsia" w:eastAsiaTheme="minorEastAsia" w:hAnsiTheme="minorEastAsia" w:cs="Times New Roman"/>
                <w:sz w:val="18"/>
                <w:szCs w:val="18"/>
              </w:rPr>
            </w:pPr>
            <w:r w:rsidRPr="00831C3C">
              <w:rPr>
                <w:rFonts w:asciiTheme="minorEastAsia" w:eastAsiaTheme="minorEastAsia" w:hAnsiTheme="minorEastAsia" w:cs="Arial"/>
                <w:sz w:val="18"/>
                <w:szCs w:val="18"/>
              </w:rPr>
              <w:t>3</w:t>
            </w:r>
            <w:r w:rsidRPr="00831C3C">
              <w:rPr>
                <w:rFonts w:asciiTheme="minorEastAsia" w:eastAsiaTheme="minorEastAsia" w:hAnsiTheme="minorEastAsia" w:cs="Times New Roman" w:hint="eastAsia"/>
                <w:sz w:val="18"/>
                <w:szCs w:val="18"/>
              </w:rPr>
              <w:t>－</w:t>
            </w:r>
            <w:r w:rsidRPr="00831C3C">
              <w:rPr>
                <w:rFonts w:asciiTheme="minorEastAsia" w:eastAsiaTheme="minorEastAsia" w:hAnsiTheme="minorEastAsia" w:cs="Arial"/>
                <w:sz w:val="18"/>
                <w:szCs w:val="18"/>
              </w:rPr>
              <w:t>4</w:t>
            </w:r>
            <w:r w:rsidRPr="00831C3C">
              <w:rPr>
                <w:rFonts w:asciiTheme="minorEastAsia" w:eastAsiaTheme="minorEastAsia" w:hAnsiTheme="minorEastAsia" w:cs="Times New Roman" w:hint="eastAsia"/>
                <w:sz w:val="18"/>
                <w:szCs w:val="18"/>
              </w:rPr>
              <w:t>年</w:t>
            </w:r>
          </w:p>
        </w:tc>
        <w:tc>
          <w:tcPr>
            <w:tcW w:w="41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5FD5" w:rsidRPr="00831C3C" w:rsidRDefault="00C65FD5">
            <w:pPr>
              <w:pStyle w:val="a3"/>
              <w:spacing w:before="0" w:beforeAutospacing="0" w:after="0" w:afterAutospacing="0"/>
              <w:jc w:val="center"/>
              <w:textAlignment w:val="bottom"/>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50.00</w:t>
            </w:r>
          </w:p>
        </w:tc>
      </w:tr>
      <w:tr w:rsidR="00831C3C" w:rsidRPr="00831C3C">
        <w:trPr>
          <w:divId w:val="1145512925"/>
          <w:trHeight w:val="340"/>
        </w:trPr>
        <w:tc>
          <w:tcPr>
            <w:tcW w:w="4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heme="minorEastAsia" w:eastAsiaTheme="minorEastAsia" w:hAnsiTheme="minorEastAsia" w:cs="Times New Roman"/>
                <w:sz w:val="18"/>
                <w:szCs w:val="18"/>
              </w:rPr>
            </w:pPr>
            <w:r w:rsidRPr="00831C3C">
              <w:rPr>
                <w:rFonts w:asciiTheme="minorEastAsia" w:eastAsiaTheme="minorEastAsia" w:hAnsiTheme="minorEastAsia" w:cs="Arial"/>
                <w:sz w:val="18"/>
                <w:szCs w:val="18"/>
              </w:rPr>
              <w:t>4</w:t>
            </w:r>
            <w:r w:rsidRPr="00831C3C">
              <w:rPr>
                <w:rFonts w:asciiTheme="minorEastAsia" w:eastAsiaTheme="minorEastAsia" w:hAnsiTheme="minorEastAsia" w:cs="Times New Roman" w:hint="eastAsia"/>
                <w:sz w:val="18"/>
                <w:szCs w:val="18"/>
              </w:rPr>
              <w:t>－</w:t>
            </w:r>
            <w:r w:rsidRPr="00831C3C">
              <w:rPr>
                <w:rFonts w:asciiTheme="minorEastAsia" w:eastAsiaTheme="minorEastAsia" w:hAnsiTheme="minorEastAsia" w:cs="Arial"/>
                <w:sz w:val="18"/>
                <w:szCs w:val="18"/>
              </w:rPr>
              <w:t>5</w:t>
            </w:r>
            <w:r w:rsidRPr="00831C3C">
              <w:rPr>
                <w:rFonts w:asciiTheme="minorEastAsia" w:eastAsiaTheme="minorEastAsia" w:hAnsiTheme="minorEastAsia" w:cs="Times New Roman" w:hint="eastAsia"/>
                <w:sz w:val="18"/>
                <w:szCs w:val="18"/>
              </w:rPr>
              <w:t>年</w:t>
            </w:r>
          </w:p>
        </w:tc>
        <w:tc>
          <w:tcPr>
            <w:tcW w:w="41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5FD5" w:rsidRPr="00831C3C" w:rsidRDefault="00C65FD5">
            <w:pPr>
              <w:pStyle w:val="a3"/>
              <w:spacing w:before="0" w:beforeAutospacing="0" w:after="0" w:afterAutospacing="0"/>
              <w:jc w:val="center"/>
              <w:textAlignment w:val="bottom"/>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80.00</w:t>
            </w:r>
          </w:p>
        </w:tc>
      </w:tr>
      <w:tr w:rsidR="00831C3C" w:rsidRPr="00831C3C">
        <w:trPr>
          <w:divId w:val="1145512925"/>
          <w:trHeight w:val="340"/>
        </w:trPr>
        <w:tc>
          <w:tcPr>
            <w:tcW w:w="415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heme="minorEastAsia" w:eastAsiaTheme="minorEastAsia" w:hAnsiTheme="minorEastAsia" w:cs="Times New Roman"/>
                <w:sz w:val="18"/>
                <w:szCs w:val="18"/>
              </w:rPr>
            </w:pPr>
            <w:r w:rsidRPr="00831C3C">
              <w:rPr>
                <w:rFonts w:asciiTheme="minorEastAsia" w:eastAsiaTheme="minorEastAsia" w:hAnsiTheme="minorEastAsia" w:cs="Arial"/>
                <w:sz w:val="18"/>
                <w:szCs w:val="18"/>
              </w:rPr>
              <w:t>5</w:t>
            </w:r>
            <w:r w:rsidRPr="00831C3C">
              <w:rPr>
                <w:rFonts w:asciiTheme="minorEastAsia" w:eastAsiaTheme="minorEastAsia" w:hAnsiTheme="minorEastAsia" w:cs="Times New Roman" w:hint="eastAsia"/>
                <w:sz w:val="18"/>
                <w:szCs w:val="18"/>
              </w:rPr>
              <w:t>年以上</w:t>
            </w:r>
          </w:p>
        </w:tc>
        <w:tc>
          <w:tcPr>
            <w:tcW w:w="4156"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5FD5" w:rsidRPr="00831C3C" w:rsidRDefault="00C65FD5">
            <w:pPr>
              <w:pStyle w:val="a3"/>
              <w:spacing w:before="0" w:beforeAutospacing="0" w:after="0" w:afterAutospacing="0"/>
              <w:jc w:val="center"/>
              <w:textAlignment w:val="bottom"/>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100.00</w:t>
            </w:r>
          </w:p>
        </w:tc>
      </w:tr>
    </w:tbl>
    <w:p w:rsidR="00C65FD5" w:rsidRPr="00831C3C" w:rsidRDefault="00C65FD5">
      <w:pPr>
        <w:pStyle w:val="a3"/>
        <w:divId w:val="1145512925"/>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应收票据</w:t>
      </w:r>
      <w:proofErr w:type="gramStart"/>
      <w:r w:rsidRPr="00831C3C">
        <w:rPr>
          <w:rFonts w:asciiTheme="minorEastAsia" w:eastAsiaTheme="minorEastAsia" w:hAnsiTheme="minorEastAsia" w:hint="eastAsia"/>
          <w:sz w:val="18"/>
          <w:szCs w:val="18"/>
        </w:rPr>
        <w:t>账龄按自</w:t>
      </w:r>
      <w:proofErr w:type="gramEnd"/>
      <w:r w:rsidRPr="00831C3C">
        <w:rPr>
          <w:rFonts w:asciiTheme="minorEastAsia" w:eastAsiaTheme="minorEastAsia" w:hAnsiTheme="minorEastAsia" w:hint="eastAsia"/>
          <w:sz w:val="18"/>
          <w:szCs w:val="18"/>
        </w:rPr>
        <w:t>款项实际发生的月份起算。</w:t>
      </w:r>
    </w:p>
    <w:p w:rsidR="00E23A97" w:rsidRPr="00831C3C" w:rsidRDefault="00C65FD5">
      <w:pPr>
        <w:pStyle w:val="3"/>
        <w:spacing w:line="280" w:lineRule="exact"/>
        <w:jc w:val="left"/>
        <w:rPr>
          <w:rFonts w:asciiTheme="minorEastAsia" w:eastAsiaTheme="minorEastAsia" w:hAnsiTheme="minorEastAsia" w:cs="宋体"/>
          <w:b/>
          <w:bCs/>
          <w:sz w:val="18"/>
          <w:szCs w:val="18"/>
        </w:rPr>
      </w:pPr>
      <w:bookmarkStart w:id="191" w:name="_Toc989078"/>
      <w:r w:rsidRPr="00831C3C">
        <w:rPr>
          <w:rFonts w:asciiTheme="minorEastAsia" w:eastAsiaTheme="minorEastAsia" w:hAnsiTheme="minorEastAsia" w:cs="宋体"/>
          <w:b/>
          <w:bCs/>
          <w:sz w:val="18"/>
          <w:szCs w:val="18"/>
        </w:rPr>
        <w:lastRenderedPageBreak/>
        <w:t>13、应收账款</w:t>
      </w:r>
      <w:bookmarkEnd w:id="191"/>
    </w:p>
    <w:p w:rsidR="00C65FD5" w:rsidRPr="00831C3C" w:rsidRDefault="00C65FD5" w:rsidP="008007EA">
      <w:pPr>
        <w:pStyle w:val="a3"/>
        <w:spacing w:before="0" w:beforeAutospacing="0" w:after="0" w:afterAutospacing="0"/>
        <w:ind w:firstLine="420"/>
        <w:jc w:val="both"/>
        <w:divId w:val="315913026"/>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本公司对应收账款的预期信用损失的确定方法及会计处理方法详见本</w:t>
      </w:r>
      <w:r w:rsidR="00257CA8" w:rsidRPr="00831C3C">
        <w:rPr>
          <w:rFonts w:asciiTheme="minorEastAsia" w:eastAsiaTheme="minorEastAsia" w:hAnsiTheme="minorEastAsia" w:hint="eastAsia"/>
          <w:sz w:val="18"/>
          <w:szCs w:val="18"/>
        </w:rPr>
        <w:t>附注（十）6.</w:t>
      </w:r>
      <w:r w:rsidRPr="00831C3C">
        <w:rPr>
          <w:rFonts w:asciiTheme="minorEastAsia" w:eastAsiaTheme="minorEastAsia" w:hAnsiTheme="minorEastAsia" w:hint="eastAsia"/>
          <w:sz w:val="18"/>
          <w:szCs w:val="18"/>
        </w:rPr>
        <w:t>金融工具减值。</w:t>
      </w:r>
    </w:p>
    <w:p w:rsidR="00C65FD5" w:rsidRPr="00831C3C" w:rsidRDefault="00C65FD5" w:rsidP="008007EA">
      <w:pPr>
        <w:pStyle w:val="a3"/>
        <w:spacing w:before="0" w:beforeAutospacing="0" w:after="0" w:afterAutospacing="0"/>
        <w:ind w:firstLine="420"/>
        <w:jc w:val="both"/>
        <w:divId w:val="315913026"/>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对信用风险与组合信用风险显著不同的应收账款，本公司按单项计提预期信用损失。本公司对单项金额重大且在初始确认后已经发生信用减值的应收账款单独确定其信用损失。</w:t>
      </w:r>
    </w:p>
    <w:p w:rsidR="00C65FD5" w:rsidRPr="00831C3C" w:rsidRDefault="00C65FD5" w:rsidP="008007EA">
      <w:pPr>
        <w:pStyle w:val="a3"/>
        <w:spacing w:before="0" w:beforeAutospacing="0" w:after="0" w:afterAutospacing="0"/>
        <w:ind w:firstLine="420"/>
        <w:jc w:val="both"/>
        <w:divId w:val="315913026"/>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当在单项工具层面无法以合理成本评估预期信用损失的充分证据时，本公司参考历史信用损失经验，结合当前状况以及对未来经济状况的判断，依据信用风险特征将应收账款划分为若干组合，在组合基础上计算预期信用损失。确定组合的依据如下：</w:t>
      </w:r>
    </w:p>
    <w:tbl>
      <w:tblPr>
        <w:tblW w:w="5000" w:type="pct"/>
        <w:tblCellMar>
          <w:left w:w="0" w:type="dxa"/>
          <w:right w:w="0" w:type="dxa"/>
        </w:tblCellMar>
        <w:tblLook w:val="04A0" w:firstRow="1" w:lastRow="0" w:firstColumn="1" w:lastColumn="0" w:noHBand="0" w:noVBand="1"/>
        <w:tblCaption w:val="D:\大华\华孚\2024年度\TB|0-合并TB-华孚时尚股份有限公司-2024年度.xlsx|W附注模板|_jds6|0|desc|||0|1"/>
      </w:tblPr>
      <w:tblGrid>
        <w:gridCol w:w="1153"/>
        <w:gridCol w:w="3161"/>
        <w:gridCol w:w="5539"/>
      </w:tblGrid>
      <w:tr w:rsidR="00831C3C" w:rsidRPr="00831C3C">
        <w:trPr>
          <w:divId w:val="315913026"/>
          <w:trHeight w:val="340"/>
        </w:trPr>
        <w:tc>
          <w:tcPr>
            <w:tcW w:w="99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18"/>
                <w:szCs w:val="18"/>
              </w:rPr>
            </w:pPr>
            <w:r w:rsidRPr="00831C3C">
              <w:rPr>
                <w:rFonts w:cs="Times New Roman" w:hint="eastAsia"/>
                <w:sz w:val="18"/>
                <w:szCs w:val="18"/>
              </w:rPr>
              <w:t>组合名称</w:t>
            </w:r>
          </w:p>
        </w:tc>
        <w:tc>
          <w:tcPr>
            <w:tcW w:w="273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18"/>
                <w:szCs w:val="18"/>
              </w:rPr>
            </w:pPr>
            <w:r w:rsidRPr="00831C3C">
              <w:rPr>
                <w:rFonts w:cs="Times New Roman" w:hint="eastAsia"/>
                <w:sz w:val="18"/>
                <w:szCs w:val="18"/>
              </w:rPr>
              <w:t>确定组合的依据</w:t>
            </w:r>
          </w:p>
        </w:tc>
        <w:tc>
          <w:tcPr>
            <w:tcW w:w="47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18"/>
                <w:szCs w:val="18"/>
              </w:rPr>
            </w:pPr>
            <w:r w:rsidRPr="00831C3C">
              <w:rPr>
                <w:rFonts w:cs="Times New Roman" w:hint="eastAsia"/>
                <w:sz w:val="18"/>
                <w:szCs w:val="18"/>
              </w:rPr>
              <w:t>计提方法</w:t>
            </w:r>
          </w:p>
        </w:tc>
      </w:tr>
      <w:tr w:rsidR="00831C3C" w:rsidRPr="00831C3C">
        <w:trPr>
          <w:divId w:val="315913026"/>
          <w:trHeight w:val="340"/>
        </w:trPr>
        <w:tc>
          <w:tcPr>
            <w:tcW w:w="9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both"/>
              <w:rPr>
                <w:rFonts w:ascii="Times New Roman" w:hAnsi="Times New Roman" w:cs="Times New Roman"/>
                <w:sz w:val="18"/>
                <w:szCs w:val="18"/>
              </w:rPr>
            </w:pPr>
            <w:r w:rsidRPr="00831C3C">
              <w:rPr>
                <w:rFonts w:cs="Times New Roman" w:hint="eastAsia"/>
                <w:sz w:val="18"/>
                <w:szCs w:val="18"/>
              </w:rPr>
              <w:t>风险组合</w:t>
            </w:r>
          </w:p>
        </w:tc>
        <w:tc>
          <w:tcPr>
            <w:tcW w:w="2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both"/>
              <w:rPr>
                <w:rFonts w:ascii="Times New Roman" w:hAnsi="Times New Roman" w:cs="Times New Roman"/>
                <w:sz w:val="18"/>
                <w:szCs w:val="18"/>
              </w:rPr>
            </w:pPr>
            <w:r w:rsidRPr="00831C3C">
              <w:rPr>
                <w:rFonts w:cs="Times New Roman" w:hint="eastAsia"/>
                <w:sz w:val="18"/>
                <w:szCs w:val="18"/>
              </w:rPr>
              <w:t>本组合以应收账款的账</w:t>
            </w:r>
            <w:proofErr w:type="gramStart"/>
            <w:r w:rsidRPr="00831C3C">
              <w:rPr>
                <w:rFonts w:cs="Times New Roman" w:hint="eastAsia"/>
                <w:sz w:val="18"/>
                <w:szCs w:val="18"/>
              </w:rPr>
              <w:t>龄作为</w:t>
            </w:r>
            <w:proofErr w:type="gramEnd"/>
            <w:r w:rsidRPr="00831C3C">
              <w:rPr>
                <w:rFonts w:cs="Times New Roman" w:hint="eastAsia"/>
                <w:sz w:val="18"/>
                <w:szCs w:val="18"/>
              </w:rPr>
              <w:t>信用风险特征</w:t>
            </w:r>
          </w:p>
        </w:tc>
        <w:tc>
          <w:tcPr>
            <w:tcW w:w="4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both"/>
              <w:rPr>
                <w:rFonts w:ascii="Times New Roman" w:hAnsi="Times New Roman" w:cs="Times New Roman"/>
                <w:sz w:val="18"/>
                <w:szCs w:val="18"/>
              </w:rPr>
            </w:pPr>
            <w:r w:rsidRPr="00831C3C">
              <w:rPr>
                <w:rFonts w:cs="Times New Roman" w:hint="eastAsia"/>
                <w:sz w:val="18"/>
                <w:szCs w:val="18"/>
              </w:rPr>
              <w:t>本公司利用账龄来评估该类组合的预期信用损失。该类组合具有相同的风险特征，账</w:t>
            </w:r>
            <w:proofErr w:type="gramStart"/>
            <w:r w:rsidRPr="00831C3C">
              <w:rPr>
                <w:rFonts w:cs="Times New Roman" w:hint="eastAsia"/>
                <w:sz w:val="18"/>
                <w:szCs w:val="18"/>
              </w:rPr>
              <w:t>龄信息</w:t>
            </w:r>
            <w:proofErr w:type="gramEnd"/>
            <w:r w:rsidRPr="00831C3C">
              <w:rPr>
                <w:rFonts w:cs="Times New Roman" w:hint="eastAsia"/>
                <w:sz w:val="18"/>
                <w:szCs w:val="18"/>
              </w:rPr>
              <w:t>能反映这类组合与应收款项到期时的偿付能力。于资产负债表日，本公司参考历史信用损失经验，结合当前状况以及对未来经济状况的预测，编制应收账款账龄与预期信用损失率对照表，计算预期信用损失。</w:t>
            </w:r>
          </w:p>
        </w:tc>
      </w:tr>
      <w:tr w:rsidR="00831C3C" w:rsidRPr="00831C3C">
        <w:trPr>
          <w:divId w:val="315913026"/>
          <w:trHeight w:val="340"/>
        </w:trPr>
        <w:tc>
          <w:tcPr>
            <w:tcW w:w="99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both"/>
              <w:rPr>
                <w:rFonts w:ascii="Times New Roman" w:hAnsi="Times New Roman" w:cs="Times New Roman"/>
                <w:sz w:val="18"/>
                <w:szCs w:val="18"/>
              </w:rPr>
            </w:pPr>
            <w:r w:rsidRPr="00831C3C">
              <w:rPr>
                <w:rFonts w:cs="Times New Roman" w:hint="eastAsia"/>
                <w:sz w:val="18"/>
                <w:szCs w:val="18"/>
              </w:rPr>
              <w:t>性质组合</w:t>
            </w:r>
          </w:p>
        </w:tc>
        <w:tc>
          <w:tcPr>
            <w:tcW w:w="27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both"/>
              <w:rPr>
                <w:rFonts w:ascii="Times New Roman" w:hAnsi="Times New Roman" w:cs="Times New Roman"/>
                <w:sz w:val="18"/>
                <w:szCs w:val="18"/>
              </w:rPr>
            </w:pPr>
            <w:r w:rsidRPr="00831C3C">
              <w:rPr>
                <w:rFonts w:cs="Times New Roman" w:hint="eastAsia"/>
                <w:sz w:val="18"/>
                <w:szCs w:val="18"/>
              </w:rPr>
              <w:t>根据业务性质，认定无信用风险，主要包括合并范围内关联方的款项、信用证结算的销售货款</w:t>
            </w:r>
          </w:p>
        </w:tc>
        <w:tc>
          <w:tcPr>
            <w:tcW w:w="47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both"/>
              <w:rPr>
                <w:rFonts w:ascii="Times New Roman" w:hAnsi="Times New Roman" w:cs="Times New Roman"/>
                <w:sz w:val="18"/>
                <w:szCs w:val="18"/>
              </w:rPr>
            </w:pPr>
            <w:r w:rsidRPr="00831C3C">
              <w:rPr>
                <w:rFonts w:cs="Times New Roman" w:hint="eastAsia"/>
                <w:sz w:val="18"/>
                <w:szCs w:val="18"/>
              </w:rPr>
              <w:t>参考历史信用损失经验，结合当前状况以及对未来经济状况的预测，通过违约风险敞口和整个存续期预期信用损失率，计算预期信用损失</w:t>
            </w:r>
          </w:p>
        </w:tc>
      </w:tr>
    </w:tbl>
    <w:p w:rsidR="00C65FD5" w:rsidRPr="00831C3C" w:rsidRDefault="00C65FD5">
      <w:pPr>
        <w:pStyle w:val="a3"/>
        <w:spacing w:before="0" w:beforeAutospacing="0" w:after="0" w:afterAutospacing="0" w:line="360" w:lineRule="auto"/>
        <w:ind w:firstLine="420"/>
        <w:jc w:val="both"/>
        <w:divId w:val="315913026"/>
        <w:rPr>
          <w:sz w:val="21"/>
          <w:szCs w:val="21"/>
        </w:rPr>
      </w:pPr>
      <w:proofErr w:type="gramStart"/>
      <w:r w:rsidRPr="00831C3C">
        <w:rPr>
          <w:rFonts w:hint="eastAsia"/>
          <w:sz w:val="21"/>
          <w:szCs w:val="21"/>
        </w:rPr>
        <w:t>账</w:t>
      </w:r>
      <w:proofErr w:type="gramEnd"/>
      <w:r w:rsidRPr="00831C3C">
        <w:rPr>
          <w:rFonts w:hint="eastAsia"/>
          <w:sz w:val="21"/>
          <w:szCs w:val="21"/>
        </w:rPr>
        <w:t>龄组合的账龄与预期信用损失率对照表如下：</w:t>
      </w:r>
    </w:p>
    <w:tbl>
      <w:tblPr>
        <w:tblW w:w="9889" w:type="dxa"/>
        <w:tblCellMar>
          <w:left w:w="0" w:type="dxa"/>
          <w:right w:w="0" w:type="dxa"/>
        </w:tblCellMar>
        <w:tblLook w:val="04A0" w:firstRow="1" w:lastRow="0" w:firstColumn="1" w:lastColumn="0" w:noHBand="0" w:noVBand="1"/>
      </w:tblPr>
      <w:tblGrid>
        <w:gridCol w:w="4361"/>
        <w:gridCol w:w="5528"/>
      </w:tblGrid>
      <w:tr w:rsidR="00831C3C" w:rsidRPr="00831C3C" w:rsidTr="008007EA">
        <w:trPr>
          <w:divId w:val="315913026"/>
          <w:trHeight w:val="340"/>
        </w:trPr>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cs="Times New Roman"/>
                <w:sz w:val="18"/>
                <w:szCs w:val="18"/>
              </w:rPr>
            </w:pPr>
            <w:r w:rsidRPr="00831C3C">
              <w:rPr>
                <w:rFonts w:cs="Times New Roman" w:hint="eastAsia"/>
                <w:sz w:val="18"/>
                <w:szCs w:val="18"/>
              </w:rPr>
              <w:t>账龄</w:t>
            </w:r>
          </w:p>
        </w:tc>
        <w:tc>
          <w:tcPr>
            <w:tcW w:w="55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cs="Times New Roman"/>
                <w:sz w:val="18"/>
                <w:szCs w:val="18"/>
              </w:rPr>
            </w:pPr>
            <w:r w:rsidRPr="00831C3C">
              <w:rPr>
                <w:rFonts w:cs="Times New Roman" w:hint="eastAsia"/>
                <w:sz w:val="18"/>
                <w:szCs w:val="18"/>
              </w:rPr>
              <w:t>应收账款预期信用损失率（</w:t>
            </w:r>
            <w:r w:rsidRPr="00831C3C">
              <w:rPr>
                <w:rFonts w:cs="Times New Roman"/>
                <w:sz w:val="18"/>
                <w:szCs w:val="18"/>
              </w:rPr>
              <w:t>%</w:t>
            </w:r>
            <w:r w:rsidRPr="00831C3C">
              <w:rPr>
                <w:rFonts w:cs="Times New Roman" w:hint="eastAsia"/>
                <w:sz w:val="18"/>
                <w:szCs w:val="18"/>
              </w:rPr>
              <w:t>）</w:t>
            </w:r>
          </w:p>
        </w:tc>
      </w:tr>
      <w:tr w:rsidR="00831C3C" w:rsidRPr="00831C3C" w:rsidTr="008007EA">
        <w:trPr>
          <w:divId w:val="315913026"/>
          <w:trHeight w:val="340"/>
        </w:trPr>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rsidP="008007EA">
            <w:pPr>
              <w:pStyle w:val="a3"/>
              <w:spacing w:before="0" w:beforeAutospacing="0" w:after="0" w:afterAutospacing="0"/>
              <w:jc w:val="center"/>
              <w:rPr>
                <w:rFonts w:cs="Times New Roman"/>
                <w:sz w:val="18"/>
                <w:szCs w:val="18"/>
              </w:rPr>
            </w:pPr>
            <w:r w:rsidRPr="00831C3C">
              <w:rPr>
                <w:rFonts w:cs="Times New Roman"/>
                <w:sz w:val="18"/>
                <w:szCs w:val="18"/>
              </w:rPr>
              <w:t>1</w:t>
            </w:r>
            <w:r w:rsidRPr="00831C3C">
              <w:rPr>
                <w:rFonts w:cs="Times New Roman" w:hint="eastAsia"/>
                <w:sz w:val="18"/>
                <w:szCs w:val="18"/>
              </w:rPr>
              <w:t>年以内</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5FD5" w:rsidRPr="00831C3C" w:rsidRDefault="00C65FD5" w:rsidP="008007EA">
            <w:pPr>
              <w:pStyle w:val="a3"/>
              <w:spacing w:before="0" w:beforeAutospacing="0" w:after="0" w:afterAutospacing="0"/>
              <w:jc w:val="center"/>
              <w:textAlignment w:val="bottom"/>
              <w:rPr>
                <w:rFonts w:cs="Times New Roman"/>
                <w:sz w:val="18"/>
                <w:szCs w:val="18"/>
              </w:rPr>
            </w:pPr>
            <w:r w:rsidRPr="00831C3C">
              <w:rPr>
                <w:rFonts w:cs="Times New Roman" w:hint="eastAsia"/>
                <w:sz w:val="18"/>
                <w:szCs w:val="18"/>
              </w:rPr>
              <w:t>5.00</w:t>
            </w:r>
          </w:p>
        </w:tc>
      </w:tr>
      <w:tr w:rsidR="00831C3C" w:rsidRPr="00831C3C" w:rsidTr="008007EA">
        <w:trPr>
          <w:divId w:val="315913026"/>
          <w:trHeight w:val="340"/>
        </w:trPr>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rsidP="008007EA">
            <w:pPr>
              <w:pStyle w:val="a3"/>
              <w:spacing w:before="0" w:beforeAutospacing="0" w:after="0" w:afterAutospacing="0"/>
              <w:jc w:val="center"/>
              <w:rPr>
                <w:rFonts w:cs="Times New Roman"/>
                <w:sz w:val="18"/>
                <w:szCs w:val="18"/>
              </w:rPr>
            </w:pPr>
            <w:r w:rsidRPr="00831C3C">
              <w:rPr>
                <w:rFonts w:cs="Times New Roman"/>
                <w:sz w:val="18"/>
                <w:szCs w:val="18"/>
              </w:rPr>
              <w:t>1</w:t>
            </w:r>
            <w:r w:rsidRPr="00831C3C">
              <w:rPr>
                <w:rFonts w:cs="Times New Roman" w:hint="eastAsia"/>
                <w:sz w:val="18"/>
                <w:szCs w:val="18"/>
              </w:rPr>
              <w:t>－</w:t>
            </w:r>
            <w:r w:rsidRPr="00831C3C">
              <w:rPr>
                <w:rFonts w:cs="Times New Roman"/>
                <w:sz w:val="18"/>
                <w:szCs w:val="18"/>
              </w:rPr>
              <w:t>2</w:t>
            </w:r>
            <w:r w:rsidRPr="00831C3C">
              <w:rPr>
                <w:rFonts w:cs="Times New Roman" w:hint="eastAsia"/>
                <w:sz w:val="18"/>
                <w:szCs w:val="18"/>
              </w:rPr>
              <w:t>年</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5FD5" w:rsidRPr="00831C3C" w:rsidRDefault="00C65FD5" w:rsidP="008007EA">
            <w:pPr>
              <w:pStyle w:val="a3"/>
              <w:spacing w:before="0" w:beforeAutospacing="0" w:after="0" w:afterAutospacing="0"/>
              <w:jc w:val="center"/>
              <w:textAlignment w:val="bottom"/>
              <w:rPr>
                <w:rFonts w:cs="Times New Roman"/>
                <w:sz w:val="18"/>
                <w:szCs w:val="18"/>
              </w:rPr>
            </w:pPr>
            <w:r w:rsidRPr="00831C3C">
              <w:rPr>
                <w:rFonts w:cs="Times New Roman" w:hint="eastAsia"/>
                <w:sz w:val="18"/>
                <w:szCs w:val="18"/>
              </w:rPr>
              <w:t>10.00</w:t>
            </w:r>
          </w:p>
        </w:tc>
      </w:tr>
      <w:tr w:rsidR="00831C3C" w:rsidRPr="00831C3C" w:rsidTr="008007EA">
        <w:trPr>
          <w:divId w:val="315913026"/>
          <w:trHeight w:val="340"/>
        </w:trPr>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rsidP="008007EA">
            <w:pPr>
              <w:pStyle w:val="a3"/>
              <w:spacing w:before="0" w:beforeAutospacing="0" w:after="0" w:afterAutospacing="0"/>
              <w:jc w:val="center"/>
              <w:rPr>
                <w:rFonts w:cs="Times New Roman"/>
                <w:sz w:val="18"/>
                <w:szCs w:val="18"/>
              </w:rPr>
            </w:pPr>
            <w:r w:rsidRPr="00831C3C">
              <w:rPr>
                <w:rFonts w:cs="Times New Roman"/>
                <w:sz w:val="18"/>
                <w:szCs w:val="18"/>
              </w:rPr>
              <w:t>2</w:t>
            </w:r>
            <w:r w:rsidRPr="00831C3C">
              <w:rPr>
                <w:rFonts w:cs="Times New Roman" w:hint="eastAsia"/>
                <w:sz w:val="18"/>
                <w:szCs w:val="18"/>
              </w:rPr>
              <w:t>－</w:t>
            </w:r>
            <w:r w:rsidRPr="00831C3C">
              <w:rPr>
                <w:rFonts w:cs="Times New Roman"/>
                <w:sz w:val="18"/>
                <w:szCs w:val="18"/>
              </w:rPr>
              <w:t>3</w:t>
            </w:r>
            <w:r w:rsidRPr="00831C3C">
              <w:rPr>
                <w:rFonts w:cs="Times New Roman" w:hint="eastAsia"/>
                <w:sz w:val="18"/>
                <w:szCs w:val="18"/>
              </w:rPr>
              <w:t>年</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5FD5" w:rsidRPr="00831C3C" w:rsidRDefault="00C65FD5" w:rsidP="008007EA">
            <w:pPr>
              <w:pStyle w:val="a3"/>
              <w:spacing w:before="0" w:beforeAutospacing="0" w:after="0" w:afterAutospacing="0"/>
              <w:jc w:val="center"/>
              <w:textAlignment w:val="bottom"/>
              <w:rPr>
                <w:rFonts w:cs="Times New Roman"/>
                <w:sz w:val="18"/>
                <w:szCs w:val="18"/>
              </w:rPr>
            </w:pPr>
            <w:r w:rsidRPr="00831C3C">
              <w:rPr>
                <w:rFonts w:cs="Times New Roman" w:hint="eastAsia"/>
                <w:sz w:val="18"/>
                <w:szCs w:val="18"/>
              </w:rPr>
              <w:t>20.00</w:t>
            </w:r>
          </w:p>
        </w:tc>
      </w:tr>
      <w:tr w:rsidR="00831C3C" w:rsidRPr="00831C3C" w:rsidTr="008007EA">
        <w:trPr>
          <w:divId w:val="315913026"/>
          <w:trHeight w:val="340"/>
        </w:trPr>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rsidP="008007EA">
            <w:pPr>
              <w:pStyle w:val="a3"/>
              <w:spacing w:before="0" w:beforeAutospacing="0" w:after="0" w:afterAutospacing="0"/>
              <w:jc w:val="center"/>
              <w:rPr>
                <w:rFonts w:cs="Times New Roman"/>
                <w:sz w:val="18"/>
                <w:szCs w:val="18"/>
              </w:rPr>
            </w:pPr>
            <w:r w:rsidRPr="00831C3C">
              <w:rPr>
                <w:rFonts w:cs="Times New Roman"/>
                <w:sz w:val="18"/>
                <w:szCs w:val="18"/>
              </w:rPr>
              <w:t>3</w:t>
            </w:r>
            <w:r w:rsidRPr="00831C3C">
              <w:rPr>
                <w:rFonts w:cs="Times New Roman" w:hint="eastAsia"/>
                <w:sz w:val="18"/>
                <w:szCs w:val="18"/>
              </w:rPr>
              <w:t>－</w:t>
            </w:r>
            <w:r w:rsidRPr="00831C3C">
              <w:rPr>
                <w:rFonts w:cs="Times New Roman"/>
                <w:sz w:val="18"/>
                <w:szCs w:val="18"/>
              </w:rPr>
              <w:t>4</w:t>
            </w:r>
            <w:r w:rsidRPr="00831C3C">
              <w:rPr>
                <w:rFonts w:cs="Times New Roman" w:hint="eastAsia"/>
                <w:sz w:val="18"/>
                <w:szCs w:val="18"/>
              </w:rPr>
              <w:t>年</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5FD5" w:rsidRPr="00831C3C" w:rsidRDefault="00C65FD5" w:rsidP="008007EA">
            <w:pPr>
              <w:pStyle w:val="a3"/>
              <w:spacing w:before="0" w:beforeAutospacing="0" w:after="0" w:afterAutospacing="0"/>
              <w:jc w:val="center"/>
              <w:textAlignment w:val="bottom"/>
              <w:rPr>
                <w:rFonts w:cs="Times New Roman"/>
                <w:sz w:val="18"/>
                <w:szCs w:val="18"/>
              </w:rPr>
            </w:pPr>
            <w:r w:rsidRPr="00831C3C">
              <w:rPr>
                <w:rFonts w:cs="Times New Roman" w:hint="eastAsia"/>
                <w:sz w:val="18"/>
                <w:szCs w:val="18"/>
              </w:rPr>
              <w:t>50.00</w:t>
            </w:r>
          </w:p>
        </w:tc>
      </w:tr>
      <w:tr w:rsidR="00831C3C" w:rsidRPr="00831C3C" w:rsidTr="008007EA">
        <w:trPr>
          <w:divId w:val="315913026"/>
          <w:trHeight w:val="340"/>
        </w:trPr>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rsidP="008007EA">
            <w:pPr>
              <w:pStyle w:val="a3"/>
              <w:spacing w:before="0" w:beforeAutospacing="0" w:after="0" w:afterAutospacing="0"/>
              <w:jc w:val="center"/>
              <w:rPr>
                <w:rFonts w:cs="Times New Roman"/>
                <w:sz w:val="18"/>
                <w:szCs w:val="18"/>
              </w:rPr>
            </w:pPr>
            <w:r w:rsidRPr="00831C3C">
              <w:rPr>
                <w:rFonts w:cs="Times New Roman"/>
                <w:sz w:val="18"/>
                <w:szCs w:val="18"/>
              </w:rPr>
              <w:t>4</w:t>
            </w:r>
            <w:r w:rsidRPr="00831C3C">
              <w:rPr>
                <w:rFonts w:cs="Times New Roman" w:hint="eastAsia"/>
                <w:sz w:val="18"/>
                <w:szCs w:val="18"/>
              </w:rPr>
              <w:t>－</w:t>
            </w:r>
            <w:r w:rsidRPr="00831C3C">
              <w:rPr>
                <w:rFonts w:cs="Times New Roman"/>
                <w:sz w:val="18"/>
                <w:szCs w:val="18"/>
              </w:rPr>
              <w:t>5</w:t>
            </w:r>
            <w:r w:rsidRPr="00831C3C">
              <w:rPr>
                <w:rFonts w:cs="Times New Roman" w:hint="eastAsia"/>
                <w:sz w:val="18"/>
                <w:szCs w:val="18"/>
              </w:rPr>
              <w:t>年</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5FD5" w:rsidRPr="00831C3C" w:rsidRDefault="00C65FD5" w:rsidP="008007EA">
            <w:pPr>
              <w:pStyle w:val="a3"/>
              <w:spacing w:before="0" w:beforeAutospacing="0" w:after="0" w:afterAutospacing="0"/>
              <w:jc w:val="center"/>
              <w:textAlignment w:val="bottom"/>
              <w:rPr>
                <w:rFonts w:cs="Times New Roman"/>
                <w:sz w:val="18"/>
                <w:szCs w:val="18"/>
              </w:rPr>
            </w:pPr>
            <w:r w:rsidRPr="00831C3C">
              <w:rPr>
                <w:rFonts w:cs="Times New Roman" w:hint="eastAsia"/>
                <w:sz w:val="18"/>
                <w:szCs w:val="18"/>
              </w:rPr>
              <w:t>80.00</w:t>
            </w:r>
          </w:p>
        </w:tc>
      </w:tr>
      <w:tr w:rsidR="00831C3C" w:rsidRPr="00831C3C" w:rsidTr="008007EA">
        <w:trPr>
          <w:divId w:val="315913026"/>
          <w:trHeight w:val="340"/>
        </w:trPr>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rsidP="008007EA">
            <w:pPr>
              <w:pStyle w:val="a3"/>
              <w:spacing w:before="0" w:beforeAutospacing="0" w:after="0" w:afterAutospacing="0"/>
              <w:jc w:val="center"/>
              <w:rPr>
                <w:rFonts w:cs="Times New Roman"/>
                <w:sz w:val="18"/>
                <w:szCs w:val="18"/>
              </w:rPr>
            </w:pPr>
            <w:r w:rsidRPr="00831C3C">
              <w:rPr>
                <w:rFonts w:cs="Times New Roman"/>
                <w:sz w:val="18"/>
                <w:szCs w:val="18"/>
              </w:rPr>
              <w:t>5</w:t>
            </w:r>
            <w:r w:rsidRPr="00831C3C">
              <w:rPr>
                <w:rFonts w:cs="Times New Roman" w:hint="eastAsia"/>
                <w:sz w:val="18"/>
                <w:szCs w:val="18"/>
              </w:rPr>
              <w:t>年以上</w:t>
            </w:r>
          </w:p>
        </w:tc>
        <w:tc>
          <w:tcPr>
            <w:tcW w:w="5528"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5FD5" w:rsidRPr="00831C3C" w:rsidRDefault="00C65FD5" w:rsidP="008007EA">
            <w:pPr>
              <w:pStyle w:val="a3"/>
              <w:spacing w:before="0" w:beforeAutospacing="0" w:after="0" w:afterAutospacing="0"/>
              <w:jc w:val="center"/>
              <w:textAlignment w:val="bottom"/>
              <w:rPr>
                <w:rFonts w:cs="Times New Roman"/>
                <w:sz w:val="18"/>
                <w:szCs w:val="18"/>
              </w:rPr>
            </w:pPr>
            <w:r w:rsidRPr="00831C3C">
              <w:rPr>
                <w:rFonts w:cs="Times New Roman" w:hint="eastAsia"/>
                <w:sz w:val="18"/>
                <w:szCs w:val="18"/>
              </w:rPr>
              <w:t>100.00</w:t>
            </w:r>
          </w:p>
        </w:tc>
      </w:tr>
    </w:tbl>
    <w:p w:rsidR="00C65FD5" w:rsidRPr="00831C3C" w:rsidRDefault="00C65FD5">
      <w:pPr>
        <w:pStyle w:val="a3"/>
        <w:spacing w:before="0" w:beforeAutospacing="0" w:after="0" w:afterAutospacing="0" w:line="360" w:lineRule="auto"/>
        <w:ind w:firstLine="420"/>
        <w:jc w:val="both"/>
        <w:divId w:val="315913026"/>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应收账款</w:t>
      </w:r>
      <w:proofErr w:type="gramStart"/>
      <w:r w:rsidRPr="00831C3C">
        <w:rPr>
          <w:rFonts w:asciiTheme="minorEastAsia" w:eastAsiaTheme="minorEastAsia" w:hAnsiTheme="minorEastAsia" w:hint="eastAsia"/>
          <w:sz w:val="18"/>
          <w:szCs w:val="18"/>
        </w:rPr>
        <w:t>账龄按自</w:t>
      </w:r>
      <w:proofErr w:type="gramEnd"/>
      <w:r w:rsidRPr="00831C3C">
        <w:rPr>
          <w:rFonts w:asciiTheme="minorEastAsia" w:eastAsiaTheme="minorEastAsia" w:hAnsiTheme="minorEastAsia" w:hint="eastAsia"/>
          <w:sz w:val="18"/>
          <w:szCs w:val="18"/>
        </w:rPr>
        <w:t>款项实际发生的月份起算。</w:t>
      </w:r>
    </w:p>
    <w:p w:rsidR="00E23A97" w:rsidRPr="00831C3C" w:rsidRDefault="00C65FD5">
      <w:pPr>
        <w:pStyle w:val="3"/>
        <w:spacing w:line="280" w:lineRule="exact"/>
        <w:jc w:val="left"/>
        <w:rPr>
          <w:rFonts w:ascii="宋体" w:hAnsi="宋体" w:cs="宋体"/>
          <w:b/>
          <w:bCs/>
        </w:rPr>
      </w:pPr>
      <w:bookmarkStart w:id="192" w:name="_Toc989079"/>
      <w:r w:rsidRPr="00831C3C">
        <w:rPr>
          <w:rFonts w:ascii="宋体" w:hAnsi="宋体" w:cs="宋体"/>
          <w:b/>
          <w:bCs/>
        </w:rPr>
        <w:t>14、应收款项融资</w:t>
      </w:r>
      <w:bookmarkEnd w:id="192"/>
    </w:p>
    <w:p w:rsidR="00C65FD5" w:rsidRPr="00831C3C" w:rsidRDefault="00C65FD5" w:rsidP="008007EA">
      <w:pPr>
        <w:pStyle w:val="a3"/>
        <w:spacing w:before="0" w:beforeAutospacing="0" w:after="0" w:afterAutospacing="0"/>
        <w:ind w:firstLine="420"/>
        <w:jc w:val="both"/>
        <w:divId w:val="1628589536"/>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分类为以公允价值计量且其变动计入其他综合收益的应收票据和应收账款，自初始确认日起到期期限在一年内（含一年）的，列示为应收款项融资；自初始确认日起到期期限在一年以上的，列示为其他债权投资。其相关会计政策详见本附注（十二）。</w:t>
      </w:r>
    </w:p>
    <w:p w:rsidR="00C65FD5" w:rsidRPr="00831C3C" w:rsidRDefault="00C65FD5" w:rsidP="008007EA">
      <w:pPr>
        <w:pStyle w:val="a3"/>
        <w:spacing w:before="0" w:beforeAutospacing="0" w:after="0" w:afterAutospacing="0"/>
        <w:ind w:firstLine="420"/>
        <w:jc w:val="both"/>
        <w:divId w:val="1628589536"/>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本公司对应收款项融资的预期信用损失的确定方法及会计处理方法详见本</w:t>
      </w:r>
      <w:r w:rsidR="00257CA8" w:rsidRPr="00831C3C">
        <w:rPr>
          <w:rFonts w:asciiTheme="minorEastAsia" w:eastAsiaTheme="minorEastAsia" w:hAnsiTheme="minorEastAsia" w:hint="eastAsia"/>
          <w:sz w:val="18"/>
          <w:szCs w:val="18"/>
        </w:rPr>
        <w:t>附注（十）6.</w:t>
      </w:r>
      <w:r w:rsidRPr="00831C3C">
        <w:rPr>
          <w:rFonts w:asciiTheme="minorEastAsia" w:eastAsiaTheme="minorEastAsia" w:hAnsiTheme="minorEastAsia" w:hint="eastAsia"/>
          <w:sz w:val="18"/>
          <w:szCs w:val="18"/>
        </w:rPr>
        <w:t>金融工具减值。</w:t>
      </w:r>
    </w:p>
    <w:p w:rsidR="00C65FD5" w:rsidRPr="00831C3C" w:rsidRDefault="00C65FD5" w:rsidP="008007EA">
      <w:pPr>
        <w:pStyle w:val="a3"/>
        <w:spacing w:before="0" w:beforeAutospacing="0" w:after="0" w:afterAutospacing="0"/>
        <w:ind w:firstLine="420"/>
        <w:jc w:val="both"/>
        <w:divId w:val="1628589536"/>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对信用风险与组合信用风险显著不同的应收款项融资，本公司按单项计提预期信用损失。本公司对单项金额重大且在初始确认后已经发生信用减值的应收款项融资单独确定其信用损失。</w:t>
      </w:r>
    </w:p>
    <w:p w:rsidR="00C65FD5" w:rsidRPr="00831C3C" w:rsidRDefault="00C65FD5" w:rsidP="008007EA">
      <w:pPr>
        <w:pStyle w:val="a3"/>
        <w:spacing w:before="0" w:beforeAutospacing="0" w:after="0" w:afterAutospacing="0"/>
        <w:ind w:firstLine="420"/>
        <w:jc w:val="both"/>
        <w:divId w:val="1628589536"/>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当在单项工具层面无法以合理成本评估预期信用损失的充分证据时，本公司参考历史信用损失经验，结合当前状况以及对未来经济状况的判断，依据信用风险特征将应收账款划分为若干组合，在组合基础上计算预期信用损失。</w:t>
      </w:r>
    </w:p>
    <w:p w:rsidR="00E23A97" w:rsidRPr="00831C3C" w:rsidRDefault="00C65FD5">
      <w:pPr>
        <w:pStyle w:val="3"/>
        <w:spacing w:line="280" w:lineRule="exact"/>
        <w:jc w:val="left"/>
        <w:rPr>
          <w:rFonts w:ascii="宋体" w:hAnsi="宋体" w:cs="宋体"/>
          <w:b/>
          <w:bCs/>
        </w:rPr>
      </w:pPr>
      <w:bookmarkStart w:id="193" w:name="_Toc989080"/>
      <w:r w:rsidRPr="00831C3C">
        <w:rPr>
          <w:rFonts w:ascii="宋体" w:hAnsi="宋体" w:cs="宋体"/>
          <w:b/>
          <w:bCs/>
        </w:rPr>
        <w:t>15、其他应收款</w:t>
      </w:r>
      <w:bookmarkEnd w:id="193"/>
    </w:p>
    <w:p w:rsidR="00C65FD5" w:rsidRPr="00831C3C" w:rsidRDefault="00C65FD5" w:rsidP="008007EA">
      <w:pPr>
        <w:pStyle w:val="a3"/>
        <w:spacing w:before="0" w:beforeAutospacing="0" w:after="0" w:afterAutospacing="0"/>
        <w:ind w:firstLine="420"/>
        <w:jc w:val="both"/>
        <w:divId w:val="1543664464"/>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本公司对其他应收款的预期信用损失的确定方法及会计处理方法详见本</w:t>
      </w:r>
      <w:r w:rsidR="00257CA8" w:rsidRPr="00831C3C">
        <w:rPr>
          <w:rFonts w:asciiTheme="minorEastAsia" w:eastAsiaTheme="minorEastAsia" w:hAnsiTheme="minorEastAsia" w:hint="eastAsia"/>
          <w:sz w:val="18"/>
          <w:szCs w:val="18"/>
        </w:rPr>
        <w:t>附注（十）6.</w:t>
      </w:r>
      <w:r w:rsidRPr="00831C3C">
        <w:rPr>
          <w:rFonts w:asciiTheme="minorEastAsia" w:eastAsiaTheme="minorEastAsia" w:hAnsiTheme="minorEastAsia" w:hint="eastAsia"/>
          <w:sz w:val="18"/>
          <w:szCs w:val="18"/>
        </w:rPr>
        <w:t>金融工具减值。</w:t>
      </w:r>
    </w:p>
    <w:p w:rsidR="00C65FD5" w:rsidRPr="00831C3C" w:rsidRDefault="00C65FD5" w:rsidP="008007EA">
      <w:pPr>
        <w:pStyle w:val="a3"/>
        <w:spacing w:before="0" w:beforeAutospacing="0" w:after="0" w:afterAutospacing="0"/>
        <w:ind w:firstLine="420"/>
        <w:jc w:val="both"/>
        <w:divId w:val="1543664464"/>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对信用风险与组合信用风险显著不同的其他应收款，本公司按单项计提预期信用损失。本公司对单项金额重大且在初始确认后已经发生信用减值的其他应收款单独确定其信用损失。</w:t>
      </w:r>
    </w:p>
    <w:p w:rsidR="00C65FD5" w:rsidRPr="00831C3C" w:rsidRDefault="00C65FD5" w:rsidP="008007EA">
      <w:pPr>
        <w:pStyle w:val="a3"/>
        <w:spacing w:before="0" w:beforeAutospacing="0" w:after="0" w:afterAutospacing="0"/>
        <w:ind w:firstLine="420"/>
        <w:jc w:val="both"/>
        <w:divId w:val="1543664464"/>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lastRenderedPageBreak/>
        <w:t>当在单项工具层面无法以合理成本评估预期信用损失的充分证据时，本公司参考历史信用损失经验，结合当前状况以及对未来经济状况的判断，依据信用风险特征将其他应收款划分为若干组合，在组合基础上计算预期信用损失。确定组合的依据如下：</w:t>
      </w:r>
    </w:p>
    <w:tbl>
      <w:tblPr>
        <w:tblW w:w="4850" w:type="pct"/>
        <w:tblCellMar>
          <w:left w:w="0" w:type="dxa"/>
          <w:right w:w="0" w:type="dxa"/>
        </w:tblCellMar>
        <w:tblLook w:val="04A0" w:firstRow="1" w:lastRow="0" w:firstColumn="1" w:lastColumn="0" w:noHBand="0" w:noVBand="1"/>
        <w:tblCaption w:val="D:\大华\华孚\2024年度\TB|0-合并TB-华孚时尚股份有限公司-2024年度.xlsx|W附注模板|_jds8|0|desc|||0|1"/>
      </w:tblPr>
      <w:tblGrid>
        <w:gridCol w:w="1375"/>
        <w:gridCol w:w="2526"/>
        <w:gridCol w:w="5656"/>
      </w:tblGrid>
      <w:tr w:rsidR="00831C3C" w:rsidRPr="00831C3C">
        <w:trPr>
          <w:divId w:val="1543664464"/>
          <w:trHeight w:val="340"/>
        </w:trPr>
        <w:tc>
          <w:tcPr>
            <w:tcW w:w="119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组合名称</w:t>
            </w:r>
          </w:p>
        </w:tc>
        <w:tc>
          <w:tcPr>
            <w:tcW w:w="219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确定组合的依据</w:t>
            </w:r>
          </w:p>
        </w:tc>
        <w:tc>
          <w:tcPr>
            <w:tcW w:w="491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计提方法</w:t>
            </w:r>
          </w:p>
        </w:tc>
      </w:tr>
      <w:tr w:rsidR="00831C3C" w:rsidRPr="00831C3C">
        <w:trPr>
          <w:divId w:val="1543664464"/>
          <w:trHeight w:val="340"/>
        </w:trPr>
        <w:tc>
          <w:tcPr>
            <w:tcW w:w="11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textAlignment w:val="center"/>
              <w:rPr>
                <w:rFonts w:ascii="Times New Roman" w:hAnsi="Times New Roman" w:cs="Times New Roman"/>
                <w:sz w:val="21"/>
                <w:szCs w:val="21"/>
              </w:rPr>
            </w:pPr>
            <w:r w:rsidRPr="00831C3C">
              <w:rPr>
                <w:rFonts w:cs="Times New Roman" w:hint="eastAsia"/>
                <w:sz w:val="18"/>
                <w:szCs w:val="18"/>
              </w:rPr>
              <w:t>风险组合</w:t>
            </w:r>
          </w:p>
        </w:tc>
        <w:tc>
          <w:tcPr>
            <w:tcW w:w="2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textAlignment w:val="center"/>
              <w:rPr>
                <w:rFonts w:ascii="Times New Roman" w:hAnsi="Times New Roman" w:cs="Times New Roman"/>
                <w:sz w:val="21"/>
                <w:szCs w:val="21"/>
              </w:rPr>
            </w:pPr>
            <w:r w:rsidRPr="00831C3C">
              <w:rPr>
                <w:rFonts w:cs="Times New Roman" w:hint="eastAsia"/>
                <w:sz w:val="18"/>
                <w:szCs w:val="18"/>
              </w:rPr>
              <w:t>本组合以其他应收款的账</w:t>
            </w:r>
            <w:proofErr w:type="gramStart"/>
            <w:r w:rsidRPr="00831C3C">
              <w:rPr>
                <w:rFonts w:cs="Times New Roman" w:hint="eastAsia"/>
                <w:sz w:val="18"/>
                <w:szCs w:val="18"/>
              </w:rPr>
              <w:t>龄作为</w:t>
            </w:r>
            <w:proofErr w:type="gramEnd"/>
            <w:r w:rsidRPr="00831C3C">
              <w:rPr>
                <w:rFonts w:cs="Times New Roman" w:hint="eastAsia"/>
                <w:sz w:val="18"/>
                <w:szCs w:val="18"/>
              </w:rPr>
              <w:t>信用风险特征</w:t>
            </w:r>
          </w:p>
        </w:tc>
        <w:tc>
          <w:tcPr>
            <w:tcW w:w="4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both"/>
              <w:rPr>
                <w:rFonts w:ascii="Times New Roman" w:hAnsi="Times New Roman" w:cs="Times New Roman"/>
                <w:sz w:val="21"/>
                <w:szCs w:val="21"/>
              </w:rPr>
            </w:pPr>
            <w:r w:rsidRPr="00831C3C">
              <w:rPr>
                <w:rFonts w:cs="Times New Roman" w:hint="eastAsia"/>
                <w:sz w:val="18"/>
                <w:szCs w:val="18"/>
              </w:rPr>
              <w:t>本公司利用账龄来评估该类组合的预期信用损失。该类组合具有相同的风险特征，账</w:t>
            </w:r>
            <w:proofErr w:type="gramStart"/>
            <w:r w:rsidRPr="00831C3C">
              <w:rPr>
                <w:rFonts w:cs="Times New Roman" w:hint="eastAsia"/>
                <w:sz w:val="18"/>
                <w:szCs w:val="18"/>
              </w:rPr>
              <w:t>龄信息</w:t>
            </w:r>
            <w:proofErr w:type="gramEnd"/>
            <w:r w:rsidRPr="00831C3C">
              <w:rPr>
                <w:rFonts w:cs="Times New Roman" w:hint="eastAsia"/>
                <w:sz w:val="18"/>
                <w:szCs w:val="18"/>
              </w:rPr>
              <w:t>能反映这类组合与应收款项到期时的偿付能力。于资产负债表日，本公司参考历史信用损失经验，结合当前状况以及对未来经济状况的预测，编制其他</w:t>
            </w:r>
            <w:proofErr w:type="gramStart"/>
            <w:r w:rsidRPr="00831C3C">
              <w:rPr>
                <w:rFonts w:cs="Times New Roman" w:hint="eastAsia"/>
                <w:sz w:val="18"/>
                <w:szCs w:val="18"/>
              </w:rPr>
              <w:t>应收款账龄</w:t>
            </w:r>
            <w:proofErr w:type="gramEnd"/>
            <w:r w:rsidRPr="00831C3C">
              <w:rPr>
                <w:rFonts w:cs="Times New Roman" w:hint="eastAsia"/>
                <w:sz w:val="18"/>
                <w:szCs w:val="18"/>
              </w:rPr>
              <w:t>与预期信用损失率对照表，计算预期信用损失。</w:t>
            </w:r>
          </w:p>
        </w:tc>
      </w:tr>
      <w:tr w:rsidR="00831C3C" w:rsidRPr="00831C3C">
        <w:trPr>
          <w:divId w:val="1543664464"/>
          <w:trHeight w:val="340"/>
        </w:trPr>
        <w:tc>
          <w:tcPr>
            <w:tcW w:w="11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textAlignment w:val="center"/>
              <w:rPr>
                <w:rFonts w:ascii="Times New Roman" w:hAnsi="Times New Roman" w:cs="Times New Roman"/>
                <w:sz w:val="21"/>
                <w:szCs w:val="21"/>
              </w:rPr>
            </w:pPr>
            <w:r w:rsidRPr="00831C3C">
              <w:rPr>
                <w:rFonts w:cs="Times New Roman" w:hint="eastAsia"/>
                <w:sz w:val="18"/>
                <w:szCs w:val="18"/>
              </w:rPr>
              <w:t>应收财政款组合</w:t>
            </w:r>
          </w:p>
        </w:tc>
        <w:tc>
          <w:tcPr>
            <w:tcW w:w="2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textAlignment w:val="center"/>
              <w:rPr>
                <w:rFonts w:ascii="Times New Roman" w:hAnsi="Times New Roman" w:cs="Times New Roman"/>
                <w:sz w:val="21"/>
                <w:szCs w:val="21"/>
              </w:rPr>
            </w:pPr>
            <w:r w:rsidRPr="00831C3C">
              <w:rPr>
                <w:rFonts w:cs="Times New Roman" w:hint="eastAsia"/>
                <w:sz w:val="18"/>
                <w:szCs w:val="18"/>
              </w:rPr>
              <w:t>根据业务性质，主要包括出口退税款、政府补助</w:t>
            </w:r>
          </w:p>
        </w:tc>
        <w:tc>
          <w:tcPr>
            <w:tcW w:w="4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both"/>
              <w:rPr>
                <w:rFonts w:ascii="Times New Roman" w:hAnsi="Times New Roman" w:cs="Times New Roman"/>
                <w:sz w:val="21"/>
                <w:szCs w:val="21"/>
              </w:rPr>
            </w:pPr>
            <w:r w:rsidRPr="00831C3C">
              <w:rPr>
                <w:rFonts w:cs="Times New Roman" w:hint="eastAsia"/>
                <w:sz w:val="18"/>
                <w:szCs w:val="18"/>
              </w:rPr>
              <w:t>参考历史信用损失经验，结合当前状况以及对未来经济状况的预测，通过违约风险敞口和整个存续期预期信用损失率，计算预期信用损失</w:t>
            </w:r>
          </w:p>
        </w:tc>
      </w:tr>
      <w:tr w:rsidR="00831C3C" w:rsidRPr="00831C3C">
        <w:trPr>
          <w:divId w:val="1543664464"/>
          <w:trHeight w:val="340"/>
        </w:trPr>
        <w:tc>
          <w:tcPr>
            <w:tcW w:w="11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textAlignment w:val="center"/>
              <w:rPr>
                <w:rFonts w:ascii="Times New Roman" w:hAnsi="Times New Roman" w:cs="Times New Roman"/>
                <w:sz w:val="21"/>
                <w:szCs w:val="21"/>
              </w:rPr>
            </w:pPr>
            <w:r w:rsidRPr="00831C3C">
              <w:rPr>
                <w:rFonts w:cs="Times New Roman" w:hint="eastAsia"/>
                <w:sz w:val="18"/>
                <w:szCs w:val="18"/>
              </w:rPr>
              <w:t>性质组合</w:t>
            </w:r>
          </w:p>
        </w:tc>
        <w:tc>
          <w:tcPr>
            <w:tcW w:w="2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textAlignment w:val="center"/>
              <w:rPr>
                <w:rFonts w:ascii="Times New Roman" w:hAnsi="Times New Roman" w:cs="Times New Roman"/>
                <w:sz w:val="21"/>
                <w:szCs w:val="21"/>
              </w:rPr>
            </w:pPr>
            <w:r w:rsidRPr="00831C3C">
              <w:rPr>
                <w:rFonts w:cs="Times New Roman" w:hint="eastAsia"/>
                <w:sz w:val="18"/>
                <w:szCs w:val="18"/>
              </w:rPr>
              <w:t>根据业务性质，主要包括股权转让款</w:t>
            </w:r>
          </w:p>
        </w:tc>
        <w:tc>
          <w:tcPr>
            <w:tcW w:w="4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both"/>
              <w:rPr>
                <w:rFonts w:ascii="Times New Roman" w:hAnsi="Times New Roman" w:cs="Times New Roman"/>
                <w:sz w:val="21"/>
                <w:szCs w:val="21"/>
              </w:rPr>
            </w:pPr>
            <w:r w:rsidRPr="00831C3C">
              <w:rPr>
                <w:rFonts w:cs="Times New Roman" w:hint="eastAsia"/>
                <w:sz w:val="18"/>
                <w:szCs w:val="18"/>
              </w:rPr>
              <w:t>参考历史信用损失经验，不计提坏准备</w:t>
            </w:r>
          </w:p>
        </w:tc>
      </w:tr>
      <w:tr w:rsidR="00831C3C" w:rsidRPr="00831C3C">
        <w:trPr>
          <w:divId w:val="1543664464"/>
          <w:trHeight w:val="340"/>
        </w:trPr>
        <w:tc>
          <w:tcPr>
            <w:tcW w:w="119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textAlignment w:val="center"/>
              <w:rPr>
                <w:rFonts w:ascii="Times New Roman" w:hAnsi="Times New Roman" w:cs="Times New Roman"/>
                <w:sz w:val="21"/>
                <w:szCs w:val="21"/>
              </w:rPr>
            </w:pPr>
            <w:r w:rsidRPr="00831C3C">
              <w:rPr>
                <w:rFonts w:cs="Times New Roman" w:hint="eastAsia"/>
                <w:sz w:val="18"/>
                <w:szCs w:val="18"/>
              </w:rPr>
              <w:t>合并范围内关联方组合</w:t>
            </w:r>
          </w:p>
        </w:tc>
        <w:tc>
          <w:tcPr>
            <w:tcW w:w="219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textAlignment w:val="center"/>
              <w:rPr>
                <w:rFonts w:ascii="Times New Roman" w:hAnsi="Times New Roman" w:cs="Times New Roman"/>
                <w:sz w:val="21"/>
                <w:szCs w:val="21"/>
              </w:rPr>
            </w:pPr>
            <w:r w:rsidRPr="00831C3C">
              <w:rPr>
                <w:rFonts w:cs="Times New Roman" w:hint="eastAsia"/>
                <w:sz w:val="18"/>
                <w:szCs w:val="18"/>
              </w:rPr>
              <w:t>合并范围内关联方</w:t>
            </w:r>
          </w:p>
        </w:tc>
        <w:tc>
          <w:tcPr>
            <w:tcW w:w="491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both"/>
              <w:rPr>
                <w:rFonts w:ascii="Times New Roman" w:hAnsi="Times New Roman" w:cs="Times New Roman"/>
                <w:sz w:val="21"/>
                <w:szCs w:val="21"/>
              </w:rPr>
            </w:pPr>
            <w:r w:rsidRPr="00831C3C">
              <w:rPr>
                <w:rFonts w:cs="Times New Roman" w:hint="eastAsia"/>
                <w:sz w:val="18"/>
                <w:szCs w:val="18"/>
              </w:rPr>
              <w:t>参考历史信用损失经验，不计提坏准备</w:t>
            </w:r>
          </w:p>
        </w:tc>
      </w:tr>
    </w:tbl>
    <w:p w:rsidR="00C65FD5" w:rsidRPr="00831C3C" w:rsidRDefault="00C65FD5">
      <w:pPr>
        <w:pStyle w:val="a3"/>
        <w:spacing w:before="0" w:beforeAutospacing="0" w:after="0" w:afterAutospacing="0" w:line="360" w:lineRule="auto"/>
        <w:ind w:firstLine="420"/>
        <w:jc w:val="both"/>
        <w:divId w:val="1543664464"/>
        <w:rPr>
          <w:rFonts w:asciiTheme="minorEastAsia" w:eastAsiaTheme="minorEastAsia" w:hAnsiTheme="minorEastAsia"/>
          <w:sz w:val="18"/>
          <w:szCs w:val="18"/>
        </w:rPr>
      </w:pPr>
      <w:proofErr w:type="gramStart"/>
      <w:r w:rsidRPr="00831C3C">
        <w:rPr>
          <w:rFonts w:asciiTheme="minorEastAsia" w:eastAsiaTheme="minorEastAsia" w:hAnsiTheme="minorEastAsia" w:hint="eastAsia"/>
          <w:sz w:val="18"/>
          <w:szCs w:val="18"/>
        </w:rPr>
        <w:t>账</w:t>
      </w:r>
      <w:proofErr w:type="gramEnd"/>
      <w:r w:rsidRPr="00831C3C">
        <w:rPr>
          <w:rFonts w:asciiTheme="minorEastAsia" w:eastAsiaTheme="minorEastAsia" w:hAnsiTheme="minorEastAsia" w:hint="eastAsia"/>
          <w:sz w:val="18"/>
          <w:szCs w:val="18"/>
        </w:rPr>
        <w:t>龄组合的账龄与预期信用损失率对照表如下：</w:t>
      </w:r>
    </w:p>
    <w:tbl>
      <w:tblPr>
        <w:tblW w:w="9606" w:type="dxa"/>
        <w:tblCellMar>
          <w:left w:w="0" w:type="dxa"/>
          <w:right w:w="0" w:type="dxa"/>
        </w:tblCellMar>
        <w:tblLook w:val="04A0" w:firstRow="1" w:lastRow="0" w:firstColumn="1" w:lastColumn="0" w:noHBand="0" w:noVBand="1"/>
      </w:tblPr>
      <w:tblGrid>
        <w:gridCol w:w="4361"/>
        <w:gridCol w:w="5245"/>
      </w:tblGrid>
      <w:tr w:rsidR="00831C3C" w:rsidRPr="00831C3C" w:rsidTr="008007EA">
        <w:trPr>
          <w:divId w:val="1543664464"/>
          <w:trHeight w:val="340"/>
        </w:trPr>
        <w:tc>
          <w:tcPr>
            <w:tcW w:w="43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账龄</w:t>
            </w:r>
          </w:p>
        </w:tc>
        <w:tc>
          <w:tcPr>
            <w:tcW w:w="52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其他应收款预期信用损失率（</w:t>
            </w:r>
            <w:r w:rsidRPr="00831C3C">
              <w:rPr>
                <w:rFonts w:ascii="Arial" w:hAnsi="Arial" w:cs="Arial"/>
                <w:sz w:val="18"/>
                <w:szCs w:val="18"/>
              </w:rPr>
              <w:t>%</w:t>
            </w:r>
            <w:r w:rsidRPr="00831C3C">
              <w:rPr>
                <w:rFonts w:cs="Times New Roman" w:hint="eastAsia"/>
                <w:sz w:val="18"/>
                <w:szCs w:val="18"/>
              </w:rPr>
              <w:t>）</w:t>
            </w:r>
          </w:p>
        </w:tc>
      </w:tr>
      <w:tr w:rsidR="00831C3C" w:rsidRPr="00831C3C" w:rsidTr="008007EA">
        <w:trPr>
          <w:divId w:val="1543664464"/>
          <w:trHeight w:val="340"/>
        </w:trPr>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ascii="Arial" w:hAnsi="Arial" w:cs="Arial"/>
                <w:sz w:val="18"/>
                <w:szCs w:val="18"/>
              </w:rPr>
              <w:t>1</w:t>
            </w:r>
            <w:r w:rsidRPr="00831C3C">
              <w:rPr>
                <w:rFonts w:cs="Times New Roman" w:hint="eastAsia"/>
                <w:sz w:val="18"/>
                <w:szCs w:val="18"/>
              </w:rPr>
              <w:t>年以内</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5FD5" w:rsidRPr="00831C3C" w:rsidRDefault="00C65FD5">
            <w:pPr>
              <w:pStyle w:val="a3"/>
              <w:spacing w:before="0" w:beforeAutospacing="0" w:after="0" w:afterAutospacing="0"/>
              <w:jc w:val="center"/>
              <w:textAlignment w:val="bottom"/>
              <w:rPr>
                <w:rFonts w:ascii="Times New Roman" w:hAnsi="Times New Roman" w:cs="Times New Roman"/>
                <w:sz w:val="21"/>
                <w:szCs w:val="21"/>
              </w:rPr>
            </w:pPr>
            <w:r w:rsidRPr="00831C3C">
              <w:rPr>
                <w:rFonts w:cs="Times New Roman" w:hint="eastAsia"/>
                <w:sz w:val="20"/>
                <w:szCs w:val="20"/>
              </w:rPr>
              <w:t>5.00</w:t>
            </w:r>
          </w:p>
        </w:tc>
      </w:tr>
      <w:tr w:rsidR="00831C3C" w:rsidRPr="00831C3C" w:rsidTr="008007EA">
        <w:trPr>
          <w:divId w:val="1543664464"/>
          <w:trHeight w:val="340"/>
        </w:trPr>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ascii="Arial" w:hAnsi="Arial" w:cs="Arial"/>
                <w:sz w:val="18"/>
                <w:szCs w:val="18"/>
              </w:rPr>
              <w:t>1</w:t>
            </w:r>
            <w:r w:rsidRPr="00831C3C">
              <w:rPr>
                <w:rFonts w:cs="Times New Roman" w:hint="eastAsia"/>
                <w:sz w:val="18"/>
                <w:szCs w:val="18"/>
              </w:rPr>
              <w:t>－</w:t>
            </w:r>
            <w:r w:rsidRPr="00831C3C">
              <w:rPr>
                <w:rFonts w:ascii="Arial" w:hAnsi="Arial" w:cs="Arial"/>
                <w:sz w:val="18"/>
                <w:szCs w:val="18"/>
              </w:rPr>
              <w:t>2</w:t>
            </w:r>
            <w:r w:rsidRPr="00831C3C">
              <w:rPr>
                <w:rFonts w:cs="Times New Roman" w:hint="eastAsia"/>
                <w:sz w:val="18"/>
                <w:szCs w:val="18"/>
              </w:rPr>
              <w:t>年</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5FD5" w:rsidRPr="00831C3C" w:rsidRDefault="00C65FD5">
            <w:pPr>
              <w:pStyle w:val="a3"/>
              <w:spacing w:before="0" w:beforeAutospacing="0" w:after="0" w:afterAutospacing="0"/>
              <w:jc w:val="center"/>
              <w:textAlignment w:val="bottom"/>
              <w:rPr>
                <w:rFonts w:ascii="Times New Roman" w:hAnsi="Times New Roman" w:cs="Times New Roman"/>
                <w:sz w:val="21"/>
                <w:szCs w:val="21"/>
              </w:rPr>
            </w:pPr>
            <w:r w:rsidRPr="00831C3C">
              <w:rPr>
                <w:rFonts w:cs="Times New Roman" w:hint="eastAsia"/>
                <w:sz w:val="20"/>
                <w:szCs w:val="20"/>
              </w:rPr>
              <w:t>10.00</w:t>
            </w:r>
          </w:p>
        </w:tc>
      </w:tr>
      <w:tr w:rsidR="00831C3C" w:rsidRPr="00831C3C" w:rsidTr="008007EA">
        <w:trPr>
          <w:divId w:val="1543664464"/>
          <w:trHeight w:val="340"/>
        </w:trPr>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ascii="Arial" w:hAnsi="Arial" w:cs="Arial"/>
                <w:sz w:val="18"/>
                <w:szCs w:val="18"/>
              </w:rPr>
              <w:t>2</w:t>
            </w:r>
            <w:r w:rsidRPr="00831C3C">
              <w:rPr>
                <w:rFonts w:cs="Times New Roman" w:hint="eastAsia"/>
                <w:sz w:val="18"/>
                <w:szCs w:val="18"/>
              </w:rPr>
              <w:t>－</w:t>
            </w:r>
            <w:r w:rsidRPr="00831C3C">
              <w:rPr>
                <w:rFonts w:ascii="Arial" w:hAnsi="Arial" w:cs="Arial"/>
                <w:sz w:val="18"/>
                <w:szCs w:val="18"/>
              </w:rPr>
              <w:t>3</w:t>
            </w:r>
            <w:r w:rsidRPr="00831C3C">
              <w:rPr>
                <w:rFonts w:cs="Times New Roman" w:hint="eastAsia"/>
                <w:sz w:val="18"/>
                <w:szCs w:val="18"/>
              </w:rPr>
              <w:t>年</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5FD5" w:rsidRPr="00831C3C" w:rsidRDefault="00C65FD5">
            <w:pPr>
              <w:pStyle w:val="a3"/>
              <w:spacing w:before="0" w:beforeAutospacing="0" w:after="0" w:afterAutospacing="0"/>
              <w:jc w:val="center"/>
              <w:textAlignment w:val="bottom"/>
              <w:rPr>
                <w:rFonts w:ascii="Times New Roman" w:hAnsi="Times New Roman" w:cs="Times New Roman"/>
                <w:sz w:val="21"/>
                <w:szCs w:val="21"/>
              </w:rPr>
            </w:pPr>
            <w:r w:rsidRPr="00831C3C">
              <w:rPr>
                <w:rFonts w:cs="Times New Roman" w:hint="eastAsia"/>
                <w:sz w:val="20"/>
                <w:szCs w:val="20"/>
              </w:rPr>
              <w:t>20.00</w:t>
            </w:r>
          </w:p>
        </w:tc>
      </w:tr>
      <w:tr w:rsidR="00831C3C" w:rsidRPr="00831C3C" w:rsidTr="008007EA">
        <w:trPr>
          <w:divId w:val="1543664464"/>
          <w:trHeight w:val="340"/>
        </w:trPr>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ascii="Arial" w:hAnsi="Arial" w:cs="Arial"/>
                <w:sz w:val="18"/>
                <w:szCs w:val="18"/>
              </w:rPr>
              <w:t>3</w:t>
            </w:r>
            <w:r w:rsidRPr="00831C3C">
              <w:rPr>
                <w:rFonts w:cs="Times New Roman" w:hint="eastAsia"/>
                <w:sz w:val="18"/>
                <w:szCs w:val="18"/>
              </w:rPr>
              <w:t>－</w:t>
            </w:r>
            <w:r w:rsidRPr="00831C3C">
              <w:rPr>
                <w:rFonts w:ascii="Arial" w:hAnsi="Arial" w:cs="Arial"/>
                <w:sz w:val="18"/>
                <w:szCs w:val="18"/>
              </w:rPr>
              <w:t>4</w:t>
            </w:r>
            <w:r w:rsidRPr="00831C3C">
              <w:rPr>
                <w:rFonts w:cs="Times New Roman" w:hint="eastAsia"/>
                <w:sz w:val="18"/>
                <w:szCs w:val="18"/>
              </w:rPr>
              <w:t>年</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5FD5" w:rsidRPr="00831C3C" w:rsidRDefault="00C65FD5">
            <w:pPr>
              <w:pStyle w:val="a3"/>
              <w:spacing w:before="0" w:beforeAutospacing="0" w:after="0" w:afterAutospacing="0"/>
              <w:jc w:val="center"/>
              <w:textAlignment w:val="bottom"/>
              <w:rPr>
                <w:rFonts w:ascii="Times New Roman" w:hAnsi="Times New Roman" w:cs="Times New Roman"/>
                <w:sz w:val="21"/>
                <w:szCs w:val="21"/>
              </w:rPr>
            </w:pPr>
            <w:r w:rsidRPr="00831C3C">
              <w:rPr>
                <w:rFonts w:cs="Times New Roman" w:hint="eastAsia"/>
                <w:sz w:val="20"/>
                <w:szCs w:val="20"/>
              </w:rPr>
              <w:t>50.00</w:t>
            </w:r>
          </w:p>
        </w:tc>
      </w:tr>
      <w:tr w:rsidR="00831C3C" w:rsidRPr="00831C3C" w:rsidTr="008007EA">
        <w:trPr>
          <w:divId w:val="1543664464"/>
          <w:trHeight w:val="340"/>
        </w:trPr>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ascii="Arial" w:hAnsi="Arial" w:cs="Arial"/>
                <w:sz w:val="18"/>
                <w:szCs w:val="18"/>
              </w:rPr>
              <w:t>4</w:t>
            </w:r>
            <w:r w:rsidRPr="00831C3C">
              <w:rPr>
                <w:rFonts w:cs="Times New Roman" w:hint="eastAsia"/>
                <w:sz w:val="18"/>
                <w:szCs w:val="18"/>
              </w:rPr>
              <w:t>－</w:t>
            </w:r>
            <w:r w:rsidRPr="00831C3C">
              <w:rPr>
                <w:rFonts w:ascii="Arial" w:hAnsi="Arial" w:cs="Arial"/>
                <w:sz w:val="18"/>
                <w:szCs w:val="18"/>
              </w:rPr>
              <w:t>5</w:t>
            </w:r>
            <w:r w:rsidRPr="00831C3C">
              <w:rPr>
                <w:rFonts w:cs="Times New Roman" w:hint="eastAsia"/>
                <w:sz w:val="18"/>
                <w:szCs w:val="18"/>
              </w:rPr>
              <w:t>年</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5FD5" w:rsidRPr="00831C3C" w:rsidRDefault="00C65FD5">
            <w:pPr>
              <w:pStyle w:val="a3"/>
              <w:spacing w:before="0" w:beforeAutospacing="0" w:after="0" w:afterAutospacing="0"/>
              <w:jc w:val="center"/>
              <w:textAlignment w:val="bottom"/>
              <w:rPr>
                <w:rFonts w:ascii="Times New Roman" w:hAnsi="Times New Roman" w:cs="Times New Roman"/>
                <w:sz w:val="21"/>
                <w:szCs w:val="21"/>
              </w:rPr>
            </w:pPr>
            <w:r w:rsidRPr="00831C3C">
              <w:rPr>
                <w:rFonts w:cs="Times New Roman" w:hint="eastAsia"/>
                <w:sz w:val="20"/>
                <w:szCs w:val="20"/>
              </w:rPr>
              <w:t>80.00</w:t>
            </w:r>
          </w:p>
        </w:tc>
      </w:tr>
      <w:tr w:rsidR="00831C3C" w:rsidRPr="00831C3C" w:rsidTr="008007EA">
        <w:trPr>
          <w:divId w:val="1543664464"/>
          <w:trHeight w:val="340"/>
        </w:trPr>
        <w:tc>
          <w:tcPr>
            <w:tcW w:w="43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ascii="Arial" w:hAnsi="Arial" w:cs="Arial"/>
                <w:sz w:val="18"/>
                <w:szCs w:val="18"/>
              </w:rPr>
              <w:t>5</w:t>
            </w:r>
            <w:r w:rsidRPr="00831C3C">
              <w:rPr>
                <w:rFonts w:cs="Times New Roman" w:hint="eastAsia"/>
                <w:sz w:val="18"/>
                <w:szCs w:val="18"/>
              </w:rPr>
              <w:t>年以上</w:t>
            </w:r>
          </w:p>
        </w:tc>
        <w:tc>
          <w:tcPr>
            <w:tcW w:w="5245"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C65FD5" w:rsidRPr="00831C3C" w:rsidRDefault="00C65FD5">
            <w:pPr>
              <w:pStyle w:val="a3"/>
              <w:spacing w:before="0" w:beforeAutospacing="0" w:after="0" w:afterAutospacing="0"/>
              <w:jc w:val="center"/>
              <w:textAlignment w:val="bottom"/>
              <w:rPr>
                <w:rFonts w:ascii="Times New Roman" w:hAnsi="Times New Roman" w:cs="Times New Roman"/>
                <w:sz w:val="21"/>
                <w:szCs w:val="21"/>
              </w:rPr>
            </w:pPr>
            <w:r w:rsidRPr="00831C3C">
              <w:rPr>
                <w:rFonts w:cs="Times New Roman" w:hint="eastAsia"/>
                <w:sz w:val="20"/>
                <w:szCs w:val="20"/>
              </w:rPr>
              <w:t>100.00</w:t>
            </w:r>
          </w:p>
        </w:tc>
      </w:tr>
    </w:tbl>
    <w:p w:rsidR="00C65FD5" w:rsidRPr="00831C3C" w:rsidRDefault="00C65FD5" w:rsidP="008007EA">
      <w:pPr>
        <w:pStyle w:val="a3"/>
        <w:spacing w:before="0" w:beforeAutospacing="0" w:after="0" w:afterAutospacing="0" w:line="360" w:lineRule="auto"/>
        <w:ind w:firstLine="420"/>
        <w:jc w:val="both"/>
        <w:divId w:val="1543664464"/>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其他应收</w:t>
      </w:r>
      <w:proofErr w:type="gramStart"/>
      <w:r w:rsidRPr="00831C3C">
        <w:rPr>
          <w:rFonts w:asciiTheme="minorEastAsia" w:eastAsiaTheme="minorEastAsia" w:hAnsiTheme="minorEastAsia" w:hint="eastAsia"/>
          <w:sz w:val="18"/>
          <w:szCs w:val="18"/>
        </w:rPr>
        <w:t>款账龄按</w:t>
      </w:r>
      <w:proofErr w:type="gramEnd"/>
      <w:r w:rsidRPr="00831C3C">
        <w:rPr>
          <w:rFonts w:asciiTheme="minorEastAsia" w:eastAsiaTheme="minorEastAsia" w:hAnsiTheme="minorEastAsia" w:hint="eastAsia"/>
          <w:sz w:val="18"/>
          <w:szCs w:val="18"/>
        </w:rPr>
        <w:t>自款项实际发生的月份起算。</w:t>
      </w:r>
    </w:p>
    <w:p w:rsidR="00E23A97" w:rsidRPr="00831C3C" w:rsidRDefault="00C65FD5">
      <w:pPr>
        <w:pStyle w:val="3"/>
        <w:spacing w:line="280" w:lineRule="exact"/>
        <w:jc w:val="left"/>
        <w:rPr>
          <w:rFonts w:ascii="宋体" w:hAnsi="宋体" w:cs="宋体"/>
          <w:b/>
          <w:bCs/>
        </w:rPr>
      </w:pPr>
      <w:bookmarkStart w:id="194" w:name="_Toc989081"/>
      <w:r w:rsidRPr="00831C3C">
        <w:rPr>
          <w:rFonts w:ascii="宋体" w:hAnsi="宋体" w:cs="宋体"/>
          <w:b/>
          <w:bCs/>
        </w:rPr>
        <w:t>16、合同资产</w:t>
      </w:r>
      <w:bookmarkEnd w:id="194"/>
    </w:p>
    <w:p w:rsidR="00C65FD5" w:rsidRPr="00831C3C" w:rsidRDefault="00C65FD5" w:rsidP="008007EA">
      <w:pPr>
        <w:pStyle w:val="a3"/>
        <w:spacing w:before="0" w:beforeAutospacing="0" w:after="0" w:afterAutospacing="0"/>
        <w:ind w:firstLine="420"/>
        <w:jc w:val="both"/>
        <w:divId w:val="1874461574"/>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本公司已向客户转让商品而有权收取对价的权利，且该权利取决于时间流逝之外的其他因素的，确认为合同资产。本公司拥有的无条件</w:t>
      </w:r>
      <w:r w:rsidRPr="00831C3C">
        <w:rPr>
          <w:rFonts w:asciiTheme="minorEastAsia" w:eastAsiaTheme="minorEastAsia" w:hAnsiTheme="minorEastAsia"/>
          <w:sz w:val="18"/>
          <w:szCs w:val="18"/>
        </w:rPr>
        <w:t>(</w:t>
      </w:r>
      <w:r w:rsidRPr="00831C3C">
        <w:rPr>
          <w:rFonts w:asciiTheme="minorEastAsia" w:eastAsiaTheme="minorEastAsia" w:hAnsiTheme="minorEastAsia" w:hint="eastAsia"/>
          <w:sz w:val="18"/>
          <w:szCs w:val="18"/>
        </w:rPr>
        <w:t>即，仅取决于时间流逝</w:t>
      </w:r>
      <w:r w:rsidRPr="00831C3C">
        <w:rPr>
          <w:rFonts w:asciiTheme="minorEastAsia" w:eastAsiaTheme="minorEastAsia" w:hAnsiTheme="minorEastAsia"/>
          <w:sz w:val="18"/>
          <w:szCs w:val="18"/>
        </w:rPr>
        <w:t>)</w:t>
      </w:r>
      <w:r w:rsidRPr="00831C3C">
        <w:rPr>
          <w:rFonts w:asciiTheme="minorEastAsia" w:eastAsiaTheme="minorEastAsia" w:hAnsiTheme="minorEastAsia" w:hint="eastAsia"/>
          <w:sz w:val="18"/>
          <w:szCs w:val="18"/>
        </w:rPr>
        <w:t>向客户收取对价的权利作为应收款项单独列示。</w:t>
      </w:r>
    </w:p>
    <w:p w:rsidR="00C65FD5" w:rsidRPr="00831C3C" w:rsidRDefault="00C65FD5" w:rsidP="008007EA">
      <w:pPr>
        <w:pStyle w:val="a3"/>
        <w:spacing w:before="0" w:beforeAutospacing="0" w:after="0" w:afterAutospacing="0"/>
        <w:ind w:firstLine="420"/>
        <w:jc w:val="both"/>
        <w:divId w:val="1874461574"/>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本公司对合同资产的预期信用损失的确定方法及会计处理方法详见本</w:t>
      </w:r>
      <w:r w:rsidR="00257CA8" w:rsidRPr="00831C3C">
        <w:rPr>
          <w:rFonts w:asciiTheme="minorEastAsia" w:eastAsiaTheme="minorEastAsia" w:hAnsiTheme="minorEastAsia" w:hint="eastAsia"/>
          <w:sz w:val="18"/>
          <w:szCs w:val="18"/>
        </w:rPr>
        <w:t>附注（十）6.</w:t>
      </w:r>
      <w:r w:rsidRPr="00831C3C">
        <w:rPr>
          <w:rFonts w:asciiTheme="minorEastAsia" w:eastAsiaTheme="minorEastAsia" w:hAnsiTheme="minorEastAsia" w:hint="eastAsia"/>
          <w:sz w:val="18"/>
          <w:szCs w:val="18"/>
        </w:rPr>
        <w:t>金融工具减值。</w:t>
      </w:r>
    </w:p>
    <w:p w:rsidR="00C65FD5" w:rsidRPr="00831C3C" w:rsidRDefault="00C65FD5" w:rsidP="008007EA">
      <w:pPr>
        <w:pStyle w:val="a3"/>
        <w:spacing w:before="0" w:beforeAutospacing="0" w:after="0" w:afterAutospacing="0"/>
        <w:ind w:firstLine="420"/>
        <w:jc w:val="both"/>
        <w:divId w:val="1874461574"/>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对信用风险与组合信用风险显著不同的合同资产，本公司按单项计提预期信用损失。本公司对单项金额重大且在初始确认后已经发生信用减值的合同资产单独确定其信用损失。</w:t>
      </w:r>
    </w:p>
    <w:p w:rsidR="00C65FD5" w:rsidRPr="00831C3C" w:rsidRDefault="00C65FD5" w:rsidP="008007EA">
      <w:pPr>
        <w:pStyle w:val="a3"/>
        <w:spacing w:before="0" w:beforeAutospacing="0" w:after="0" w:afterAutospacing="0"/>
        <w:ind w:firstLine="420"/>
        <w:jc w:val="both"/>
        <w:divId w:val="1874461574"/>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当在单项工具层面无法以合理成本评估预期信用损失的充分证据时，本公司参考历史信用损失经验，结合当前状况以及对未来经济状况的判断，依据信用风险特征将合同资产划分为若干组合，在组合基础上计算预期信用损失。</w:t>
      </w:r>
    </w:p>
    <w:p w:rsidR="00E23A97" w:rsidRPr="00831C3C" w:rsidRDefault="00C65FD5">
      <w:pPr>
        <w:pStyle w:val="3"/>
        <w:spacing w:line="280" w:lineRule="exact"/>
        <w:jc w:val="left"/>
        <w:rPr>
          <w:rFonts w:ascii="宋体" w:hAnsi="宋体" w:cs="宋体"/>
          <w:b/>
          <w:bCs/>
        </w:rPr>
      </w:pPr>
      <w:bookmarkStart w:id="195" w:name="_Toc989082"/>
      <w:r w:rsidRPr="00831C3C">
        <w:rPr>
          <w:rFonts w:ascii="宋体" w:hAnsi="宋体" w:cs="宋体"/>
          <w:b/>
          <w:bCs/>
        </w:rPr>
        <w:t>17、存货</w:t>
      </w:r>
      <w:bookmarkEnd w:id="195"/>
    </w:p>
    <w:p w:rsidR="00C65FD5" w:rsidRPr="00831C3C" w:rsidRDefault="00C65FD5" w:rsidP="00CC7D91">
      <w:pPr>
        <w:widowControl/>
        <w:numPr>
          <w:ilvl w:val="2"/>
          <w:numId w:val="67"/>
        </w:numPr>
        <w:tabs>
          <w:tab w:val="clear" w:pos="2160"/>
        </w:tabs>
        <w:spacing w:before="100" w:beforeAutospacing="1" w:after="100" w:afterAutospacing="1"/>
        <w:ind w:left="851"/>
        <w:divId w:val="1374698825"/>
        <w:rPr>
          <w:rFonts w:asciiTheme="minorEastAsia" w:hAnsiTheme="minorEastAsia"/>
          <w:sz w:val="18"/>
          <w:szCs w:val="18"/>
        </w:rPr>
      </w:pPr>
      <w:r w:rsidRPr="00831C3C">
        <w:rPr>
          <w:rFonts w:hint="eastAsia"/>
          <w:sz w:val="18"/>
          <w:szCs w:val="18"/>
        </w:rPr>
        <w:t>．</w:t>
      </w:r>
      <w:r w:rsidRPr="00831C3C">
        <w:rPr>
          <w:rFonts w:asciiTheme="minorEastAsia" w:hAnsiTheme="minorEastAsia" w:hint="eastAsia"/>
          <w:sz w:val="18"/>
          <w:szCs w:val="18"/>
        </w:rPr>
        <w:t>存货的确认条件</w:t>
      </w:r>
    </w:p>
    <w:p w:rsidR="00C65FD5" w:rsidRPr="00831C3C" w:rsidRDefault="00C65FD5" w:rsidP="008007EA">
      <w:pPr>
        <w:pStyle w:val="a3"/>
        <w:spacing w:before="0" w:beforeAutospacing="0" w:after="0" w:afterAutospacing="0"/>
        <w:ind w:firstLine="424"/>
        <w:divId w:val="1374698825"/>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在满足存货定义的基础上，持有的存货同时满足下列条件的，才能予以确认：</w:t>
      </w:r>
    </w:p>
    <w:p w:rsidR="00C65FD5" w:rsidRPr="00831C3C" w:rsidRDefault="00C65FD5" w:rsidP="008007EA">
      <w:pPr>
        <w:pStyle w:val="a3"/>
        <w:spacing w:before="0" w:beforeAutospacing="0" w:after="0" w:afterAutospacing="0"/>
        <w:ind w:firstLine="420"/>
        <w:jc w:val="both"/>
        <w:divId w:val="1374698825"/>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cs="Arial"/>
          <w:sz w:val="18"/>
          <w:szCs w:val="18"/>
        </w:rPr>
        <w:t>1</w:t>
      </w:r>
      <w:r w:rsidRPr="00831C3C">
        <w:rPr>
          <w:rFonts w:asciiTheme="minorEastAsia" w:eastAsiaTheme="minorEastAsia" w:hAnsiTheme="minorEastAsia" w:hint="eastAsia"/>
          <w:sz w:val="18"/>
          <w:szCs w:val="18"/>
        </w:rPr>
        <w:t>）与该存货有关的经济利益很可能流入企业；；</w:t>
      </w:r>
    </w:p>
    <w:p w:rsidR="00C65FD5" w:rsidRPr="00831C3C" w:rsidRDefault="00C65FD5" w:rsidP="008007EA">
      <w:pPr>
        <w:pStyle w:val="a3"/>
        <w:spacing w:before="0" w:beforeAutospacing="0" w:after="0" w:afterAutospacing="0"/>
        <w:ind w:firstLine="420"/>
        <w:jc w:val="both"/>
        <w:divId w:val="1374698825"/>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cs="Arial"/>
          <w:sz w:val="18"/>
          <w:szCs w:val="18"/>
        </w:rPr>
        <w:t>2</w:t>
      </w:r>
      <w:r w:rsidRPr="00831C3C">
        <w:rPr>
          <w:rFonts w:asciiTheme="minorEastAsia" w:eastAsiaTheme="minorEastAsia" w:hAnsiTheme="minorEastAsia" w:hint="eastAsia"/>
          <w:sz w:val="18"/>
          <w:szCs w:val="18"/>
        </w:rPr>
        <w:t>）该存货的成本能够可靠地计量。</w:t>
      </w:r>
    </w:p>
    <w:p w:rsidR="00C65FD5" w:rsidRPr="00831C3C" w:rsidRDefault="00C65FD5" w:rsidP="00CC7D91">
      <w:pPr>
        <w:widowControl/>
        <w:numPr>
          <w:ilvl w:val="2"/>
          <w:numId w:val="67"/>
        </w:numPr>
        <w:tabs>
          <w:tab w:val="clear" w:pos="2160"/>
        </w:tabs>
        <w:spacing w:before="100" w:beforeAutospacing="1" w:after="100" w:afterAutospacing="1"/>
        <w:ind w:left="851"/>
        <w:divId w:val="1374698825"/>
        <w:rPr>
          <w:rFonts w:asciiTheme="minorEastAsia" w:hAnsiTheme="minorEastAsia"/>
          <w:sz w:val="18"/>
          <w:szCs w:val="18"/>
        </w:rPr>
      </w:pPr>
      <w:r w:rsidRPr="00831C3C">
        <w:rPr>
          <w:rFonts w:asciiTheme="minorEastAsia" w:hAnsiTheme="minorEastAsia" w:hint="eastAsia"/>
          <w:sz w:val="18"/>
          <w:szCs w:val="18"/>
        </w:rPr>
        <w:t>．存货类别、发出计价方法、盘存制度、低值易耗品和包装物的摊销方法</w:t>
      </w:r>
    </w:p>
    <w:p w:rsidR="00C65FD5" w:rsidRPr="00831C3C" w:rsidRDefault="00C65FD5" w:rsidP="00CC7D91">
      <w:pPr>
        <w:widowControl/>
        <w:numPr>
          <w:ilvl w:val="0"/>
          <w:numId w:val="68"/>
        </w:numPr>
        <w:spacing w:before="100" w:beforeAutospacing="1" w:after="100" w:afterAutospacing="1"/>
        <w:divId w:val="1374698825"/>
        <w:rPr>
          <w:rFonts w:asciiTheme="minorEastAsia" w:hAnsiTheme="minorEastAsia"/>
          <w:sz w:val="18"/>
          <w:szCs w:val="18"/>
        </w:rPr>
      </w:pPr>
      <w:r w:rsidRPr="00831C3C">
        <w:rPr>
          <w:rFonts w:asciiTheme="minorEastAsia" w:hAnsiTheme="minorEastAsia" w:hint="eastAsia"/>
          <w:sz w:val="18"/>
          <w:szCs w:val="18"/>
        </w:rPr>
        <w:lastRenderedPageBreak/>
        <w:t>存货类别</w:t>
      </w:r>
    </w:p>
    <w:p w:rsidR="00C65FD5" w:rsidRPr="00831C3C" w:rsidRDefault="00C65FD5" w:rsidP="008007EA">
      <w:pPr>
        <w:pStyle w:val="a3"/>
        <w:spacing w:before="0" w:beforeAutospacing="0" w:after="0" w:afterAutospacing="0"/>
        <w:ind w:firstLine="420"/>
        <w:jc w:val="both"/>
        <w:divId w:val="1374698825"/>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存货是指本公司在日常活动中持有以备出售的产成品或商品、处在生产过程中的在产品、在生产过程或提供劳务过程中耗用的材料和物料等。主要包括原材料、周转材料、委托加工材料、在产品、自制半成品、产成品（库存商品）、发出商品等。</w:t>
      </w:r>
    </w:p>
    <w:p w:rsidR="00C65FD5" w:rsidRPr="00831C3C" w:rsidRDefault="00C65FD5" w:rsidP="00CC7D91">
      <w:pPr>
        <w:widowControl/>
        <w:numPr>
          <w:ilvl w:val="0"/>
          <w:numId w:val="69"/>
        </w:numPr>
        <w:spacing w:before="100" w:beforeAutospacing="1" w:after="100" w:afterAutospacing="1"/>
        <w:divId w:val="1374698825"/>
        <w:rPr>
          <w:rFonts w:asciiTheme="minorEastAsia" w:hAnsiTheme="minorEastAsia"/>
          <w:sz w:val="18"/>
          <w:szCs w:val="18"/>
        </w:rPr>
      </w:pPr>
      <w:r w:rsidRPr="00831C3C">
        <w:rPr>
          <w:rFonts w:asciiTheme="minorEastAsia" w:hAnsiTheme="minorEastAsia" w:hint="eastAsia"/>
          <w:sz w:val="18"/>
          <w:szCs w:val="18"/>
        </w:rPr>
        <w:t>存货发出计价方法</w:t>
      </w:r>
    </w:p>
    <w:p w:rsidR="00C65FD5" w:rsidRPr="00831C3C" w:rsidRDefault="00C65FD5" w:rsidP="008007EA">
      <w:pPr>
        <w:pStyle w:val="a3"/>
        <w:spacing w:before="0" w:beforeAutospacing="0" w:after="0" w:afterAutospacing="0"/>
        <w:ind w:firstLine="420"/>
        <w:jc w:val="both"/>
        <w:divId w:val="1374698825"/>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存货在取得时，按成本进行初始计量，包括采购成本、加工成本和其他成本。</w:t>
      </w:r>
    </w:p>
    <w:p w:rsidR="00C65FD5" w:rsidRPr="00831C3C" w:rsidRDefault="00C65FD5" w:rsidP="008007EA">
      <w:pPr>
        <w:pStyle w:val="a3"/>
        <w:spacing w:before="0" w:beforeAutospacing="0" w:after="0" w:afterAutospacing="0"/>
        <w:ind w:firstLine="420"/>
        <w:jc w:val="both"/>
        <w:divId w:val="1374698825"/>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存货发出时按移动加权平均法计价。</w:t>
      </w:r>
    </w:p>
    <w:p w:rsidR="00C65FD5" w:rsidRPr="00831C3C" w:rsidRDefault="00C65FD5" w:rsidP="00CC7D91">
      <w:pPr>
        <w:widowControl/>
        <w:numPr>
          <w:ilvl w:val="0"/>
          <w:numId w:val="70"/>
        </w:numPr>
        <w:spacing w:before="100" w:beforeAutospacing="1" w:after="100" w:afterAutospacing="1"/>
        <w:divId w:val="1374698825"/>
        <w:rPr>
          <w:rFonts w:asciiTheme="minorEastAsia" w:hAnsiTheme="minorEastAsia"/>
          <w:sz w:val="18"/>
          <w:szCs w:val="18"/>
        </w:rPr>
      </w:pPr>
      <w:r w:rsidRPr="00831C3C">
        <w:rPr>
          <w:rFonts w:asciiTheme="minorEastAsia" w:hAnsiTheme="minorEastAsia" w:hint="eastAsia"/>
          <w:sz w:val="18"/>
          <w:szCs w:val="18"/>
        </w:rPr>
        <w:t>存货的盘存制度</w:t>
      </w:r>
    </w:p>
    <w:p w:rsidR="00C65FD5" w:rsidRPr="00831C3C" w:rsidRDefault="00C65FD5" w:rsidP="008007EA">
      <w:pPr>
        <w:pStyle w:val="a3"/>
        <w:spacing w:before="0" w:beforeAutospacing="0" w:after="0" w:afterAutospacing="0"/>
        <w:ind w:firstLine="420"/>
        <w:jc w:val="both"/>
        <w:divId w:val="1374698825"/>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存货盘存制度为永续盘存制。</w:t>
      </w:r>
    </w:p>
    <w:p w:rsidR="00C65FD5" w:rsidRPr="00831C3C" w:rsidRDefault="00C65FD5" w:rsidP="00CC7D91">
      <w:pPr>
        <w:widowControl/>
        <w:numPr>
          <w:ilvl w:val="0"/>
          <w:numId w:val="71"/>
        </w:numPr>
        <w:spacing w:before="100" w:beforeAutospacing="1" w:after="100" w:afterAutospacing="1"/>
        <w:divId w:val="1374698825"/>
        <w:rPr>
          <w:rFonts w:asciiTheme="minorEastAsia" w:hAnsiTheme="minorEastAsia"/>
          <w:sz w:val="18"/>
          <w:szCs w:val="18"/>
        </w:rPr>
      </w:pPr>
      <w:r w:rsidRPr="00831C3C">
        <w:rPr>
          <w:rFonts w:asciiTheme="minorEastAsia" w:hAnsiTheme="minorEastAsia" w:hint="eastAsia"/>
          <w:sz w:val="18"/>
          <w:szCs w:val="18"/>
        </w:rPr>
        <w:t>低值易耗品和包装物的摊销方法</w:t>
      </w:r>
    </w:p>
    <w:p w:rsidR="00C65FD5" w:rsidRPr="00831C3C" w:rsidRDefault="00C65FD5" w:rsidP="008007EA">
      <w:pPr>
        <w:pStyle w:val="a3"/>
        <w:spacing w:before="0" w:beforeAutospacing="0" w:after="0" w:afterAutospacing="0"/>
        <w:ind w:left="420"/>
        <w:jc w:val="both"/>
        <w:divId w:val="1374698825"/>
        <w:rPr>
          <w:rFonts w:asciiTheme="minorEastAsia" w:eastAsiaTheme="minorEastAsia" w:hAnsiTheme="minorEastAsia"/>
          <w:sz w:val="18"/>
          <w:szCs w:val="18"/>
        </w:rPr>
      </w:pPr>
      <w:r w:rsidRPr="00831C3C">
        <w:rPr>
          <w:rFonts w:asciiTheme="minorEastAsia" w:eastAsiaTheme="minorEastAsia" w:hAnsiTheme="minorEastAsia" w:cs="Arial"/>
          <w:sz w:val="18"/>
          <w:szCs w:val="18"/>
        </w:rPr>
        <w:t>1</w:t>
      </w:r>
      <w:r w:rsidRPr="00831C3C">
        <w:rPr>
          <w:rFonts w:asciiTheme="minorEastAsia" w:eastAsiaTheme="minorEastAsia" w:hAnsiTheme="minorEastAsia" w:hint="eastAsia"/>
          <w:sz w:val="18"/>
          <w:szCs w:val="18"/>
        </w:rPr>
        <w:t>）低值易耗品采用一次转销法进行摊销；</w:t>
      </w:r>
    </w:p>
    <w:p w:rsidR="00C65FD5" w:rsidRPr="00831C3C" w:rsidRDefault="00C65FD5" w:rsidP="008007EA">
      <w:pPr>
        <w:pStyle w:val="a3"/>
        <w:spacing w:before="0" w:beforeAutospacing="0" w:after="0" w:afterAutospacing="0"/>
        <w:ind w:left="420"/>
        <w:jc w:val="both"/>
        <w:divId w:val="1374698825"/>
        <w:rPr>
          <w:rFonts w:asciiTheme="minorEastAsia" w:eastAsiaTheme="minorEastAsia" w:hAnsiTheme="minorEastAsia"/>
          <w:sz w:val="18"/>
          <w:szCs w:val="18"/>
        </w:rPr>
      </w:pPr>
      <w:r w:rsidRPr="00831C3C">
        <w:rPr>
          <w:rFonts w:asciiTheme="minorEastAsia" w:eastAsiaTheme="minorEastAsia" w:hAnsiTheme="minorEastAsia" w:cs="Arial"/>
          <w:sz w:val="18"/>
          <w:szCs w:val="18"/>
        </w:rPr>
        <w:t>2</w:t>
      </w:r>
      <w:r w:rsidRPr="00831C3C">
        <w:rPr>
          <w:rFonts w:asciiTheme="minorEastAsia" w:eastAsiaTheme="minorEastAsia" w:hAnsiTheme="minorEastAsia" w:hint="eastAsia"/>
          <w:sz w:val="18"/>
          <w:szCs w:val="18"/>
        </w:rPr>
        <w:t>）包装物采用一次转销法进行摊销。</w:t>
      </w:r>
    </w:p>
    <w:p w:rsidR="00C65FD5" w:rsidRPr="00831C3C" w:rsidRDefault="00C65FD5" w:rsidP="008007EA">
      <w:pPr>
        <w:pStyle w:val="a3"/>
        <w:spacing w:before="0" w:beforeAutospacing="0" w:after="0" w:afterAutospacing="0"/>
        <w:ind w:left="420"/>
        <w:jc w:val="both"/>
        <w:divId w:val="1374698825"/>
        <w:rPr>
          <w:rFonts w:asciiTheme="minorEastAsia" w:eastAsiaTheme="minorEastAsia" w:hAnsiTheme="minorEastAsia"/>
          <w:sz w:val="18"/>
          <w:szCs w:val="18"/>
        </w:rPr>
      </w:pPr>
      <w:r w:rsidRPr="00831C3C">
        <w:rPr>
          <w:rFonts w:asciiTheme="minorEastAsia" w:eastAsiaTheme="minorEastAsia" w:hAnsiTheme="minorEastAsia" w:cs="Arial"/>
          <w:sz w:val="18"/>
          <w:szCs w:val="18"/>
        </w:rPr>
        <w:t>3</w:t>
      </w:r>
      <w:r w:rsidRPr="00831C3C">
        <w:rPr>
          <w:rFonts w:asciiTheme="minorEastAsia" w:eastAsiaTheme="minorEastAsia" w:hAnsiTheme="minorEastAsia" w:hint="eastAsia"/>
          <w:sz w:val="18"/>
          <w:szCs w:val="18"/>
        </w:rPr>
        <w:t>）其他周转材料采用一次转销法进行摊销。</w:t>
      </w:r>
    </w:p>
    <w:p w:rsidR="00C65FD5" w:rsidRPr="00831C3C" w:rsidRDefault="00C65FD5" w:rsidP="00CC7D91">
      <w:pPr>
        <w:widowControl/>
        <w:numPr>
          <w:ilvl w:val="2"/>
          <w:numId w:val="67"/>
        </w:numPr>
        <w:tabs>
          <w:tab w:val="clear" w:pos="2160"/>
        </w:tabs>
        <w:spacing w:before="100" w:beforeAutospacing="1" w:after="100" w:afterAutospacing="1"/>
        <w:ind w:left="851"/>
        <w:divId w:val="1374698825"/>
        <w:rPr>
          <w:rFonts w:asciiTheme="minorEastAsia" w:hAnsiTheme="minorEastAsia"/>
          <w:sz w:val="18"/>
          <w:szCs w:val="18"/>
        </w:rPr>
      </w:pPr>
      <w:r w:rsidRPr="00831C3C">
        <w:rPr>
          <w:rFonts w:asciiTheme="minorEastAsia" w:hAnsiTheme="minorEastAsia" w:hint="eastAsia"/>
          <w:sz w:val="18"/>
          <w:szCs w:val="18"/>
        </w:rPr>
        <w:t>．存货跌价准备的确认标准和计提方法</w:t>
      </w:r>
    </w:p>
    <w:p w:rsidR="00C65FD5" w:rsidRPr="00831C3C" w:rsidRDefault="00C65FD5" w:rsidP="008007EA">
      <w:pPr>
        <w:pStyle w:val="a3"/>
        <w:spacing w:before="0" w:beforeAutospacing="0" w:after="0" w:afterAutospacing="0"/>
        <w:ind w:firstLine="420"/>
        <w:jc w:val="both"/>
        <w:divId w:val="1374698825"/>
        <w:rPr>
          <w:rFonts w:asciiTheme="minorEastAsia" w:eastAsiaTheme="minorEastAsia" w:hAnsiTheme="minorEastAsia"/>
          <w:sz w:val="18"/>
          <w:szCs w:val="18"/>
        </w:rPr>
      </w:pPr>
      <w:proofErr w:type="gramStart"/>
      <w:r w:rsidRPr="00831C3C">
        <w:rPr>
          <w:rFonts w:asciiTheme="minorEastAsia" w:eastAsiaTheme="minorEastAsia" w:hAnsiTheme="minorEastAsia" w:hint="eastAsia"/>
          <w:sz w:val="18"/>
          <w:szCs w:val="18"/>
        </w:rPr>
        <w:t>期末对</w:t>
      </w:r>
      <w:proofErr w:type="gramEnd"/>
      <w:r w:rsidRPr="00831C3C">
        <w:rPr>
          <w:rFonts w:asciiTheme="minorEastAsia" w:eastAsiaTheme="minorEastAsia" w:hAnsiTheme="minorEastAsia" w:hint="eastAsia"/>
          <w:sz w:val="18"/>
          <w:szCs w:val="18"/>
        </w:rPr>
        <w:t>存货进行全面清查后，按存货的成本与可变现净值孰低提取或调整存货跌价准备。产成品、库存商品和用于出售的材料等直接用于出售的商品存货，在正常生产经营过程中，以该存货的估计售价减去估计的销售费用和相关税费后的金额，确定其可变现净值；需要经过加工的材料存货，在正常生产经营过程中，以所生产的产成品的估计售价减去至完工时估计将要发生的成本、估计的销售费用和相关税费后的金额，确定其可变现净值；为执行销售合同或者劳务合同而持有的存货，其可变现净值以合同价格为基础计算，若持有存货的数量多于销售合同订购数量的，超出部分的存货的可变现净值以一般销售价格为基础计算。</w:t>
      </w:r>
    </w:p>
    <w:p w:rsidR="00C65FD5" w:rsidRPr="00831C3C" w:rsidRDefault="00C65FD5" w:rsidP="008007EA">
      <w:pPr>
        <w:pStyle w:val="a3"/>
        <w:spacing w:before="0" w:beforeAutospacing="0" w:after="0" w:afterAutospacing="0"/>
        <w:ind w:firstLine="420"/>
        <w:jc w:val="both"/>
        <w:divId w:val="1374698825"/>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期末按照单个存货项目计提存货跌价准备；但对于数量繁多、单价较低的存货，按照存货类别计提存货跌价准备；与在同一地区生产和销售的产品系列相关、具有相同或类似最终用途或目的，且难以与其他项目分开计量的存货，则合并计提存货跌价准备。</w:t>
      </w:r>
    </w:p>
    <w:p w:rsidR="00C65FD5" w:rsidRPr="00831C3C" w:rsidRDefault="00C65FD5" w:rsidP="008007EA">
      <w:pPr>
        <w:pStyle w:val="a3"/>
        <w:divId w:val="1374698825"/>
        <w:rPr>
          <w:rFonts w:asciiTheme="minorEastAsia" w:eastAsiaTheme="minorEastAsia" w:hAnsiTheme="minorEastAsia"/>
          <w:sz w:val="18"/>
          <w:szCs w:val="18"/>
        </w:rPr>
      </w:pPr>
      <w:proofErr w:type="gramStart"/>
      <w:r w:rsidRPr="00831C3C">
        <w:rPr>
          <w:rFonts w:asciiTheme="minorEastAsia" w:eastAsiaTheme="minorEastAsia" w:hAnsiTheme="minorEastAsia" w:hint="eastAsia"/>
          <w:sz w:val="18"/>
          <w:szCs w:val="18"/>
        </w:rPr>
        <w:t>以前减记</w:t>
      </w:r>
      <w:proofErr w:type="gramEnd"/>
      <w:r w:rsidRPr="00831C3C">
        <w:rPr>
          <w:rFonts w:asciiTheme="minorEastAsia" w:eastAsiaTheme="minorEastAsia" w:hAnsiTheme="minorEastAsia" w:hint="eastAsia"/>
          <w:sz w:val="18"/>
          <w:szCs w:val="18"/>
        </w:rPr>
        <w:t>存货价值的影响因素已经消失的，</w:t>
      </w:r>
      <w:proofErr w:type="gramStart"/>
      <w:r w:rsidRPr="00831C3C">
        <w:rPr>
          <w:rFonts w:asciiTheme="minorEastAsia" w:eastAsiaTheme="minorEastAsia" w:hAnsiTheme="minorEastAsia" w:hint="eastAsia"/>
          <w:sz w:val="18"/>
          <w:szCs w:val="18"/>
        </w:rPr>
        <w:t>减记的</w:t>
      </w:r>
      <w:proofErr w:type="gramEnd"/>
      <w:r w:rsidRPr="00831C3C">
        <w:rPr>
          <w:rFonts w:asciiTheme="minorEastAsia" w:eastAsiaTheme="minorEastAsia" w:hAnsiTheme="minorEastAsia" w:hint="eastAsia"/>
          <w:sz w:val="18"/>
          <w:szCs w:val="18"/>
        </w:rPr>
        <w:t>金额予以恢复，并在原已计提的存货跌价准备金额内转回，转回的金额计入当期损益。</w:t>
      </w:r>
    </w:p>
    <w:p w:rsidR="00E23A97" w:rsidRPr="00831C3C" w:rsidRDefault="00C65FD5">
      <w:pPr>
        <w:pStyle w:val="3"/>
        <w:spacing w:line="280" w:lineRule="exact"/>
        <w:jc w:val="left"/>
        <w:rPr>
          <w:rFonts w:ascii="宋体" w:hAnsi="宋体" w:cs="宋体"/>
          <w:b/>
          <w:bCs/>
        </w:rPr>
      </w:pPr>
      <w:bookmarkStart w:id="196" w:name="_Toc989083"/>
      <w:r w:rsidRPr="00831C3C">
        <w:rPr>
          <w:rFonts w:ascii="宋体" w:hAnsi="宋体" w:cs="宋体"/>
          <w:b/>
          <w:bCs/>
        </w:rPr>
        <w:t>18、持有待售资产</w:t>
      </w:r>
      <w:bookmarkEnd w:id="196"/>
    </w:p>
    <w:p w:rsidR="00C65FD5" w:rsidRPr="00831C3C" w:rsidRDefault="00C65FD5" w:rsidP="00CC7D91">
      <w:pPr>
        <w:widowControl/>
        <w:numPr>
          <w:ilvl w:val="0"/>
          <w:numId w:val="72"/>
        </w:numPr>
        <w:spacing w:before="100" w:beforeAutospacing="1" w:after="100" w:afterAutospacing="1"/>
        <w:divId w:val="1338266151"/>
        <w:rPr>
          <w:rFonts w:asciiTheme="minorEastAsia" w:hAnsiTheme="minorEastAsia"/>
          <w:sz w:val="18"/>
          <w:szCs w:val="18"/>
        </w:rPr>
      </w:pPr>
      <w:r w:rsidRPr="00831C3C">
        <w:rPr>
          <w:rFonts w:asciiTheme="minorEastAsia" w:hAnsiTheme="minorEastAsia" w:hint="eastAsia"/>
          <w:sz w:val="18"/>
          <w:szCs w:val="18"/>
        </w:rPr>
        <w:t>．划分为持有待售确认标准</w:t>
      </w:r>
    </w:p>
    <w:p w:rsidR="00C65FD5" w:rsidRPr="00831C3C" w:rsidRDefault="00C65FD5" w:rsidP="008007EA">
      <w:pPr>
        <w:pStyle w:val="a3"/>
        <w:spacing w:before="0" w:beforeAutospacing="0" w:after="0" w:afterAutospacing="0"/>
        <w:ind w:firstLine="420"/>
        <w:jc w:val="both"/>
        <w:divId w:val="1338266151"/>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本公司将同时满足下列条件的非流动资产或</w:t>
      </w:r>
      <w:proofErr w:type="gramStart"/>
      <w:r w:rsidRPr="00831C3C">
        <w:rPr>
          <w:rFonts w:asciiTheme="minorEastAsia" w:eastAsiaTheme="minorEastAsia" w:hAnsiTheme="minorEastAsia" w:hint="eastAsia"/>
          <w:sz w:val="18"/>
          <w:szCs w:val="18"/>
        </w:rPr>
        <w:t>处置组</w:t>
      </w:r>
      <w:proofErr w:type="gramEnd"/>
      <w:r w:rsidRPr="00831C3C">
        <w:rPr>
          <w:rFonts w:asciiTheme="minorEastAsia" w:eastAsiaTheme="minorEastAsia" w:hAnsiTheme="minorEastAsia" w:hint="eastAsia"/>
          <w:sz w:val="18"/>
          <w:szCs w:val="18"/>
        </w:rPr>
        <w:t>确认为持有待售组成部分：</w:t>
      </w:r>
    </w:p>
    <w:p w:rsidR="00C65FD5" w:rsidRPr="00831C3C" w:rsidRDefault="00C65FD5" w:rsidP="008007EA">
      <w:pPr>
        <w:pStyle w:val="a3"/>
        <w:spacing w:before="0" w:beforeAutospacing="0" w:after="0" w:afterAutospacing="0"/>
        <w:ind w:firstLine="420"/>
        <w:jc w:val="both"/>
        <w:divId w:val="1338266151"/>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1</w:t>
      </w:r>
      <w:r w:rsidRPr="00831C3C">
        <w:rPr>
          <w:rFonts w:asciiTheme="minorEastAsia" w:eastAsiaTheme="minorEastAsia" w:hAnsiTheme="minorEastAsia" w:hint="eastAsia"/>
          <w:sz w:val="18"/>
          <w:szCs w:val="18"/>
        </w:rPr>
        <w:t>）根据类似交易中出售此类资产或</w:t>
      </w:r>
      <w:proofErr w:type="gramStart"/>
      <w:r w:rsidRPr="00831C3C">
        <w:rPr>
          <w:rFonts w:asciiTheme="minorEastAsia" w:eastAsiaTheme="minorEastAsia" w:hAnsiTheme="minorEastAsia" w:hint="eastAsia"/>
          <w:sz w:val="18"/>
          <w:szCs w:val="18"/>
        </w:rPr>
        <w:t>处置组</w:t>
      </w:r>
      <w:proofErr w:type="gramEnd"/>
      <w:r w:rsidRPr="00831C3C">
        <w:rPr>
          <w:rFonts w:asciiTheme="minorEastAsia" w:eastAsiaTheme="minorEastAsia" w:hAnsiTheme="minorEastAsia" w:hint="eastAsia"/>
          <w:sz w:val="18"/>
          <w:szCs w:val="18"/>
        </w:rPr>
        <w:t>的惯例，在当前状况下即可立即出售；</w:t>
      </w:r>
    </w:p>
    <w:p w:rsidR="00C65FD5" w:rsidRPr="00831C3C" w:rsidRDefault="00C65FD5" w:rsidP="008007EA">
      <w:pPr>
        <w:pStyle w:val="a3"/>
        <w:spacing w:before="0" w:beforeAutospacing="0" w:after="0" w:afterAutospacing="0"/>
        <w:ind w:firstLine="420"/>
        <w:jc w:val="both"/>
        <w:divId w:val="1338266151"/>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2</w:t>
      </w:r>
      <w:r w:rsidRPr="00831C3C">
        <w:rPr>
          <w:rFonts w:asciiTheme="minorEastAsia" w:eastAsiaTheme="minorEastAsia" w:hAnsiTheme="minorEastAsia" w:hint="eastAsia"/>
          <w:sz w:val="18"/>
          <w:szCs w:val="18"/>
        </w:rPr>
        <w:t>）</w:t>
      </w:r>
      <w:proofErr w:type="gramStart"/>
      <w:r w:rsidRPr="00831C3C">
        <w:rPr>
          <w:rFonts w:asciiTheme="minorEastAsia" w:eastAsiaTheme="minorEastAsia" w:hAnsiTheme="minorEastAsia" w:hint="eastAsia"/>
          <w:sz w:val="18"/>
          <w:szCs w:val="18"/>
        </w:rPr>
        <w:t>出售极</w:t>
      </w:r>
      <w:proofErr w:type="gramEnd"/>
      <w:r w:rsidRPr="00831C3C">
        <w:rPr>
          <w:rFonts w:asciiTheme="minorEastAsia" w:eastAsiaTheme="minorEastAsia" w:hAnsiTheme="minorEastAsia" w:hint="eastAsia"/>
          <w:sz w:val="18"/>
          <w:szCs w:val="18"/>
        </w:rPr>
        <w:t>可能发生，即本公司已经就一项出售计划</w:t>
      </w:r>
      <w:proofErr w:type="gramStart"/>
      <w:r w:rsidRPr="00831C3C">
        <w:rPr>
          <w:rFonts w:asciiTheme="minorEastAsia" w:eastAsiaTheme="minorEastAsia" w:hAnsiTheme="minorEastAsia" w:hint="eastAsia"/>
          <w:sz w:val="18"/>
          <w:szCs w:val="18"/>
        </w:rPr>
        <w:t>作出</w:t>
      </w:r>
      <w:proofErr w:type="gramEnd"/>
      <w:r w:rsidRPr="00831C3C">
        <w:rPr>
          <w:rFonts w:asciiTheme="minorEastAsia" w:eastAsiaTheme="minorEastAsia" w:hAnsiTheme="minorEastAsia" w:hint="eastAsia"/>
          <w:sz w:val="18"/>
          <w:szCs w:val="18"/>
        </w:rPr>
        <w:t>决议，并已获得监管部门批准，且获得确定的购买承诺，预计出售将在一年内完成。</w:t>
      </w:r>
    </w:p>
    <w:p w:rsidR="00C65FD5" w:rsidRPr="00831C3C" w:rsidRDefault="00C65FD5" w:rsidP="008007EA">
      <w:pPr>
        <w:pStyle w:val="a3"/>
        <w:spacing w:before="0" w:beforeAutospacing="0" w:after="0" w:afterAutospacing="0"/>
        <w:ind w:firstLine="420"/>
        <w:jc w:val="both"/>
        <w:divId w:val="1338266151"/>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确定的购买承诺，是指本公司与其他方签订的具有法律约束力的购买协议，该协议包含交易价格、时间和足够严厉的违约惩罚等重要条款，使协议出现重大调整或者撤销的可能性极小。</w:t>
      </w:r>
    </w:p>
    <w:p w:rsidR="00C65FD5" w:rsidRPr="00831C3C" w:rsidRDefault="00C65FD5" w:rsidP="00CC7D91">
      <w:pPr>
        <w:widowControl/>
        <w:numPr>
          <w:ilvl w:val="0"/>
          <w:numId w:val="73"/>
        </w:numPr>
        <w:spacing w:before="100" w:beforeAutospacing="1" w:after="100" w:afterAutospacing="1"/>
        <w:divId w:val="1338266151"/>
        <w:rPr>
          <w:rFonts w:asciiTheme="minorEastAsia" w:hAnsiTheme="minorEastAsia"/>
          <w:sz w:val="18"/>
          <w:szCs w:val="18"/>
        </w:rPr>
      </w:pPr>
      <w:r w:rsidRPr="00831C3C">
        <w:rPr>
          <w:rFonts w:asciiTheme="minorEastAsia" w:hAnsiTheme="minorEastAsia" w:hint="eastAsia"/>
          <w:sz w:val="18"/>
          <w:szCs w:val="18"/>
        </w:rPr>
        <w:lastRenderedPageBreak/>
        <w:t>．持有待售核算方法</w:t>
      </w:r>
    </w:p>
    <w:p w:rsidR="00C65FD5" w:rsidRPr="00831C3C" w:rsidRDefault="00C65FD5" w:rsidP="008007EA">
      <w:pPr>
        <w:pStyle w:val="a3"/>
        <w:spacing w:before="0" w:beforeAutospacing="0" w:after="0" w:afterAutospacing="0"/>
        <w:ind w:firstLine="420"/>
        <w:jc w:val="both"/>
        <w:divId w:val="1338266151"/>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本公司对于持有待售的非流动资产或</w:t>
      </w:r>
      <w:proofErr w:type="gramStart"/>
      <w:r w:rsidRPr="00831C3C">
        <w:rPr>
          <w:rFonts w:asciiTheme="minorEastAsia" w:eastAsiaTheme="minorEastAsia" w:hAnsiTheme="minorEastAsia" w:hint="eastAsia"/>
          <w:sz w:val="18"/>
          <w:szCs w:val="18"/>
        </w:rPr>
        <w:t>处置组不计</w:t>
      </w:r>
      <w:proofErr w:type="gramEnd"/>
      <w:r w:rsidRPr="00831C3C">
        <w:rPr>
          <w:rFonts w:asciiTheme="minorEastAsia" w:eastAsiaTheme="minorEastAsia" w:hAnsiTheme="minorEastAsia" w:hint="eastAsia"/>
          <w:sz w:val="18"/>
          <w:szCs w:val="18"/>
        </w:rPr>
        <w:t>提折旧或摊销，其账面价值高于公允价值减去出售费用后的净额的，将账面价值</w:t>
      </w:r>
      <w:proofErr w:type="gramStart"/>
      <w:r w:rsidRPr="00831C3C">
        <w:rPr>
          <w:rFonts w:asciiTheme="minorEastAsia" w:eastAsiaTheme="minorEastAsia" w:hAnsiTheme="minorEastAsia" w:hint="eastAsia"/>
          <w:sz w:val="18"/>
          <w:szCs w:val="18"/>
        </w:rPr>
        <w:t>减记至</w:t>
      </w:r>
      <w:proofErr w:type="gramEnd"/>
      <w:r w:rsidRPr="00831C3C">
        <w:rPr>
          <w:rFonts w:asciiTheme="minorEastAsia" w:eastAsiaTheme="minorEastAsia" w:hAnsiTheme="minorEastAsia" w:hint="eastAsia"/>
          <w:sz w:val="18"/>
          <w:szCs w:val="18"/>
        </w:rPr>
        <w:t>公允价值减去出售费用后的净额，</w:t>
      </w:r>
      <w:proofErr w:type="gramStart"/>
      <w:r w:rsidRPr="00831C3C">
        <w:rPr>
          <w:rFonts w:asciiTheme="minorEastAsia" w:eastAsiaTheme="minorEastAsia" w:hAnsiTheme="minorEastAsia" w:hint="eastAsia"/>
          <w:sz w:val="18"/>
          <w:szCs w:val="18"/>
        </w:rPr>
        <w:t>减记的</w:t>
      </w:r>
      <w:proofErr w:type="gramEnd"/>
      <w:r w:rsidRPr="00831C3C">
        <w:rPr>
          <w:rFonts w:asciiTheme="minorEastAsia" w:eastAsiaTheme="minorEastAsia" w:hAnsiTheme="minorEastAsia" w:hint="eastAsia"/>
          <w:sz w:val="18"/>
          <w:szCs w:val="18"/>
        </w:rPr>
        <w:t>金额确认为资产减值损失，计入当期损益，同时计提持有待售资产减值准备。</w:t>
      </w:r>
    </w:p>
    <w:p w:rsidR="00C65FD5" w:rsidRPr="00831C3C" w:rsidRDefault="00C65FD5" w:rsidP="008007EA">
      <w:pPr>
        <w:pStyle w:val="a3"/>
        <w:spacing w:before="0" w:beforeAutospacing="0" w:after="0" w:afterAutospacing="0"/>
        <w:ind w:firstLine="420"/>
        <w:jc w:val="both"/>
        <w:divId w:val="1338266151"/>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对于取得日划分为持有待售类别的非流动资产或处置组，在初始计量时比较假定其不划分为持有待售类别情况下的初始计量金额和公允价值减去出售费用后的净额，以两者孰低计量。</w:t>
      </w:r>
    </w:p>
    <w:p w:rsidR="00C65FD5" w:rsidRPr="00831C3C" w:rsidRDefault="00C65FD5" w:rsidP="008007EA">
      <w:pPr>
        <w:pStyle w:val="a3"/>
        <w:ind w:firstLineChars="200" w:firstLine="360"/>
        <w:divId w:val="1338266151"/>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上述原则适用于所有非流动资产，但不包括采用公允价值模式进行后续计量的投资性房地产、采用公允价值减去出售费用后的净额计量的生物资产、职工薪</w:t>
      </w:r>
      <w:proofErr w:type="gramStart"/>
      <w:r w:rsidRPr="00831C3C">
        <w:rPr>
          <w:rFonts w:asciiTheme="minorEastAsia" w:eastAsiaTheme="minorEastAsia" w:hAnsiTheme="minorEastAsia" w:hint="eastAsia"/>
          <w:sz w:val="18"/>
          <w:szCs w:val="18"/>
        </w:rPr>
        <w:t>酬</w:t>
      </w:r>
      <w:proofErr w:type="gramEnd"/>
      <w:r w:rsidRPr="00831C3C">
        <w:rPr>
          <w:rFonts w:asciiTheme="minorEastAsia" w:eastAsiaTheme="minorEastAsia" w:hAnsiTheme="minorEastAsia" w:hint="eastAsia"/>
          <w:sz w:val="18"/>
          <w:szCs w:val="18"/>
        </w:rPr>
        <w:t>形成的资产、递延所得税资产、由金融工具相关会计准则规范的金融资产、由保险合同相关会计准则规范的保险合同所产生的权利。</w:t>
      </w:r>
    </w:p>
    <w:p w:rsidR="00E23A97" w:rsidRPr="00831C3C" w:rsidRDefault="00C65FD5" w:rsidP="008007EA">
      <w:pPr>
        <w:pStyle w:val="3"/>
        <w:spacing w:line="240" w:lineRule="auto"/>
        <w:jc w:val="left"/>
        <w:rPr>
          <w:rFonts w:asciiTheme="minorEastAsia" w:eastAsiaTheme="minorEastAsia" w:hAnsiTheme="minorEastAsia" w:cs="宋体"/>
          <w:b/>
          <w:bCs/>
          <w:sz w:val="18"/>
          <w:szCs w:val="18"/>
        </w:rPr>
      </w:pPr>
      <w:bookmarkStart w:id="197" w:name="_Toc989084"/>
      <w:r w:rsidRPr="00831C3C">
        <w:rPr>
          <w:rFonts w:asciiTheme="minorEastAsia" w:eastAsiaTheme="minorEastAsia" w:hAnsiTheme="minorEastAsia" w:cs="宋体"/>
          <w:b/>
          <w:bCs/>
          <w:sz w:val="18"/>
          <w:szCs w:val="18"/>
        </w:rPr>
        <w:t>19、债权投资</w:t>
      </w:r>
      <w:bookmarkEnd w:id="197"/>
    </w:p>
    <w:p w:rsidR="00C65FD5" w:rsidRPr="00831C3C" w:rsidRDefault="00C65FD5" w:rsidP="008007EA">
      <w:pPr>
        <w:pStyle w:val="a3"/>
        <w:spacing w:before="0" w:beforeAutospacing="0" w:after="0" w:afterAutospacing="0"/>
        <w:ind w:firstLine="420"/>
        <w:jc w:val="both"/>
        <w:divId w:val="112573030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本公司对债权投资的预期信用损失的确定方法及会计处理方法详见本</w:t>
      </w:r>
      <w:r w:rsidR="00257CA8" w:rsidRPr="00831C3C">
        <w:rPr>
          <w:rFonts w:asciiTheme="minorEastAsia" w:eastAsiaTheme="minorEastAsia" w:hAnsiTheme="minorEastAsia" w:hint="eastAsia"/>
          <w:sz w:val="18"/>
          <w:szCs w:val="18"/>
        </w:rPr>
        <w:t>附注（十）6.</w:t>
      </w:r>
      <w:r w:rsidRPr="00831C3C">
        <w:rPr>
          <w:rFonts w:asciiTheme="minorEastAsia" w:eastAsiaTheme="minorEastAsia" w:hAnsiTheme="minorEastAsia" w:hint="eastAsia"/>
          <w:sz w:val="18"/>
          <w:szCs w:val="18"/>
        </w:rPr>
        <w:t>金融工具减值。</w:t>
      </w:r>
    </w:p>
    <w:p w:rsidR="00E23A97" w:rsidRPr="00831C3C" w:rsidRDefault="00C65FD5" w:rsidP="008007EA">
      <w:pPr>
        <w:pStyle w:val="3"/>
        <w:spacing w:line="240" w:lineRule="auto"/>
        <w:jc w:val="left"/>
        <w:rPr>
          <w:rFonts w:asciiTheme="minorEastAsia" w:eastAsiaTheme="minorEastAsia" w:hAnsiTheme="minorEastAsia" w:cs="宋体"/>
          <w:b/>
          <w:bCs/>
          <w:sz w:val="18"/>
          <w:szCs w:val="18"/>
        </w:rPr>
      </w:pPr>
      <w:bookmarkStart w:id="198" w:name="_Toc989085"/>
      <w:r w:rsidRPr="00831C3C">
        <w:rPr>
          <w:rFonts w:asciiTheme="minorEastAsia" w:eastAsiaTheme="minorEastAsia" w:hAnsiTheme="minorEastAsia" w:cs="宋体"/>
          <w:b/>
          <w:bCs/>
          <w:sz w:val="18"/>
          <w:szCs w:val="18"/>
        </w:rPr>
        <w:t>20、其他债权投资</w:t>
      </w:r>
      <w:bookmarkEnd w:id="198"/>
    </w:p>
    <w:p w:rsidR="00C65FD5" w:rsidRPr="00831C3C" w:rsidRDefault="00C65FD5" w:rsidP="008007EA">
      <w:pPr>
        <w:pStyle w:val="a3"/>
        <w:spacing w:before="0" w:beforeAutospacing="0" w:after="0" w:afterAutospacing="0"/>
        <w:ind w:firstLine="420"/>
        <w:jc w:val="both"/>
        <w:divId w:val="1928613418"/>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本公司对其他债权投资的预期信用损失的确定方法及会计处理方法详见本</w:t>
      </w:r>
      <w:r w:rsidR="00257CA8" w:rsidRPr="00831C3C">
        <w:rPr>
          <w:rFonts w:asciiTheme="minorEastAsia" w:eastAsiaTheme="minorEastAsia" w:hAnsiTheme="minorEastAsia" w:hint="eastAsia"/>
          <w:sz w:val="18"/>
          <w:szCs w:val="18"/>
        </w:rPr>
        <w:t>附注（十）6.</w:t>
      </w:r>
      <w:r w:rsidRPr="00831C3C">
        <w:rPr>
          <w:rFonts w:asciiTheme="minorEastAsia" w:eastAsiaTheme="minorEastAsia" w:hAnsiTheme="minorEastAsia" w:hint="eastAsia"/>
          <w:sz w:val="18"/>
          <w:szCs w:val="18"/>
        </w:rPr>
        <w:t>金融工具减值。</w:t>
      </w:r>
    </w:p>
    <w:p w:rsidR="00E23A97" w:rsidRPr="00831C3C" w:rsidRDefault="00C65FD5" w:rsidP="008007EA">
      <w:pPr>
        <w:pStyle w:val="3"/>
        <w:spacing w:line="240" w:lineRule="auto"/>
        <w:jc w:val="left"/>
        <w:rPr>
          <w:rFonts w:asciiTheme="minorEastAsia" w:eastAsiaTheme="minorEastAsia" w:hAnsiTheme="minorEastAsia" w:cs="宋体"/>
          <w:b/>
          <w:bCs/>
          <w:sz w:val="18"/>
          <w:szCs w:val="18"/>
        </w:rPr>
      </w:pPr>
      <w:bookmarkStart w:id="199" w:name="_Toc989086"/>
      <w:r w:rsidRPr="00831C3C">
        <w:rPr>
          <w:rFonts w:asciiTheme="minorEastAsia" w:eastAsiaTheme="minorEastAsia" w:hAnsiTheme="minorEastAsia" w:cs="宋体"/>
          <w:b/>
          <w:bCs/>
          <w:sz w:val="18"/>
          <w:szCs w:val="18"/>
        </w:rPr>
        <w:t>21、长期应收款</w:t>
      </w:r>
      <w:bookmarkEnd w:id="199"/>
    </w:p>
    <w:p w:rsidR="00C65FD5" w:rsidRPr="00831C3C" w:rsidRDefault="00C65FD5" w:rsidP="008007EA">
      <w:pPr>
        <w:pStyle w:val="a3"/>
        <w:spacing w:before="0" w:beforeAutospacing="0" w:after="0" w:afterAutospacing="0"/>
        <w:ind w:firstLine="420"/>
        <w:jc w:val="both"/>
        <w:divId w:val="1312753704"/>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本公司对长期应收款的预期信用损失的确定方法及会计处理方法详见本</w:t>
      </w:r>
      <w:r w:rsidR="00257CA8" w:rsidRPr="00831C3C">
        <w:rPr>
          <w:rFonts w:asciiTheme="minorEastAsia" w:eastAsiaTheme="minorEastAsia" w:hAnsiTheme="minorEastAsia" w:hint="eastAsia"/>
          <w:sz w:val="18"/>
          <w:szCs w:val="18"/>
        </w:rPr>
        <w:t>附注（十）6.</w:t>
      </w:r>
      <w:r w:rsidRPr="00831C3C">
        <w:rPr>
          <w:rFonts w:asciiTheme="minorEastAsia" w:eastAsiaTheme="minorEastAsia" w:hAnsiTheme="minorEastAsia" w:hint="eastAsia"/>
          <w:sz w:val="18"/>
          <w:szCs w:val="18"/>
        </w:rPr>
        <w:t>金融工具减值。</w:t>
      </w:r>
    </w:p>
    <w:p w:rsidR="00C65FD5" w:rsidRPr="00831C3C" w:rsidRDefault="00C65FD5" w:rsidP="008007EA">
      <w:pPr>
        <w:pStyle w:val="a3"/>
        <w:spacing w:before="0" w:beforeAutospacing="0" w:after="0" w:afterAutospacing="0"/>
        <w:ind w:firstLine="420"/>
        <w:jc w:val="both"/>
        <w:divId w:val="1312753704"/>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本公司对单项金额重大且在初始确认后已经发生信用减值的长期应收款单独确定其信用损失。</w:t>
      </w:r>
    </w:p>
    <w:p w:rsidR="00C65FD5" w:rsidRPr="00831C3C" w:rsidRDefault="00C65FD5" w:rsidP="008007EA">
      <w:pPr>
        <w:pStyle w:val="a3"/>
        <w:spacing w:before="0" w:beforeAutospacing="0" w:after="0" w:afterAutospacing="0"/>
        <w:ind w:firstLine="420"/>
        <w:jc w:val="both"/>
        <w:divId w:val="1312753704"/>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当在单项工具层面无法以合理成本评估预期信用损失的充分证据时，本公司参考历史信用损失经验，结合当前状况以及对未来经济状况的判断，依据信用风险特征将长期应收款划分为若干组合，在组合基础上计算预期信用损失。确定组合的依据如下：</w:t>
      </w:r>
    </w:p>
    <w:tbl>
      <w:tblPr>
        <w:tblW w:w="5000" w:type="pct"/>
        <w:tblCellMar>
          <w:left w:w="0" w:type="dxa"/>
          <w:right w:w="0" w:type="dxa"/>
        </w:tblCellMar>
        <w:tblLook w:val="04A0" w:firstRow="1" w:lastRow="0" w:firstColumn="1" w:lastColumn="0" w:noHBand="0" w:noVBand="1"/>
        <w:tblCaption w:val="D:\大华\华孚\2024年度\TB|0-合并TB-华孚时尚股份有限公司-2024年度.xlsx|W附注模板|_jds10|0|desc|||0|1"/>
      </w:tblPr>
      <w:tblGrid>
        <w:gridCol w:w="1553"/>
        <w:gridCol w:w="4150"/>
        <w:gridCol w:w="4150"/>
      </w:tblGrid>
      <w:tr w:rsidR="00831C3C" w:rsidRPr="00831C3C" w:rsidTr="008007EA">
        <w:trPr>
          <w:divId w:val="1312753704"/>
          <w:trHeight w:val="340"/>
        </w:trPr>
        <w:tc>
          <w:tcPr>
            <w:tcW w:w="155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组合名称</w:t>
            </w:r>
          </w:p>
        </w:tc>
        <w:tc>
          <w:tcPr>
            <w:tcW w:w="41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确定组合的依据</w:t>
            </w:r>
          </w:p>
        </w:tc>
        <w:tc>
          <w:tcPr>
            <w:tcW w:w="41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计提方法</w:t>
            </w:r>
          </w:p>
        </w:tc>
      </w:tr>
      <w:tr w:rsidR="00831C3C" w:rsidRPr="00831C3C" w:rsidTr="008007EA">
        <w:trPr>
          <w:divId w:val="1312753704"/>
          <w:trHeight w:val="340"/>
        </w:trPr>
        <w:tc>
          <w:tcPr>
            <w:tcW w:w="15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textAlignment w:val="center"/>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风险组合</w:t>
            </w:r>
          </w:p>
        </w:tc>
        <w:tc>
          <w:tcPr>
            <w:tcW w:w="4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textAlignment w:val="center"/>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本组合以长期应收款的账</w:t>
            </w:r>
            <w:proofErr w:type="gramStart"/>
            <w:r w:rsidRPr="00831C3C">
              <w:rPr>
                <w:rFonts w:asciiTheme="minorEastAsia" w:eastAsiaTheme="minorEastAsia" w:hAnsiTheme="minorEastAsia" w:hint="eastAsia"/>
                <w:sz w:val="18"/>
                <w:szCs w:val="18"/>
              </w:rPr>
              <w:t>龄作为</w:t>
            </w:r>
            <w:proofErr w:type="gramEnd"/>
            <w:r w:rsidRPr="00831C3C">
              <w:rPr>
                <w:rFonts w:asciiTheme="minorEastAsia" w:eastAsiaTheme="minorEastAsia" w:hAnsiTheme="minorEastAsia" w:hint="eastAsia"/>
                <w:sz w:val="18"/>
                <w:szCs w:val="18"/>
              </w:rPr>
              <w:t>信用风险特征</w:t>
            </w:r>
          </w:p>
        </w:tc>
        <w:tc>
          <w:tcPr>
            <w:tcW w:w="4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textAlignment w:val="center"/>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参考历史信用损失经验，结合当前状况以及对未来经济状况的预期计量坏账准备</w:t>
            </w:r>
          </w:p>
        </w:tc>
      </w:tr>
      <w:tr w:rsidR="00831C3C" w:rsidRPr="00831C3C" w:rsidTr="008007EA">
        <w:trPr>
          <w:divId w:val="1312753704"/>
          <w:trHeight w:val="340"/>
        </w:trPr>
        <w:tc>
          <w:tcPr>
            <w:tcW w:w="155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textAlignment w:val="center"/>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性质组合</w:t>
            </w:r>
          </w:p>
        </w:tc>
        <w:tc>
          <w:tcPr>
            <w:tcW w:w="4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textAlignment w:val="center"/>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根据业务性质，主要包括合并范围内关联方的款项、出口退税款</w:t>
            </w:r>
          </w:p>
        </w:tc>
        <w:tc>
          <w:tcPr>
            <w:tcW w:w="41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textAlignment w:val="center"/>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参考历史信用损失经验，结合当前状况以及对未来经济状况的预期计量坏账准备</w:t>
            </w:r>
          </w:p>
        </w:tc>
      </w:tr>
    </w:tbl>
    <w:p w:rsidR="00C65FD5" w:rsidRPr="00831C3C" w:rsidRDefault="00C65FD5">
      <w:pPr>
        <w:divId w:val="1312753704"/>
        <w:rPr>
          <w:sz w:val="24"/>
          <w:szCs w:val="24"/>
        </w:rPr>
      </w:pPr>
    </w:p>
    <w:p w:rsidR="00E23A97" w:rsidRPr="00831C3C" w:rsidRDefault="00C65FD5">
      <w:pPr>
        <w:pStyle w:val="3"/>
        <w:spacing w:line="280" w:lineRule="exact"/>
        <w:jc w:val="left"/>
        <w:rPr>
          <w:rFonts w:ascii="宋体" w:hAnsi="宋体" w:cs="宋体"/>
          <w:b/>
          <w:bCs/>
        </w:rPr>
      </w:pPr>
      <w:bookmarkStart w:id="200" w:name="_Toc989087"/>
      <w:r w:rsidRPr="00831C3C">
        <w:rPr>
          <w:rFonts w:ascii="宋体" w:hAnsi="宋体" w:cs="宋体"/>
          <w:b/>
          <w:bCs/>
        </w:rPr>
        <w:t>22、长期股权投资</w:t>
      </w:r>
      <w:bookmarkEnd w:id="200"/>
    </w:p>
    <w:p w:rsidR="00C65FD5" w:rsidRPr="00831C3C" w:rsidRDefault="00C65FD5" w:rsidP="00CC7D91">
      <w:pPr>
        <w:widowControl/>
        <w:numPr>
          <w:ilvl w:val="0"/>
          <w:numId w:val="74"/>
        </w:numPr>
        <w:spacing w:before="100" w:beforeAutospacing="1" w:after="100" w:afterAutospacing="1"/>
        <w:divId w:val="1254826369"/>
        <w:rPr>
          <w:rFonts w:asciiTheme="minorEastAsia" w:hAnsiTheme="minorEastAsia"/>
          <w:sz w:val="18"/>
          <w:szCs w:val="18"/>
        </w:rPr>
      </w:pPr>
      <w:r w:rsidRPr="00831C3C">
        <w:rPr>
          <w:rFonts w:hint="eastAsia"/>
          <w:sz w:val="18"/>
          <w:szCs w:val="18"/>
        </w:rPr>
        <w:t>．</w:t>
      </w:r>
      <w:r w:rsidRPr="00831C3C">
        <w:rPr>
          <w:rFonts w:asciiTheme="minorEastAsia" w:hAnsiTheme="minorEastAsia" w:hint="eastAsia"/>
          <w:sz w:val="18"/>
          <w:szCs w:val="18"/>
        </w:rPr>
        <w:t>初始投资成本的确定</w:t>
      </w:r>
    </w:p>
    <w:p w:rsidR="00C65FD5" w:rsidRPr="00831C3C" w:rsidRDefault="00C65FD5" w:rsidP="008007EA">
      <w:pPr>
        <w:pStyle w:val="a3"/>
        <w:spacing w:before="0" w:beforeAutospacing="0" w:after="0" w:afterAutospacing="0"/>
        <w:ind w:firstLine="420"/>
        <w:jc w:val="both"/>
        <w:divId w:val="125482636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1</w:t>
      </w:r>
      <w:r w:rsidRPr="00831C3C">
        <w:rPr>
          <w:rFonts w:asciiTheme="minorEastAsia" w:eastAsiaTheme="minorEastAsia" w:hAnsiTheme="minorEastAsia" w:hint="eastAsia"/>
          <w:sz w:val="18"/>
          <w:szCs w:val="18"/>
        </w:rPr>
        <w:t>）企业合并形成的长期股权投资，具体会计政策详见本附注（七）同</w:t>
      </w:r>
      <w:proofErr w:type="gramStart"/>
      <w:r w:rsidRPr="00831C3C">
        <w:rPr>
          <w:rFonts w:asciiTheme="minorEastAsia" w:eastAsiaTheme="minorEastAsia" w:hAnsiTheme="minorEastAsia" w:hint="eastAsia"/>
          <w:sz w:val="18"/>
          <w:szCs w:val="18"/>
        </w:rPr>
        <w:t>一控制</w:t>
      </w:r>
      <w:proofErr w:type="gramEnd"/>
      <w:r w:rsidRPr="00831C3C">
        <w:rPr>
          <w:rFonts w:asciiTheme="minorEastAsia" w:eastAsiaTheme="minorEastAsia" w:hAnsiTheme="minorEastAsia" w:hint="eastAsia"/>
          <w:sz w:val="18"/>
          <w:szCs w:val="18"/>
        </w:rPr>
        <w:t>下和非同</w:t>
      </w:r>
      <w:proofErr w:type="gramStart"/>
      <w:r w:rsidRPr="00831C3C">
        <w:rPr>
          <w:rFonts w:asciiTheme="minorEastAsia" w:eastAsiaTheme="minorEastAsia" w:hAnsiTheme="minorEastAsia" w:hint="eastAsia"/>
          <w:sz w:val="18"/>
          <w:szCs w:val="18"/>
        </w:rPr>
        <w:t>一控制</w:t>
      </w:r>
      <w:proofErr w:type="gramEnd"/>
      <w:r w:rsidRPr="00831C3C">
        <w:rPr>
          <w:rFonts w:asciiTheme="minorEastAsia" w:eastAsiaTheme="minorEastAsia" w:hAnsiTheme="minorEastAsia" w:hint="eastAsia"/>
          <w:sz w:val="18"/>
          <w:szCs w:val="18"/>
        </w:rPr>
        <w:t>下企业合并的会计处理方法。</w:t>
      </w:r>
    </w:p>
    <w:p w:rsidR="00C65FD5" w:rsidRPr="00831C3C" w:rsidRDefault="00C65FD5" w:rsidP="008007EA">
      <w:pPr>
        <w:pStyle w:val="a3"/>
        <w:spacing w:before="0" w:beforeAutospacing="0" w:after="0" w:afterAutospacing="0"/>
        <w:ind w:firstLine="420"/>
        <w:jc w:val="both"/>
        <w:divId w:val="125482636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2</w:t>
      </w:r>
      <w:r w:rsidRPr="00831C3C">
        <w:rPr>
          <w:rFonts w:asciiTheme="minorEastAsia" w:eastAsiaTheme="minorEastAsia" w:hAnsiTheme="minorEastAsia" w:hint="eastAsia"/>
          <w:sz w:val="18"/>
          <w:szCs w:val="18"/>
        </w:rPr>
        <w:t>）其他方式取得的长期股权投资</w:t>
      </w:r>
    </w:p>
    <w:p w:rsidR="00C65FD5" w:rsidRPr="00831C3C" w:rsidRDefault="00C65FD5" w:rsidP="008007EA">
      <w:pPr>
        <w:pStyle w:val="a3"/>
        <w:spacing w:before="0" w:beforeAutospacing="0" w:after="0" w:afterAutospacing="0"/>
        <w:ind w:firstLine="420"/>
        <w:jc w:val="both"/>
        <w:divId w:val="125482636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以支付现金方式取得的长期股权投资，按照实际支付的购买价款作为初始投资成本。初始投资成本包括与取得长期股权投资直接相关的费用、税金及其他必要支出。</w:t>
      </w:r>
    </w:p>
    <w:p w:rsidR="00C65FD5" w:rsidRPr="00831C3C" w:rsidRDefault="00C65FD5" w:rsidP="008007EA">
      <w:pPr>
        <w:pStyle w:val="a3"/>
        <w:spacing w:before="0" w:beforeAutospacing="0" w:after="0" w:afterAutospacing="0"/>
        <w:ind w:firstLine="420"/>
        <w:jc w:val="both"/>
        <w:divId w:val="125482636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以发行权益</w:t>
      </w:r>
      <w:proofErr w:type="gramStart"/>
      <w:r w:rsidRPr="00831C3C">
        <w:rPr>
          <w:rFonts w:asciiTheme="minorEastAsia" w:eastAsiaTheme="minorEastAsia" w:hAnsiTheme="minorEastAsia" w:hint="eastAsia"/>
          <w:sz w:val="18"/>
          <w:szCs w:val="18"/>
        </w:rPr>
        <w:t>性证券</w:t>
      </w:r>
      <w:proofErr w:type="gramEnd"/>
      <w:r w:rsidRPr="00831C3C">
        <w:rPr>
          <w:rFonts w:asciiTheme="minorEastAsia" w:eastAsiaTheme="minorEastAsia" w:hAnsiTheme="minorEastAsia" w:hint="eastAsia"/>
          <w:sz w:val="18"/>
          <w:szCs w:val="18"/>
        </w:rPr>
        <w:t>取得的长期股权投资，按照发行权益</w:t>
      </w:r>
      <w:proofErr w:type="gramStart"/>
      <w:r w:rsidRPr="00831C3C">
        <w:rPr>
          <w:rFonts w:asciiTheme="minorEastAsia" w:eastAsiaTheme="minorEastAsia" w:hAnsiTheme="minorEastAsia" w:hint="eastAsia"/>
          <w:sz w:val="18"/>
          <w:szCs w:val="18"/>
        </w:rPr>
        <w:t>性证券</w:t>
      </w:r>
      <w:proofErr w:type="gramEnd"/>
      <w:r w:rsidRPr="00831C3C">
        <w:rPr>
          <w:rFonts w:asciiTheme="minorEastAsia" w:eastAsiaTheme="minorEastAsia" w:hAnsiTheme="minorEastAsia" w:hint="eastAsia"/>
          <w:sz w:val="18"/>
          <w:szCs w:val="18"/>
        </w:rPr>
        <w:t>的公允价值作为初始投资成本；发行或取得自身权益工具时发生的交易费用，可直接归属于权益性交易的从权益中扣减。</w:t>
      </w:r>
    </w:p>
    <w:p w:rsidR="00C65FD5" w:rsidRPr="00831C3C" w:rsidRDefault="00C65FD5" w:rsidP="008007EA">
      <w:pPr>
        <w:pStyle w:val="a3"/>
        <w:spacing w:before="0" w:beforeAutospacing="0" w:after="0" w:afterAutospacing="0"/>
        <w:ind w:firstLine="420"/>
        <w:jc w:val="both"/>
        <w:divId w:val="125482636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lastRenderedPageBreak/>
        <w:t>在非货币性资产交换具备商业实质和换入资产或换出资产的公允价值能够可靠计量的前提下，非货币性资产交换换入的长期股权投资以换出资产的公允价值为基础确定其初始投资成本，除非有确凿证据表明换入资产的公允价值更加可靠；不满足上述前提的非货币性资产交换，以换出资产的账面价值和应支付的相关税费作为换入长期股权投资的初始投资成本。</w:t>
      </w:r>
    </w:p>
    <w:p w:rsidR="00C65FD5" w:rsidRPr="00831C3C" w:rsidRDefault="00C65FD5" w:rsidP="008007EA">
      <w:pPr>
        <w:pStyle w:val="a3"/>
        <w:spacing w:before="0" w:beforeAutospacing="0" w:after="0" w:afterAutospacing="0"/>
        <w:ind w:firstLine="420"/>
        <w:jc w:val="both"/>
        <w:divId w:val="125482636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通过债务重组取得的长期股权投资，其初始投资成本按照公允价值为基础确定。</w:t>
      </w:r>
    </w:p>
    <w:p w:rsidR="00C65FD5" w:rsidRPr="00831C3C" w:rsidRDefault="00C65FD5" w:rsidP="00CC7D91">
      <w:pPr>
        <w:widowControl/>
        <w:numPr>
          <w:ilvl w:val="0"/>
          <w:numId w:val="75"/>
        </w:numPr>
        <w:spacing w:before="100" w:beforeAutospacing="1" w:after="100" w:afterAutospacing="1"/>
        <w:divId w:val="1254826369"/>
        <w:rPr>
          <w:rFonts w:asciiTheme="minorEastAsia" w:hAnsiTheme="minorEastAsia"/>
          <w:sz w:val="18"/>
          <w:szCs w:val="18"/>
        </w:rPr>
      </w:pPr>
      <w:r w:rsidRPr="00831C3C">
        <w:rPr>
          <w:rFonts w:asciiTheme="minorEastAsia" w:hAnsiTheme="minorEastAsia" w:hint="eastAsia"/>
          <w:sz w:val="18"/>
          <w:szCs w:val="18"/>
        </w:rPr>
        <w:t>．后续计量及损益确认</w:t>
      </w:r>
    </w:p>
    <w:p w:rsidR="00C65FD5" w:rsidRPr="00831C3C" w:rsidRDefault="00C65FD5" w:rsidP="008007EA">
      <w:pPr>
        <w:pStyle w:val="a3"/>
        <w:spacing w:before="0" w:beforeAutospacing="0" w:after="0" w:afterAutospacing="0"/>
        <w:ind w:firstLine="420"/>
        <w:jc w:val="both"/>
        <w:divId w:val="125482636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1</w:t>
      </w:r>
      <w:r w:rsidRPr="00831C3C">
        <w:rPr>
          <w:rFonts w:asciiTheme="minorEastAsia" w:eastAsiaTheme="minorEastAsia" w:hAnsiTheme="minorEastAsia" w:hint="eastAsia"/>
          <w:sz w:val="18"/>
          <w:szCs w:val="18"/>
        </w:rPr>
        <w:t>）成本法</w:t>
      </w:r>
    </w:p>
    <w:p w:rsidR="00C65FD5" w:rsidRPr="00831C3C" w:rsidRDefault="00C65FD5" w:rsidP="008007EA">
      <w:pPr>
        <w:pStyle w:val="a3"/>
        <w:spacing w:before="0" w:beforeAutospacing="0" w:after="0" w:afterAutospacing="0"/>
        <w:ind w:firstLine="420"/>
        <w:jc w:val="both"/>
        <w:divId w:val="125482636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本公司能够对被投资单位实施控制的长期股权投资采用成本法核算，并按照初始投资成本计价，追加或收回投资调整长期股权投资的成本。</w:t>
      </w:r>
    </w:p>
    <w:p w:rsidR="00C65FD5" w:rsidRPr="00831C3C" w:rsidRDefault="00C65FD5" w:rsidP="008007EA">
      <w:pPr>
        <w:pStyle w:val="a3"/>
        <w:spacing w:before="0" w:beforeAutospacing="0" w:after="0" w:afterAutospacing="0"/>
        <w:ind w:firstLine="420"/>
        <w:jc w:val="both"/>
        <w:divId w:val="125482636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除取得投资时实际支付的价款或对价中包含的已宣告但尚未发放的现金股利或利润外，本公司按照享有被投资单位宣告分派的现金股利或利润确认为当期投资收益。</w:t>
      </w:r>
    </w:p>
    <w:p w:rsidR="00C65FD5" w:rsidRPr="00831C3C" w:rsidRDefault="00C65FD5" w:rsidP="008007EA">
      <w:pPr>
        <w:pStyle w:val="a3"/>
        <w:spacing w:before="0" w:beforeAutospacing="0" w:after="0" w:afterAutospacing="0"/>
        <w:ind w:firstLine="420"/>
        <w:jc w:val="both"/>
        <w:divId w:val="125482636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2</w:t>
      </w:r>
      <w:r w:rsidRPr="00831C3C">
        <w:rPr>
          <w:rFonts w:asciiTheme="minorEastAsia" w:eastAsiaTheme="minorEastAsia" w:hAnsiTheme="minorEastAsia" w:hint="eastAsia"/>
          <w:sz w:val="18"/>
          <w:szCs w:val="18"/>
        </w:rPr>
        <w:t>）权益法</w:t>
      </w:r>
    </w:p>
    <w:p w:rsidR="00C65FD5" w:rsidRPr="00831C3C" w:rsidRDefault="00C65FD5" w:rsidP="008007EA">
      <w:pPr>
        <w:pStyle w:val="a3"/>
        <w:spacing w:before="0" w:beforeAutospacing="0" w:after="0" w:afterAutospacing="0"/>
        <w:ind w:firstLine="420"/>
        <w:jc w:val="both"/>
        <w:divId w:val="125482636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本公司对联营企业和合营企业的长期股权投资采用权益法核算；对于其中一部分通过风险投资机构、共同基金、信托公司或包括投</w:t>
      </w:r>
      <w:proofErr w:type="gramStart"/>
      <w:r w:rsidRPr="00831C3C">
        <w:rPr>
          <w:rFonts w:asciiTheme="minorEastAsia" w:eastAsiaTheme="minorEastAsia" w:hAnsiTheme="minorEastAsia" w:hint="eastAsia"/>
          <w:sz w:val="18"/>
          <w:szCs w:val="18"/>
        </w:rPr>
        <w:t>连险基金</w:t>
      </w:r>
      <w:proofErr w:type="gramEnd"/>
      <w:r w:rsidRPr="00831C3C">
        <w:rPr>
          <w:rFonts w:asciiTheme="minorEastAsia" w:eastAsiaTheme="minorEastAsia" w:hAnsiTheme="minorEastAsia" w:hint="eastAsia"/>
          <w:sz w:val="18"/>
          <w:szCs w:val="18"/>
        </w:rPr>
        <w:t>在内的类似主体间接持有的联营企业的权益性投资，采用公允价值计量且其变动计入损益。</w:t>
      </w:r>
    </w:p>
    <w:p w:rsidR="00C65FD5" w:rsidRPr="00831C3C" w:rsidRDefault="00C65FD5" w:rsidP="008007EA">
      <w:pPr>
        <w:pStyle w:val="a3"/>
        <w:spacing w:before="0" w:beforeAutospacing="0" w:after="0" w:afterAutospacing="0"/>
        <w:ind w:firstLine="420"/>
        <w:jc w:val="both"/>
        <w:divId w:val="125482636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长期股权投资的初始投资成本大于投资时应享有被投资单位可辨认净资产公允价值份额的差额，不调整长期股权投资的初始投资成本；初始投资成本小于投资时应享有被投资单位可辨认净资产公允价值份额的差额，计入当期损益。</w:t>
      </w:r>
    </w:p>
    <w:p w:rsidR="00C65FD5" w:rsidRPr="00831C3C" w:rsidRDefault="00C65FD5" w:rsidP="008007EA">
      <w:pPr>
        <w:pStyle w:val="a3"/>
        <w:spacing w:before="0" w:beforeAutospacing="0" w:after="0" w:afterAutospacing="0"/>
        <w:ind w:firstLine="420"/>
        <w:jc w:val="both"/>
        <w:divId w:val="125482636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取得长期股权投资后，按照应享有或应分担的被投资单位实现的净损益和其他综合收益的份额，分别确认投资收益和其他综合收益，同时调整长期股权投资的账面价值；并按照被投资单位宣告分派的利润或现金股利计算应享有的部分，相应减少长期股权投资的账面价值；对于被投资单位除净损益、其他综合收益和利润分配以外所有者权益的其他变动，调整长期股权投资的账面价值并计入所有者权益。</w:t>
      </w:r>
    </w:p>
    <w:p w:rsidR="00C65FD5" w:rsidRPr="00831C3C" w:rsidRDefault="00C65FD5" w:rsidP="008007EA">
      <w:pPr>
        <w:pStyle w:val="a3"/>
        <w:spacing w:before="0" w:beforeAutospacing="0" w:after="0" w:afterAutospacing="0"/>
        <w:ind w:firstLine="420"/>
        <w:jc w:val="both"/>
        <w:divId w:val="125482636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在确认应享有被投资单位净损益的份额时，以取得投资时被投资单位各项可辨认资产等的公允价值为基础，对被投资单位的净利润进行调整后确认。本公司与联营企业、合营企业之间发生的未实现内部交易损益按照应享有的比例计算归属于本公司的部分予以</w:t>
      </w:r>
      <w:proofErr w:type="gramStart"/>
      <w:r w:rsidRPr="00831C3C">
        <w:rPr>
          <w:rFonts w:asciiTheme="minorEastAsia" w:eastAsiaTheme="minorEastAsia" w:hAnsiTheme="minorEastAsia" w:hint="eastAsia"/>
          <w:sz w:val="18"/>
          <w:szCs w:val="18"/>
        </w:rPr>
        <w:t>抵销</w:t>
      </w:r>
      <w:proofErr w:type="gramEnd"/>
      <w:r w:rsidRPr="00831C3C">
        <w:rPr>
          <w:rFonts w:asciiTheme="minorEastAsia" w:eastAsiaTheme="minorEastAsia" w:hAnsiTheme="minorEastAsia" w:hint="eastAsia"/>
          <w:sz w:val="18"/>
          <w:szCs w:val="18"/>
        </w:rPr>
        <w:t>，在此基础上确认投资损益。</w:t>
      </w:r>
    </w:p>
    <w:p w:rsidR="00C65FD5" w:rsidRPr="00831C3C" w:rsidRDefault="00C65FD5" w:rsidP="008007EA">
      <w:pPr>
        <w:pStyle w:val="a3"/>
        <w:spacing w:before="0" w:beforeAutospacing="0" w:after="0" w:afterAutospacing="0"/>
        <w:ind w:firstLine="420"/>
        <w:jc w:val="both"/>
        <w:divId w:val="125482636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确认应分担被投资单位发生的亏损时，按照以下顺序进行处理：首先，冲减长期股权投资的账面价值。其次，长期股权投资的账面价值不足以冲减的，以其他实质上构成对被投资单位净投资的长期权益账面价值为限继续确认投资损失，冲减长期应收项目等的账面价值。最后，经过上述处理，按照投资合同或协议约定企业仍承担额外义务的，按预计承担的义务确认预计负债，计入当期投资损失。</w:t>
      </w:r>
    </w:p>
    <w:p w:rsidR="00C65FD5" w:rsidRPr="00831C3C" w:rsidRDefault="00C65FD5" w:rsidP="008007EA">
      <w:pPr>
        <w:pStyle w:val="a3"/>
        <w:spacing w:before="0" w:beforeAutospacing="0" w:after="0" w:afterAutospacing="0"/>
        <w:ind w:firstLine="420"/>
        <w:jc w:val="both"/>
        <w:divId w:val="125482636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被投资单位以后期间实现盈利的，公司在扣除未确认的亏损分担额后，按与上述相反的顺序处理，</w:t>
      </w:r>
      <w:proofErr w:type="gramStart"/>
      <w:r w:rsidRPr="00831C3C">
        <w:rPr>
          <w:rFonts w:asciiTheme="minorEastAsia" w:eastAsiaTheme="minorEastAsia" w:hAnsiTheme="minorEastAsia" w:hint="eastAsia"/>
          <w:sz w:val="18"/>
          <w:szCs w:val="18"/>
        </w:rPr>
        <w:t>减记已</w:t>
      </w:r>
      <w:proofErr w:type="gramEnd"/>
      <w:r w:rsidRPr="00831C3C">
        <w:rPr>
          <w:rFonts w:asciiTheme="minorEastAsia" w:eastAsiaTheme="minorEastAsia" w:hAnsiTheme="minorEastAsia" w:hint="eastAsia"/>
          <w:sz w:val="18"/>
          <w:szCs w:val="18"/>
        </w:rPr>
        <w:t>确认预计负债的账面余额、恢复其他实质上构成对被投资单位净投资的长期权益及长期股权投资的账面价值后，恢复确认投资收益。</w:t>
      </w:r>
    </w:p>
    <w:p w:rsidR="00C65FD5" w:rsidRPr="00831C3C" w:rsidRDefault="00C65FD5" w:rsidP="00CC7D91">
      <w:pPr>
        <w:widowControl/>
        <w:numPr>
          <w:ilvl w:val="0"/>
          <w:numId w:val="76"/>
        </w:numPr>
        <w:spacing w:before="100" w:beforeAutospacing="1" w:after="100" w:afterAutospacing="1"/>
        <w:divId w:val="1254826369"/>
        <w:rPr>
          <w:rFonts w:asciiTheme="minorEastAsia" w:hAnsiTheme="minorEastAsia"/>
          <w:sz w:val="18"/>
          <w:szCs w:val="18"/>
        </w:rPr>
      </w:pPr>
      <w:r w:rsidRPr="00831C3C">
        <w:rPr>
          <w:rFonts w:asciiTheme="minorEastAsia" w:hAnsiTheme="minorEastAsia" w:hint="eastAsia"/>
          <w:sz w:val="18"/>
          <w:szCs w:val="18"/>
        </w:rPr>
        <w:t>．长期股权投资核算方法的转换</w:t>
      </w:r>
    </w:p>
    <w:p w:rsidR="00C65FD5" w:rsidRPr="00831C3C" w:rsidRDefault="00C65FD5" w:rsidP="00CC7D91">
      <w:pPr>
        <w:widowControl/>
        <w:numPr>
          <w:ilvl w:val="0"/>
          <w:numId w:val="77"/>
        </w:numPr>
        <w:spacing w:before="100" w:beforeAutospacing="1" w:after="100" w:afterAutospacing="1"/>
        <w:divId w:val="1254826369"/>
        <w:rPr>
          <w:rFonts w:asciiTheme="minorEastAsia" w:hAnsiTheme="minorEastAsia"/>
          <w:sz w:val="18"/>
          <w:szCs w:val="18"/>
        </w:rPr>
      </w:pPr>
      <w:r w:rsidRPr="00831C3C">
        <w:rPr>
          <w:rFonts w:asciiTheme="minorEastAsia" w:hAnsiTheme="minorEastAsia" w:hint="eastAsia"/>
          <w:sz w:val="18"/>
          <w:szCs w:val="18"/>
        </w:rPr>
        <w:t>公允价值计量转权益法核算</w:t>
      </w:r>
    </w:p>
    <w:p w:rsidR="00C65FD5" w:rsidRPr="00831C3C" w:rsidRDefault="00C65FD5" w:rsidP="008007EA">
      <w:pPr>
        <w:pStyle w:val="a3"/>
        <w:spacing w:before="0" w:beforeAutospacing="0" w:after="0" w:afterAutospacing="0"/>
        <w:ind w:firstLine="420"/>
        <w:jc w:val="both"/>
        <w:divId w:val="125482636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原持有的对被投资单位不具有控制、共同控制或重大影响的按金融工具确认和计量准则进行会计处理的权益性投资，因追加投资等原因能够对被投资单位施加重大影响或实施共同控制但不构成控制的，按照《企业会计准则第</w:t>
      </w:r>
      <w:r w:rsidRPr="00831C3C">
        <w:rPr>
          <w:rFonts w:asciiTheme="minorEastAsia" w:eastAsiaTheme="minorEastAsia" w:hAnsiTheme="minorEastAsia" w:cs="Arial"/>
          <w:sz w:val="18"/>
          <w:szCs w:val="18"/>
        </w:rPr>
        <w:t>22</w:t>
      </w:r>
      <w:r w:rsidRPr="00831C3C">
        <w:rPr>
          <w:rFonts w:asciiTheme="minorEastAsia" w:eastAsiaTheme="minorEastAsia" w:hAnsiTheme="minorEastAsia" w:hint="eastAsia"/>
          <w:sz w:val="18"/>
          <w:szCs w:val="18"/>
        </w:rPr>
        <w:t>号——金融工具确认和计量》确定的原持有的股权投资的公允价值加上为取得新增投资而应支付对价的公允价值，作为改按权益法核算的初始投资成本。原持有的股权投资指定为以公允价值计量且其变动计入其他综合收益的</w:t>
      </w:r>
      <w:proofErr w:type="gramStart"/>
      <w:r w:rsidRPr="00831C3C">
        <w:rPr>
          <w:rFonts w:asciiTheme="minorEastAsia" w:eastAsiaTheme="minorEastAsia" w:hAnsiTheme="minorEastAsia" w:hint="eastAsia"/>
          <w:sz w:val="18"/>
          <w:szCs w:val="18"/>
        </w:rPr>
        <w:t>非交易</w:t>
      </w:r>
      <w:proofErr w:type="gramEnd"/>
      <w:r w:rsidRPr="00831C3C">
        <w:rPr>
          <w:rFonts w:asciiTheme="minorEastAsia" w:eastAsiaTheme="minorEastAsia" w:hAnsiTheme="minorEastAsia" w:hint="eastAsia"/>
          <w:sz w:val="18"/>
          <w:szCs w:val="18"/>
        </w:rPr>
        <w:t>性权益工具投资的，其公允价值与账面价值之间的差额以及原计入其他综合收益的累计公允价值变动直接转入留存收益。</w:t>
      </w:r>
    </w:p>
    <w:p w:rsidR="00C65FD5" w:rsidRPr="00831C3C" w:rsidRDefault="00C65FD5" w:rsidP="008007EA">
      <w:pPr>
        <w:pStyle w:val="a3"/>
        <w:spacing w:before="0" w:beforeAutospacing="0" w:after="0" w:afterAutospacing="0"/>
        <w:ind w:firstLine="420"/>
        <w:jc w:val="both"/>
        <w:divId w:val="125482636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按权益法核算的初始投资成本小于按照追加投资后全新的持股比例计算确定的应享有被投资单位在追加</w:t>
      </w:r>
      <w:proofErr w:type="gramStart"/>
      <w:r w:rsidRPr="00831C3C">
        <w:rPr>
          <w:rFonts w:asciiTheme="minorEastAsia" w:eastAsiaTheme="minorEastAsia" w:hAnsiTheme="minorEastAsia" w:hint="eastAsia"/>
          <w:sz w:val="18"/>
          <w:szCs w:val="18"/>
        </w:rPr>
        <w:t>投资日</w:t>
      </w:r>
      <w:proofErr w:type="gramEnd"/>
      <w:r w:rsidRPr="00831C3C">
        <w:rPr>
          <w:rFonts w:asciiTheme="minorEastAsia" w:eastAsiaTheme="minorEastAsia" w:hAnsiTheme="minorEastAsia" w:hint="eastAsia"/>
          <w:sz w:val="18"/>
          <w:szCs w:val="18"/>
        </w:rPr>
        <w:t>可辨认净资产公允价值份额之间的差额，调整长期股权投资的账面价值，并计入当期营业外收入。</w:t>
      </w:r>
    </w:p>
    <w:p w:rsidR="00C65FD5" w:rsidRPr="00831C3C" w:rsidRDefault="00C65FD5" w:rsidP="00CC7D91">
      <w:pPr>
        <w:widowControl/>
        <w:numPr>
          <w:ilvl w:val="0"/>
          <w:numId w:val="78"/>
        </w:numPr>
        <w:spacing w:before="100" w:beforeAutospacing="1" w:after="100" w:afterAutospacing="1"/>
        <w:divId w:val="1254826369"/>
        <w:rPr>
          <w:rFonts w:asciiTheme="minorEastAsia" w:hAnsiTheme="minorEastAsia"/>
          <w:sz w:val="18"/>
          <w:szCs w:val="18"/>
        </w:rPr>
      </w:pPr>
      <w:r w:rsidRPr="00831C3C">
        <w:rPr>
          <w:rFonts w:asciiTheme="minorEastAsia" w:hAnsiTheme="minorEastAsia" w:hint="eastAsia"/>
          <w:sz w:val="18"/>
          <w:szCs w:val="18"/>
        </w:rPr>
        <w:lastRenderedPageBreak/>
        <w:t>公允价值计量或权益法核算</w:t>
      </w:r>
      <w:proofErr w:type="gramStart"/>
      <w:r w:rsidRPr="00831C3C">
        <w:rPr>
          <w:rFonts w:asciiTheme="minorEastAsia" w:hAnsiTheme="minorEastAsia" w:hint="eastAsia"/>
          <w:sz w:val="18"/>
          <w:szCs w:val="18"/>
        </w:rPr>
        <w:t>转成本</w:t>
      </w:r>
      <w:proofErr w:type="gramEnd"/>
      <w:r w:rsidRPr="00831C3C">
        <w:rPr>
          <w:rFonts w:asciiTheme="minorEastAsia" w:hAnsiTheme="minorEastAsia" w:hint="eastAsia"/>
          <w:sz w:val="18"/>
          <w:szCs w:val="18"/>
        </w:rPr>
        <w:t>法核算</w:t>
      </w:r>
    </w:p>
    <w:p w:rsidR="00C65FD5" w:rsidRPr="00831C3C" w:rsidRDefault="00C65FD5" w:rsidP="008007EA">
      <w:pPr>
        <w:pStyle w:val="a3"/>
        <w:spacing w:before="0" w:beforeAutospacing="0" w:after="0" w:afterAutospacing="0"/>
        <w:ind w:firstLine="420"/>
        <w:jc w:val="both"/>
        <w:divId w:val="125482636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本公司原持有的对被投资单位不具有控制、共同控制或重大影响的按金融工具确认和计量准则进行会计处理的权益性投资，或原持有对联营企业、合营企业的长期股权投资，因追加投资等原因能够对非同</w:t>
      </w:r>
      <w:proofErr w:type="gramStart"/>
      <w:r w:rsidRPr="00831C3C">
        <w:rPr>
          <w:rFonts w:asciiTheme="minorEastAsia" w:eastAsiaTheme="minorEastAsia" w:hAnsiTheme="minorEastAsia" w:hint="eastAsia"/>
          <w:sz w:val="18"/>
          <w:szCs w:val="18"/>
        </w:rPr>
        <w:t>一控制</w:t>
      </w:r>
      <w:proofErr w:type="gramEnd"/>
      <w:r w:rsidRPr="00831C3C">
        <w:rPr>
          <w:rFonts w:asciiTheme="minorEastAsia" w:eastAsiaTheme="minorEastAsia" w:hAnsiTheme="minorEastAsia" w:hint="eastAsia"/>
          <w:sz w:val="18"/>
          <w:szCs w:val="18"/>
        </w:rPr>
        <w:t>下的被投资单位实施控制的，在编制个别财务报表时，按照原持有的股权投资账面价值加上新增投资成本之和，作为改按成本法核算的初始投资成本。</w:t>
      </w:r>
    </w:p>
    <w:p w:rsidR="00C65FD5" w:rsidRPr="00831C3C" w:rsidRDefault="00C65FD5" w:rsidP="008007EA">
      <w:pPr>
        <w:pStyle w:val="a3"/>
        <w:spacing w:before="0" w:beforeAutospacing="0" w:after="0" w:afterAutospacing="0"/>
        <w:ind w:firstLine="420"/>
        <w:jc w:val="both"/>
        <w:divId w:val="125482636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购买日之前持有的股权投资因采用权益法核算而确认的其他综合收益，在处置该项投资时采用与被投资单位直接处置相关资产或负债相同的基础进行会计处理。</w:t>
      </w:r>
    </w:p>
    <w:p w:rsidR="00C65FD5" w:rsidRPr="00831C3C" w:rsidRDefault="00C65FD5" w:rsidP="008007EA">
      <w:pPr>
        <w:pStyle w:val="a3"/>
        <w:spacing w:before="0" w:beforeAutospacing="0" w:after="0" w:afterAutospacing="0"/>
        <w:ind w:firstLine="420"/>
        <w:jc w:val="both"/>
        <w:divId w:val="125482636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购买日之前持有的股权投资按照《企业会计准则第</w:t>
      </w:r>
      <w:r w:rsidRPr="00831C3C">
        <w:rPr>
          <w:rFonts w:asciiTheme="minorEastAsia" w:eastAsiaTheme="minorEastAsia" w:hAnsiTheme="minorEastAsia" w:cs="Arial"/>
          <w:sz w:val="18"/>
          <w:szCs w:val="18"/>
        </w:rPr>
        <w:t>22</w:t>
      </w:r>
      <w:r w:rsidRPr="00831C3C">
        <w:rPr>
          <w:rFonts w:asciiTheme="minorEastAsia" w:eastAsiaTheme="minorEastAsia" w:hAnsiTheme="minorEastAsia" w:hint="eastAsia"/>
          <w:sz w:val="18"/>
          <w:szCs w:val="18"/>
        </w:rPr>
        <w:t>号——金融工具确认和计量》的有关规定进行会计处理的，原计入其他综合收益的累计公允价值变动在改按成本法核算时转入当期损益。</w:t>
      </w:r>
    </w:p>
    <w:p w:rsidR="00C65FD5" w:rsidRPr="00831C3C" w:rsidRDefault="00C65FD5" w:rsidP="00CC7D91">
      <w:pPr>
        <w:widowControl/>
        <w:numPr>
          <w:ilvl w:val="0"/>
          <w:numId w:val="79"/>
        </w:numPr>
        <w:spacing w:before="100" w:beforeAutospacing="1" w:after="100" w:afterAutospacing="1"/>
        <w:divId w:val="1254826369"/>
        <w:rPr>
          <w:rFonts w:asciiTheme="minorEastAsia" w:hAnsiTheme="minorEastAsia"/>
          <w:sz w:val="18"/>
          <w:szCs w:val="18"/>
        </w:rPr>
      </w:pPr>
      <w:r w:rsidRPr="00831C3C">
        <w:rPr>
          <w:rFonts w:asciiTheme="minorEastAsia" w:hAnsiTheme="minorEastAsia" w:hint="eastAsia"/>
          <w:sz w:val="18"/>
          <w:szCs w:val="18"/>
        </w:rPr>
        <w:t>权益法核算转公允价值计量</w:t>
      </w:r>
    </w:p>
    <w:p w:rsidR="00C65FD5" w:rsidRPr="00831C3C" w:rsidRDefault="00C65FD5" w:rsidP="008007EA">
      <w:pPr>
        <w:pStyle w:val="a3"/>
        <w:spacing w:before="0" w:beforeAutospacing="0" w:after="0" w:afterAutospacing="0"/>
        <w:ind w:firstLine="420"/>
        <w:jc w:val="both"/>
        <w:divId w:val="125482636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本公司因处置部分股权投资等原因丧失了对被投资单位的共同控制或重大影响的，处置后的剩余股权改按《企业会计准则第</w:t>
      </w:r>
      <w:r w:rsidRPr="00831C3C">
        <w:rPr>
          <w:rFonts w:asciiTheme="minorEastAsia" w:eastAsiaTheme="minorEastAsia" w:hAnsiTheme="minorEastAsia" w:cs="Arial"/>
          <w:sz w:val="18"/>
          <w:szCs w:val="18"/>
        </w:rPr>
        <w:t>22</w:t>
      </w:r>
      <w:r w:rsidRPr="00831C3C">
        <w:rPr>
          <w:rFonts w:asciiTheme="minorEastAsia" w:eastAsiaTheme="minorEastAsia" w:hAnsiTheme="minorEastAsia" w:hint="eastAsia"/>
          <w:sz w:val="18"/>
          <w:szCs w:val="18"/>
        </w:rPr>
        <w:t>号——金融工具确认和计量》核算，其在丧失共同控制或重大影响之日的公允价值与账面价值之间的差额计入当期损益。</w:t>
      </w:r>
    </w:p>
    <w:p w:rsidR="00C65FD5" w:rsidRPr="00831C3C" w:rsidRDefault="00C65FD5" w:rsidP="008007EA">
      <w:pPr>
        <w:pStyle w:val="a3"/>
        <w:spacing w:before="0" w:beforeAutospacing="0" w:after="0" w:afterAutospacing="0"/>
        <w:ind w:firstLine="420"/>
        <w:jc w:val="both"/>
        <w:divId w:val="125482636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原股权投资因采用权益法核算而确认的其他综合收益，在终止采用权益法核算时采用与被投资单位直接处置相关资产或负债相同的基础进行会计处理。</w:t>
      </w:r>
    </w:p>
    <w:p w:rsidR="00C65FD5" w:rsidRPr="00831C3C" w:rsidRDefault="00C65FD5" w:rsidP="00CC7D91">
      <w:pPr>
        <w:widowControl/>
        <w:numPr>
          <w:ilvl w:val="0"/>
          <w:numId w:val="80"/>
        </w:numPr>
        <w:spacing w:before="100" w:beforeAutospacing="1" w:after="100" w:afterAutospacing="1"/>
        <w:divId w:val="1254826369"/>
        <w:rPr>
          <w:rFonts w:asciiTheme="minorEastAsia" w:hAnsiTheme="minorEastAsia"/>
          <w:sz w:val="18"/>
          <w:szCs w:val="18"/>
        </w:rPr>
      </w:pPr>
      <w:r w:rsidRPr="00831C3C">
        <w:rPr>
          <w:rFonts w:asciiTheme="minorEastAsia" w:hAnsiTheme="minorEastAsia" w:hint="eastAsia"/>
          <w:sz w:val="18"/>
          <w:szCs w:val="18"/>
        </w:rPr>
        <w:t>成本</w:t>
      </w:r>
      <w:proofErr w:type="gramStart"/>
      <w:r w:rsidRPr="00831C3C">
        <w:rPr>
          <w:rFonts w:asciiTheme="minorEastAsia" w:hAnsiTheme="minorEastAsia" w:hint="eastAsia"/>
          <w:sz w:val="18"/>
          <w:szCs w:val="18"/>
        </w:rPr>
        <w:t>法转权益</w:t>
      </w:r>
      <w:proofErr w:type="gramEnd"/>
      <w:r w:rsidRPr="00831C3C">
        <w:rPr>
          <w:rFonts w:asciiTheme="minorEastAsia" w:hAnsiTheme="minorEastAsia" w:hint="eastAsia"/>
          <w:sz w:val="18"/>
          <w:szCs w:val="18"/>
        </w:rPr>
        <w:t>法</w:t>
      </w:r>
    </w:p>
    <w:p w:rsidR="00C65FD5" w:rsidRPr="00831C3C" w:rsidRDefault="00C65FD5" w:rsidP="008007EA">
      <w:pPr>
        <w:pStyle w:val="a3"/>
        <w:spacing w:before="0" w:beforeAutospacing="0" w:after="0" w:afterAutospacing="0"/>
        <w:ind w:firstLine="420"/>
        <w:jc w:val="both"/>
        <w:divId w:val="125482636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因处置部分权益性投资等原因丧失了对被投资单位的控制的，在编制个别财务报表时，处置后的剩余股权能够对被投资单位实施共同控制或施加重大影响的，改按权益法核算，并对该剩余股权视同自取得时即采用权益法核算进行调整。</w:t>
      </w:r>
    </w:p>
    <w:p w:rsidR="00C65FD5" w:rsidRPr="00831C3C" w:rsidRDefault="00C65FD5" w:rsidP="00CC7D91">
      <w:pPr>
        <w:widowControl/>
        <w:numPr>
          <w:ilvl w:val="0"/>
          <w:numId w:val="81"/>
        </w:numPr>
        <w:spacing w:before="100" w:beforeAutospacing="1" w:after="100" w:afterAutospacing="1"/>
        <w:divId w:val="1254826369"/>
        <w:rPr>
          <w:rFonts w:asciiTheme="minorEastAsia" w:hAnsiTheme="minorEastAsia"/>
          <w:sz w:val="18"/>
          <w:szCs w:val="18"/>
        </w:rPr>
      </w:pPr>
      <w:proofErr w:type="gramStart"/>
      <w:r w:rsidRPr="00831C3C">
        <w:rPr>
          <w:rFonts w:asciiTheme="minorEastAsia" w:hAnsiTheme="minorEastAsia" w:hint="eastAsia"/>
          <w:sz w:val="18"/>
          <w:szCs w:val="18"/>
        </w:rPr>
        <w:t>成本法转公允</w:t>
      </w:r>
      <w:proofErr w:type="gramEnd"/>
      <w:r w:rsidRPr="00831C3C">
        <w:rPr>
          <w:rFonts w:asciiTheme="minorEastAsia" w:hAnsiTheme="minorEastAsia" w:hint="eastAsia"/>
          <w:sz w:val="18"/>
          <w:szCs w:val="18"/>
        </w:rPr>
        <w:t>价值计量</w:t>
      </w:r>
    </w:p>
    <w:p w:rsidR="00C65FD5" w:rsidRPr="00831C3C" w:rsidRDefault="00C65FD5" w:rsidP="008007EA">
      <w:pPr>
        <w:pStyle w:val="a3"/>
        <w:spacing w:before="0" w:beforeAutospacing="0" w:after="0" w:afterAutospacing="0"/>
        <w:ind w:firstLine="420"/>
        <w:jc w:val="both"/>
        <w:divId w:val="125482636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本公司因处置部分权益性投资等原因丧失了对被投资单位的控制的，在编制个别财务报表时，处置后的剩余股权不能对被投资单位实施共同控制或施加重大影响的，改按《企业会计准则第</w:t>
      </w:r>
      <w:r w:rsidRPr="00831C3C">
        <w:rPr>
          <w:rFonts w:asciiTheme="minorEastAsia" w:eastAsiaTheme="minorEastAsia" w:hAnsiTheme="minorEastAsia" w:cs="Arial"/>
          <w:sz w:val="18"/>
          <w:szCs w:val="18"/>
        </w:rPr>
        <w:t>22</w:t>
      </w:r>
      <w:r w:rsidRPr="00831C3C">
        <w:rPr>
          <w:rFonts w:asciiTheme="minorEastAsia" w:eastAsiaTheme="minorEastAsia" w:hAnsiTheme="minorEastAsia" w:hint="eastAsia"/>
          <w:sz w:val="18"/>
          <w:szCs w:val="18"/>
        </w:rPr>
        <w:t>号——金融工具确认和计量》的有关规定进行会计处理，其在丧失控制之日的公允价值与账面价值间的差额计入当期损益。</w:t>
      </w:r>
    </w:p>
    <w:p w:rsidR="00C65FD5" w:rsidRPr="00831C3C" w:rsidRDefault="00C65FD5" w:rsidP="00CC7D91">
      <w:pPr>
        <w:widowControl/>
        <w:numPr>
          <w:ilvl w:val="0"/>
          <w:numId w:val="82"/>
        </w:numPr>
        <w:spacing w:before="100" w:beforeAutospacing="1" w:after="100" w:afterAutospacing="1"/>
        <w:divId w:val="1254826369"/>
        <w:rPr>
          <w:rFonts w:asciiTheme="minorEastAsia" w:hAnsiTheme="minorEastAsia"/>
          <w:sz w:val="18"/>
          <w:szCs w:val="18"/>
        </w:rPr>
      </w:pPr>
      <w:r w:rsidRPr="00831C3C">
        <w:rPr>
          <w:rFonts w:asciiTheme="minorEastAsia" w:hAnsiTheme="minorEastAsia" w:hint="eastAsia"/>
          <w:sz w:val="18"/>
          <w:szCs w:val="18"/>
        </w:rPr>
        <w:t>．长期股权投资的处置</w:t>
      </w:r>
    </w:p>
    <w:p w:rsidR="00C65FD5" w:rsidRPr="00831C3C" w:rsidRDefault="00C65FD5" w:rsidP="008007EA">
      <w:pPr>
        <w:pStyle w:val="a3"/>
        <w:spacing w:before="0" w:beforeAutospacing="0" w:after="0" w:afterAutospacing="0"/>
        <w:ind w:firstLine="420"/>
        <w:jc w:val="both"/>
        <w:divId w:val="125482636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处置长期股权投资，其账面价值与实际取得价款之间的差额，应当计入当期损益。采用权益法核算的长期股权投资，在处置该项投资时，采用与被投资单位直接处置相关资产或负债相同的基础，按相应比例对原计入其他综合收益的部分进行会计处理。</w:t>
      </w:r>
    </w:p>
    <w:p w:rsidR="00C65FD5" w:rsidRPr="00831C3C" w:rsidRDefault="00C65FD5" w:rsidP="008007EA">
      <w:pPr>
        <w:pStyle w:val="a3"/>
        <w:spacing w:before="0" w:beforeAutospacing="0" w:after="0" w:afterAutospacing="0"/>
        <w:ind w:firstLine="420"/>
        <w:jc w:val="both"/>
        <w:divId w:val="125482636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处置对子公司股权投资的各项交易的条款、条件以及经济影响符合以下一种或多种情况，将多次交易事项作为一揽子交易进行会计处理：</w:t>
      </w:r>
    </w:p>
    <w:p w:rsidR="00C65FD5" w:rsidRPr="00831C3C" w:rsidRDefault="00C65FD5" w:rsidP="00CC7D91">
      <w:pPr>
        <w:widowControl/>
        <w:numPr>
          <w:ilvl w:val="0"/>
          <w:numId w:val="83"/>
        </w:numPr>
        <w:spacing w:before="100" w:beforeAutospacing="1" w:after="100" w:afterAutospacing="1"/>
        <w:divId w:val="1254826369"/>
        <w:rPr>
          <w:rFonts w:asciiTheme="minorEastAsia" w:hAnsiTheme="minorEastAsia"/>
          <w:sz w:val="18"/>
          <w:szCs w:val="18"/>
        </w:rPr>
      </w:pPr>
      <w:r w:rsidRPr="00831C3C">
        <w:rPr>
          <w:rFonts w:asciiTheme="minorEastAsia" w:hAnsiTheme="minorEastAsia" w:hint="eastAsia"/>
          <w:sz w:val="18"/>
          <w:szCs w:val="18"/>
        </w:rPr>
        <w:t>这些交易是同时或者在考虑了彼此影响的情况下订立的；</w:t>
      </w:r>
    </w:p>
    <w:p w:rsidR="00C65FD5" w:rsidRPr="00831C3C" w:rsidRDefault="00C65FD5" w:rsidP="00CC7D91">
      <w:pPr>
        <w:widowControl/>
        <w:numPr>
          <w:ilvl w:val="0"/>
          <w:numId w:val="83"/>
        </w:numPr>
        <w:spacing w:before="100" w:beforeAutospacing="1" w:after="100" w:afterAutospacing="1"/>
        <w:divId w:val="1254826369"/>
        <w:rPr>
          <w:rFonts w:asciiTheme="minorEastAsia" w:hAnsiTheme="minorEastAsia"/>
          <w:sz w:val="18"/>
          <w:szCs w:val="18"/>
        </w:rPr>
      </w:pPr>
      <w:r w:rsidRPr="00831C3C">
        <w:rPr>
          <w:rFonts w:asciiTheme="minorEastAsia" w:hAnsiTheme="minorEastAsia" w:hint="eastAsia"/>
          <w:sz w:val="18"/>
          <w:szCs w:val="18"/>
        </w:rPr>
        <w:t>这些交易整体才能达成一项完整的商业结果；</w:t>
      </w:r>
    </w:p>
    <w:p w:rsidR="00C65FD5" w:rsidRPr="00831C3C" w:rsidRDefault="00C65FD5" w:rsidP="00CC7D91">
      <w:pPr>
        <w:widowControl/>
        <w:numPr>
          <w:ilvl w:val="0"/>
          <w:numId w:val="83"/>
        </w:numPr>
        <w:spacing w:before="100" w:beforeAutospacing="1" w:after="100" w:afterAutospacing="1"/>
        <w:divId w:val="1254826369"/>
        <w:rPr>
          <w:rFonts w:asciiTheme="minorEastAsia" w:hAnsiTheme="minorEastAsia"/>
          <w:sz w:val="18"/>
          <w:szCs w:val="18"/>
        </w:rPr>
      </w:pPr>
      <w:r w:rsidRPr="00831C3C">
        <w:rPr>
          <w:rFonts w:asciiTheme="minorEastAsia" w:hAnsiTheme="minorEastAsia" w:hint="eastAsia"/>
          <w:sz w:val="18"/>
          <w:szCs w:val="18"/>
        </w:rPr>
        <w:t>一项交易的发生取决于其他至少一项交易的发生；</w:t>
      </w:r>
    </w:p>
    <w:p w:rsidR="00C65FD5" w:rsidRPr="00831C3C" w:rsidRDefault="00C65FD5" w:rsidP="00CC7D91">
      <w:pPr>
        <w:widowControl/>
        <w:numPr>
          <w:ilvl w:val="0"/>
          <w:numId w:val="83"/>
        </w:numPr>
        <w:spacing w:before="100" w:beforeAutospacing="1" w:after="100" w:afterAutospacing="1"/>
        <w:divId w:val="1254826369"/>
        <w:rPr>
          <w:rFonts w:asciiTheme="minorEastAsia" w:hAnsiTheme="minorEastAsia"/>
          <w:sz w:val="18"/>
          <w:szCs w:val="18"/>
        </w:rPr>
      </w:pPr>
      <w:r w:rsidRPr="00831C3C">
        <w:rPr>
          <w:rFonts w:asciiTheme="minorEastAsia" w:hAnsiTheme="minorEastAsia" w:hint="eastAsia"/>
          <w:sz w:val="18"/>
          <w:szCs w:val="18"/>
        </w:rPr>
        <w:t>一项交易单独看是不经济的，但是和其他交易一并考虑时是经济的。</w:t>
      </w:r>
    </w:p>
    <w:p w:rsidR="00C65FD5" w:rsidRPr="00831C3C" w:rsidRDefault="00C65FD5" w:rsidP="008007EA">
      <w:pPr>
        <w:pStyle w:val="a3"/>
        <w:spacing w:before="0" w:beforeAutospacing="0" w:after="0" w:afterAutospacing="0"/>
        <w:ind w:firstLine="420"/>
        <w:jc w:val="both"/>
        <w:divId w:val="125482636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lastRenderedPageBreak/>
        <w:t>因处置部分股权投资或其他原因丧失了对原有子公司控制权的，不属于一揽子交易的，区分个别财务报表和合并财务报表进行相关会计处理：</w:t>
      </w:r>
    </w:p>
    <w:p w:rsidR="00C65FD5" w:rsidRPr="00831C3C" w:rsidRDefault="00C65FD5" w:rsidP="008007EA">
      <w:pPr>
        <w:pStyle w:val="a3"/>
        <w:spacing w:before="0" w:beforeAutospacing="0" w:after="0" w:afterAutospacing="0"/>
        <w:ind w:firstLine="420"/>
        <w:jc w:val="both"/>
        <w:divId w:val="125482636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cs="Arial"/>
          <w:sz w:val="18"/>
          <w:szCs w:val="18"/>
        </w:rPr>
        <w:t>1</w:t>
      </w:r>
      <w:r w:rsidRPr="00831C3C">
        <w:rPr>
          <w:rFonts w:asciiTheme="minorEastAsia" w:eastAsiaTheme="minorEastAsia" w:hAnsiTheme="minorEastAsia" w:hint="eastAsia"/>
          <w:sz w:val="18"/>
          <w:szCs w:val="18"/>
        </w:rPr>
        <w:t>）在个别财务报表中，对于处置的股权，其账面价值与实际取得价款之间的差额计入当期损益。处置后的剩余股权能够对被投资单位实施共同控制或施加重大影响的，改按权益法核算，并对该剩余股权视同自取得时即采用权益法核算进行调整；处置后的剩余股权不能对被投资单位实施共同控制或施加重大影响的，改按《企业会计准则第</w:t>
      </w:r>
      <w:r w:rsidRPr="00831C3C">
        <w:rPr>
          <w:rFonts w:asciiTheme="minorEastAsia" w:eastAsiaTheme="minorEastAsia" w:hAnsiTheme="minorEastAsia" w:cs="Arial"/>
          <w:sz w:val="18"/>
          <w:szCs w:val="18"/>
        </w:rPr>
        <w:t>22</w:t>
      </w:r>
      <w:r w:rsidRPr="00831C3C">
        <w:rPr>
          <w:rFonts w:asciiTheme="minorEastAsia" w:eastAsiaTheme="minorEastAsia" w:hAnsiTheme="minorEastAsia" w:hint="eastAsia"/>
          <w:sz w:val="18"/>
          <w:szCs w:val="18"/>
        </w:rPr>
        <w:t>号——金融工具确认和计量》的有关规定进行会计处理，其在丧失控制之日的公允价值与账面价值间的差额计入当期损益。</w:t>
      </w:r>
    </w:p>
    <w:p w:rsidR="00C65FD5" w:rsidRPr="00831C3C" w:rsidRDefault="00C65FD5" w:rsidP="008007EA">
      <w:pPr>
        <w:pStyle w:val="a3"/>
        <w:spacing w:before="0" w:beforeAutospacing="0" w:after="0" w:afterAutospacing="0"/>
        <w:ind w:firstLine="420"/>
        <w:jc w:val="both"/>
        <w:divId w:val="125482636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cs="Arial"/>
          <w:sz w:val="18"/>
          <w:szCs w:val="18"/>
        </w:rPr>
        <w:t>2</w:t>
      </w:r>
      <w:r w:rsidRPr="00831C3C">
        <w:rPr>
          <w:rFonts w:asciiTheme="minorEastAsia" w:eastAsiaTheme="minorEastAsia" w:hAnsiTheme="minorEastAsia" w:hint="eastAsia"/>
          <w:sz w:val="18"/>
          <w:szCs w:val="18"/>
        </w:rPr>
        <w:t>）在合并财务报表中，对于在丧失对子公司控制权以前的各项交易，处置价款与处置长期股权投资相应对享有子公司自购买日或</w:t>
      </w:r>
      <w:proofErr w:type="gramStart"/>
      <w:r w:rsidRPr="00831C3C">
        <w:rPr>
          <w:rFonts w:asciiTheme="minorEastAsia" w:eastAsiaTheme="minorEastAsia" w:hAnsiTheme="minorEastAsia" w:hint="eastAsia"/>
          <w:sz w:val="18"/>
          <w:szCs w:val="18"/>
        </w:rPr>
        <w:t>合并日</w:t>
      </w:r>
      <w:proofErr w:type="gramEnd"/>
      <w:r w:rsidRPr="00831C3C">
        <w:rPr>
          <w:rFonts w:asciiTheme="minorEastAsia" w:eastAsiaTheme="minorEastAsia" w:hAnsiTheme="minorEastAsia" w:hint="eastAsia"/>
          <w:sz w:val="18"/>
          <w:szCs w:val="18"/>
        </w:rPr>
        <w:t>开始持续计算的净资产份额之间的差额，调整资本公积（股本溢价），资本公</w:t>
      </w:r>
      <w:proofErr w:type="gramStart"/>
      <w:r w:rsidRPr="00831C3C">
        <w:rPr>
          <w:rFonts w:asciiTheme="minorEastAsia" w:eastAsiaTheme="minorEastAsia" w:hAnsiTheme="minorEastAsia" w:hint="eastAsia"/>
          <w:sz w:val="18"/>
          <w:szCs w:val="18"/>
        </w:rPr>
        <w:t>积不足</w:t>
      </w:r>
      <w:proofErr w:type="gramEnd"/>
      <w:r w:rsidRPr="00831C3C">
        <w:rPr>
          <w:rFonts w:asciiTheme="minorEastAsia" w:eastAsiaTheme="minorEastAsia" w:hAnsiTheme="minorEastAsia" w:hint="eastAsia"/>
          <w:sz w:val="18"/>
          <w:szCs w:val="18"/>
        </w:rPr>
        <w:t>冲减的，依次冲减盈余公积、未分配利润；在丧失对子公司控制权时，对于剩余股权，按照其在丧失控制权日的公允价值进行重新计量。处置股权取得的对价与剩余股权公允价值之和，减去按原持股比例计算应享有原有子公司自购买日开始持续计算的净资产的份额与商誉之和的差额，计入丧失控制权当期的投资收益。与原有子公司的股权投资相关的其他综合收益在丧失控制权时采用与原有子公司直接处置相关资产或负债相同的基础进行会计处理，与原有子公司相关的涉及权益法核算下的其他所有者权益变动在丧失控制权时转入当期损益。</w:t>
      </w:r>
    </w:p>
    <w:p w:rsidR="00C65FD5" w:rsidRPr="00831C3C" w:rsidRDefault="00C65FD5" w:rsidP="008007EA">
      <w:pPr>
        <w:pStyle w:val="a3"/>
        <w:spacing w:before="0" w:beforeAutospacing="0" w:after="0" w:afterAutospacing="0"/>
        <w:ind w:firstLine="420"/>
        <w:jc w:val="both"/>
        <w:divId w:val="125482636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处置对子公司股权投资直至丧失控制权的各项交易属于一揽子交易的，将各项交易作为一项处置子公司股权投资并丧失控制权的交易进行会计处理，区分个别财务报表和合并财务报表进行相关会计处理：</w:t>
      </w:r>
    </w:p>
    <w:p w:rsidR="00C65FD5" w:rsidRPr="00831C3C" w:rsidRDefault="00C65FD5" w:rsidP="008007EA">
      <w:pPr>
        <w:pStyle w:val="a3"/>
        <w:spacing w:before="0" w:beforeAutospacing="0" w:after="0" w:afterAutospacing="0"/>
        <w:ind w:firstLine="420"/>
        <w:jc w:val="both"/>
        <w:divId w:val="125482636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cs="Arial"/>
          <w:sz w:val="18"/>
          <w:szCs w:val="18"/>
        </w:rPr>
        <w:t>1</w:t>
      </w:r>
      <w:r w:rsidRPr="00831C3C">
        <w:rPr>
          <w:rFonts w:asciiTheme="minorEastAsia" w:eastAsiaTheme="minorEastAsia" w:hAnsiTheme="minorEastAsia" w:hint="eastAsia"/>
          <w:sz w:val="18"/>
          <w:szCs w:val="18"/>
        </w:rPr>
        <w:t>）在个别财务报表中，在丧失控制权之前每一次处置价款与处置的股权对应的长期股权投资账面价值之间的差额，确认为其他综合收益，在丧失控制权时一并转入丧失控制权当期的损益。</w:t>
      </w:r>
    </w:p>
    <w:p w:rsidR="00C65FD5" w:rsidRPr="00831C3C" w:rsidRDefault="00C65FD5" w:rsidP="008007EA">
      <w:pPr>
        <w:pStyle w:val="a3"/>
        <w:spacing w:before="0" w:beforeAutospacing="0" w:after="0" w:afterAutospacing="0"/>
        <w:ind w:firstLine="420"/>
        <w:jc w:val="both"/>
        <w:divId w:val="125482636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cs="Arial"/>
          <w:sz w:val="18"/>
          <w:szCs w:val="18"/>
        </w:rPr>
        <w:t>2</w:t>
      </w:r>
      <w:r w:rsidRPr="00831C3C">
        <w:rPr>
          <w:rFonts w:asciiTheme="minorEastAsia" w:eastAsiaTheme="minorEastAsia" w:hAnsiTheme="minorEastAsia" w:hint="eastAsia"/>
          <w:sz w:val="18"/>
          <w:szCs w:val="18"/>
        </w:rPr>
        <w:t>）在合并财务报表中，在丧失控制权之前每一次处置价款与处置投资对应的享有该子公司净资产份额的差额，确认为其他综合收益，在丧失控制权时一并转入丧失控制权当期的损益。</w:t>
      </w:r>
    </w:p>
    <w:p w:rsidR="00C65FD5" w:rsidRPr="00831C3C" w:rsidRDefault="00C65FD5" w:rsidP="00CC7D91">
      <w:pPr>
        <w:widowControl/>
        <w:numPr>
          <w:ilvl w:val="0"/>
          <w:numId w:val="84"/>
        </w:numPr>
        <w:spacing w:before="100" w:beforeAutospacing="1" w:after="100" w:afterAutospacing="1"/>
        <w:divId w:val="1254826369"/>
        <w:rPr>
          <w:rFonts w:asciiTheme="minorEastAsia" w:hAnsiTheme="minorEastAsia"/>
          <w:sz w:val="18"/>
          <w:szCs w:val="18"/>
        </w:rPr>
      </w:pPr>
      <w:r w:rsidRPr="00831C3C">
        <w:rPr>
          <w:rFonts w:asciiTheme="minorEastAsia" w:hAnsiTheme="minorEastAsia" w:hint="eastAsia"/>
          <w:sz w:val="18"/>
          <w:szCs w:val="18"/>
        </w:rPr>
        <w:t>．共同控制、重大影响的判断标准</w:t>
      </w:r>
    </w:p>
    <w:p w:rsidR="00C65FD5" w:rsidRPr="00831C3C" w:rsidRDefault="00C65FD5" w:rsidP="008007EA">
      <w:pPr>
        <w:pStyle w:val="a3"/>
        <w:spacing w:before="0" w:beforeAutospacing="0" w:after="0" w:afterAutospacing="0"/>
        <w:ind w:firstLine="420"/>
        <w:jc w:val="both"/>
        <w:divId w:val="125482636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如果本公司按照相关约定与其他参与</w:t>
      </w:r>
      <w:proofErr w:type="gramStart"/>
      <w:r w:rsidRPr="00831C3C">
        <w:rPr>
          <w:rFonts w:asciiTheme="minorEastAsia" w:eastAsiaTheme="minorEastAsia" w:hAnsiTheme="minorEastAsia" w:hint="eastAsia"/>
          <w:sz w:val="18"/>
          <w:szCs w:val="18"/>
        </w:rPr>
        <w:t>方集体</w:t>
      </w:r>
      <w:proofErr w:type="gramEnd"/>
      <w:r w:rsidRPr="00831C3C">
        <w:rPr>
          <w:rFonts w:asciiTheme="minorEastAsia" w:eastAsiaTheme="minorEastAsia" w:hAnsiTheme="minorEastAsia" w:hint="eastAsia"/>
          <w:sz w:val="18"/>
          <w:szCs w:val="18"/>
        </w:rPr>
        <w:t>控制某项安排，并且对该安排回报具有重大影响的活动决策，需要经过分享控制权的参与方一致同意时才存在，则视为本公司与其他参与方共同控制某项安排，该安排即属于合营安排。</w:t>
      </w:r>
    </w:p>
    <w:p w:rsidR="00C65FD5" w:rsidRPr="00831C3C" w:rsidRDefault="00C65FD5" w:rsidP="008007EA">
      <w:pPr>
        <w:pStyle w:val="a3"/>
        <w:spacing w:before="0" w:beforeAutospacing="0" w:after="0" w:afterAutospacing="0"/>
        <w:ind w:firstLine="420"/>
        <w:jc w:val="both"/>
        <w:divId w:val="125482636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合营安排通过单独主体达成的，根据相关约定判断本公司对该单独主体的净资产享有权利时，将该单独主体作为合营企业，采用权益法核算。若根据相关约定判断本公司并非对该单独主体的净资产享有权利时，该单独主体作为共同经营，本公司确认与共同经营利益份额相关的项目，并按照相关企业会计准则的规定进行会计处理。</w:t>
      </w:r>
    </w:p>
    <w:p w:rsidR="00C65FD5" w:rsidRPr="00831C3C" w:rsidRDefault="00C65FD5" w:rsidP="008007EA">
      <w:pPr>
        <w:pStyle w:val="a3"/>
        <w:spacing w:before="0" w:beforeAutospacing="0" w:after="0" w:afterAutospacing="0"/>
        <w:ind w:firstLine="420"/>
        <w:jc w:val="both"/>
        <w:divId w:val="125482636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重大影响，是指投资方对被投资单位的财务和经营政策有参与决策的权力，但并不能够控制或者与其他方一起共同控制这些政策的制定。本公司通过以下一种或多种情形，并综合考虑所有事实和情况后，判断对被投资单位具有重大影响：（</w:t>
      </w:r>
      <w:r w:rsidRPr="00831C3C">
        <w:rPr>
          <w:rFonts w:asciiTheme="minorEastAsia" w:eastAsiaTheme="minorEastAsia" w:hAnsiTheme="minorEastAsia" w:cs="Arial"/>
          <w:sz w:val="18"/>
          <w:szCs w:val="18"/>
        </w:rPr>
        <w:t>1</w:t>
      </w:r>
      <w:r w:rsidRPr="00831C3C">
        <w:rPr>
          <w:rFonts w:asciiTheme="minorEastAsia" w:eastAsiaTheme="minorEastAsia" w:hAnsiTheme="minorEastAsia" w:hint="eastAsia"/>
          <w:sz w:val="18"/>
          <w:szCs w:val="18"/>
        </w:rPr>
        <w:t>）在被投资单位的董事会或类似权力机构中派有代表；（</w:t>
      </w:r>
      <w:r w:rsidRPr="00831C3C">
        <w:rPr>
          <w:rFonts w:asciiTheme="minorEastAsia" w:eastAsiaTheme="minorEastAsia" w:hAnsiTheme="minorEastAsia" w:cs="Arial"/>
          <w:sz w:val="18"/>
          <w:szCs w:val="18"/>
        </w:rPr>
        <w:t>2</w:t>
      </w:r>
      <w:r w:rsidRPr="00831C3C">
        <w:rPr>
          <w:rFonts w:asciiTheme="minorEastAsia" w:eastAsiaTheme="minorEastAsia" w:hAnsiTheme="minorEastAsia" w:hint="eastAsia"/>
          <w:sz w:val="18"/>
          <w:szCs w:val="18"/>
        </w:rPr>
        <w:t>）参与被投资单位财务和经营政策制定过程；（</w:t>
      </w:r>
      <w:r w:rsidRPr="00831C3C">
        <w:rPr>
          <w:rFonts w:asciiTheme="minorEastAsia" w:eastAsiaTheme="minorEastAsia" w:hAnsiTheme="minorEastAsia" w:cs="Arial"/>
          <w:sz w:val="18"/>
          <w:szCs w:val="18"/>
        </w:rPr>
        <w:t>3</w:t>
      </w:r>
      <w:r w:rsidRPr="00831C3C">
        <w:rPr>
          <w:rFonts w:asciiTheme="minorEastAsia" w:eastAsiaTheme="minorEastAsia" w:hAnsiTheme="minorEastAsia" w:hint="eastAsia"/>
          <w:sz w:val="18"/>
          <w:szCs w:val="18"/>
        </w:rPr>
        <w:t>）与被投资单位之间发生重要交易；（</w:t>
      </w:r>
      <w:r w:rsidRPr="00831C3C">
        <w:rPr>
          <w:rFonts w:asciiTheme="minorEastAsia" w:eastAsiaTheme="minorEastAsia" w:hAnsiTheme="minorEastAsia" w:cs="Arial"/>
          <w:sz w:val="18"/>
          <w:szCs w:val="18"/>
        </w:rPr>
        <w:t>4</w:t>
      </w:r>
      <w:r w:rsidRPr="00831C3C">
        <w:rPr>
          <w:rFonts w:asciiTheme="minorEastAsia" w:eastAsiaTheme="minorEastAsia" w:hAnsiTheme="minorEastAsia" w:hint="eastAsia"/>
          <w:sz w:val="18"/>
          <w:szCs w:val="18"/>
        </w:rPr>
        <w:t>）向被投资单位派出管理人员；（</w:t>
      </w:r>
      <w:r w:rsidRPr="00831C3C">
        <w:rPr>
          <w:rFonts w:asciiTheme="minorEastAsia" w:eastAsiaTheme="minorEastAsia" w:hAnsiTheme="minorEastAsia" w:cs="Arial"/>
          <w:sz w:val="18"/>
          <w:szCs w:val="18"/>
        </w:rPr>
        <w:t>5</w:t>
      </w:r>
      <w:r w:rsidRPr="00831C3C">
        <w:rPr>
          <w:rFonts w:asciiTheme="minorEastAsia" w:eastAsiaTheme="minorEastAsia" w:hAnsiTheme="minorEastAsia" w:hint="eastAsia"/>
          <w:sz w:val="18"/>
          <w:szCs w:val="18"/>
        </w:rPr>
        <w:t>）向被投资单位提供关键技术资料。</w:t>
      </w:r>
    </w:p>
    <w:p w:rsidR="00E23A97" w:rsidRPr="00831C3C" w:rsidRDefault="00C65FD5" w:rsidP="008007EA">
      <w:pPr>
        <w:pStyle w:val="3"/>
        <w:spacing w:line="240" w:lineRule="auto"/>
        <w:jc w:val="left"/>
        <w:rPr>
          <w:rFonts w:asciiTheme="minorEastAsia" w:eastAsiaTheme="minorEastAsia" w:hAnsiTheme="minorEastAsia" w:cs="宋体"/>
          <w:b/>
          <w:bCs/>
          <w:sz w:val="18"/>
          <w:szCs w:val="18"/>
        </w:rPr>
      </w:pPr>
      <w:bookmarkStart w:id="201" w:name="_Toc989088"/>
      <w:r w:rsidRPr="00831C3C">
        <w:rPr>
          <w:rFonts w:asciiTheme="minorEastAsia" w:eastAsiaTheme="minorEastAsia" w:hAnsiTheme="minorEastAsia" w:cs="宋体"/>
          <w:b/>
          <w:bCs/>
          <w:sz w:val="18"/>
          <w:szCs w:val="18"/>
        </w:rPr>
        <w:t>23、投资性房地产</w:t>
      </w:r>
      <w:bookmarkEnd w:id="201"/>
    </w:p>
    <w:p w:rsidR="00E23A97" w:rsidRPr="00831C3C" w:rsidRDefault="00C65FD5" w:rsidP="008007EA">
      <w:pPr>
        <w:spacing w:before="100" w:after="100"/>
        <w:rPr>
          <w:rFonts w:asciiTheme="minorEastAsia" w:hAnsiTheme="minorEastAsia" w:cs="宋体"/>
          <w:sz w:val="18"/>
          <w:szCs w:val="18"/>
        </w:rPr>
      </w:pPr>
      <w:r w:rsidRPr="00831C3C">
        <w:rPr>
          <w:rFonts w:asciiTheme="minorEastAsia" w:hAnsiTheme="minorEastAsia" w:cs="宋体"/>
          <w:sz w:val="18"/>
          <w:szCs w:val="18"/>
        </w:rPr>
        <w:t>投资性房地产计量模式</w:t>
      </w:r>
    </w:p>
    <w:p w:rsidR="00E23A97" w:rsidRPr="00831C3C" w:rsidRDefault="00C65FD5" w:rsidP="008007EA">
      <w:pPr>
        <w:spacing w:before="100" w:after="100"/>
        <w:rPr>
          <w:rFonts w:asciiTheme="minorEastAsia" w:hAnsiTheme="minorEastAsia" w:cs="宋体"/>
          <w:sz w:val="18"/>
          <w:szCs w:val="18"/>
        </w:rPr>
      </w:pPr>
      <w:r w:rsidRPr="00831C3C">
        <w:rPr>
          <w:rFonts w:asciiTheme="minorEastAsia" w:hAnsiTheme="minorEastAsia" w:cs="宋体"/>
          <w:sz w:val="18"/>
          <w:szCs w:val="18"/>
        </w:rPr>
        <w:t>公允价值计量</w:t>
      </w:r>
    </w:p>
    <w:p w:rsidR="00E23A97" w:rsidRPr="00831C3C" w:rsidRDefault="00C65FD5" w:rsidP="008007EA">
      <w:pPr>
        <w:spacing w:before="100" w:after="100"/>
        <w:rPr>
          <w:rFonts w:asciiTheme="minorEastAsia" w:hAnsiTheme="minorEastAsia" w:cs="宋体"/>
          <w:sz w:val="18"/>
          <w:szCs w:val="18"/>
        </w:rPr>
      </w:pPr>
      <w:r w:rsidRPr="00831C3C">
        <w:rPr>
          <w:rFonts w:asciiTheme="minorEastAsia" w:hAnsiTheme="minorEastAsia" w:cs="宋体"/>
          <w:sz w:val="18"/>
          <w:szCs w:val="18"/>
        </w:rPr>
        <w:t>选择公允价值计量的依据</w:t>
      </w:r>
    </w:p>
    <w:p w:rsidR="00C65FD5" w:rsidRPr="00831C3C" w:rsidRDefault="00C65FD5" w:rsidP="008007EA">
      <w:pPr>
        <w:pStyle w:val="a3"/>
        <w:spacing w:before="0" w:beforeAutospacing="0" w:after="0" w:afterAutospacing="0"/>
        <w:ind w:firstLine="420"/>
        <w:jc w:val="both"/>
        <w:divId w:val="1402676138"/>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投资性房地产是指为赚取租金或资本增值，或两者兼有而持有的房地产，包括已出租的土地使用权、持有并</w:t>
      </w:r>
      <w:proofErr w:type="gramStart"/>
      <w:r w:rsidRPr="00831C3C">
        <w:rPr>
          <w:rFonts w:asciiTheme="minorEastAsia" w:eastAsiaTheme="minorEastAsia" w:hAnsiTheme="minorEastAsia" w:hint="eastAsia"/>
          <w:sz w:val="18"/>
          <w:szCs w:val="18"/>
        </w:rPr>
        <w:t>准备增值</w:t>
      </w:r>
      <w:proofErr w:type="gramEnd"/>
      <w:r w:rsidRPr="00831C3C">
        <w:rPr>
          <w:rFonts w:asciiTheme="minorEastAsia" w:eastAsiaTheme="minorEastAsia" w:hAnsiTheme="minorEastAsia" w:hint="eastAsia"/>
          <w:sz w:val="18"/>
          <w:szCs w:val="18"/>
        </w:rPr>
        <w:t>后转让的土地使用权、已出租的建筑物。此外，对于本公司持有以备经营出租的空置建筑物，若董事会</w:t>
      </w:r>
      <w:proofErr w:type="gramStart"/>
      <w:r w:rsidRPr="00831C3C">
        <w:rPr>
          <w:rFonts w:asciiTheme="minorEastAsia" w:eastAsiaTheme="minorEastAsia" w:hAnsiTheme="minorEastAsia" w:hint="eastAsia"/>
          <w:sz w:val="18"/>
          <w:szCs w:val="18"/>
        </w:rPr>
        <w:t>作出</w:t>
      </w:r>
      <w:proofErr w:type="gramEnd"/>
      <w:r w:rsidRPr="00831C3C">
        <w:rPr>
          <w:rFonts w:asciiTheme="minorEastAsia" w:eastAsiaTheme="minorEastAsia" w:hAnsiTheme="minorEastAsia" w:hint="eastAsia"/>
          <w:sz w:val="18"/>
          <w:szCs w:val="18"/>
        </w:rPr>
        <w:t>书面决议，明确表示将其用于经营出租且持有意图短期内不再发生变化的，也作为投资性房地产列报。</w:t>
      </w:r>
    </w:p>
    <w:p w:rsidR="00C65FD5" w:rsidRPr="00831C3C" w:rsidRDefault="00C65FD5" w:rsidP="008007EA">
      <w:pPr>
        <w:pStyle w:val="a3"/>
        <w:spacing w:before="0" w:beforeAutospacing="0" w:after="0" w:afterAutospacing="0"/>
        <w:ind w:firstLine="420"/>
        <w:jc w:val="both"/>
        <w:divId w:val="1402676138"/>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本公司的投资性房地产按其成本作为入账价值，外购投资性房地产的成本包括购买价款、相关税费和</w:t>
      </w:r>
      <w:proofErr w:type="gramStart"/>
      <w:r w:rsidRPr="00831C3C">
        <w:rPr>
          <w:rFonts w:asciiTheme="minorEastAsia" w:eastAsiaTheme="minorEastAsia" w:hAnsiTheme="minorEastAsia" w:hint="eastAsia"/>
          <w:sz w:val="18"/>
          <w:szCs w:val="18"/>
        </w:rPr>
        <w:t>可</w:t>
      </w:r>
      <w:proofErr w:type="gramEnd"/>
      <w:r w:rsidRPr="00831C3C">
        <w:rPr>
          <w:rFonts w:asciiTheme="minorEastAsia" w:eastAsiaTheme="minorEastAsia" w:hAnsiTheme="minorEastAsia" w:hint="eastAsia"/>
          <w:sz w:val="18"/>
          <w:szCs w:val="18"/>
        </w:rPr>
        <w:t>直接归属于该资产的其他支出；自行建造投资性房地产的成本，由建造该项资产达到预定可使用状态前所发生的必要支出构成。</w:t>
      </w:r>
    </w:p>
    <w:p w:rsidR="00C65FD5" w:rsidRPr="00831C3C" w:rsidRDefault="00C65FD5" w:rsidP="008007EA">
      <w:pPr>
        <w:pStyle w:val="a3"/>
        <w:spacing w:before="0" w:beforeAutospacing="0" w:after="0" w:afterAutospacing="0"/>
        <w:ind w:firstLine="420"/>
        <w:jc w:val="both"/>
        <w:divId w:val="1402676138"/>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本公司对投资性房地产采用成本模式进行后续计量，按其预计使用寿命及净残值率对建筑物和土地使用权计提折旧或摊销。投资性房地产的预计使用寿命、净残值率及年折旧率列示如下：</w:t>
      </w:r>
    </w:p>
    <w:tbl>
      <w:tblPr>
        <w:tblW w:w="8933" w:type="dxa"/>
        <w:jc w:val="center"/>
        <w:tblInd w:w="-419" w:type="dxa"/>
        <w:tblCellMar>
          <w:left w:w="0" w:type="dxa"/>
          <w:right w:w="0" w:type="dxa"/>
        </w:tblCellMar>
        <w:tblLook w:val="04A0" w:firstRow="1" w:lastRow="0" w:firstColumn="1" w:lastColumn="0" w:noHBand="0" w:noVBand="1"/>
        <w:tblCaption w:val="D:\大华\华孚\2024年度\TB|0-合并TB-华孚时尚股份有限公司-2024年度.xlsx|W附注模板|_jds11|0|desc|||0|1"/>
      </w:tblPr>
      <w:tblGrid>
        <w:gridCol w:w="2233"/>
        <w:gridCol w:w="2233"/>
        <w:gridCol w:w="2233"/>
        <w:gridCol w:w="2234"/>
      </w:tblGrid>
      <w:tr w:rsidR="00831C3C" w:rsidRPr="00831C3C" w:rsidTr="008007EA">
        <w:trPr>
          <w:divId w:val="1402676138"/>
          <w:trHeight w:val="340"/>
          <w:tblHeader/>
          <w:jc w:val="center"/>
        </w:trPr>
        <w:tc>
          <w:tcPr>
            <w:tcW w:w="223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rsidP="008007EA">
            <w:pPr>
              <w:pStyle w:val="a3"/>
              <w:spacing w:before="0" w:beforeAutospacing="0" w:after="0" w:afterAutospacing="0"/>
              <w:jc w:val="center"/>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lastRenderedPageBreak/>
              <w:t>类别</w:t>
            </w:r>
          </w:p>
        </w:tc>
        <w:tc>
          <w:tcPr>
            <w:tcW w:w="22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rsidP="008007EA">
            <w:pPr>
              <w:pStyle w:val="a3"/>
              <w:spacing w:before="0" w:beforeAutospacing="0" w:after="0" w:afterAutospacing="0"/>
              <w:jc w:val="center"/>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预计使用寿命（年）</w:t>
            </w:r>
          </w:p>
        </w:tc>
        <w:tc>
          <w:tcPr>
            <w:tcW w:w="223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rsidP="008007EA">
            <w:pPr>
              <w:pStyle w:val="a3"/>
              <w:spacing w:before="0" w:beforeAutospacing="0" w:after="0" w:afterAutospacing="0"/>
              <w:jc w:val="center"/>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预计净残值率（</w:t>
            </w:r>
            <w:r w:rsidRPr="00831C3C">
              <w:rPr>
                <w:rFonts w:asciiTheme="minorEastAsia" w:eastAsiaTheme="minorEastAsia" w:hAnsiTheme="minorEastAsia" w:cs="Arial"/>
                <w:sz w:val="18"/>
                <w:szCs w:val="18"/>
              </w:rPr>
              <w:t>%</w:t>
            </w:r>
            <w:r w:rsidRPr="00831C3C">
              <w:rPr>
                <w:rFonts w:asciiTheme="minorEastAsia" w:eastAsiaTheme="minorEastAsia" w:hAnsiTheme="minorEastAsia" w:cs="Times New Roman" w:hint="eastAsia"/>
                <w:sz w:val="18"/>
                <w:szCs w:val="18"/>
              </w:rPr>
              <w:t>）</w:t>
            </w:r>
          </w:p>
        </w:tc>
        <w:tc>
          <w:tcPr>
            <w:tcW w:w="22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rsidP="008007EA">
            <w:pPr>
              <w:pStyle w:val="a3"/>
              <w:spacing w:before="0" w:beforeAutospacing="0" w:after="0" w:afterAutospacing="0"/>
              <w:jc w:val="center"/>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年折旧（摊销）率（</w:t>
            </w:r>
            <w:r w:rsidRPr="00831C3C">
              <w:rPr>
                <w:rFonts w:asciiTheme="minorEastAsia" w:eastAsiaTheme="minorEastAsia" w:hAnsiTheme="minorEastAsia" w:cs="Arial"/>
                <w:sz w:val="18"/>
                <w:szCs w:val="18"/>
              </w:rPr>
              <w:t>%</w:t>
            </w:r>
            <w:r w:rsidRPr="00831C3C">
              <w:rPr>
                <w:rFonts w:asciiTheme="minorEastAsia" w:eastAsiaTheme="minorEastAsia" w:hAnsiTheme="minorEastAsia" w:cs="Times New Roman" w:hint="eastAsia"/>
                <w:sz w:val="18"/>
                <w:szCs w:val="18"/>
              </w:rPr>
              <w:t>）</w:t>
            </w:r>
          </w:p>
        </w:tc>
      </w:tr>
      <w:tr w:rsidR="00831C3C" w:rsidRPr="00831C3C" w:rsidTr="008007EA">
        <w:trPr>
          <w:divId w:val="1402676138"/>
          <w:trHeight w:val="340"/>
          <w:jc w:val="center"/>
        </w:trPr>
        <w:tc>
          <w:tcPr>
            <w:tcW w:w="22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rsidP="008007EA">
            <w:pPr>
              <w:pStyle w:val="a3"/>
              <w:spacing w:before="0" w:beforeAutospacing="0" w:after="0" w:afterAutospacing="0"/>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房屋建筑物</w:t>
            </w:r>
          </w:p>
        </w:tc>
        <w:tc>
          <w:tcPr>
            <w:tcW w:w="2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rsidP="008007EA">
            <w:pPr>
              <w:pStyle w:val="a3"/>
              <w:spacing w:before="0" w:beforeAutospacing="0" w:after="0" w:afterAutospacing="0"/>
              <w:jc w:val="center"/>
              <w:rPr>
                <w:rFonts w:asciiTheme="minorEastAsia" w:eastAsiaTheme="minorEastAsia" w:hAnsiTheme="minorEastAsia" w:cs="Times New Roman"/>
                <w:sz w:val="18"/>
                <w:szCs w:val="18"/>
              </w:rPr>
            </w:pPr>
            <w:r w:rsidRPr="00831C3C">
              <w:rPr>
                <w:rFonts w:asciiTheme="minorEastAsia" w:eastAsiaTheme="minorEastAsia" w:hAnsiTheme="minorEastAsia" w:cs="Arial"/>
                <w:sz w:val="18"/>
                <w:szCs w:val="18"/>
              </w:rPr>
              <w:t>25.00</w:t>
            </w:r>
          </w:p>
        </w:tc>
        <w:tc>
          <w:tcPr>
            <w:tcW w:w="223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rsidP="008007EA">
            <w:pPr>
              <w:pStyle w:val="a3"/>
              <w:spacing w:before="0" w:beforeAutospacing="0" w:after="0" w:afterAutospacing="0"/>
              <w:jc w:val="center"/>
              <w:rPr>
                <w:rFonts w:asciiTheme="minorEastAsia" w:eastAsiaTheme="minorEastAsia" w:hAnsiTheme="minorEastAsia" w:cs="Times New Roman"/>
                <w:sz w:val="18"/>
                <w:szCs w:val="18"/>
              </w:rPr>
            </w:pPr>
            <w:r w:rsidRPr="00831C3C">
              <w:rPr>
                <w:rFonts w:asciiTheme="minorEastAsia" w:eastAsiaTheme="minorEastAsia" w:hAnsiTheme="minorEastAsia" w:cs="Arial"/>
                <w:sz w:val="18"/>
                <w:szCs w:val="18"/>
              </w:rPr>
              <w:t>10.00</w:t>
            </w:r>
          </w:p>
        </w:tc>
        <w:tc>
          <w:tcPr>
            <w:tcW w:w="22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rsidP="008007EA">
            <w:pPr>
              <w:pStyle w:val="a3"/>
              <w:spacing w:before="0" w:beforeAutospacing="0" w:after="0" w:afterAutospacing="0"/>
              <w:jc w:val="center"/>
              <w:rPr>
                <w:rFonts w:asciiTheme="minorEastAsia" w:eastAsiaTheme="minorEastAsia" w:hAnsiTheme="minorEastAsia" w:cs="Times New Roman"/>
                <w:sz w:val="18"/>
                <w:szCs w:val="18"/>
              </w:rPr>
            </w:pPr>
            <w:r w:rsidRPr="00831C3C">
              <w:rPr>
                <w:rFonts w:asciiTheme="minorEastAsia" w:eastAsiaTheme="minorEastAsia" w:hAnsiTheme="minorEastAsia" w:cs="Arial"/>
                <w:sz w:val="18"/>
                <w:szCs w:val="18"/>
              </w:rPr>
              <w:t>3.60</w:t>
            </w:r>
          </w:p>
        </w:tc>
      </w:tr>
    </w:tbl>
    <w:p w:rsidR="00C65FD5" w:rsidRPr="00831C3C" w:rsidRDefault="00C65FD5" w:rsidP="008007EA">
      <w:pPr>
        <w:pStyle w:val="a3"/>
        <w:spacing w:before="0" w:beforeAutospacing="0" w:after="0" w:afterAutospacing="0"/>
        <w:ind w:firstLine="420"/>
        <w:divId w:val="1402676138"/>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投资性房地产的减值测试方法和减值准备计提方法详见本附注（三十三）长期资产减值。</w:t>
      </w:r>
    </w:p>
    <w:p w:rsidR="00C65FD5" w:rsidRPr="00831C3C" w:rsidRDefault="00C65FD5" w:rsidP="008007EA">
      <w:pPr>
        <w:pStyle w:val="a3"/>
        <w:spacing w:before="120" w:beforeAutospacing="0" w:after="0" w:afterAutospacing="0"/>
        <w:ind w:firstLine="420"/>
        <w:jc w:val="both"/>
        <w:divId w:val="1402676138"/>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投资性房地产的用途改变为自用时，</w:t>
      </w:r>
      <w:proofErr w:type="gramStart"/>
      <w:r w:rsidRPr="00831C3C">
        <w:rPr>
          <w:rFonts w:asciiTheme="minorEastAsia" w:eastAsiaTheme="minorEastAsia" w:hAnsiTheme="minorEastAsia" w:hint="eastAsia"/>
          <w:sz w:val="18"/>
          <w:szCs w:val="18"/>
        </w:rPr>
        <w:t>自改变</w:t>
      </w:r>
      <w:proofErr w:type="gramEnd"/>
      <w:r w:rsidRPr="00831C3C">
        <w:rPr>
          <w:rFonts w:asciiTheme="minorEastAsia" w:eastAsiaTheme="minorEastAsia" w:hAnsiTheme="minorEastAsia" w:hint="eastAsia"/>
          <w:sz w:val="18"/>
          <w:szCs w:val="18"/>
        </w:rPr>
        <w:t>之日起，本公司将该投资性房地产转换为固定资产或无形资产。自用房地产的用途改变为赚取租金或资本增值时，</w:t>
      </w:r>
      <w:proofErr w:type="gramStart"/>
      <w:r w:rsidRPr="00831C3C">
        <w:rPr>
          <w:rFonts w:asciiTheme="minorEastAsia" w:eastAsiaTheme="minorEastAsia" w:hAnsiTheme="minorEastAsia" w:hint="eastAsia"/>
          <w:sz w:val="18"/>
          <w:szCs w:val="18"/>
        </w:rPr>
        <w:t>自改变</w:t>
      </w:r>
      <w:proofErr w:type="gramEnd"/>
      <w:r w:rsidRPr="00831C3C">
        <w:rPr>
          <w:rFonts w:asciiTheme="minorEastAsia" w:eastAsiaTheme="minorEastAsia" w:hAnsiTheme="minorEastAsia" w:hint="eastAsia"/>
          <w:sz w:val="18"/>
          <w:szCs w:val="18"/>
        </w:rPr>
        <w:t>之日起，本公司将固定资产或无形资产转换为投资性房地产。发生转换时，以转换前的账面价值作为转换后的入账价值。</w:t>
      </w:r>
    </w:p>
    <w:p w:rsidR="00C65FD5" w:rsidRPr="00831C3C" w:rsidRDefault="00C65FD5" w:rsidP="008007EA">
      <w:pPr>
        <w:pStyle w:val="a3"/>
        <w:spacing w:before="0" w:beforeAutospacing="0" w:after="0" w:afterAutospacing="0"/>
        <w:ind w:firstLine="420"/>
        <w:jc w:val="both"/>
        <w:divId w:val="1402676138"/>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当投资性房地产被处置，或者永久退出使用且预计不能从其处置中取得经济利益时，终止确认该项投资性房地产。投资性房地产出售、转让、报废或毁损的处置收入扣除其账面价值和相关税费后的金额计入当期损益。</w:t>
      </w:r>
    </w:p>
    <w:p w:rsidR="00C65FD5" w:rsidRPr="00831C3C" w:rsidRDefault="00C65FD5" w:rsidP="008007EA">
      <w:pPr>
        <w:pStyle w:val="a3"/>
        <w:spacing w:before="0" w:beforeAutospacing="0" w:after="0" w:afterAutospacing="0"/>
        <w:ind w:firstLine="420"/>
        <w:jc w:val="both"/>
        <w:divId w:val="1402676138"/>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投资性房地产是指为赚取租金或资本增值，或两者兼有而持有的房地产。包括已出租的土地使用权、持有并</w:t>
      </w:r>
      <w:proofErr w:type="gramStart"/>
      <w:r w:rsidRPr="00831C3C">
        <w:rPr>
          <w:rFonts w:asciiTheme="minorEastAsia" w:eastAsiaTheme="minorEastAsia" w:hAnsiTheme="minorEastAsia" w:hint="eastAsia"/>
          <w:sz w:val="18"/>
          <w:szCs w:val="18"/>
        </w:rPr>
        <w:t>准备增值</w:t>
      </w:r>
      <w:proofErr w:type="gramEnd"/>
      <w:r w:rsidRPr="00831C3C">
        <w:rPr>
          <w:rFonts w:asciiTheme="minorEastAsia" w:eastAsiaTheme="minorEastAsia" w:hAnsiTheme="minorEastAsia" w:hint="eastAsia"/>
          <w:sz w:val="18"/>
          <w:szCs w:val="18"/>
        </w:rPr>
        <w:t>后转让的土地使用权、已出租的建筑物等。此外，对于本公司持有以备经营出租的空置建筑物，若董事会</w:t>
      </w:r>
      <w:proofErr w:type="gramStart"/>
      <w:r w:rsidRPr="00831C3C">
        <w:rPr>
          <w:rFonts w:asciiTheme="minorEastAsia" w:eastAsiaTheme="minorEastAsia" w:hAnsiTheme="minorEastAsia" w:hint="eastAsia"/>
          <w:sz w:val="18"/>
          <w:szCs w:val="18"/>
        </w:rPr>
        <w:t>作出</w:t>
      </w:r>
      <w:proofErr w:type="gramEnd"/>
      <w:r w:rsidRPr="00831C3C">
        <w:rPr>
          <w:rFonts w:asciiTheme="minorEastAsia" w:eastAsiaTheme="minorEastAsia" w:hAnsiTheme="minorEastAsia" w:hint="eastAsia"/>
          <w:sz w:val="18"/>
          <w:szCs w:val="18"/>
        </w:rPr>
        <w:t>书面决议，明确表示将其用于经营出租且持有意图短期内不再发生变化的，也作为投资性房地产列报。</w:t>
      </w:r>
    </w:p>
    <w:p w:rsidR="00C65FD5" w:rsidRPr="00831C3C" w:rsidRDefault="00C65FD5" w:rsidP="008007EA">
      <w:pPr>
        <w:pStyle w:val="a3"/>
        <w:spacing w:before="0" w:beforeAutospacing="0" w:after="0" w:afterAutospacing="0"/>
        <w:ind w:firstLine="420"/>
        <w:jc w:val="both"/>
        <w:divId w:val="1402676138"/>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本公司的投资性房地产按其成本作为入账价值，外购投资性房地产的成本包括购买价款、相关税费和</w:t>
      </w:r>
      <w:proofErr w:type="gramStart"/>
      <w:r w:rsidRPr="00831C3C">
        <w:rPr>
          <w:rFonts w:asciiTheme="minorEastAsia" w:eastAsiaTheme="minorEastAsia" w:hAnsiTheme="minorEastAsia" w:hint="eastAsia"/>
          <w:sz w:val="18"/>
          <w:szCs w:val="18"/>
        </w:rPr>
        <w:t>可</w:t>
      </w:r>
      <w:proofErr w:type="gramEnd"/>
      <w:r w:rsidRPr="00831C3C">
        <w:rPr>
          <w:rFonts w:asciiTheme="minorEastAsia" w:eastAsiaTheme="minorEastAsia" w:hAnsiTheme="minorEastAsia" w:hint="eastAsia"/>
          <w:sz w:val="18"/>
          <w:szCs w:val="18"/>
        </w:rPr>
        <w:t>直接归属于该资产的其他支出；自行建造投资性房地产的成本，由建造该项资产达到预定可使用状态前所发生的必要支出构成。</w:t>
      </w:r>
    </w:p>
    <w:p w:rsidR="00C65FD5" w:rsidRPr="00831C3C" w:rsidRDefault="00C65FD5" w:rsidP="008007EA">
      <w:pPr>
        <w:pStyle w:val="a3"/>
        <w:spacing w:before="0" w:beforeAutospacing="0" w:after="0" w:afterAutospacing="0"/>
        <w:ind w:firstLine="420"/>
        <w:jc w:val="both"/>
        <w:divId w:val="1402676138"/>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采用公允价值模式对投资性房地产进行后续计量，不对投资性房地产计提折旧或进行摊销，在资产负债表日以投资性房地产的公允价值为基础调整其账面价值，公允价值与原账面价值之间的差额计入当期损益。</w:t>
      </w:r>
    </w:p>
    <w:p w:rsidR="00C65FD5" w:rsidRPr="00831C3C" w:rsidRDefault="00C65FD5" w:rsidP="008007EA">
      <w:pPr>
        <w:pStyle w:val="a3"/>
        <w:spacing w:before="0" w:beforeAutospacing="0" w:after="0" w:afterAutospacing="0"/>
        <w:ind w:firstLine="420"/>
        <w:jc w:val="both"/>
        <w:divId w:val="1402676138"/>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投资性房地产采用公允价值模式进行后续计量的依据为：①投资性房地产所在地有活跃的房地产交易市场。②本公司能够从房地产交易市场上取得同类或类似房地产的市场价格及其他相关信息，从而对投资性房地产的公允价值</w:t>
      </w:r>
      <w:proofErr w:type="gramStart"/>
      <w:r w:rsidRPr="00831C3C">
        <w:rPr>
          <w:rFonts w:asciiTheme="minorEastAsia" w:eastAsiaTheme="minorEastAsia" w:hAnsiTheme="minorEastAsia" w:hint="eastAsia"/>
          <w:sz w:val="18"/>
          <w:szCs w:val="18"/>
        </w:rPr>
        <w:t>作出</w:t>
      </w:r>
      <w:proofErr w:type="gramEnd"/>
      <w:r w:rsidRPr="00831C3C">
        <w:rPr>
          <w:rFonts w:asciiTheme="minorEastAsia" w:eastAsiaTheme="minorEastAsia" w:hAnsiTheme="minorEastAsia" w:hint="eastAsia"/>
          <w:sz w:val="18"/>
          <w:szCs w:val="18"/>
        </w:rPr>
        <w:t>合理的估计。</w:t>
      </w:r>
    </w:p>
    <w:p w:rsidR="00C65FD5" w:rsidRPr="00831C3C" w:rsidRDefault="00C65FD5" w:rsidP="008007EA">
      <w:pPr>
        <w:pStyle w:val="a3"/>
        <w:spacing w:before="0" w:beforeAutospacing="0" w:after="0" w:afterAutospacing="0"/>
        <w:ind w:firstLine="420"/>
        <w:jc w:val="both"/>
        <w:divId w:val="1402676138"/>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确定投资性房地产的公允价值时，参照活跃市场上同类或类似房地产的现行市场价格；无法取得同类或类似房地产的现行市场价格的，参照活跃市场上同类或类似房地产的最近交易价格，并考虑资产状况、所在位置、交易情况、交易日期等因素，从而对投资性房地产的公允价值</w:t>
      </w:r>
      <w:proofErr w:type="gramStart"/>
      <w:r w:rsidRPr="00831C3C">
        <w:rPr>
          <w:rFonts w:asciiTheme="minorEastAsia" w:eastAsiaTheme="minorEastAsia" w:hAnsiTheme="minorEastAsia" w:hint="eastAsia"/>
          <w:sz w:val="18"/>
          <w:szCs w:val="18"/>
        </w:rPr>
        <w:t>作出</w:t>
      </w:r>
      <w:proofErr w:type="gramEnd"/>
      <w:r w:rsidRPr="00831C3C">
        <w:rPr>
          <w:rFonts w:asciiTheme="minorEastAsia" w:eastAsiaTheme="minorEastAsia" w:hAnsiTheme="minorEastAsia" w:hint="eastAsia"/>
          <w:sz w:val="18"/>
          <w:szCs w:val="18"/>
        </w:rPr>
        <w:t>合理的估计；或基于预计未来获得的租金收益和有关现金流量的现值确定其公允价值。</w:t>
      </w:r>
    </w:p>
    <w:p w:rsidR="00C65FD5" w:rsidRPr="00831C3C" w:rsidRDefault="00C65FD5" w:rsidP="008007EA">
      <w:pPr>
        <w:pStyle w:val="a3"/>
        <w:spacing w:before="0" w:beforeAutospacing="0" w:after="0" w:afterAutospacing="0"/>
        <w:ind w:firstLine="420"/>
        <w:jc w:val="both"/>
        <w:divId w:val="1402676138"/>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有确凿证据表明房地产用途发生改变，将投资性房地产转换为自用房地产时，以其转换当日的公允价值作为自用房地产的账面价值，公允价值与原账面价值的差额计入当期损益。自用房地产或存货转换为采用公允价值模式计量的投资性房地产时，投资性房地产按照转换当日的公允价值计价，转换当日的公允价值小于原账面价值的，其差额计入当期损益；转换当日的公允价值大于原账面价值的，其差额计入其他综合收益。</w:t>
      </w:r>
    </w:p>
    <w:p w:rsidR="00C65FD5" w:rsidRPr="00831C3C" w:rsidRDefault="00C65FD5" w:rsidP="008007EA">
      <w:pPr>
        <w:pStyle w:val="a3"/>
        <w:spacing w:before="0" w:beforeAutospacing="0" w:after="0" w:afterAutospacing="0"/>
        <w:ind w:firstLine="420"/>
        <w:jc w:val="both"/>
        <w:divId w:val="1402676138"/>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当投资性房地产被处置，或者永久退出使用且预计不能从其处置中取得经济利益时，终止确认该项投资性房地产。投资性房地产出售、转让、报废或毁损的处置收入扣除其账面价值和相关税费后的金额计入当期损益。</w:t>
      </w:r>
    </w:p>
    <w:p w:rsidR="00E23A97" w:rsidRPr="00831C3C" w:rsidRDefault="00C65FD5">
      <w:pPr>
        <w:pStyle w:val="3"/>
        <w:spacing w:line="280" w:lineRule="exact"/>
        <w:jc w:val="left"/>
        <w:rPr>
          <w:rFonts w:ascii="宋体" w:hAnsi="宋体" w:cs="宋体"/>
          <w:b/>
          <w:bCs/>
        </w:rPr>
      </w:pPr>
      <w:bookmarkStart w:id="202" w:name="_Toc989089"/>
      <w:r w:rsidRPr="00831C3C">
        <w:rPr>
          <w:rFonts w:ascii="宋体" w:hAnsi="宋体" w:cs="宋体"/>
          <w:b/>
          <w:bCs/>
        </w:rPr>
        <w:t>24、固定资产</w:t>
      </w:r>
      <w:bookmarkEnd w:id="202"/>
    </w:p>
    <w:p w:rsidR="00E23A97" w:rsidRPr="00831C3C" w:rsidRDefault="00C65FD5">
      <w:pPr>
        <w:keepNext/>
        <w:keepLines/>
        <w:spacing w:before="300" w:after="300" w:line="280" w:lineRule="exact"/>
        <w:outlineLvl w:val="3"/>
        <w:rPr>
          <w:rFonts w:ascii="宋体" w:eastAsia="宋体" w:hAnsi="宋体" w:cs="宋体"/>
          <w:b/>
          <w:bCs/>
          <w:szCs w:val="21"/>
        </w:rPr>
      </w:pPr>
      <w:bookmarkStart w:id="203" w:name="_Toc989090"/>
      <w:r w:rsidRPr="00831C3C">
        <w:rPr>
          <w:rFonts w:ascii="宋体" w:eastAsia="宋体" w:hAnsi="宋体" w:cs="宋体"/>
          <w:b/>
          <w:bCs/>
          <w:szCs w:val="21"/>
        </w:rPr>
        <w:t>（1）确认条件</w:t>
      </w:r>
      <w:bookmarkEnd w:id="203"/>
    </w:p>
    <w:p w:rsidR="00C65FD5" w:rsidRPr="00831C3C" w:rsidRDefault="00C65FD5" w:rsidP="008007EA">
      <w:pPr>
        <w:pStyle w:val="a3"/>
        <w:ind w:firstLine="408"/>
        <w:divId w:val="1286885720"/>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固定资产指为生产商品、提供劳务、出租或经营管理而持有，并且使用寿命超过一个会计年度的有形资产。固定资产在同时满足下列条件时予以确认：</w:t>
      </w:r>
    </w:p>
    <w:p w:rsidR="00C65FD5" w:rsidRPr="00831C3C" w:rsidRDefault="00C65FD5" w:rsidP="008007EA">
      <w:pPr>
        <w:pStyle w:val="a3"/>
        <w:ind w:firstLine="408"/>
        <w:divId w:val="1286885720"/>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（1）与该固定资产有关的经济利益很可能流入企业；</w:t>
      </w:r>
    </w:p>
    <w:p w:rsidR="00C65FD5" w:rsidRPr="00831C3C" w:rsidRDefault="00C65FD5" w:rsidP="008007EA">
      <w:pPr>
        <w:pStyle w:val="a3"/>
        <w:ind w:firstLine="408"/>
        <w:divId w:val="1286885720"/>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（2）该固定资产的成本能够可靠地计量。</w:t>
      </w:r>
    </w:p>
    <w:p w:rsidR="00C65FD5" w:rsidRPr="00831C3C" w:rsidRDefault="00C65FD5" w:rsidP="008007EA">
      <w:pPr>
        <w:pStyle w:val="a3"/>
        <w:ind w:firstLine="408"/>
        <w:divId w:val="1286885720"/>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同时，与固定资产有关的后续支出，符合固定资产确认条件的，计入固定资产成本；不符合固定资产确认条件的，在发生时按照受益对象计入当期损益或计入相关资产的成本。</w:t>
      </w:r>
    </w:p>
    <w:p w:rsidR="00C65FD5" w:rsidRPr="00831C3C" w:rsidRDefault="00C65FD5" w:rsidP="008007EA">
      <w:pPr>
        <w:pStyle w:val="a3"/>
        <w:ind w:firstLine="408"/>
        <w:divId w:val="1286885720"/>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2．固定资产初始计量</w:t>
      </w:r>
    </w:p>
    <w:p w:rsidR="00C65FD5" w:rsidRPr="00831C3C" w:rsidRDefault="00C65FD5" w:rsidP="008007EA">
      <w:pPr>
        <w:pStyle w:val="a3"/>
        <w:ind w:firstLine="408"/>
        <w:divId w:val="1286885720"/>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lastRenderedPageBreak/>
        <w:t>本公司固定资产按成本进行初始计量。</w:t>
      </w:r>
    </w:p>
    <w:p w:rsidR="00C65FD5" w:rsidRPr="00831C3C" w:rsidRDefault="00C65FD5" w:rsidP="008007EA">
      <w:pPr>
        <w:pStyle w:val="a3"/>
        <w:ind w:firstLine="408"/>
        <w:divId w:val="1286885720"/>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（1）外购的固定资产的成本包括买价、进口关税等相关税费，以及为使固定资产达到预定可使用状态前所发生的可直接归属于该资产的其他支出。</w:t>
      </w:r>
    </w:p>
    <w:p w:rsidR="00C65FD5" w:rsidRPr="00831C3C" w:rsidRDefault="00C65FD5" w:rsidP="008007EA">
      <w:pPr>
        <w:pStyle w:val="a3"/>
        <w:ind w:firstLine="408"/>
        <w:divId w:val="1286885720"/>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2）自行建造固定资产的成本，由建造该项资产达到预定可使用状态前所发生的必要支出构成。测试固定资产可否正常运转而发生的支出属于固定资产达到预定可使用状态前的必要支出，计入该固定资产成本。本公司将固定资产达到预定可使用状态前产出的产品或副产品对外销售(以下简称试运行销售)的，按照《企业会计准则第14号——收入》（2017年修订）、《企业会计准则第1号——存货》等规定，对试运行销售相关的收入和成本分别进行会计处理，计入当期损益。</w:t>
      </w:r>
    </w:p>
    <w:p w:rsidR="00C65FD5" w:rsidRPr="00831C3C" w:rsidRDefault="00C65FD5" w:rsidP="008007EA">
      <w:pPr>
        <w:pStyle w:val="a3"/>
        <w:ind w:firstLine="408"/>
        <w:divId w:val="1286885720"/>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（3）投资者投入的固定资产，按投资合同或协议约定的价值加上应支付的相关税费作为入账价值，但合同或协议约定价值</w:t>
      </w:r>
      <w:proofErr w:type="gramStart"/>
      <w:r w:rsidRPr="00831C3C">
        <w:rPr>
          <w:rFonts w:asciiTheme="minorEastAsia" w:eastAsiaTheme="minorEastAsia" w:hAnsiTheme="minorEastAsia" w:hint="eastAsia"/>
          <w:sz w:val="18"/>
          <w:szCs w:val="18"/>
        </w:rPr>
        <w:t>不</w:t>
      </w:r>
      <w:proofErr w:type="gramEnd"/>
      <w:r w:rsidRPr="00831C3C">
        <w:rPr>
          <w:rFonts w:asciiTheme="minorEastAsia" w:eastAsiaTheme="minorEastAsia" w:hAnsiTheme="minorEastAsia" w:hint="eastAsia"/>
          <w:sz w:val="18"/>
          <w:szCs w:val="18"/>
        </w:rPr>
        <w:t>公允的按公允价值入账。在投资合同或协议约定价值</w:t>
      </w:r>
      <w:proofErr w:type="gramStart"/>
      <w:r w:rsidRPr="00831C3C">
        <w:rPr>
          <w:rFonts w:asciiTheme="minorEastAsia" w:eastAsiaTheme="minorEastAsia" w:hAnsiTheme="minorEastAsia" w:hint="eastAsia"/>
          <w:sz w:val="18"/>
          <w:szCs w:val="18"/>
        </w:rPr>
        <w:t>不</w:t>
      </w:r>
      <w:proofErr w:type="gramEnd"/>
      <w:r w:rsidRPr="00831C3C">
        <w:rPr>
          <w:rFonts w:asciiTheme="minorEastAsia" w:eastAsiaTheme="minorEastAsia" w:hAnsiTheme="minorEastAsia" w:hint="eastAsia"/>
          <w:sz w:val="18"/>
          <w:szCs w:val="18"/>
        </w:rPr>
        <w:t>公允的情况下，按照该项固定资产的公允价值作为入账价值，固定资产的公允价值与投资合同或协议约定的价值之间的差额计入资本公积。</w:t>
      </w:r>
    </w:p>
    <w:p w:rsidR="00C65FD5" w:rsidRPr="00831C3C" w:rsidRDefault="00C65FD5" w:rsidP="008007EA">
      <w:pPr>
        <w:pStyle w:val="a3"/>
        <w:ind w:firstLine="408"/>
        <w:divId w:val="1286885720"/>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4）购买固定资产的价款超过正常信用条件延期支付，实质上具有融资性质的，固定资产的成本以购买价款的现值为基础确定。实际支付的价款与购买价款的现值之间的差额，除应予资本化的以外，在信用期间内计入当期损益。</w:t>
      </w:r>
    </w:p>
    <w:p w:rsidR="00E23A97" w:rsidRPr="00831C3C" w:rsidRDefault="00C65FD5">
      <w:pPr>
        <w:keepNext/>
        <w:keepLines/>
        <w:spacing w:before="300" w:after="300" w:line="280" w:lineRule="exact"/>
        <w:outlineLvl w:val="3"/>
        <w:rPr>
          <w:rFonts w:ascii="宋体" w:eastAsia="宋体" w:hAnsi="宋体" w:cs="宋体"/>
          <w:b/>
          <w:bCs/>
          <w:szCs w:val="21"/>
        </w:rPr>
      </w:pPr>
      <w:bookmarkStart w:id="204" w:name="_Toc989091"/>
      <w:r w:rsidRPr="00831C3C">
        <w:rPr>
          <w:rFonts w:ascii="宋体" w:eastAsia="宋体" w:hAnsi="宋体" w:cs="宋体"/>
          <w:b/>
          <w:bCs/>
          <w:szCs w:val="21"/>
        </w:rPr>
        <w:t>（2）折旧方法</w:t>
      </w:r>
      <w:bookmarkEnd w:id="204"/>
    </w:p>
    <w:p w:rsidR="00C65FD5" w:rsidRPr="00831C3C" w:rsidRDefault="00C65FD5" w:rsidP="00CC7D91">
      <w:pPr>
        <w:widowControl/>
        <w:numPr>
          <w:ilvl w:val="0"/>
          <w:numId w:val="85"/>
        </w:numPr>
        <w:spacing w:before="100" w:beforeAutospacing="1" w:after="100" w:afterAutospacing="1"/>
        <w:divId w:val="1593539443"/>
        <w:rPr>
          <w:sz w:val="18"/>
          <w:szCs w:val="18"/>
        </w:rPr>
      </w:pPr>
      <w:r w:rsidRPr="00831C3C">
        <w:rPr>
          <w:rFonts w:hint="eastAsia"/>
          <w:sz w:val="18"/>
          <w:szCs w:val="18"/>
        </w:rPr>
        <w:t>．固定资产后续计量及处置</w:t>
      </w:r>
    </w:p>
    <w:p w:rsidR="00C65FD5" w:rsidRPr="00831C3C" w:rsidRDefault="00C65FD5" w:rsidP="00CC7D91">
      <w:pPr>
        <w:widowControl/>
        <w:numPr>
          <w:ilvl w:val="0"/>
          <w:numId w:val="86"/>
        </w:numPr>
        <w:spacing w:before="100" w:beforeAutospacing="1" w:after="100" w:afterAutospacing="1"/>
        <w:divId w:val="1593539443"/>
        <w:rPr>
          <w:sz w:val="18"/>
          <w:szCs w:val="18"/>
        </w:rPr>
      </w:pPr>
      <w:r w:rsidRPr="00831C3C">
        <w:rPr>
          <w:rFonts w:hint="eastAsia"/>
          <w:sz w:val="18"/>
          <w:szCs w:val="18"/>
        </w:rPr>
        <w:t>固定资产折旧</w:t>
      </w:r>
    </w:p>
    <w:p w:rsidR="00C65FD5" w:rsidRPr="00831C3C" w:rsidRDefault="00C65FD5" w:rsidP="008007EA">
      <w:pPr>
        <w:pStyle w:val="a3"/>
        <w:spacing w:before="0" w:beforeAutospacing="0" w:after="0" w:afterAutospacing="0"/>
        <w:ind w:firstLine="420"/>
        <w:jc w:val="both"/>
        <w:divId w:val="1593539443"/>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固定资产折旧按其入账价值减去预计净残值后在预计使用寿命内计提。对计提了减值准备的固定资产，则在未来期间按扣除减值准备后的账面价值及依据尚可使用年限确定折旧额；已提足</w:t>
      </w:r>
      <w:proofErr w:type="gramStart"/>
      <w:r w:rsidRPr="00831C3C">
        <w:rPr>
          <w:rFonts w:asciiTheme="minorEastAsia" w:eastAsiaTheme="minorEastAsia" w:hAnsiTheme="minorEastAsia" w:hint="eastAsia"/>
          <w:sz w:val="18"/>
          <w:szCs w:val="18"/>
        </w:rPr>
        <w:t>折旧仍</w:t>
      </w:r>
      <w:proofErr w:type="gramEnd"/>
      <w:r w:rsidRPr="00831C3C">
        <w:rPr>
          <w:rFonts w:asciiTheme="minorEastAsia" w:eastAsiaTheme="minorEastAsia" w:hAnsiTheme="minorEastAsia" w:hint="eastAsia"/>
          <w:sz w:val="18"/>
          <w:szCs w:val="18"/>
        </w:rPr>
        <w:t>继续使用的固定资产不计提折旧。</w:t>
      </w:r>
    </w:p>
    <w:p w:rsidR="00C65FD5" w:rsidRPr="00831C3C" w:rsidRDefault="00C65FD5" w:rsidP="008007EA">
      <w:pPr>
        <w:pStyle w:val="a3"/>
        <w:spacing w:before="0" w:beforeAutospacing="0" w:after="0" w:afterAutospacing="0"/>
        <w:ind w:firstLine="420"/>
        <w:jc w:val="both"/>
        <w:divId w:val="1593539443"/>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本公司根据固定资产的性质和使用情况，确定固定资产的使用寿命和预计净残值。并在年度终了，对固定资产的使用寿命、预计净残值和折旧方法进行复核，如与原先估计数存在差异的，进行相应的调整。</w:t>
      </w:r>
    </w:p>
    <w:p w:rsidR="00C65FD5" w:rsidRPr="00831C3C" w:rsidRDefault="00C65FD5" w:rsidP="008007EA">
      <w:pPr>
        <w:pStyle w:val="a3"/>
        <w:spacing w:before="0" w:beforeAutospacing="0" w:after="0" w:afterAutospacing="0"/>
        <w:ind w:firstLine="420"/>
        <w:jc w:val="both"/>
        <w:divId w:val="1593539443"/>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各类固定资产的折旧方法、折旧年限和年折旧率如下：</w:t>
      </w:r>
    </w:p>
    <w:tbl>
      <w:tblPr>
        <w:tblW w:w="9819" w:type="dxa"/>
        <w:jc w:val="center"/>
        <w:tblInd w:w="1034" w:type="dxa"/>
        <w:tblCellMar>
          <w:left w:w="0" w:type="dxa"/>
          <w:right w:w="0" w:type="dxa"/>
        </w:tblCellMar>
        <w:tblLook w:val="04A0" w:firstRow="1" w:lastRow="0" w:firstColumn="1" w:lastColumn="0" w:noHBand="0" w:noVBand="1"/>
        <w:tblCaption w:val="D:\大华\华孚\2024年度\TB|0-合并TB-华孚时尚股份有限公司-2024年度.xlsx|W附注模板|_jds12|0|desc|||0|1"/>
      </w:tblPr>
      <w:tblGrid>
        <w:gridCol w:w="1963"/>
        <w:gridCol w:w="1964"/>
        <w:gridCol w:w="1964"/>
        <w:gridCol w:w="1964"/>
        <w:gridCol w:w="1964"/>
      </w:tblGrid>
      <w:tr w:rsidR="00831C3C" w:rsidRPr="00831C3C" w:rsidTr="003D003F">
        <w:trPr>
          <w:divId w:val="1593539443"/>
          <w:trHeight w:val="349"/>
          <w:tblHeader/>
          <w:jc w:val="center"/>
        </w:trPr>
        <w:tc>
          <w:tcPr>
            <w:tcW w:w="1963" w:type="dxa"/>
            <w:tcBorders>
              <w:top w:val="single" w:sz="8" w:space="0" w:color="auto"/>
              <w:left w:val="single" w:sz="8" w:space="0" w:color="auto"/>
              <w:bottom w:val="single" w:sz="8" w:space="0" w:color="auto"/>
              <w:right w:val="single" w:sz="8" w:space="0" w:color="auto"/>
            </w:tcBorders>
            <w:tcMar>
              <w:top w:w="0" w:type="dxa"/>
              <w:left w:w="0" w:type="dxa"/>
              <w:bottom w:w="0" w:type="dxa"/>
              <w:right w:w="108" w:type="dxa"/>
            </w:tcMar>
            <w:vAlign w:val="center"/>
            <w:hideMark/>
          </w:tcPr>
          <w:p w:rsidR="00C65FD5" w:rsidRPr="00831C3C" w:rsidRDefault="00C65FD5">
            <w:pPr>
              <w:pStyle w:val="a3"/>
              <w:spacing w:before="0" w:beforeAutospacing="0" w:after="0" w:afterAutospacing="0"/>
              <w:jc w:val="center"/>
              <w:rPr>
                <w:rFonts w:asciiTheme="minorEastAsia" w:eastAsiaTheme="minorEastAsia" w:hAnsiTheme="minorEastAsia" w:cs="Times New Roman"/>
                <w:sz w:val="21"/>
                <w:szCs w:val="21"/>
              </w:rPr>
            </w:pPr>
            <w:r w:rsidRPr="00831C3C">
              <w:rPr>
                <w:rFonts w:asciiTheme="minorEastAsia" w:eastAsiaTheme="minorEastAsia" w:hAnsiTheme="minorEastAsia" w:cs="Times New Roman" w:hint="eastAsia"/>
                <w:sz w:val="18"/>
                <w:szCs w:val="18"/>
              </w:rPr>
              <w:t>类别</w:t>
            </w:r>
          </w:p>
        </w:tc>
        <w:tc>
          <w:tcPr>
            <w:tcW w:w="1964" w:type="dxa"/>
            <w:tcBorders>
              <w:top w:val="single" w:sz="8" w:space="0" w:color="auto"/>
              <w:left w:val="nil"/>
              <w:bottom w:val="single" w:sz="8" w:space="0" w:color="auto"/>
              <w:right w:val="single" w:sz="8" w:space="0" w:color="auto"/>
            </w:tcBorders>
            <w:tcMar>
              <w:top w:w="0" w:type="dxa"/>
              <w:left w:w="0" w:type="dxa"/>
              <w:bottom w:w="0" w:type="dxa"/>
              <w:right w:w="108" w:type="dxa"/>
            </w:tcMar>
            <w:vAlign w:val="center"/>
            <w:hideMark/>
          </w:tcPr>
          <w:p w:rsidR="00C65FD5" w:rsidRPr="00831C3C" w:rsidRDefault="00C65FD5">
            <w:pPr>
              <w:pStyle w:val="a3"/>
              <w:spacing w:before="0" w:beforeAutospacing="0" w:after="0" w:afterAutospacing="0"/>
              <w:jc w:val="center"/>
              <w:rPr>
                <w:rFonts w:asciiTheme="minorEastAsia" w:eastAsiaTheme="minorEastAsia" w:hAnsiTheme="minorEastAsia" w:cs="Times New Roman"/>
                <w:sz w:val="21"/>
                <w:szCs w:val="21"/>
              </w:rPr>
            </w:pPr>
            <w:r w:rsidRPr="00831C3C">
              <w:rPr>
                <w:rFonts w:asciiTheme="minorEastAsia" w:eastAsiaTheme="minorEastAsia" w:hAnsiTheme="minorEastAsia" w:cs="Times New Roman" w:hint="eastAsia"/>
                <w:sz w:val="18"/>
                <w:szCs w:val="18"/>
              </w:rPr>
              <w:t>折旧方法</w:t>
            </w:r>
          </w:p>
        </w:tc>
        <w:tc>
          <w:tcPr>
            <w:tcW w:w="1964" w:type="dxa"/>
            <w:tcBorders>
              <w:top w:val="single" w:sz="8" w:space="0" w:color="auto"/>
              <w:left w:val="nil"/>
              <w:bottom w:val="single" w:sz="8" w:space="0" w:color="auto"/>
              <w:right w:val="single" w:sz="8" w:space="0" w:color="auto"/>
            </w:tcBorders>
            <w:tcMar>
              <w:top w:w="0" w:type="dxa"/>
              <w:left w:w="0" w:type="dxa"/>
              <w:bottom w:w="0" w:type="dxa"/>
              <w:right w:w="108" w:type="dxa"/>
            </w:tcMar>
            <w:vAlign w:val="center"/>
            <w:hideMark/>
          </w:tcPr>
          <w:p w:rsidR="00C65FD5" w:rsidRPr="00831C3C" w:rsidRDefault="00C65FD5">
            <w:pPr>
              <w:pStyle w:val="a3"/>
              <w:spacing w:before="0" w:beforeAutospacing="0" w:after="0" w:afterAutospacing="0"/>
              <w:jc w:val="center"/>
              <w:rPr>
                <w:rFonts w:asciiTheme="minorEastAsia" w:eastAsiaTheme="minorEastAsia" w:hAnsiTheme="minorEastAsia" w:cs="Times New Roman"/>
                <w:sz w:val="21"/>
                <w:szCs w:val="21"/>
              </w:rPr>
            </w:pPr>
            <w:r w:rsidRPr="00831C3C">
              <w:rPr>
                <w:rFonts w:asciiTheme="minorEastAsia" w:eastAsiaTheme="minorEastAsia" w:hAnsiTheme="minorEastAsia" w:cs="Times New Roman" w:hint="eastAsia"/>
                <w:sz w:val="18"/>
                <w:szCs w:val="18"/>
              </w:rPr>
              <w:t>折旧年限（年）</w:t>
            </w:r>
          </w:p>
        </w:tc>
        <w:tc>
          <w:tcPr>
            <w:tcW w:w="1964" w:type="dxa"/>
            <w:tcBorders>
              <w:top w:val="single" w:sz="8" w:space="0" w:color="auto"/>
              <w:left w:val="nil"/>
              <w:bottom w:val="single" w:sz="8" w:space="0" w:color="auto"/>
              <w:right w:val="single" w:sz="8" w:space="0" w:color="auto"/>
            </w:tcBorders>
            <w:tcMar>
              <w:top w:w="0" w:type="dxa"/>
              <w:left w:w="0" w:type="dxa"/>
              <w:bottom w:w="0" w:type="dxa"/>
              <w:right w:w="108" w:type="dxa"/>
            </w:tcMar>
            <w:vAlign w:val="center"/>
            <w:hideMark/>
          </w:tcPr>
          <w:p w:rsidR="00C65FD5" w:rsidRPr="00831C3C" w:rsidRDefault="00C65FD5">
            <w:pPr>
              <w:pStyle w:val="a3"/>
              <w:spacing w:before="0" w:beforeAutospacing="0" w:after="0" w:afterAutospacing="0"/>
              <w:jc w:val="center"/>
              <w:rPr>
                <w:rFonts w:asciiTheme="minorEastAsia" w:eastAsiaTheme="minorEastAsia" w:hAnsiTheme="minorEastAsia" w:cs="Times New Roman"/>
                <w:sz w:val="21"/>
                <w:szCs w:val="21"/>
              </w:rPr>
            </w:pPr>
            <w:r w:rsidRPr="00831C3C">
              <w:rPr>
                <w:rFonts w:asciiTheme="minorEastAsia" w:eastAsiaTheme="minorEastAsia" w:hAnsiTheme="minorEastAsia" w:cs="Times New Roman" w:hint="eastAsia"/>
                <w:sz w:val="18"/>
                <w:szCs w:val="18"/>
              </w:rPr>
              <w:t>残值率（</w:t>
            </w:r>
            <w:r w:rsidRPr="00831C3C">
              <w:rPr>
                <w:rFonts w:asciiTheme="minorEastAsia" w:eastAsiaTheme="minorEastAsia" w:hAnsiTheme="minorEastAsia" w:cs="Arial"/>
                <w:sz w:val="18"/>
                <w:szCs w:val="18"/>
              </w:rPr>
              <w:t>%</w:t>
            </w:r>
            <w:r w:rsidRPr="00831C3C">
              <w:rPr>
                <w:rFonts w:asciiTheme="minorEastAsia" w:eastAsiaTheme="minorEastAsia" w:hAnsiTheme="minorEastAsia" w:cs="Times New Roman" w:hint="eastAsia"/>
                <w:sz w:val="18"/>
                <w:szCs w:val="18"/>
              </w:rPr>
              <w:t>）</w:t>
            </w:r>
          </w:p>
        </w:tc>
        <w:tc>
          <w:tcPr>
            <w:tcW w:w="1964" w:type="dxa"/>
            <w:tcBorders>
              <w:top w:val="single" w:sz="8" w:space="0" w:color="auto"/>
              <w:left w:val="nil"/>
              <w:bottom w:val="single" w:sz="8" w:space="0" w:color="auto"/>
              <w:right w:val="single" w:sz="8" w:space="0" w:color="auto"/>
            </w:tcBorders>
            <w:tcMar>
              <w:top w:w="0" w:type="dxa"/>
              <w:left w:w="0" w:type="dxa"/>
              <w:bottom w:w="0" w:type="dxa"/>
              <w:right w:w="108" w:type="dxa"/>
            </w:tcMar>
            <w:vAlign w:val="center"/>
            <w:hideMark/>
          </w:tcPr>
          <w:p w:rsidR="00C65FD5" w:rsidRPr="00831C3C" w:rsidRDefault="00C65FD5">
            <w:pPr>
              <w:pStyle w:val="a3"/>
              <w:spacing w:before="0" w:beforeAutospacing="0" w:after="0" w:afterAutospacing="0"/>
              <w:jc w:val="center"/>
              <w:rPr>
                <w:rFonts w:asciiTheme="minorEastAsia" w:eastAsiaTheme="minorEastAsia" w:hAnsiTheme="minorEastAsia" w:cs="Times New Roman"/>
                <w:sz w:val="21"/>
                <w:szCs w:val="21"/>
              </w:rPr>
            </w:pPr>
            <w:r w:rsidRPr="00831C3C">
              <w:rPr>
                <w:rFonts w:asciiTheme="minorEastAsia" w:eastAsiaTheme="minorEastAsia" w:hAnsiTheme="minorEastAsia" w:cs="Times New Roman" w:hint="eastAsia"/>
                <w:sz w:val="18"/>
                <w:szCs w:val="18"/>
              </w:rPr>
              <w:t>年折旧率（</w:t>
            </w:r>
            <w:r w:rsidRPr="00831C3C">
              <w:rPr>
                <w:rFonts w:asciiTheme="minorEastAsia" w:eastAsiaTheme="minorEastAsia" w:hAnsiTheme="minorEastAsia" w:cs="Arial"/>
                <w:sz w:val="18"/>
                <w:szCs w:val="18"/>
              </w:rPr>
              <w:t>%</w:t>
            </w:r>
            <w:r w:rsidRPr="00831C3C">
              <w:rPr>
                <w:rFonts w:asciiTheme="minorEastAsia" w:eastAsiaTheme="minorEastAsia" w:hAnsiTheme="minorEastAsia" w:cs="Times New Roman" w:hint="eastAsia"/>
                <w:sz w:val="18"/>
                <w:szCs w:val="18"/>
              </w:rPr>
              <w:t>）</w:t>
            </w:r>
          </w:p>
        </w:tc>
      </w:tr>
      <w:tr w:rsidR="00831C3C" w:rsidRPr="00831C3C" w:rsidTr="003D003F">
        <w:trPr>
          <w:divId w:val="1593539443"/>
          <w:trHeight w:val="349"/>
          <w:jc w:val="center"/>
        </w:trPr>
        <w:tc>
          <w:tcPr>
            <w:tcW w:w="1963" w:type="dxa"/>
            <w:tcBorders>
              <w:top w:val="nil"/>
              <w:left w:val="single" w:sz="8" w:space="0" w:color="auto"/>
              <w:bottom w:val="single" w:sz="8" w:space="0" w:color="auto"/>
              <w:right w:val="single" w:sz="8" w:space="0" w:color="auto"/>
            </w:tcBorders>
            <w:tcMar>
              <w:top w:w="0" w:type="dxa"/>
              <w:left w:w="0" w:type="dxa"/>
              <w:bottom w:w="0" w:type="dxa"/>
              <w:right w:w="108" w:type="dxa"/>
            </w:tcMar>
            <w:vAlign w:val="center"/>
            <w:hideMark/>
          </w:tcPr>
          <w:p w:rsidR="00C65FD5" w:rsidRPr="00831C3C" w:rsidRDefault="00C65FD5">
            <w:pPr>
              <w:pStyle w:val="a3"/>
              <w:spacing w:before="0" w:beforeAutospacing="0" w:after="0" w:afterAutospacing="0"/>
              <w:rPr>
                <w:rFonts w:asciiTheme="minorEastAsia" w:eastAsiaTheme="minorEastAsia" w:hAnsiTheme="minorEastAsia" w:cs="Times New Roman"/>
                <w:sz w:val="21"/>
                <w:szCs w:val="21"/>
              </w:rPr>
            </w:pPr>
            <w:r w:rsidRPr="00831C3C">
              <w:rPr>
                <w:rFonts w:asciiTheme="minorEastAsia" w:eastAsiaTheme="minorEastAsia" w:hAnsiTheme="minorEastAsia" w:cs="Times New Roman" w:hint="eastAsia"/>
                <w:sz w:val="18"/>
                <w:szCs w:val="18"/>
              </w:rPr>
              <w:t>房屋及建筑物</w:t>
            </w:r>
          </w:p>
        </w:tc>
        <w:tc>
          <w:tcPr>
            <w:tcW w:w="1964" w:type="dxa"/>
            <w:tcBorders>
              <w:top w:val="nil"/>
              <w:left w:val="nil"/>
              <w:bottom w:val="single" w:sz="8" w:space="0" w:color="auto"/>
              <w:right w:val="single" w:sz="8" w:space="0" w:color="auto"/>
            </w:tcBorders>
            <w:tcMar>
              <w:top w:w="0" w:type="dxa"/>
              <w:left w:w="0" w:type="dxa"/>
              <w:bottom w:w="0" w:type="dxa"/>
              <w:right w:w="108" w:type="dxa"/>
            </w:tcMar>
            <w:vAlign w:val="center"/>
            <w:hideMark/>
          </w:tcPr>
          <w:p w:rsidR="00C65FD5" w:rsidRPr="00831C3C" w:rsidRDefault="00C65FD5">
            <w:pPr>
              <w:pStyle w:val="a3"/>
              <w:spacing w:before="0" w:beforeAutospacing="0" w:after="0" w:afterAutospacing="0"/>
              <w:jc w:val="center"/>
              <w:rPr>
                <w:rFonts w:asciiTheme="minorEastAsia" w:eastAsiaTheme="minorEastAsia" w:hAnsiTheme="minorEastAsia" w:cs="Times New Roman"/>
                <w:sz w:val="21"/>
                <w:szCs w:val="21"/>
              </w:rPr>
            </w:pPr>
            <w:r w:rsidRPr="00831C3C">
              <w:rPr>
                <w:rFonts w:asciiTheme="minorEastAsia" w:eastAsiaTheme="minorEastAsia" w:hAnsiTheme="minorEastAsia" w:cs="Times New Roman" w:hint="eastAsia"/>
                <w:sz w:val="18"/>
                <w:szCs w:val="18"/>
              </w:rPr>
              <w:t>年限平均法</w:t>
            </w:r>
          </w:p>
        </w:tc>
        <w:tc>
          <w:tcPr>
            <w:tcW w:w="1964" w:type="dxa"/>
            <w:tcBorders>
              <w:top w:val="nil"/>
              <w:left w:val="nil"/>
              <w:bottom w:val="single" w:sz="8" w:space="0" w:color="auto"/>
              <w:right w:val="single" w:sz="8" w:space="0" w:color="auto"/>
            </w:tcBorders>
            <w:tcMar>
              <w:top w:w="0" w:type="dxa"/>
              <w:left w:w="0" w:type="dxa"/>
              <w:bottom w:w="0" w:type="dxa"/>
              <w:right w:w="108" w:type="dxa"/>
            </w:tcMar>
            <w:vAlign w:val="center"/>
            <w:hideMark/>
          </w:tcPr>
          <w:p w:rsidR="00C65FD5" w:rsidRPr="00831C3C" w:rsidRDefault="00C65FD5" w:rsidP="003D003F">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25.00</w:t>
            </w:r>
          </w:p>
        </w:tc>
        <w:tc>
          <w:tcPr>
            <w:tcW w:w="1964" w:type="dxa"/>
            <w:tcBorders>
              <w:top w:val="nil"/>
              <w:left w:val="nil"/>
              <w:bottom w:val="single" w:sz="8" w:space="0" w:color="auto"/>
              <w:right w:val="single" w:sz="8" w:space="0" w:color="auto"/>
            </w:tcBorders>
            <w:tcMar>
              <w:top w:w="0" w:type="dxa"/>
              <w:left w:w="0" w:type="dxa"/>
              <w:bottom w:w="0" w:type="dxa"/>
              <w:right w:w="108" w:type="dxa"/>
            </w:tcMar>
            <w:vAlign w:val="center"/>
            <w:hideMark/>
          </w:tcPr>
          <w:p w:rsidR="00C65FD5" w:rsidRPr="00831C3C" w:rsidRDefault="00C65FD5" w:rsidP="003D003F">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10.00</w:t>
            </w:r>
          </w:p>
        </w:tc>
        <w:tc>
          <w:tcPr>
            <w:tcW w:w="1964" w:type="dxa"/>
            <w:tcBorders>
              <w:top w:val="nil"/>
              <w:left w:val="nil"/>
              <w:bottom w:val="single" w:sz="8" w:space="0" w:color="auto"/>
              <w:right w:val="single" w:sz="8" w:space="0" w:color="auto"/>
            </w:tcBorders>
            <w:tcMar>
              <w:top w:w="0" w:type="dxa"/>
              <w:left w:w="0" w:type="dxa"/>
              <w:bottom w:w="0" w:type="dxa"/>
              <w:right w:w="108" w:type="dxa"/>
            </w:tcMar>
            <w:vAlign w:val="center"/>
            <w:hideMark/>
          </w:tcPr>
          <w:p w:rsidR="00C65FD5" w:rsidRPr="00831C3C" w:rsidRDefault="00C65FD5" w:rsidP="003D003F">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3.60</w:t>
            </w:r>
          </w:p>
        </w:tc>
      </w:tr>
      <w:tr w:rsidR="00831C3C" w:rsidRPr="00831C3C" w:rsidTr="003D003F">
        <w:trPr>
          <w:divId w:val="1593539443"/>
          <w:trHeight w:val="349"/>
          <w:jc w:val="center"/>
        </w:trPr>
        <w:tc>
          <w:tcPr>
            <w:tcW w:w="1963" w:type="dxa"/>
            <w:tcBorders>
              <w:top w:val="nil"/>
              <w:left w:val="single" w:sz="8" w:space="0" w:color="auto"/>
              <w:bottom w:val="single" w:sz="8" w:space="0" w:color="auto"/>
              <w:right w:val="single" w:sz="8" w:space="0" w:color="auto"/>
            </w:tcBorders>
            <w:tcMar>
              <w:top w:w="0" w:type="dxa"/>
              <w:left w:w="0" w:type="dxa"/>
              <w:bottom w:w="0" w:type="dxa"/>
              <w:right w:w="108" w:type="dxa"/>
            </w:tcMar>
            <w:vAlign w:val="center"/>
            <w:hideMark/>
          </w:tcPr>
          <w:p w:rsidR="00C65FD5" w:rsidRPr="00831C3C" w:rsidRDefault="00C65FD5">
            <w:pPr>
              <w:pStyle w:val="a3"/>
              <w:spacing w:before="0" w:beforeAutospacing="0" w:after="0" w:afterAutospacing="0"/>
              <w:rPr>
                <w:rFonts w:asciiTheme="minorEastAsia" w:eastAsiaTheme="minorEastAsia" w:hAnsiTheme="minorEastAsia" w:cs="Times New Roman"/>
                <w:sz w:val="21"/>
                <w:szCs w:val="21"/>
              </w:rPr>
            </w:pPr>
            <w:r w:rsidRPr="00831C3C">
              <w:rPr>
                <w:rFonts w:asciiTheme="minorEastAsia" w:eastAsiaTheme="minorEastAsia" w:hAnsiTheme="minorEastAsia" w:cs="Times New Roman" w:hint="eastAsia"/>
                <w:sz w:val="18"/>
                <w:szCs w:val="18"/>
              </w:rPr>
              <w:t>机器设备</w:t>
            </w:r>
          </w:p>
        </w:tc>
        <w:tc>
          <w:tcPr>
            <w:tcW w:w="1964" w:type="dxa"/>
            <w:tcBorders>
              <w:top w:val="nil"/>
              <w:left w:val="nil"/>
              <w:bottom w:val="single" w:sz="8" w:space="0" w:color="auto"/>
              <w:right w:val="single" w:sz="8" w:space="0" w:color="auto"/>
            </w:tcBorders>
            <w:tcMar>
              <w:top w:w="0" w:type="dxa"/>
              <w:left w:w="0" w:type="dxa"/>
              <w:bottom w:w="0" w:type="dxa"/>
              <w:right w:w="108" w:type="dxa"/>
            </w:tcMar>
            <w:vAlign w:val="center"/>
            <w:hideMark/>
          </w:tcPr>
          <w:p w:rsidR="00C65FD5" w:rsidRPr="00831C3C" w:rsidRDefault="00C65FD5">
            <w:pPr>
              <w:pStyle w:val="a3"/>
              <w:spacing w:before="0" w:beforeAutospacing="0" w:after="0" w:afterAutospacing="0"/>
              <w:jc w:val="center"/>
              <w:rPr>
                <w:rFonts w:asciiTheme="minorEastAsia" w:eastAsiaTheme="minorEastAsia" w:hAnsiTheme="minorEastAsia" w:cs="Times New Roman"/>
                <w:sz w:val="21"/>
                <w:szCs w:val="21"/>
              </w:rPr>
            </w:pPr>
            <w:r w:rsidRPr="00831C3C">
              <w:rPr>
                <w:rFonts w:asciiTheme="minorEastAsia" w:eastAsiaTheme="minorEastAsia" w:hAnsiTheme="minorEastAsia" w:cs="Times New Roman" w:hint="eastAsia"/>
                <w:sz w:val="18"/>
                <w:szCs w:val="18"/>
              </w:rPr>
              <w:t>年限平均法</w:t>
            </w:r>
          </w:p>
        </w:tc>
        <w:tc>
          <w:tcPr>
            <w:tcW w:w="1964" w:type="dxa"/>
            <w:tcBorders>
              <w:top w:val="nil"/>
              <w:left w:val="nil"/>
              <w:bottom w:val="single" w:sz="8" w:space="0" w:color="auto"/>
              <w:right w:val="single" w:sz="8" w:space="0" w:color="auto"/>
            </w:tcBorders>
            <w:tcMar>
              <w:top w:w="0" w:type="dxa"/>
              <w:left w:w="0" w:type="dxa"/>
              <w:bottom w:w="0" w:type="dxa"/>
              <w:right w:w="108" w:type="dxa"/>
            </w:tcMar>
            <w:vAlign w:val="center"/>
            <w:hideMark/>
          </w:tcPr>
          <w:p w:rsidR="00C65FD5" w:rsidRPr="00831C3C" w:rsidRDefault="00C65FD5" w:rsidP="003D003F">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10.00</w:t>
            </w:r>
          </w:p>
        </w:tc>
        <w:tc>
          <w:tcPr>
            <w:tcW w:w="1964" w:type="dxa"/>
            <w:tcBorders>
              <w:top w:val="nil"/>
              <w:left w:val="nil"/>
              <w:bottom w:val="single" w:sz="8" w:space="0" w:color="auto"/>
              <w:right w:val="single" w:sz="8" w:space="0" w:color="auto"/>
            </w:tcBorders>
            <w:tcMar>
              <w:top w:w="0" w:type="dxa"/>
              <w:left w:w="0" w:type="dxa"/>
              <w:bottom w:w="0" w:type="dxa"/>
              <w:right w:w="108" w:type="dxa"/>
            </w:tcMar>
            <w:vAlign w:val="center"/>
            <w:hideMark/>
          </w:tcPr>
          <w:p w:rsidR="00C65FD5" w:rsidRPr="00831C3C" w:rsidRDefault="00C65FD5" w:rsidP="003D003F">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10.00</w:t>
            </w:r>
          </w:p>
        </w:tc>
        <w:tc>
          <w:tcPr>
            <w:tcW w:w="1964" w:type="dxa"/>
            <w:tcBorders>
              <w:top w:val="nil"/>
              <w:left w:val="nil"/>
              <w:bottom w:val="single" w:sz="8" w:space="0" w:color="auto"/>
              <w:right w:val="single" w:sz="8" w:space="0" w:color="auto"/>
            </w:tcBorders>
            <w:tcMar>
              <w:top w:w="0" w:type="dxa"/>
              <w:left w:w="0" w:type="dxa"/>
              <w:bottom w:w="0" w:type="dxa"/>
              <w:right w:w="108" w:type="dxa"/>
            </w:tcMar>
            <w:vAlign w:val="center"/>
            <w:hideMark/>
          </w:tcPr>
          <w:p w:rsidR="00C65FD5" w:rsidRPr="00831C3C" w:rsidRDefault="00C65FD5" w:rsidP="003D003F">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9.00</w:t>
            </w:r>
          </w:p>
        </w:tc>
      </w:tr>
      <w:tr w:rsidR="00831C3C" w:rsidRPr="00831C3C" w:rsidTr="003D003F">
        <w:trPr>
          <w:divId w:val="1593539443"/>
          <w:trHeight w:val="349"/>
          <w:jc w:val="center"/>
        </w:trPr>
        <w:tc>
          <w:tcPr>
            <w:tcW w:w="1963" w:type="dxa"/>
            <w:tcBorders>
              <w:top w:val="nil"/>
              <w:left w:val="single" w:sz="8" w:space="0" w:color="auto"/>
              <w:bottom w:val="single" w:sz="8" w:space="0" w:color="auto"/>
              <w:right w:val="single" w:sz="8" w:space="0" w:color="auto"/>
            </w:tcBorders>
            <w:tcMar>
              <w:top w:w="0" w:type="dxa"/>
              <w:left w:w="0" w:type="dxa"/>
              <w:bottom w:w="0" w:type="dxa"/>
              <w:right w:w="108" w:type="dxa"/>
            </w:tcMar>
            <w:vAlign w:val="center"/>
            <w:hideMark/>
          </w:tcPr>
          <w:p w:rsidR="00C65FD5" w:rsidRPr="00831C3C" w:rsidRDefault="00C65FD5">
            <w:pPr>
              <w:pStyle w:val="a3"/>
              <w:spacing w:before="0" w:beforeAutospacing="0" w:after="0" w:afterAutospacing="0"/>
              <w:rPr>
                <w:rFonts w:asciiTheme="minorEastAsia" w:eastAsiaTheme="minorEastAsia" w:hAnsiTheme="minorEastAsia" w:cs="Times New Roman"/>
                <w:sz w:val="21"/>
                <w:szCs w:val="21"/>
              </w:rPr>
            </w:pPr>
            <w:r w:rsidRPr="00831C3C">
              <w:rPr>
                <w:rFonts w:asciiTheme="minorEastAsia" w:eastAsiaTheme="minorEastAsia" w:hAnsiTheme="minorEastAsia" w:cs="Times New Roman" w:hint="eastAsia"/>
                <w:sz w:val="18"/>
                <w:szCs w:val="18"/>
              </w:rPr>
              <w:t>运输设备</w:t>
            </w:r>
          </w:p>
        </w:tc>
        <w:tc>
          <w:tcPr>
            <w:tcW w:w="1964" w:type="dxa"/>
            <w:tcBorders>
              <w:top w:val="nil"/>
              <w:left w:val="nil"/>
              <w:bottom w:val="single" w:sz="8" w:space="0" w:color="auto"/>
              <w:right w:val="single" w:sz="8" w:space="0" w:color="auto"/>
            </w:tcBorders>
            <w:tcMar>
              <w:top w:w="0" w:type="dxa"/>
              <w:left w:w="0" w:type="dxa"/>
              <w:bottom w:w="0" w:type="dxa"/>
              <w:right w:w="108" w:type="dxa"/>
            </w:tcMar>
            <w:vAlign w:val="center"/>
            <w:hideMark/>
          </w:tcPr>
          <w:p w:rsidR="00C65FD5" w:rsidRPr="00831C3C" w:rsidRDefault="00C65FD5">
            <w:pPr>
              <w:pStyle w:val="a3"/>
              <w:spacing w:before="0" w:beforeAutospacing="0" w:after="0" w:afterAutospacing="0"/>
              <w:jc w:val="center"/>
              <w:rPr>
                <w:rFonts w:asciiTheme="minorEastAsia" w:eastAsiaTheme="minorEastAsia" w:hAnsiTheme="minorEastAsia" w:cs="Times New Roman"/>
                <w:sz w:val="21"/>
                <w:szCs w:val="21"/>
              </w:rPr>
            </w:pPr>
            <w:r w:rsidRPr="00831C3C">
              <w:rPr>
                <w:rFonts w:asciiTheme="minorEastAsia" w:eastAsiaTheme="minorEastAsia" w:hAnsiTheme="minorEastAsia" w:cs="Times New Roman" w:hint="eastAsia"/>
                <w:sz w:val="18"/>
                <w:szCs w:val="18"/>
              </w:rPr>
              <w:t>年限平均法</w:t>
            </w:r>
          </w:p>
        </w:tc>
        <w:tc>
          <w:tcPr>
            <w:tcW w:w="1964" w:type="dxa"/>
            <w:tcBorders>
              <w:top w:val="nil"/>
              <w:left w:val="nil"/>
              <w:bottom w:val="single" w:sz="8" w:space="0" w:color="auto"/>
              <w:right w:val="single" w:sz="8" w:space="0" w:color="auto"/>
            </w:tcBorders>
            <w:tcMar>
              <w:top w:w="0" w:type="dxa"/>
              <w:left w:w="0" w:type="dxa"/>
              <w:bottom w:w="0" w:type="dxa"/>
              <w:right w:w="108" w:type="dxa"/>
            </w:tcMar>
            <w:vAlign w:val="center"/>
            <w:hideMark/>
          </w:tcPr>
          <w:p w:rsidR="00C65FD5" w:rsidRPr="00831C3C" w:rsidRDefault="00C65FD5" w:rsidP="003D003F">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5.00</w:t>
            </w:r>
          </w:p>
        </w:tc>
        <w:tc>
          <w:tcPr>
            <w:tcW w:w="1964" w:type="dxa"/>
            <w:tcBorders>
              <w:top w:val="nil"/>
              <w:left w:val="nil"/>
              <w:bottom w:val="single" w:sz="8" w:space="0" w:color="auto"/>
              <w:right w:val="single" w:sz="8" w:space="0" w:color="auto"/>
            </w:tcBorders>
            <w:tcMar>
              <w:top w:w="0" w:type="dxa"/>
              <w:left w:w="0" w:type="dxa"/>
              <w:bottom w:w="0" w:type="dxa"/>
              <w:right w:w="108" w:type="dxa"/>
            </w:tcMar>
            <w:vAlign w:val="center"/>
            <w:hideMark/>
          </w:tcPr>
          <w:p w:rsidR="00C65FD5" w:rsidRPr="00831C3C" w:rsidRDefault="00C65FD5" w:rsidP="003D003F">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10.00</w:t>
            </w:r>
          </w:p>
        </w:tc>
        <w:tc>
          <w:tcPr>
            <w:tcW w:w="1964" w:type="dxa"/>
            <w:tcBorders>
              <w:top w:val="nil"/>
              <w:left w:val="nil"/>
              <w:bottom w:val="single" w:sz="8" w:space="0" w:color="auto"/>
              <w:right w:val="single" w:sz="8" w:space="0" w:color="auto"/>
            </w:tcBorders>
            <w:tcMar>
              <w:top w:w="0" w:type="dxa"/>
              <w:left w:w="0" w:type="dxa"/>
              <w:bottom w:w="0" w:type="dxa"/>
              <w:right w:w="108" w:type="dxa"/>
            </w:tcMar>
            <w:vAlign w:val="center"/>
            <w:hideMark/>
          </w:tcPr>
          <w:p w:rsidR="00C65FD5" w:rsidRPr="00831C3C" w:rsidRDefault="00C65FD5" w:rsidP="003D003F">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18.00</w:t>
            </w:r>
          </w:p>
        </w:tc>
      </w:tr>
      <w:tr w:rsidR="00831C3C" w:rsidRPr="00831C3C" w:rsidTr="003D003F">
        <w:trPr>
          <w:divId w:val="1593539443"/>
          <w:trHeight w:val="349"/>
          <w:jc w:val="center"/>
        </w:trPr>
        <w:tc>
          <w:tcPr>
            <w:tcW w:w="1963" w:type="dxa"/>
            <w:tcBorders>
              <w:top w:val="nil"/>
              <w:left w:val="single" w:sz="8" w:space="0" w:color="auto"/>
              <w:bottom w:val="single" w:sz="8" w:space="0" w:color="auto"/>
              <w:right w:val="single" w:sz="8" w:space="0" w:color="auto"/>
            </w:tcBorders>
            <w:tcMar>
              <w:top w:w="0" w:type="dxa"/>
              <w:left w:w="0" w:type="dxa"/>
              <w:bottom w:w="0" w:type="dxa"/>
              <w:right w:w="108" w:type="dxa"/>
            </w:tcMar>
            <w:vAlign w:val="center"/>
            <w:hideMark/>
          </w:tcPr>
          <w:p w:rsidR="00C65FD5" w:rsidRPr="00831C3C" w:rsidRDefault="00C65FD5">
            <w:pPr>
              <w:pStyle w:val="a3"/>
              <w:spacing w:before="0" w:beforeAutospacing="0" w:after="0" w:afterAutospacing="0"/>
              <w:rPr>
                <w:rFonts w:asciiTheme="minorEastAsia" w:eastAsiaTheme="minorEastAsia" w:hAnsiTheme="minorEastAsia" w:cs="Times New Roman"/>
                <w:sz w:val="21"/>
                <w:szCs w:val="21"/>
              </w:rPr>
            </w:pPr>
            <w:r w:rsidRPr="00831C3C">
              <w:rPr>
                <w:rFonts w:asciiTheme="minorEastAsia" w:eastAsiaTheme="minorEastAsia" w:hAnsiTheme="minorEastAsia" w:cs="Times New Roman" w:hint="eastAsia"/>
                <w:sz w:val="18"/>
                <w:szCs w:val="18"/>
              </w:rPr>
              <w:t>电子及其他设备</w:t>
            </w:r>
          </w:p>
        </w:tc>
        <w:tc>
          <w:tcPr>
            <w:tcW w:w="1964" w:type="dxa"/>
            <w:tcBorders>
              <w:top w:val="nil"/>
              <w:left w:val="nil"/>
              <w:bottom w:val="single" w:sz="8" w:space="0" w:color="auto"/>
              <w:right w:val="single" w:sz="8" w:space="0" w:color="auto"/>
            </w:tcBorders>
            <w:tcMar>
              <w:top w:w="0" w:type="dxa"/>
              <w:left w:w="0" w:type="dxa"/>
              <w:bottom w:w="0" w:type="dxa"/>
              <w:right w:w="108" w:type="dxa"/>
            </w:tcMar>
            <w:vAlign w:val="center"/>
            <w:hideMark/>
          </w:tcPr>
          <w:p w:rsidR="00C65FD5" w:rsidRPr="00831C3C" w:rsidRDefault="00C65FD5">
            <w:pPr>
              <w:pStyle w:val="a3"/>
              <w:spacing w:before="0" w:beforeAutospacing="0" w:after="0" w:afterAutospacing="0"/>
              <w:jc w:val="center"/>
              <w:rPr>
                <w:rFonts w:asciiTheme="minorEastAsia" w:eastAsiaTheme="minorEastAsia" w:hAnsiTheme="minorEastAsia" w:cs="Times New Roman"/>
                <w:sz w:val="21"/>
                <w:szCs w:val="21"/>
              </w:rPr>
            </w:pPr>
            <w:r w:rsidRPr="00831C3C">
              <w:rPr>
                <w:rFonts w:asciiTheme="minorEastAsia" w:eastAsiaTheme="minorEastAsia" w:hAnsiTheme="minorEastAsia" w:cs="Times New Roman" w:hint="eastAsia"/>
                <w:sz w:val="18"/>
                <w:szCs w:val="18"/>
              </w:rPr>
              <w:t>年限平均法</w:t>
            </w:r>
          </w:p>
        </w:tc>
        <w:tc>
          <w:tcPr>
            <w:tcW w:w="1964" w:type="dxa"/>
            <w:tcBorders>
              <w:top w:val="nil"/>
              <w:left w:val="nil"/>
              <w:bottom w:val="single" w:sz="8" w:space="0" w:color="auto"/>
              <w:right w:val="single" w:sz="8" w:space="0" w:color="auto"/>
            </w:tcBorders>
            <w:tcMar>
              <w:top w:w="0" w:type="dxa"/>
              <w:left w:w="0" w:type="dxa"/>
              <w:bottom w:w="0" w:type="dxa"/>
              <w:right w:w="108" w:type="dxa"/>
            </w:tcMar>
            <w:vAlign w:val="center"/>
            <w:hideMark/>
          </w:tcPr>
          <w:p w:rsidR="00C65FD5" w:rsidRPr="00831C3C" w:rsidRDefault="00C65FD5" w:rsidP="003D003F">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5.00</w:t>
            </w:r>
          </w:p>
        </w:tc>
        <w:tc>
          <w:tcPr>
            <w:tcW w:w="1964" w:type="dxa"/>
            <w:tcBorders>
              <w:top w:val="nil"/>
              <w:left w:val="nil"/>
              <w:bottom w:val="single" w:sz="8" w:space="0" w:color="auto"/>
              <w:right w:val="single" w:sz="8" w:space="0" w:color="auto"/>
            </w:tcBorders>
            <w:tcMar>
              <w:top w:w="0" w:type="dxa"/>
              <w:left w:w="0" w:type="dxa"/>
              <w:bottom w:w="0" w:type="dxa"/>
              <w:right w:w="108" w:type="dxa"/>
            </w:tcMar>
            <w:vAlign w:val="center"/>
            <w:hideMark/>
          </w:tcPr>
          <w:p w:rsidR="00C65FD5" w:rsidRPr="00831C3C" w:rsidRDefault="00C65FD5" w:rsidP="003D003F">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10.00</w:t>
            </w:r>
          </w:p>
        </w:tc>
        <w:tc>
          <w:tcPr>
            <w:tcW w:w="1964" w:type="dxa"/>
            <w:tcBorders>
              <w:top w:val="nil"/>
              <w:left w:val="nil"/>
              <w:bottom w:val="single" w:sz="8" w:space="0" w:color="auto"/>
              <w:right w:val="single" w:sz="8" w:space="0" w:color="auto"/>
            </w:tcBorders>
            <w:tcMar>
              <w:top w:w="0" w:type="dxa"/>
              <w:left w:w="0" w:type="dxa"/>
              <w:bottom w:w="0" w:type="dxa"/>
              <w:right w:w="108" w:type="dxa"/>
            </w:tcMar>
            <w:vAlign w:val="center"/>
            <w:hideMark/>
          </w:tcPr>
          <w:p w:rsidR="00C65FD5" w:rsidRPr="00831C3C" w:rsidRDefault="00C65FD5" w:rsidP="003D003F">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18.00</w:t>
            </w:r>
          </w:p>
        </w:tc>
      </w:tr>
    </w:tbl>
    <w:p w:rsidR="00C65FD5" w:rsidRPr="00831C3C" w:rsidRDefault="00C65FD5" w:rsidP="00CC7D91">
      <w:pPr>
        <w:widowControl/>
        <w:numPr>
          <w:ilvl w:val="0"/>
          <w:numId w:val="87"/>
        </w:numPr>
        <w:spacing w:before="100" w:beforeAutospacing="1" w:after="100" w:afterAutospacing="1"/>
        <w:divId w:val="1593539443"/>
        <w:rPr>
          <w:sz w:val="18"/>
          <w:szCs w:val="18"/>
        </w:rPr>
      </w:pPr>
      <w:r w:rsidRPr="00831C3C">
        <w:rPr>
          <w:rFonts w:hint="eastAsia"/>
          <w:sz w:val="18"/>
          <w:szCs w:val="18"/>
        </w:rPr>
        <w:t>固定资产的后续支出</w:t>
      </w:r>
    </w:p>
    <w:p w:rsidR="00C65FD5" w:rsidRPr="00831C3C" w:rsidRDefault="00C65FD5" w:rsidP="003D003F">
      <w:pPr>
        <w:pStyle w:val="a3"/>
        <w:spacing w:before="0" w:beforeAutospacing="0" w:after="0" w:afterAutospacing="0"/>
        <w:ind w:firstLine="420"/>
        <w:jc w:val="both"/>
        <w:divId w:val="1593539443"/>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与固定资产有关的后续支出，符合固定资产确认条件的，计入固定资产成本；不符合固定资产确认条件的，</w:t>
      </w:r>
      <w:bookmarkStart w:id="205" w:name="_Hlk186878244"/>
      <w:bookmarkStart w:id="206" w:name="_Hlk188451073"/>
      <w:bookmarkEnd w:id="205"/>
      <w:bookmarkEnd w:id="206"/>
      <w:r w:rsidRPr="00831C3C">
        <w:rPr>
          <w:rFonts w:asciiTheme="minorEastAsia" w:eastAsiaTheme="minorEastAsia" w:hAnsiTheme="minorEastAsia" w:hint="eastAsia"/>
          <w:sz w:val="18"/>
          <w:szCs w:val="18"/>
        </w:rPr>
        <w:t>根据不同情况分别在发生时按照受益对象计入当期损益或计入相关资产的成本。</w:t>
      </w:r>
    </w:p>
    <w:p w:rsidR="00C65FD5" w:rsidRPr="00831C3C" w:rsidRDefault="00C65FD5" w:rsidP="00CC7D91">
      <w:pPr>
        <w:widowControl/>
        <w:numPr>
          <w:ilvl w:val="0"/>
          <w:numId w:val="88"/>
        </w:numPr>
        <w:spacing w:before="100" w:beforeAutospacing="1" w:after="100" w:afterAutospacing="1"/>
        <w:divId w:val="1593539443"/>
        <w:rPr>
          <w:rFonts w:ascii="宋体" w:hAnsi="宋体" w:cs="宋体"/>
          <w:sz w:val="18"/>
          <w:szCs w:val="18"/>
        </w:rPr>
      </w:pPr>
      <w:r w:rsidRPr="00831C3C">
        <w:rPr>
          <w:rFonts w:hint="eastAsia"/>
          <w:sz w:val="18"/>
          <w:szCs w:val="18"/>
        </w:rPr>
        <w:t>固定资产的减值</w:t>
      </w:r>
    </w:p>
    <w:p w:rsidR="00C65FD5" w:rsidRPr="00831C3C" w:rsidRDefault="00C65FD5" w:rsidP="003D003F">
      <w:pPr>
        <w:pStyle w:val="a3"/>
        <w:spacing w:before="0" w:beforeAutospacing="0" w:after="0" w:afterAutospacing="0"/>
        <w:ind w:firstLine="420"/>
        <w:jc w:val="both"/>
        <w:divId w:val="1593539443"/>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固定资产的减值测试方法和减值准备计提方法详见本附注（三十三）长期资产减值。</w:t>
      </w:r>
    </w:p>
    <w:p w:rsidR="00C65FD5" w:rsidRPr="00831C3C" w:rsidRDefault="00C65FD5" w:rsidP="00CC7D91">
      <w:pPr>
        <w:widowControl/>
        <w:numPr>
          <w:ilvl w:val="0"/>
          <w:numId w:val="89"/>
        </w:numPr>
        <w:spacing w:before="100" w:beforeAutospacing="1" w:after="100" w:afterAutospacing="1"/>
        <w:divId w:val="1593539443"/>
        <w:rPr>
          <w:rFonts w:ascii="宋体" w:hAnsi="宋体" w:cs="宋体"/>
          <w:sz w:val="18"/>
          <w:szCs w:val="18"/>
        </w:rPr>
      </w:pPr>
      <w:r w:rsidRPr="00831C3C">
        <w:rPr>
          <w:rFonts w:hint="eastAsia"/>
          <w:sz w:val="18"/>
          <w:szCs w:val="18"/>
        </w:rPr>
        <w:t>固定资产处置</w:t>
      </w:r>
    </w:p>
    <w:p w:rsidR="00C65FD5" w:rsidRPr="00831C3C" w:rsidRDefault="00C65FD5" w:rsidP="003D003F">
      <w:pPr>
        <w:pStyle w:val="a3"/>
        <w:spacing w:before="0" w:beforeAutospacing="0" w:after="0" w:afterAutospacing="0"/>
        <w:ind w:firstLine="420"/>
        <w:jc w:val="both"/>
        <w:divId w:val="1593539443"/>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lastRenderedPageBreak/>
        <w:t>当固定资产被处置、或者预期通过使用或处置不能产生经济利益时，终止确认该固定资产。固定资产出售、转让、报废或毁损的处置收入扣除其账面价值和相关税费后的金额计入当期损益。</w:t>
      </w:r>
    </w:p>
    <w:p w:rsidR="00E23A97" w:rsidRPr="00831C3C" w:rsidRDefault="00C65FD5">
      <w:pPr>
        <w:pStyle w:val="3"/>
        <w:spacing w:line="280" w:lineRule="exact"/>
        <w:jc w:val="left"/>
        <w:rPr>
          <w:rFonts w:ascii="宋体" w:hAnsi="宋体" w:cs="宋体"/>
          <w:b/>
          <w:bCs/>
        </w:rPr>
      </w:pPr>
      <w:bookmarkStart w:id="207" w:name="_Toc989092"/>
      <w:r w:rsidRPr="00831C3C">
        <w:rPr>
          <w:rFonts w:ascii="宋体" w:hAnsi="宋体" w:cs="宋体"/>
          <w:b/>
          <w:bCs/>
        </w:rPr>
        <w:t>25、在建工程</w:t>
      </w:r>
      <w:bookmarkEnd w:id="207"/>
    </w:p>
    <w:p w:rsidR="00C65FD5" w:rsidRPr="00831C3C" w:rsidRDefault="00C65FD5" w:rsidP="003D003F">
      <w:pPr>
        <w:pStyle w:val="a3"/>
        <w:spacing w:before="0" w:beforeAutospacing="0" w:after="0" w:afterAutospacing="0"/>
        <w:ind w:firstLine="420"/>
        <w:jc w:val="both"/>
        <w:divId w:val="489907224"/>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自行建造的在建工程按实际成本计价，实际成本由建造该项资产达到预定可使用状态前所发生的必要支出构成，包括工程用物资成本、人工成本、交纳的相关税费、应予资本化的借款费用以及应分摊的间接费用等。</w:t>
      </w:r>
    </w:p>
    <w:p w:rsidR="00C65FD5" w:rsidRPr="00831C3C" w:rsidRDefault="00C65FD5" w:rsidP="003D003F">
      <w:pPr>
        <w:pStyle w:val="a3"/>
        <w:spacing w:before="0" w:beforeAutospacing="0" w:after="0" w:afterAutospacing="0"/>
        <w:ind w:firstLine="420"/>
        <w:jc w:val="both"/>
        <w:divId w:val="489907224"/>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在建工程项目按建造该项资产达到预定可使用状态前所发生的全部支出，作为固定资产的入账价值。所建造的在建工程已达到预定可使用状态，但尚未办理竣工决算的，</w:t>
      </w:r>
      <w:proofErr w:type="gramStart"/>
      <w:r w:rsidRPr="00831C3C">
        <w:rPr>
          <w:rFonts w:asciiTheme="minorEastAsia" w:eastAsiaTheme="minorEastAsia" w:hAnsiTheme="minorEastAsia" w:hint="eastAsia"/>
          <w:sz w:val="18"/>
          <w:szCs w:val="18"/>
        </w:rPr>
        <w:t>自达到</w:t>
      </w:r>
      <w:proofErr w:type="gramEnd"/>
      <w:r w:rsidRPr="00831C3C">
        <w:rPr>
          <w:rFonts w:asciiTheme="minorEastAsia" w:eastAsiaTheme="minorEastAsia" w:hAnsiTheme="minorEastAsia" w:hint="eastAsia"/>
          <w:sz w:val="18"/>
          <w:szCs w:val="18"/>
        </w:rPr>
        <w:t>预定可使用状态之日起，根据工程预算、造价或者工程实际成本等，按估计的价值转入固定资产，并按本公司固定资产折旧政策计提固定资产的折旧，待办理竣工决算后，再按实际成本调整原来的暂估价值，但不调整原已计提的折旧额。</w:t>
      </w:r>
    </w:p>
    <w:p w:rsidR="00C65FD5" w:rsidRPr="00831C3C" w:rsidRDefault="00C65FD5" w:rsidP="003D003F">
      <w:pPr>
        <w:pStyle w:val="a3"/>
        <w:spacing w:before="0" w:beforeAutospacing="0" w:after="0" w:afterAutospacing="0"/>
        <w:ind w:firstLine="420"/>
        <w:jc w:val="both"/>
        <w:divId w:val="489907224"/>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在建工程的减值测试方法和减值准备计提方法详见本附注（三十三）长期资产减值。</w:t>
      </w:r>
    </w:p>
    <w:p w:rsidR="00E23A97" w:rsidRPr="00831C3C" w:rsidRDefault="00C65FD5">
      <w:pPr>
        <w:pStyle w:val="3"/>
        <w:spacing w:line="280" w:lineRule="exact"/>
        <w:jc w:val="left"/>
        <w:rPr>
          <w:rFonts w:ascii="宋体" w:hAnsi="宋体" w:cs="宋体"/>
          <w:b/>
          <w:bCs/>
        </w:rPr>
      </w:pPr>
      <w:bookmarkStart w:id="208" w:name="_Toc989093"/>
      <w:r w:rsidRPr="00831C3C">
        <w:rPr>
          <w:rFonts w:ascii="宋体" w:hAnsi="宋体" w:cs="宋体"/>
          <w:b/>
          <w:bCs/>
        </w:rPr>
        <w:t>26、借款费用</w:t>
      </w:r>
      <w:bookmarkEnd w:id="208"/>
    </w:p>
    <w:p w:rsidR="00C65FD5" w:rsidRPr="00831C3C" w:rsidRDefault="00C65FD5" w:rsidP="00CC7D91">
      <w:pPr>
        <w:widowControl/>
        <w:numPr>
          <w:ilvl w:val="0"/>
          <w:numId w:val="90"/>
        </w:numPr>
        <w:spacing w:before="100" w:beforeAutospacing="1" w:after="100" w:afterAutospacing="1"/>
        <w:divId w:val="1278836059"/>
        <w:rPr>
          <w:sz w:val="18"/>
          <w:szCs w:val="18"/>
        </w:rPr>
      </w:pPr>
      <w:r w:rsidRPr="00831C3C">
        <w:rPr>
          <w:rFonts w:hint="eastAsia"/>
          <w:sz w:val="18"/>
          <w:szCs w:val="18"/>
        </w:rPr>
        <w:t>．借款费用资本化的确认原则</w:t>
      </w:r>
    </w:p>
    <w:p w:rsidR="00C65FD5" w:rsidRPr="00831C3C" w:rsidRDefault="00C65FD5" w:rsidP="003D003F">
      <w:pPr>
        <w:pStyle w:val="a3"/>
        <w:spacing w:before="0" w:beforeAutospacing="0" w:after="0" w:afterAutospacing="0"/>
        <w:ind w:firstLine="420"/>
        <w:jc w:val="both"/>
        <w:divId w:val="127883605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本公司发生的借款费用，可直接归属于符合资本化条件的资产的购建或者生产的，予以资本化，计入相关资产成本；其他借款费用，在发生时根据其发生额确认为费用，计入当期损益。</w:t>
      </w:r>
    </w:p>
    <w:p w:rsidR="00C65FD5" w:rsidRPr="00831C3C" w:rsidRDefault="00C65FD5" w:rsidP="003D003F">
      <w:pPr>
        <w:pStyle w:val="a3"/>
        <w:spacing w:before="0" w:beforeAutospacing="0" w:after="0" w:afterAutospacing="0"/>
        <w:ind w:firstLine="420"/>
        <w:jc w:val="both"/>
        <w:divId w:val="127883605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符合资本化条件的资产，是指需要经过相当长时间的购建或者生产活动才能达到预定可使用或者可销售状态的固定资产、投资性房地产和存货等资产。</w:t>
      </w:r>
    </w:p>
    <w:p w:rsidR="00C65FD5" w:rsidRPr="00831C3C" w:rsidRDefault="00C65FD5" w:rsidP="003D003F">
      <w:pPr>
        <w:pStyle w:val="a3"/>
        <w:spacing w:before="0" w:beforeAutospacing="0" w:after="0" w:afterAutospacing="0"/>
        <w:ind w:firstLine="420"/>
        <w:jc w:val="both"/>
        <w:divId w:val="127883605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借款费用同时满足下列条件时开始资本化：</w:t>
      </w:r>
    </w:p>
    <w:p w:rsidR="00C65FD5" w:rsidRPr="00831C3C" w:rsidRDefault="00C65FD5" w:rsidP="003D003F">
      <w:pPr>
        <w:pStyle w:val="a3"/>
        <w:spacing w:before="0" w:beforeAutospacing="0" w:after="0" w:afterAutospacing="0"/>
        <w:ind w:firstLine="420"/>
        <w:jc w:val="both"/>
        <w:divId w:val="127883605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1</w:t>
      </w:r>
      <w:r w:rsidRPr="00831C3C">
        <w:rPr>
          <w:rFonts w:asciiTheme="minorEastAsia" w:eastAsiaTheme="minorEastAsia" w:hAnsiTheme="minorEastAsia" w:hint="eastAsia"/>
          <w:sz w:val="18"/>
          <w:szCs w:val="18"/>
        </w:rPr>
        <w:t>）资产支出已经发生，资产支出包括为购建或者生产符合资本化条件的资产而以支付现金、</w:t>
      </w:r>
      <w:proofErr w:type="gramStart"/>
      <w:r w:rsidRPr="00831C3C">
        <w:rPr>
          <w:rFonts w:asciiTheme="minorEastAsia" w:eastAsiaTheme="minorEastAsia" w:hAnsiTheme="minorEastAsia" w:hint="eastAsia"/>
          <w:sz w:val="18"/>
          <w:szCs w:val="18"/>
        </w:rPr>
        <w:t>转移非</w:t>
      </w:r>
      <w:proofErr w:type="gramEnd"/>
      <w:r w:rsidRPr="00831C3C">
        <w:rPr>
          <w:rFonts w:asciiTheme="minorEastAsia" w:eastAsiaTheme="minorEastAsia" w:hAnsiTheme="minorEastAsia" w:hint="eastAsia"/>
          <w:sz w:val="18"/>
          <w:szCs w:val="18"/>
        </w:rPr>
        <w:t>现金资产或者承担带息债务形式发生的支出；</w:t>
      </w:r>
    </w:p>
    <w:p w:rsidR="00C65FD5" w:rsidRPr="00831C3C" w:rsidRDefault="00C65FD5" w:rsidP="003D003F">
      <w:pPr>
        <w:pStyle w:val="a3"/>
        <w:spacing w:before="0" w:beforeAutospacing="0" w:after="0" w:afterAutospacing="0"/>
        <w:ind w:firstLine="420"/>
        <w:jc w:val="both"/>
        <w:divId w:val="127883605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2</w:t>
      </w:r>
      <w:r w:rsidRPr="00831C3C">
        <w:rPr>
          <w:rFonts w:asciiTheme="minorEastAsia" w:eastAsiaTheme="minorEastAsia" w:hAnsiTheme="minorEastAsia" w:hint="eastAsia"/>
          <w:sz w:val="18"/>
          <w:szCs w:val="18"/>
        </w:rPr>
        <w:t>）借款费用已经发生；</w:t>
      </w:r>
    </w:p>
    <w:p w:rsidR="00C65FD5" w:rsidRPr="00831C3C" w:rsidRDefault="00C65FD5" w:rsidP="003D003F">
      <w:pPr>
        <w:pStyle w:val="a3"/>
        <w:spacing w:before="0" w:beforeAutospacing="0" w:after="0" w:afterAutospacing="0"/>
        <w:ind w:firstLine="420"/>
        <w:jc w:val="both"/>
        <w:divId w:val="127883605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3</w:t>
      </w:r>
      <w:r w:rsidRPr="00831C3C">
        <w:rPr>
          <w:rFonts w:asciiTheme="minorEastAsia" w:eastAsiaTheme="minorEastAsia" w:hAnsiTheme="minorEastAsia" w:hint="eastAsia"/>
          <w:sz w:val="18"/>
          <w:szCs w:val="18"/>
        </w:rPr>
        <w:t>）为使资产达到预定可使用或者可销售状态所必要的购建或者生产活动已经开始。</w:t>
      </w:r>
    </w:p>
    <w:p w:rsidR="00C65FD5" w:rsidRPr="00831C3C" w:rsidRDefault="00C65FD5" w:rsidP="00CC7D91">
      <w:pPr>
        <w:widowControl/>
        <w:numPr>
          <w:ilvl w:val="0"/>
          <w:numId w:val="91"/>
        </w:numPr>
        <w:spacing w:before="100" w:beforeAutospacing="1" w:after="100" w:afterAutospacing="1"/>
        <w:divId w:val="1278836059"/>
        <w:rPr>
          <w:sz w:val="18"/>
          <w:szCs w:val="18"/>
        </w:rPr>
      </w:pPr>
      <w:r w:rsidRPr="00831C3C">
        <w:rPr>
          <w:rFonts w:hint="eastAsia"/>
          <w:sz w:val="18"/>
          <w:szCs w:val="18"/>
        </w:rPr>
        <w:t>．借款费用资本化期间</w:t>
      </w:r>
    </w:p>
    <w:p w:rsidR="00C65FD5" w:rsidRPr="00831C3C" w:rsidRDefault="00C65FD5" w:rsidP="003D003F">
      <w:pPr>
        <w:pStyle w:val="a3"/>
        <w:spacing w:before="0" w:beforeAutospacing="0" w:after="0" w:afterAutospacing="0"/>
        <w:ind w:firstLine="420"/>
        <w:jc w:val="both"/>
        <w:divId w:val="127883605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资本化期间，指从借款费用开始资本化时点到停止资本化时点的期间，借款费用暂停资本化的期间不包括在内。</w:t>
      </w:r>
    </w:p>
    <w:p w:rsidR="00C65FD5" w:rsidRPr="00831C3C" w:rsidRDefault="00C65FD5" w:rsidP="003D003F">
      <w:pPr>
        <w:pStyle w:val="a3"/>
        <w:spacing w:before="0" w:beforeAutospacing="0" w:after="0" w:afterAutospacing="0"/>
        <w:ind w:firstLine="420"/>
        <w:jc w:val="both"/>
        <w:divId w:val="1278836059"/>
        <w:rPr>
          <w:rFonts w:asciiTheme="minorEastAsia" w:eastAsiaTheme="minorEastAsia" w:hAnsiTheme="minorEastAsia"/>
          <w:sz w:val="18"/>
          <w:szCs w:val="18"/>
        </w:rPr>
      </w:pPr>
      <w:proofErr w:type="gramStart"/>
      <w:r w:rsidRPr="00831C3C">
        <w:rPr>
          <w:rFonts w:asciiTheme="minorEastAsia" w:eastAsiaTheme="minorEastAsia" w:hAnsiTheme="minorEastAsia" w:hint="eastAsia"/>
          <w:sz w:val="18"/>
          <w:szCs w:val="18"/>
        </w:rPr>
        <w:t>当购建</w:t>
      </w:r>
      <w:proofErr w:type="gramEnd"/>
      <w:r w:rsidRPr="00831C3C">
        <w:rPr>
          <w:rFonts w:asciiTheme="minorEastAsia" w:eastAsiaTheme="minorEastAsia" w:hAnsiTheme="minorEastAsia" w:hint="eastAsia"/>
          <w:sz w:val="18"/>
          <w:szCs w:val="18"/>
        </w:rPr>
        <w:t>或者生产符合资本化条件的资产达到预定可使用或者可销售状态时，借款费用停止资本化。</w:t>
      </w:r>
    </w:p>
    <w:p w:rsidR="00C65FD5" w:rsidRPr="00831C3C" w:rsidRDefault="00C65FD5" w:rsidP="003D003F">
      <w:pPr>
        <w:pStyle w:val="a3"/>
        <w:spacing w:before="0" w:beforeAutospacing="0" w:after="0" w:afterAutospacing="0"/>
        <w:ind w:firstLine="420"/>
        <w:jc w:val="both"/>
        <w:divId w:val="1278836059"/>
        <w:rPr>
          <w:rFonts w:asciiTheme="minorEastAsia" w:eastAsiaTheme="minorEastAsia" w:hAnsiTheme="minorEastAsia"/>
          <w:sz w:val="18"/>
          <w:szCs w:val="18"/>
        </w:rPr>
      </w:pPr>
      <w:proofErr w:type="gramStart"/>
      <w:r w:rsidRPr="00831C3C">
        <w:rPr>
          <w:rFonts w:asciiTheme="minorEastAsia" w:eastAsiaTheme="minorEastAsia" w:hAnsiTheme="minorEastAsia" w:hint="eastAsia"/>
          <w:sz w:val="18"/>
          <w:szCs w:val="18"/>
        </w:rPr>
        <w:t>当购建</w:t>
      </w:r>
      <w:proofErr w:type="gramEnd"/>
      <w:r w:rsidRPr="00831C3C">
        <w:rPr>
          <w:rFonts w:asciiTheme="minorEastAsia" w:eastAsiaTheme="minorEastAsia" w:hAnsiTheme="minorEastAsia" w:hint="eastAsia"/>
          <w:sz w:val="18"/>
          <w:szCs w:val="18"/>
        </w:rPr>
        <w:t>或者生产符合资本化条件的资产中部分项目分别完工且可单独使用时，该部分资产借款费用停止资本化。</w:t>
      </w:r>
    </w:p>
    <w:p w:rsidR="00C65FD5" w:rsidRPr="00831C3C" w:rsidRDefault="00C65FD5" w:rsidP="003D003F">
      <w:pPr>
        <w:pStyle w:val="a3"/>
        <w:spacing w:before="0" w:beforeAutospacing="0" w:after="0" w:afterAutospacing="0"/>
        <w:ind w:firstLine="420"/>
        <w:jc w:val="both"/>
        <w:divId w:val="127883605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购建或者生产的资产的各部分分别完工，但必须等到整体完工后才可使用或可对外销售的，在该资产整体完工时停止借款费用资本化。</w:t>
      </w:r>
    </w:p>
    <w:p w:rsidR="00C65FD5" w:rsidRPr="00831C3C" w:rsidRDefault="00C65FD5" w:rsidP="00CC7D91">
      <w:pPr>
        <w:widowControl/>
        <w:numPr>
          <w:ilvl w:val="0"/>
          <w:numId w:val="92"/>
        </w:numPr>
        <w:spacing w:before="100" w:beforeAutospacing="1" w:after="100" w:afterAutospacing="1"/>
        <w:divId w:val="1278836059"/>
        <w:rPr>
          <w:sz w:val="18"/>
          <w:szCs w:val="18"/>
        </w:rPr>
      </w:pPr>
      <w:r w:rsidRPr="00831C3C">
        <w:rPr>
          <w:rFonts w:hint="eastAsia"/>
          <w:sz w:val="18"/>
          <w:szCs w:val="18"/>
        </w:rPr>
        <w:t>．暂停资本化期间</w:t>
      </w:r>
    </w:p>
    <w:p w:rsidR="00C65FD5" w:rsidRPr="00831C3C" w:rsidRDefault="00C65FD5" w:rsidP="003D003F">
      <w:pPr>
        <w:pStyle w:val="a3"/>
        <w:spacing w:before="0" w:beforeAutospacing="0" w:after="0" w:afterAutospacing="0"/>
        <w:ind w:firstLine="420"/>
        <w:jc w:val="both"/>
        <w:divId w:val="127883605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符合资本化条件的资产在购建或生产过程中发生的非正常中断、且中断时间连续超过</w:t>
      </w:r>
      <w:r w:rsidRPr="00831C3C">
        <w:rPr>
          <w:rFonts w:asciiTheme="minorEastAsia" w:eastAsiaTheme="minorEastAsia" w:hAnsiTheme="minorEastAsia"/>
          <w:sz w:val="18"/>
          <w:szCs w:val="18"/>
        </w:rPr>
        <w:t>3</w:t>
      </w:r>
      <w:r w:rsidRPr="00831C3C">
        <w:rPr>
          <w:rFonts w:asciiTheme="minorEastAsia" w:eastAsiaTheme="minorEastAsia" w:hAnsiTheme="minorEastAsia" w:hint="eastAsia"/>
          <w:sz w:val="18"/>
          <w:szCs w:val="18"/>
        </w:rPr>
        <w:t>个月的，则借款费用暂停资本化；该项中断如是所购建或生产的符合资本化条件的资产达到预定可使用状态或者可销售状态必要的程序，则借款费用继续资本化。在中断期间发生的借款费用确认为当期损益，直至资产的购建或者生产活动重新开始后借款费用继续资本化。</w:t>
      </w:r>
    </w:p>
    <w:p w:rsidR="00C65FD5" w:rsidRPr="00831C3C" w:rsidRDefault="00C65FD5" w:rsidP="00CC7D91">
      <w:pPr>
        <w:widowControl/>
        <w:numPr>
          <w:ilvl w:val="0"/>
          <w:numId w:val="93"/>
        </w:numPr>
        <w:spacing w:before="100" w:beforeAutospacing="1" w:after="100" w:afterAutospacing="1"/>
        <w:divId w:val="1278836059"/>
        <w:rPr>
          <w:sz w:val="18"/>
          <w:szCs w:val="18"/>
        </w:rPr>
      </w:pPr>
      <w:r w:rsidRPr="00831C3C">
        <w:rPr>
          <w:rFonts w:hint="eastAsia"/>
          <w:sz w:val="18"/>
          <w:szCs w:val="18"/>
        </w:rPr>
        <w:t>．借款费用资本</w:t>
      </w:r>
      <w:proofErr w:type="gramStart"/>
      <w:r w:rsidRPr="00831C3C">
        <w:rPr>
          <w:rFonts w:hint="eastAsia"/>
          <w:sz w:val="18"/>
          <w:szCs w:val="18"/>
        </w:rPr>
        <w:t>化金额</w:t>
      </w:r>
      <w:proofErr w:type="gramEnd"/>
      <w:r w:rsidRPr="00831C3C">
        <w:rPr>
          <w:rFonts w:hint="eastAsia"/>
          <w:sz w:val="18"/>
          <w:szCs w:val="18"/>
        </w:rPr>
        <w:t>的计算方法</w:t>
      </w:r>
    </w:p>
    <w:p w:rsidR="00C65FD5" w:rsidRPr="00831C3C" w:rsidRDefault="00C65FD5" w:rsidP="003D003F">
      <w:pPr>
        <w:pStyle w:val="a3"/>
        <w:spacing w:before="0" w:beforeAutospacing="0" w:after="0" w:afterAutospacing="0"/>
        <w:ind w:firstLine="420"/>
        <w:jc w:val="both"/>
        <w:divId w:val="127883605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lastRenderedPageBreak/>
        <w:t>专门借款的利息费用（扣除尚未动用的借款资金存入银行取得的利息收入或者进行暂时性投资取得的投资收益）及其辅助费用在所购建或者生产的符合资本化条件的资产达到预定可使用或者可销售状态前，予以资本化。</w:t>
      </w:r>
    </w:p>
    <w:p w:rsidR="00C65FD5" w:rsidRPr="00831C3C" w:rsidRDefault="00C65FD5" w:rsidP="003D003F">
      <w:pPr>
        <w:pStyle w:val="a3"/>
        <w:spacing w:before="0" w:beforeAutospacing="0" w:after="0" w:afterAutospacing="0"/>
        <w:ind w:firstLine="420"/>
        <w:jc w:val="both"/>
        <w:divId w:val="127883605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根据累计资产支出超过专门借款部分的资产支出加权平均数乘以所占用一般借款的资本化率，计算确定一般借款应予资本化的利息金额。资本化率根据一般借款加权平均利率计算确定。</w:t>
      </w:r>
    </w:p>
    <w:p w:rsidR="00C65FD5" w:rsidRPr="00831C3C" w:rsidRDefault="00C65FD5" w:rsidP="003D003F">
      <w:pPr>
        <w:pStyle w:val="a3"/>
        <w:spacing w:before="0" w:beforeAutospacing="0" w:after="0" w:afterAutospacing="0"/>
        <w:ind w:firstLine="420"/>
        <w:jc w:val="both"/>
        <w:divId w:val="1278836059"/>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借款存在折价或者溢价的，按照实际利率法确定每一会计期间应摊销的折价或者溢价金额，调整每期利息金额。</w:t>
      </w:r>
    </w:p>
    <w:p w:rsidR="00E23A97" w:rsidRPr="00831C3C" w:rsidRDefault="00C65FD5">
      <w:pPr>
        <w:pStyle w:val="3"/>
        <w:spacing w:line="280" w:lineRule="exact"/>
        <w:jc w:val="left"/>
        <w:rPr>
          <w:rFonts w:ascii="宋体" w:hAnsi="宋体" w:cs="宋体"/>
          <w:b/>
          <w:bCs/>
        </w:rPr>
      </w:pPr>
      <w:bookmarkStart w:id="209" w:name="_Toc989094"/>
      <w:r w:rsidRPr="00831C3C">
        <w:rPr>
          <w:rFonts w:ascii="宋体" w:hAnsi="宋体" w:cs="宋体"/>
          <w:b/>
          <w:bCs/>
        </w:rPr>
        <w:t>27、生物资产</w:t>
      </w:r>
      <w:bookmarkEnd w:id="209"/>
    </w:p>
    <w:p w:rsidR="00C65FD5" w:rsidRPr="00831C3C" w:rsidRDefault="003D003F" w:rsidP="003D003F">
      <w:pPr>
        <w:pStyle w:val="a3"/>
        <w:spacing w:before="0" w:beforeAutospacing="0" w:after="0" w:afterAutospacing="0"/>
        <w:ind w:firstLine="420"/>
        <w:jc w:val="both"/>
        <w:divId w:val="645622561"/>
        <w:rPr>
          <w:rFonts w:asciiTheme="minorEastAsia" w:eastAsiaTheme="minorEastAsia" w:hAnsiTheme="minorEastAsia"/>
          <w:sz w:val="18"/>
          <w:szCs w:val="18"/>
        </w:rPr>
      </w:pPr>
      <w:r w:rsidRPr="00831C3C">
        <w:rPr>
          <w:rFonts w:asciiTheme="minorEastAsia" w:eastAsiaTheme="minorEastAsia" w:hAnsiTheme="minorEastAsia"/>
          <w:sz w:val="18"/>
          <w:szCs w:val="18"/>
        </w:rPr>
        <w:t>无</w:t>
      </w:r>
    </w:p>
    <w:p w:rsidR="00E23A97" w:rsidRPr="00831C3C" w:rsidRDefault="00C65FD5">
      <w:pPr>
        <w:pStyle w:val="3"/>
        <w:spacing w:line="280" w:lineRule="exact"/>
        <w:jc w:val="left"/>
        <w:rPr>
          <w:rFonts w:ascii="宋体" w:hAnsi="宋体" w:cs="宋体"/>
          <w:b/>
          <w:bCs/>
        </w:rPr>
      </w:pPr>
      <w:bookmarkStart w:id="210" w:name="_Toc989095"/>
      <w:r w:rsidRPr="00831C3C">
        <w:rPr>
          <w:rFonts w:ascii="宋体" w:hAnsi="宋体" w:cs="宋体"/>
          <w:b/>
          <w:bCs/>
        </w:rPr>
        <w:t>28、油气资产</w:t>
      </w:r>
      <w:bookmarkEnd w:id="210"/>
    </w:p>
    <w:p w:rsidR="00C65FD5" w:rsidRPr="00831C3C" w:rsidRDefault="003D003F" w:rsidP="003D003F">
      <w:pPr>
        <w:pStyle w:val="a3"/>
        <w:spacing w:before="0" w:beforeAutospacing="0" w:after="0" w:afterAutospacing="0"/>
        <w:ind w:firstLine="420"/>
        <w:jc w:val="both"/>
        <w:divId w:val="1893468452"/>
        <w:rPr>
          <w:rFonts w:asciiTheme="minorEastAsia" w:eastAsiaTheme="minorEastAsia" w:hAnsiTheme="minorEastAsia"/>
          <w:sz w:val="18"/>
          <w:szCs w:val="18"/>
        </w:rPr>
      </w:pPr>
      <w:r w:rsidRPr="00831C3C">
        <w:rPr>
          <w:rFonts w:asciiTheme="minorEastAsia" w:eastAsiaTheme="minorEastAsia" w:hAnsiTheme="minorEastAsia"/>
          <w:sz w:val="18"/>
          <w:szCs w:val="18"/>
        </w:rPr>
        <w:t>无</w:t>
      </w:r>
    </w:p>
    <w:p w:rsidR="00E23A97" w:rsidRPr="00831C3C" w:rsidRDefault="00C65FD5">
      <w:pPr>
        <w:pStyle w:val="3"/>
        <w:spacing w:line="280" w:lineRule="exact"/>
        <w:jc w:val="left"/>
        <w:rPr>
          <w:rFonts w:ascii="宋体" w:hAnsi="宋体" w:cs="宋体"/>
          <w:b/>
          <w:bCs/>
        </w:rPr>
      </w:pPr>
      <w:bookmarkStart w:id="211" w:name="_Toc989096"/>
      <w:r w:rsidRPr="00831C3C">
        <w:rPr>
          <w:rFonts w:ascii="宋体" w:hAnsi="宋体" w:cs="宋体"/>
          <w:b/>
          <w:bCs/>
        </w:rPr>
        <w:t>29、无形资产</w:t>
      </w:r>
      <w:bookmarkEnd w:id="211"/>
    </w:p>
    <w:p w:rsidR="00E23A97" w:rsidRPr="00831C3C" w:rsidRDefault="00C65FD5">
      <w:pPr>
        <w:keepNext/>
        <w:keepLines/>
        <w:spacing w:before="300" w:after="300" w:line="280" w:lineRule="exact"/>
        <w:outlineLvl w:val="3"/>
        <w:rPr>
          <w:rFonts w:ascii="宋体" w:eastAsia="宋体" w:hAnsi="宋体" w:cs="宋体"/>
          <w:b/>
          <w:bCs/>
          <w:szCs w:val="21"/>
        </w:rPr>
      </w:pPr>
      <w:bookmarkStart w:id="212" w:name="_Toc989097"/>
      <w:r w:rsidRPr="00831C3C">
        <w:rPr>
          <w:rFonts w:ascii="宋体" w:eastAsia="宋体" w:hAnsi="宋体" w:cs="宋体"/>
          <w:b/>
          <w:bCs/>
          <w:szCs w:val="21"/>
        </w:rPr>
        <w:t>（1）使用寿命及其确定依据、估计情况、摊销方法或复核程序</w:t>
      </w:r>
      <w:bookmarkEnd w:id="212"/>
    </w:p>
    <w:p w:rsidR="00C65FD5" w:rsidRPr="00831C3C" w:rsidRDefault="00C65FD5" w:rsidP="003D003F">
      <w:pPr>
        <w:pStyle w:val="a3"/>
        <w:spacing w:before="0" w:beforeAutospacing="0" w:after="0" w:afterAutospacing="0"/>
        <w:ind w:firstLine="420"/>
        <w:jc w:val="both"/>
        <w:divId w:val="1685133380"/>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无形资产是指本公司拥有或者控制的没有实物形态的可</w:t>
      </w:r>
      <w:proofErr w:type="gramStart"/>
      <w:r w:rsidRPr="00831C3C">
        <w:rPr>
          <w:rFonts w:asciiTheme="minorEastAsia" w:eastAsiaTheme="minorEastAsia" w:hAnsiTheme="minorEastAsia" w:hint="eastAsia"/>
          <w:sz w:val="18"/>
          <w:szCs w:val="18"/>
        </w:rPr>
        <w:t>辨认非</w:t>
      </w:r>
      <w:proofErr w:type="gramEnd"/>
      <w:r w:rsidRPr="00831C3C">
        <w:rPr>
          <w:rFonts w:asciiTheme="minorEastAsia" w:eastAsiaTheme="minorEastAsia" w:hAnsiTheme="minorEastAsia" w:hint="eastAsia"/>
          <w:sz w:val="18"/>
          <w:szCs w:val="18"/>
        </w:rPr>
        <w:t>货币性资产，包括土地使用权、软件、专利权及非专利技术。</w:t>
      </w:r>
    </w:p>
    <w:p w:rsidR="00C65FD5" w:rsidRPr="00831C3C" w:rsidRDefault="00C65FD5" w:rsidP="00CC7D91">
      <w:pPr>
        <w:widowControl/>
        <w:numPr>
          <w:ilvl w:val="3"/>
          <w:numId w:val="94"/>
        </w:numPr>
        <w:tabs>
          <w:tab w:val="clear" w:pos="2880"/>
          <w:tab w:val="num" w:pos="1560"/>
        </w:tabs>
        <w:spacing w:before="100" w:beforeAutospacing="1" w:after="100" w:afterAutospacing="1"/>
        <w:ind w:left="851"/>
        <w:divId w:val="1685133380"/>
        <w:rPr>
          <w:sz w:val="18"/>
          <w:szCs w:val="18"/>
        </w:rPr>
      </w:pPr>
      <w:r w:rsidRPr="00831C3C">
        <w:rPr>
          <w:rFonts w:hint="eastAsia"/>
          <w:sz w:val="18"/>
          <w:szCs w:val="18"/>
        </w:rPr>
        <w:t>．无形资产的确认条件</w:t>
      </w:r>
    </w:p>
    <w:p w:rsidR="00C65FD5" w:rsidRPr="00831C3C" w:rsidRDefault="00C65FD5" w:rsidP="003D003F">
      <w:pPr>
        <w:pStyle w:val="a3"/>
        <w:shd w:val="clear" w:color="auto" w:fill="E5E5E5"/>
        <w:spacing w:before="0" w:beforeAutospacing="0" w:after="0" w:afterAutospacing="0"/>
        <w:ind w:firstLine="424"/>
        <w:divId w:val="1685133380"/>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无形资产需要符合无形资产的上述定义，同时还需要同时满足下列确认条件：</w:t>
      </w:r>
    </w:p>
    <w:p w:rsidR="00C65FD5" w:rsidRPr="00831C3C" w:rsidRDefault="00C65FD5" w:rsidP="003D003F">
      <w:pPr>
        <w:pStyle w:val="a3"/>
        <w:spacing w:before="0" w:beforeAutospacing="0" w:after="0" w:afterAutospacing="0"/>
        <w:ind w:firstLine="420"/>
        <w:jc w:val="both"/>
        <w:divId w:val="1685133380"/>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1</w:t>
      </w:r>
      <w:r w:rsidRPr="00831C3C">
        <w:rPr>
          <w:rFonts w:asciiTheme="minorEastAsia" w:eastAsiaTheme="minorEastAsia" w:hAnsiTheme="minorEastAsia" w:hint="eastAsia"/>
          <w:sz w:val="18"/>
          <w:szCs w:val="18"/>
        </w:rPr>
        <w:t>）与该无形资产有关的经济利益很可能流入企业；</w:t>
      </w:r>
    </w:p>
    <w:p w:rsidR="00C65FD5" w:rsidRPr="00831C3C" w:rsidRDefault="00C65FD5" w:rsidP="003D003F">
      <w:pPr>
        <w:pStyle w:val="a3"/>
        <w:spacing w:before="0" w:beforeAutospacing="0" w:after="0" w:afterAutospacing="0"/>
        <w:ind w:firstLine="420"/>
        <w:jc w:val="both"/>
        <w:divId w:val="1685133380"/>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2</w:t>
      </w:r>
      <w:r w:rsidRPr="00831C3C">
        <w:rPr>
          <w:rFonts w:asciiTheme="minorEastAsia" w:eastAsiaTheme="minorEastAsia" w:hAnsiTheme="minorEastAsia" w:hint="eastAsia"/>
          <w:sz w:val="18"/>
          <w:szCs w:val="18"/>
        </w:rPr>
        <w:t>）该无形资产的成本能够可靠地计量。</w:t>
      </w:r>
    </w:p>
    <w:p w:rsidR="00C65FD5" w:rsidRPr="00831C3C" w:rsidRDefault="00C65FD5" w:rsidP="00CC7D91">
      <w:pPr>
        <w:widowControl/>
        <w:numPr>
          <w:ilvl w:val="3"/>
          <w:numId w:val="94"/>
        </w:numPr>
        <w:tabs>
          <w:tab w:val="clear" w:pos="2880"/>
          <w:tab w:val="num" w:pos="1560"/>
        </w:tabs>
        <w:spacing w:before="100" w:beforeAutospacing="1" w:after="100" w:afterAutospacing="1"/>
        <w:ind w:left="851"/>
        <w:divId w:val="1685133380"/>
        <w:rPr>
          <w:sz w:val="18"/>
          <w:szCs w:val="18"/>
        </w:rPr>
      </w:pPr>
      <w:r w:rsidRPr="00831C3C">
        <w:rPr>
          <w:rFonts w:hint="eastAsia"/>
          <w:sz w:val="18"/>
          <w:szCs w:val="18"/>
        </w:rPr>
        <w:t>．无形资产的初始计量</w:t>
      </w:r>
    </w:p>
    <w:p w:rsidR="00C65FD5" w:rsidRPr="00831C3C" w:rsidRDefault="00C65FD5" w:rsidP="003D003F">
      <w:pPr>
        <w:pStyle w:val="a3"/>
        <w:spacing w:before="0" w:beforeAutospacing="0" w:after="0" w:afterAutospacing="0"/>
        <w:ind w:firstLine="420"/>
        <w:jc w:val="both"/>
        <w:divId w:val="1685133380"/>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外购无形资产的成本，包括购买价款、相关税费以及直接归属于使该项资产达到预定用途所发生的其他支出。购买无形资产的价款超过正常信用条件延期支付，实质上具有融资性质的，无形资产的成本以购买价款的现值为基础确定。</w:t>
      </w:r>
    </w:p>
    <w:p w:rsidR="00C65FD5" w:rsidRPr="00831C3C" w:rsidRDefault="00C65FD5" w:rsidP="003D003F">
      <w:pPr>
        <w:pStyle w:val="a3"/>
        <w:spacing w:before="0" w:beforeAutospacing="0" w:after="0" w:afterAutospacing="0"/>
        <w:ind w:firstLine="420"/>
        <w:jc w:val="both"/>
        <w:divId w:val="1685133380"/>
        <w:rPr>
          <w:rFonts w:asciiTheme="minorEastAsia" w:eastAsiaTheme="minorEastAsia" w:hAnsiTheme="minorEastAsia"/>
          <w:sz w:val="18"/>
          <w:szCs w:val="18"/>
        </w:rPr>
      </w:pPr>
      <w:bookmarkStart w:id="213" w:name="_Hlk188453343"/>
      <w:bookmarkStart w:id="214" w:name="_Hlk186902761"/>
      <w:bookmarkEnd w:id="213"/>
      <w:bookmarkEnd w:id="214"/>
      <w:r w:rsidRPr="00831C3C">
        <w:rPr>
          <w:rFonts w:asciiTheme="minorEastAsia" w:eastAsiaTheme="minorEastAsia" w:hAnsiTheme="minorEastAsia" w:hint="eastAsia"/>
          <w:sz w:val="18"/>
          <w:szCs w:val="18"/>
        </w:rPr>
        <w:t>同</w:t>
      </w:r>
      <w:proofErr w:type="gramStart"/>
      <w:r w:rsidRPr="00831C3C">
        <w:rPr>
          <w:rFonts w:asciiTheme="minorEastAsia" w:eastAsiaTheme="minorEastAsia" w:hAnsiTheme="minorEastAsia" w:hint="eastAsia"/>
          <w:sz w:val="18"/>
          <w:szCs w:val="18"/>
        </w:rPr>
        <w:t>一控制</w:t>
      </w:r>
      <w:proofErr w:type="gramEnd"/>
      <w:r w:rsidRPr="00831C3C">
        <w:rPr>
          <w:rFonts w:asciiTheme="minorEastAsia" w:eastAsiaTheme="minorEastAsia" w:hAnsiTheme="minorEastAsia" w:hint="eastAsia"/>
          <w:sz w:val="18"/>
          <w:szCs w:val="18"/>
        </w:rPr>
        <w:t>下的企业合并中，取得的无形资产按照被合并方</w:t>
      </w:r>
      <w:proofErr w:type="gramStart"/>
      <w:r w:rsidRPr="00831C3C">
        <w:rPr>
          <w:rFonts w:asciiTheme="minorEastAsia" w:eastAsiaTheme="minorEastAsia" w:hAnsiTheme="minorEastAsia" w:hint="eastAsia"/>
          <w:sz w:val="18"/>
          <w:szCs w:val="18"/>
        </w:rPr>
        <w:t>合并日</w:t>
      </w:r>
      <w:proofErr w:type="gramEnd"/>
      <w:r w:rsidRPr="00831C3C">
        <w:rPr>
          <w:rFonts w:asciiTheme="minorEastAsia" w:eastAsiaTheme="minorEastAsia" w:hAnsiTheme="minorEastAsia" w:hint="eastAsia"/>
          <w:sz w:val="18"/>
          <w:szCs w:val="18"/>
        </w:rPr>
        <w:t>无形资产在最终控制方财务报表中的账面价值计量；非同</w:t>
      </w:r>
      <w:proofErr w:type="gramStart"/>
      <w:r w:rsidRPr="00831C3C">
        <w:rPr>
          <w:rFonts w:asciiTheme="minorEastAsia" w:eastAsiaTheme="minorEastAsia" w:hAnsiTheme="minorEastAsia" w:hint="eastAsia"/>
          <w:sz w:val="18"/>
          <w:szCs w:val="18"/>
        </w:rPr>
        <w:t>一控制</w:t>
      </w:r>
      <w:proofErr w:type="gramEnd"/>
      <w:r w:rsidRPr="00831C3C">
        <w:rPr>
          <w:rFonts w:asciiTheme="minorEastAsia" w:eastAsiaTheme="minorEastAsia" w:hAnsiTheme="minorEastAsia" w:hint="eastAsia"/>
          <w:sz w:val="18"/>
          <w:szCs w:val="18"/>
        </w:rPr>
        <w:t>下的企业合并中，取得的无形资产以其在购买日的公允价值计量。</w:t>
      </w:r>
    </w:p>
    <w:p w:rsidR="00C65FD5" w:rsidRPr="00831C3C" w:rsidRDefault="00C65FD5" w:rsidP="003D003F">
      <w:pPr>
        <w:pStyle w:val="a3"/>
        <w:spacing w:before="0" w:beforeAutospacing="0" w:after="0" w:afterAutospacing="0"/>
        <w:ind w:firstLine="420"/>
        <w:jc w:val="both"/>
        <w:divId w:val="1685133380"/>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内部自行开发的无形资产，其成本包括：开发该无形资产时耗用的材料、劳务成本、注册费、在开发过程中使用的其他专利权和特许权的摊销以及满足资本化条件的利息费用，以及为使该无形资产达到预定用途前所发生的其他直接费用。</w:t>
      </w:r>
    </w:p>
    <w:p w:rsidR="00C65FD5" w:rsidRPr="00831C3C" w:rsidRDefault="00C65FD5" w:rsidP="00CC7D91">
      <w:pPr>
        <w:widowControl/>
        <w:numPr>
          <w:ilvl w:val="3"/>
          <w:numId w:val="94"/>
        </w:numPr>
        <w:tabs>
          <w:tab w:val="clear" w:pos="2880"/>
          <w:tab w:val="num" w:pos="1560"/>
        </w:tabs>
        <w:spacing w:before="100" w:beforeAutospacing="1" w:after="100" w:afterAutospacing="1"/>
        <w:ind w:left="851"/>
        <w:divId w:val="1685133380"/>
        <w:rPr>
          <w:sz w:val="18"/>
          <w:szCs w:val="18"/>
        </w:rPr>
      </w:pPr>
      <w:r w:rsidRPr="00831C3C">
        <w:rPr>
          <w:rFonts w:hint="eastAsia"/>
          <w:sz w:val="18"/>
          <w:szCs w:val="18"/>
        </w:rPr>
        <w:t>．无形资产的后续计量</w:t>
      </w:r>
    </w:p>
    <w:p w:rsidR="00C65FD5" w:rsidRPr="00831C3C" w:rsidRDefault="00C65FD5" w:rsidP="003D003F">
      <w:pPr>
        <w:pStyle w:val="a3"/>
        <w:spacing w:before="0" w:beforeAutospacing="0" w:after="0" w:afterAutospacing="0"/>
        <w:ind w:firstLine="420"/>
        <w:jc w:val="both"/>
        <w:divId w:val="1685133380"/>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本公司在取得无形资产时分析判断其使用寿命，划分为使用寿命有限和使用寿命不确定的无形资产。</w:t>
      </w:r>
    </w:p>
    <w:p w:rsidR="00C65FD5" w:rsidRPr="00831C3C" w:rsidRDefault="00C65FD5" w:rsidP="00CC7D91">
      <w:pPr>
        <w:widowControl/>
        <w:numPr>
          <w:ilvl w:val="0"/>
          <w:numId w:val="95"/>
        </w:numPr>
        <w:spacing w:before="100" w:beforeAutospacing="1" w:after="100" w:afterAutospacing="1"/>
        <w:divId w:val="1685133380"/>
        <w:rPr>
          <w:sz w:val="18"/>
          <w:szCs w:val="18"/>
        </w:rPr>
      </w:pPr>
      <w:r w:rsidRPr="00831C3C">
        <w:rPr>
          <w:rFonts w:hint="eastAsia"/>
          <w:sz w:val="18"/>
          <w:szCs w:val="18"/>
        </w:rPr>
        <w:t>使用寿命有限的无形资产</w:t>
      </w:r>
    </w:p>
    <w:p w:rsidR="00C65FD5" w:rsidRPr="00831C3C" w:rsidRDefault="00C65FD5" w:rsidP="003D003F">
      <w:pPr>
        <w:pStyle w:val="a3"/>
        <w:spacing w:before="0" w:beforeAutospacing="0" w:after="0" w:afterAutospacing="0"/>
        <w:ind w:firstLine="420"/>
        <w:jc w:val="both"/>
        <w:divId w:val="1685133380"/>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对于使用寿命有限的无形资产，在为企业带来经济利益的期限内按直线法摊销。使用寿命有限的无形资产预计寿命及依据如下：</w:t>
      </w:r>
    </w:p>
    <w:tbl>
      <w:tblPr>
        <w:tblW w:w="10002" w:type="dxa"/>
        <w:jc w:val="center"/>
        <w:tblCellMar>
          <w:left w:w="0" w:type="dxa"/>
          <w:right w:w="0" w:type="dxa"/>
        </w:tblCellMar>
        <w:tblLook w:val="04A0" w:firstRow="1" w:lastRow="0" w:firstColumn="1" w:lastColumn="0" w:noHBand="0" w:noVBand="1"/>
        <w:tblCaption w:val="D:\大华\华孚\2024年度\TB|0-合并TB-华孚时尚股份有限公司-2024年度.xlsx|W附注模板|_jds14|0|desc|||0|1"/>
      </w:tblPr>
      <w:tblGrid>
        <w:gridCol w:w="2631"/>
        <w:gridCol w:w="4386"/>
        <w:gridCol w:w="2985"/>
      </w:tblGrid>
      <w:tr w:rsidR="00831C3C" w:rsidRPr="00831C3C" w:rsidTr="003D003F">
        <w:trPr>
          <w:divId w:val="1685133380"/>
          <w:trHeight w:val="344"/>
          <w:tblHeader/>
          <w:jc w:val="center"/>
        </w:trPr>
        <w:tc>
          <w:tcPr>
            <w:tcW w:w="2631" w:type="dxa"/>
            <w:tcBorders>
              <w:top w:val="single" w:sz="8" w:space="0" w:color="auto"/>
              <w:left w:val="single" w:sz="8" w:space="0" w:color="auto"/>
              <w:bottom w:val="single" w:sz="8" w:space="0" w:color="auto"/>
              <w:right w:val="single" w:sz="8" w:space="0" w:color="auto"/>
            </w:tcBorders>
            <w:tcMar>
              <w:top w:w="0" w:type="dxa"/>
              <w:left w:w="0" w:type="dxa"/>
              <w:bottom w:w="0" w:type="dxa"/>
              <w:right w:w="108" w:type="dxa"/>
            </w:tcMar>
            <w:vAlign w:val="center"/>
            <w:hideMark/>
          </w:tcPr>
          <w:p w:rsidR="00C65FD5" w:rsidRPr="00831C3C" w:rsidRDefault="00C65FD5">
            <w:pPr>
              <w:pStyle w:val="a3"/>
              <w:spacing w:before="0" w:beforeAutospacing="0" w:after="0" w:afterAutospacing="0"/>
              <w:jc w:val="center"/>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项目</w:t>
            </w:r>
          </w:p>
        </w:tc>
        <w:tc>
          <w:tcPr>
            <w:tcW w:w="4386" w:type="dxa"/>
            <w:tcBorders>
              <w:top w:val="single" w:sz="8" w:space="0" w:color="auto"/>
              <w:left w:val="nil"/>
              <w:bottom w:val="single" w:sz="8" w:space="0" w:color="auto"/>
              <w:right w:val="single" w:sz="8" w:space="0" w:color="auto"/>
            </w:tcBorders>
            <w:tcMar>
              <w:top w:w="0" w:type="dxa"/>
              <w:left w:w="0" w:type="dxa"/>
              <w:bottom w:w="0" w:type="dxa"/>
              <w:right w:w="108" w:type="dxa"/>
            </w:tcMar>
            <w:vAlign w:val="center"/>
            <w:hideMark/>
          </w:tcPr>
          <w:p w:rsidR="00C65FD5" w:rsidRPr="00831C3C" w:rsidRDefault="00C65FD5">
            <w:pPr>
              <w:pStyle w:val="a3"/>
              <w:spacing w:before="0" w:beforeAutospacing="0" w:after="0" w:afterAutospacing="0"/>
              <w:jc w:val="center"/>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预计使用寿命</w:t>
            </w:r>
          </w:p>
        </w:tc>
        <w:tc>
          <w:tcPr>
            <w:tcW w:w="2985" w:type="dxa"/>
            <w:tcBorders>
              <w:top w:val="single" w:sz="8" w:space="0" w:color="auto"/>
              <w:left w:val="nil"/>
              <w:bottom w:val="single" w:sz="8" w:space="0" w:color="auto"/>
              <w:right w:val="single" w:sz="8" w:space="0" w:color="auto"/>
            </w:tcBorders>
            <w:tcMar>
              <w:top w:w="0" w:type="dxa"/>
              <w:left w:w="0" w:type="dxa"/>
              <w:bottom w:w="0" w:type="dxa"/>
              <w:right w:w="108" w:type="dxa"/>
            </w:tcMar>
            <w:vAlign w:val="center"/>
            <w:hideMark/>
          </w:tcPr>
          <w:p w:rsidR="00C65FD5" w:rsidRPr="00831C3C" w:rsidRDefault="00C65FD5">
            <w:pPr>
              <w:pStyle w:val="a3"/>
              <w:spacing w:before="0" w:beforeAutospacing="0" w:after="0" w:afterAutospacing="0"/>
              <w:jc w:val="center"/>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依据</w:t>
            </w:r>
          </w:p>
        </w:tc>
      </w:tr>
      <w:tr w:rsidR="00831C3C" w:rsidRPr="00831C3C" w:rsidTr="003D003F">
        <w:trPr>
          <w:divId w:val="1685133380"/>
          <w:trHeight w:val="344"/>
          <w:jc w:val="center"/>
        </w:trPr>
        <w:tc>
          <w:tcPr>
            <w:tcW w:w="2631" w:type="dxa"/>
            <w:tcBorders>
              <w:top w:val="nil"/>
              <w:left w:val="single" w:sz="8" w:space="0" w:color="auto"/>
              <w:bottom w:val="single" w:sz="8" w:space="0" w:color="auto"/>
              <w:right w:val="single" w:sz="8" w:space="0" w:color="auto"/>
            </w:tcBorders>
            <w:tcMar>
              <w:top w:w="0" w:type="dxa"/>
              <w:left w:w="0" w:type="dxa"/>
              <w:bottom w:w="0" w:type="dxa"/>
              <w:right w:w="108" w:type="dxa"/>
            </w:tcMar>
            <w:vAlign w:val="center"/>
            <w:hideMark/>
          </w:tcPr>
          <w:p w:rsidR="00C65FD5" w:rsidRPr="00831C3C" w:rsidRDefault="00C65FD5">
            <w:pPr>
              <w:pStyle w:val="a3"/>
              <w:spacing w:before="0" w:beforeAutospacing="0" w:after="0" w:afterAutospacing="0"/>
              <w:jc w:val="center"/>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lastRenderedPageBreak/>
              <w:t>软件</w:t>
            </w:r>
          </w:p>
        </w:tc>
        <w:tc>
          <w:tcPr>
            <w:tcW w:w="4386" w:type="dxa"/>
            <w:tcBorders>
              <w:top w:val="nil"/>
              <w:left w:val="nil"/>
              <w:bottom w:val="single" w:sz="8" w:space="0" w:color="auto"/>
              <w:right w:val="single" w:sz="8" w:space="0" w:color="auto"/>
            </w:tcBorders>
            <w:tcMar>
              <w:top w:w="0" w:type="dxa"/>
              <w:left w:w="0" w:type="dxa"/>
              <w:bottom w:w="0" w:type="dxa"/>
              <w:right w:w="108" w:type="dxa"/>
            </w:tcMar>
            <w:vAlign w:val="center"/>
            <w:hideMark/>
          </w:tcPr>
          <w:p w:rsidR="00C65FD5" w:rsidRPr="00831C3C" w:rsidRDefault="00C65FD5">
            <w:pPr>
              <w:pStyle w:val="a3"/>
              <w:spacing w:before="0" w:beforeAutospacing="0" w:after="0" w:afterAutospacing="0"/>
              <w:jc w:val="center"/>
              <w:rPr>
                <w:rFonts w:asciiTheme="minorEastAsia" w:eastAsiaTheme="minorEastAsia" w:hAnsiTheme="minorEastAsia"/>
                <w:sz w:val="18"/>
                <w:szCs w:val="18"/>
              </w:rPr>
            </w:pPr>
            <w:r w:rsidRPr="00831C3C">
              <w:rPr>
                <w:rFonts w:asciiTheme="minorEastAsia" w:eastAsiaTheme="minorEastAsia" w:hAnsiTheme="minorEastAsia"/>
                <w:sz w:val="18"/>
                <w:szCs w:val="18"/>
              </w:rPr>
              <w:t>5-10</w:t>
            </w:r>
            <w:r w:rsidRPr="00831C3C">
              <w:rPr>
                <w:rFonts w:asciiTheme="minorEastAsia" w:eastAsiaTheme="minorEastAsia" w:hAnsiTheme="minorEastAsia" w:hint="eastAsia"/>
                <w:sz w:val="18"/>
                <w:szCs w:val="18"/>
              </w:rPr>
              <w:t>年</w:t>
            </w:r>
          </w:p>
        </w:tc>
        <w:tc>
          <w:tcPr>
            <w:tcW w:w="2985" w:type="dxa"/>
            <w:tcBorders>
              <w:top w:val="nil"/>
              <w:left w:val="nil"/>
              <w:bottom w:val="single" w:sz="8" w:space="0" w:color="auto"/>
              <w:right w:val="single" w:sz="8" w:space="0" w:color="auto"/>
            </w:tcBorders>
            <w:tcMar>
              <w:top w:w="0" w:type="dxa"/>
              <w:left w:w="0" w:type="dxa"/>
              <w:bottom w:w="0" w:type="dxa"/>
              <w:right w:w="108" w:type="dxa"/>
            </w:tcMar>
            <w:vAlign w:val="center"/>
            <w:hideMark/>
          </w:tcPr>
          <w:p w:rsidR="00C65FD5" w:rsidRPr="00831C3C" w:rsidRDefault="00C65FD5">
            <w:pPr>
              <w:pStyle w:val="a3"/>
              <w:spacing w:before="0" w:beforeAutospacing="0" w:after="0" w:afterAutospacing="0"/>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软件预计使用年限</w:t>
            </w:r>
          </w:p>
        </w:tc>
      </w:tr>
      <w:tr w:rsidR="00831C3C" w:rsidRPr="00831C3C" w:rsidTr="003D003F">
        <w:trPr>
          <w:divId w:val="1685133380"/>
          <w:trHeight w:val="344"/>
          <w:jc w:val="center"/>
        </w:trPr>
        <w:tc>
          <w:tcPr>
            <w:tcW w:w="2631" w:type="dxa"/>
            <w:tcBorders>
              <w:top w:val="nil"/>
              <w:left w:val="single" w:sz="8" w:space="0" w:color="auto"/>
              <w:bottom w:val="single" w:sz="8" w:space="0" w:color="auto"/>
              <w:right w:val="single" w:sz="8" w:space="0" w:color="auto"/>
            </w:tcBorders>
            <w:tcMar>
              <w:top w:w="0" w:type="dxa"/>
              <w:left w:w="0" w:type="dxa"/>
              <w:bottom w:w="0" w:type="dxa"/>
              <w:right w:w="108" w:type="dxa"/>
            </w:tcMar>
            <w:vAlign w:val="center"/>
            <w:hideMark/>
          </w:tcPr>
          <w:p w:rsidR="00C65FD5" w:rsidRPr="00831C3C" w:rsidRDefault="00C65FD5">
            <w:pPr>
              <w:pStyle w:val="a3"/>
              <w:spacing w:before="0" w:beforeAutospacing="0" w:after="0" w:afterAutospacing="0"/>
              <w:jc w:val="center"/>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土地使用权</w:t>
            </w:r>
          </w:p>
        </w:tc>
        <w:tc>
          <w:tcPr>
            <w:tcW w:w="4386" w:type="dxa"/>
            <w:tcBorders>
              <w:top w:val="nil"/>
              <w:left w:val="nil"/>
              <w:bottom w:val="single" w:sz="8" w:space="0" w:color="auto"/>
              <w:right w:val="single" w:sz="8" w:space="0" w:color="auto"/>
            </w:tcBorders>
            <w:tcMar>
              <w:top w:w="0" w:type="dxa"/>
              <w:left w:w="0" w:type="dxa"/>
              <w:bottom w:w="0" w:type="dxa"/>
              <w:right w:w="108" w:type="dxa"/>
            </w:tcMar>
            <w:vAlign w:val="center"/>
            <w:hideMark/>
          </w:tcPr>
          <w:p w:rsidR="00C65FD5" w:rsidRPr="00831C3C" w:rsidRDefault="00C65FD5">
            <w:pPr>
              <w:pStyle w:val="a3"/>
              <w:spacing w:before="0" w:beforeAutospacing="0" w:after="0" w:afterAutospacing="0"/>
              <w:jc w:val="center"/>
              <w:rPr>
                <w:rFonts w:asciiTheme="minorEastAsia" w:eastAsiaTheme="minorEastAsia" w:hAnsiTheme="minorEastAsia"/>
                <w:sz w:val="18"/>
                <w:szCs w:val="18"/>
              </w:rPr>
            </w:pPr>
            <w:r w:rsidRPr="00831C3C">
              <w:rPr>
                <w:rFonts w:asciiTheme="minorEastAsia" w:eastAsiaTheme="minorEastAsia" w:hAnsiTheme="minorEastAsia"/>
                <w:sz w:val="18"/>
                <w:szCs w:val="18"/>
              </w:rPr>
              <w:t>40-50</w:t>
            </w:r>
            <w:r w:rsidRPr="00831C3C">
              <w:rPr>
                <w:rFonts w:asciiTheme="minorEastAsia" w:eastAsiaTheme="minorEastAsia" w:hAnsiTheme="minorEastAsia" w:hint="eastAsia"/>
                <w:sz w:val="18"/>
                <w:szCs w:val="18"/>
              </w:rPr>
              <w:t>年</w:t>
            </w:r>
          </w:p>
        </w:tc>
        <w:tc>
          <w:tcPr>
            <w:tcW w:w="2985" w:type="dxa"/>
            <w:tcBorders>
              <w:top w:val="nil"/>
              <w:left w:val="nil"/>
              <w:bottom w:val="single" w:sz="8" w:space="0" w:color="auto"/>
              <w:right w:val="single" w:sz="8" w:space="0" w:color="auto"/>
            </w:tcBorders>
            <w:tcMar>
              <w:top w:w="0" w:type="dxa"/>
              <w:left w:w="0" w:type="dxa"/>
              <w:bottom w:w="0" w:type="dxa"/>
              <w:right w:w="108" w:type="dxa"/>
            </w:tcMar>
            <w:vAlign w:val="center"/>
            <w:hideMark/>
          </w:tcPr>
          <w:p w:rsidR="00C65FD5" w:rsidRPr="00831C3C" w:rsidRDefault="00C65FD5">
            <w:pPr>
              <w:pStyle w:val="a3"/>
              <w:spacing w:before="0" w:beforeAutospacing="0" w:after="0" w:afterAutospacing="0"/>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土地使用权证规定年限</w:t>
            </w:r>
          </w:p>
        </w:tc>
      </w:tr>
      <w:tr w:rsidR="00831C3C" w:rsidRPr="00831C3C" w:rsidTr="003D003F">
        <w:trPr>
          <w:divId w:val="1685133380"/>
          <w:trHeight w:val="344"/>
          <w:jc w:val="center"/>
        </w:trPr>
        <w:tc>
          <w:tcPr>
            <w:tcW w:w="2631" w:type="dxa"/>
            <w:tcBorders>
              <w:top w:val="nil"/>
              <w:left w:val="single" w:sz="8" w:space="0" w:color="auto"/>
              <w:bottom w:val="single" w:sz="8" w:space="0" w:color="auto"/>
              <w:right w:val="single" w:sz="8" w:space="0" w:color="auto"/>
            </w:tcBorders>
            <w:tcMar>
              <w:top w:w="0" w:type="dxa"/>
              <w:left w:w="0" w:type="dxa"/>
              <w:bottom w:w="0" w:type="dxa"/>
              <w:right w:w="108" w:type="dxa"/>
            </w:tcMar>
            <w:vAlign w:val="center"/>
            <w:hideMark/>
          </w:tcPr>
          <w:p w:rsidR="00C65FD5" w:rsidRPr="00831C3C" w:rsidRDefault="00C65FD5">
            <w:pPr>
              <w:pStyle w:val="a3"/>
              <w:spacing w:before="0" w:beforeAutospacing="0" w:after="0" w:afterAutospacing="0"/>
              <w:jc w:val="center"/>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专利权</w:t>
            </w:r>
          </w:p>
        </w:tc>
        <w:tc>
          <w:tcPr>
            <w:tcW w:w="4386" w:type="dxa"/>
            <w:tcBorders>
              <w:top w:val="nil"/>
              <w:left w:val="nil"/>
              <w:bottom w:val="single" w:sz="8" w:space="0" w:color="auto"/>
              <w:right w:val="single" w:sz="8" w:space="0" w:color="auto"/>
            </w:tcBorders>
            <w:tcMar>
              <w:top w:w="0" w:type="dxa"/>
              <w:left w:w="0" w:type="dxa"/>
              <w:bottom w:w="0" w:type="dxa"/>
              <w:right w:w="108" w:type="dxa"/>
            </w:tcMar>
            <w:vAlign w:val="center"/>
            <w:hideMark/>
          </w:tcPr>
          <w:p w:rsidR="00C65FD5" w:rsidRPr="00831C3C" w:rsidRDefault="00C65FD5">
            <w:pPr>
              <w:pStyle w:val="a3"/>
              <w:spacing w:before="0" w:beforeAutospacing="0" w:after="0" w:afterAutospacing="0"/>
              <w:jc w:val="center"/>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在实际授权使用期间内摊销</w:t>
            </w:r>
          </w:p>
        </w:tc>
        <w:tc>
          <w:tcPr>
            <w:tcW w:w="2985" w:type="dxa"/>
            <w:tcBorders>
              <w:top w:val="nil"/>
              <w:left w:val="nil"/>
              <w:bottom w:val="single" w:sz="8" w:space="0" w:color="auto"/>
              <w:right w:val="single" w:sz="8" w:space="0" w:color="auto"/>
            </w:tcBorders>
            <w:tcMar>
              <w:top w:w="0" w:type="dxa"/>
              <w:left w:w="0" w:type="dxa"/>
              <w:bottom w:w="0" w:type="dxa"/>
              <w:right w:w="108" w:type="dxa"/>
            </w:tcMar>
            <w:vAlign w:val="center"/>
            <w:hideMark/>
          </w:tcPr>
          <w:p w:rsidR="00C65FD5" w:rsidRPr="00831C3C" w:rsidRDefault="00C65FD5">
            <w:pPr>
              <w:pStyle w:val="a3"/>
              <w:spacing w:before="0" w:beforeAutospacing="0" w:after="0" w:afterAutospacing="0"/>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授权使用期限</w:t>
            </w:r>
          </w:p>
        </w:tc>
      </w:tr>
      <w:tr w:rsidR="00831C3C" w:rsidRPr="00831C3C" w:rsidTr="003D003F">
        <w:trPr>
          <w:divId w:val="1685133380"/>
          <w:trHeight w:val="344"/>
          <w:jc w:val="center"/>
        </w:trPr>
        <w:tc>
          <w:tcPr>
            <w:tcW w:w="2631" w:type="dxa"/>
            <w:tcBorders>
              <w:top w:val="nil"/>
              <w:left w:val="single" w:sz="8" w:space="0" w:color="auto"/>
              <w:bottom w:val="single" w:sz="8" w:space="0" w:color="auto"/>
              <w:right w:val="single" w:sz="8" w:space="0" w:color="auto"/>
            </w:tcBorders>
            <w:tcMar>
              <w:top w:w="0" w:type="dxa"/>
              <w:left w:w="0" w:type="dxa"/>
              <w:bottom w:w="0" w:type="dxa"/>
              <w:right w:w="108" w:type="dxa"/>
            </w:tcMar>
            <w:vAlign w:val="center"/>
            <w:hideMark/>
          </w:tcPr>
          <w:p w:rsidR="00C65FD5" w:rsidRPr="00831C3C" w:rsidRDefault="00C65FD5">
            <w:pPr>
              <w:pStyle w:val="a3"/>
              <w:spacing w:before="0" w:beforeAutospacing="0" w:after="0" w:afterAutospacing="0"/>
              <w:jc w:val="center"/>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商标使用权</w:t>
            </w:r>
          </w:p>
        </w:tc>
        <w:tc>
          <w:tcPr>
            <w:tcW w:w="4386" w:type="dxa"/>
            <w:tcBorders>
              <w:top w:val="nil"/>
              <w:left w:val="nil"/>
              <w:bottom w:val="single" w:sz="8" w:space="0" w:color="auto"/>
              <w:right w:val="single" w:sz="8" w:space="0" w:color="auto"/>
            </w:tcBorders>
            <w:tcMar>
              <w:top w:w="0" w:type="dxa"/>
              <w:left w:w="0" w:type="dxa"/>
              <w:bottom w:w="0" w:type="dxa"/>
              <w:right w:w="108" w:type="dxa"/>
            </w:tcMar>
            <w:vAlign w:val="center"/>
            <w:hideMark/>
          </w:tcPr>
          <w:p w:rsidR="00C65FD5" w:rsidRPr="00831C3C" w:rsidRDefault="00C65FD5">
            <w:pPr>
              <w:pStyle w:val="a3"/>
              <w:spacing w:before="0" w:beforeAutospacing="0" w:after="0" w:afterAutospacing="0"/>
              <w:jc w:val="center"/>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在实际授权使用期间内摊销</w:t>
            </w:r>
          </w:p>
        </w:tc>
        <w:tc>
          <w:tcPr>
            <w:tcW w:w="2985" w:type="dxa"/>
            <w:tcBorders>
              <w:top w:val="nil"/>
              <w:left w:val="nil"/>
              <w:bottom w:val="single" w:sz="8" w:space="0" w:color="auto"/>
              <w:right w:val="single" w:sz="8" w:space="0" w:color="auto"/>
            </w:tcBorders>
            <w:tcMar>
              <w:top w:w="0" w:type="dxa"/>
              <w:left w:w="0" w:type="dxa"/>
              <w:bottom w:w="0" w:type="dxa"/>
              <w:right w:w="108" w:type="dxa"/>
            </w:tcMar>
            <w:vAlign w:val="center"/>
            <w:hideMark/>
          </w:tcPr>
          <w:p w:rsidR="00C65FD5" w:rsidRPr="00831C3C" w:rsidRDefault="00C65FD5">
            <w:pPr>
              <w:pStyle w:val="a3"/>
              <w:spacing w:before="0" w:beforeAutospacing="0" w:after="0" w:afterAutospacing="0"/>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授权使用期限</w:t>
            </w:r>
          </w:p>
        </w:tc>
      </w:tr>
    </w:tbl>
    <w:p w:rsidR="00C65FD5" w:rsidRPr="00831C3C" w:rsidRDefault="00C65FD5" w:rsidP="003D003F">
      <w:pPr>
        <w:pStyle w:val="a3"/>
        <w:spacing w:before="0" w:beforeAutospacing="0" w:after="0" w:afterAutospacing="0"/>
        <w:ind w:firstLine="420"/>
        <w:jc w:val="both"/>
        <w:divId w:val="1685133380"/>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期末，对使用寿命有限的无形资产的使用寿命和摊销方法进行复核，必要时进行调整。</w:t>
      </w:r>
    </w:p>
    <w:p w:rsidR="00C65FD5" w:rsidRPr="00831C3C" w:rsidRDefault="00C65FD5" w:rsidP="00CC7D91">
      <w:pPr>
        <w:widowControl/>
        <w:numPr>
          <w:ilvl w:val="0"/>
          <w:numId w:val="96"/>
        </w:numPr>
        <w:spacing w:before="100" w:beforeAutospacing="1" w:after="100" w:afterAutospacing="1"/>
        <w:divId w:val="1685133380"/>
        <w:rPr>
          <w:rFonts w:asciiTheme="minorEastAsia" w:hAnsiTheme="minorEastAsia"/>
          <w:sz w:val="18"/>
          <w:szCs w:val="18"/>
        </w:rPr>
      </w:pPr>
      <w:r w:rsidRPr="00831C3C">
        <w:rPr>
          <w:rFonts w:asciiTheme="minorEastAsia" w:hAnsiTheme="minorEastAsia" w:hint="eastAsia"/>
          <w:sz w:val="18"/>
          <w:szCs w:val="18"/>
        </w:rPr>
        <w:t>使用寿命不确定的无形资产</w:t>
      </w:r>
    </w:p>
    <w:p w:rsidR="00C65FD5" w:rsidRPr="00831C3C" w:rsidRDefault="00C65FD5" w:rsidP="003D003F">
      <w:pPr>
        <w:pStyle w:val="a3"/>
        <w:spacing w:before="0" w:beforeAutospacing="0" w:after="0" w:afterAutospacing="0"/>
        <w:ind w:firstLine="420"/>
        <w:divId w:val="1685133380"/>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无法预见无形资产为企业带来经济利益期限的，视为使用寿命不确定的无形资产。</w:t>
      </w:r>
    </w:p>
    <w:p w:rsidR="00C65FD5" w:rsidRPr="00831C3C" w:rsidRDefault="00C65FD5" w:rsidP="003D003F">
      <w:pPr>
        <w:pStyle w:val="a3"/>
        <w:spacing w:before="0" w:beforeAutospacing="0" w:after="0" w:afterAutospacing="0"/>
        <w:ind w:firstLine="420"/>
        <w:divId w:val="1685133380"/>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本公司无使用寿命不确定的无形资产。</w:t>
      </w:r>
    </w:p>
    <w:p w:rsidR="00C65FD5" w:rsidRPr="00831C3C" w:rsidRDefault="00C65FD5" w:rsidP="003D003F">
      <w:pPr>
        <w:pStyle w:val="a3"/>
        <w:divId w:val="1685133380"/>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无形资产的减值测试方法和减值准备计提方法详见本附注（三十三）长期资产减值。</w:t>
      </w:r>
    </w:p>
    <w:p w:rsidR="00E23A97" w:rsidRPr="00831C3C" w:rsidRDefault="00C65FD5" w:rsidP="003D003F">
      <w:pPr>
        <w:keepNext/>
        <w:keepLines/>
        <w:spacing w:before="300" w:after="300"/>
        <w:outlineLvl w:val="3"/>
        <w:rPr>
          <w:rFonts w:asciiTheme="minorEastAsia" w:hAnsiTheme="minorEastAsia" w:cs="宋体"/>
          <w:b/>
          <w:bCs/>
          <w:sz w:val="18"/>
          <w:szCs w:val="18"/>
        </w:rPr>
      </w:pPr>
      <w:bookmarkStart w:id="215" w:name="_Toc989098"/>
      <w:r w:rsidRPr="00831C3C">
        <w:rPr>
          <w:rFonts w:asciiTheme="minorEastAsia" w:hAnsiTheme="minorEastAsia" w:cs="宋体"/>
          <w:b/>
          <w:bCs/>
          <w:sz w:val="18"/>
          <w:szCs w:val="18"/>
        </w:rPr>
        <w:t>（2）研发支出的归集范围及相关会计处理方法</w:t>
      </w:r>
      <w:bookmarkEnd w:id="215"/>
    </w:p>
    <w:p w:rsidR="00C65FD5" w:rsidRPr="00831C3C" w:rsidRDefault="00C65FD5" w:rsidP="003D003F">
      <w:pPr>
        <w:pStyle w:val="a3"/>
        <w:spacing w:before="0" w:beforeAutospacing="0" w:after="0" w:afterAutospacing="0"/>
        <w:ind w:firstLine="420"/>
        <w:jc w:val="both"/>
        <w:divId w:val="489298463"/>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研究阶段：为获取并理解新的科学或技术知识等而进行的独创性的有计划调查、研究活动的阶段。</w:t>
      </w:r>
    </w:p>
    <w:p w:rsidR="00C65FD5" w:rsidRPr="00831C3C" w:rsidRDefault="00C65FD5" w:rsidP="003D003F">
      <w:pPr>
        <w:pStyle w:val="a3"/>
        <w:spacing w:before="0" w:beforeAutospacing="0" w:after="0" w:afterAutospacing="0"/>
        <w:ind w:firstLine="420"/>
        <w:jc w:val="both"/>
        <w:divId w:val="489298463"/>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开发阶段：在进行商业性生产或使用前，将研究成果或其他知识应用于某项计划或设计，以生产出新的或具有实质性改进的材料、装置、产品等活动的阶段。</w:t>
      </w:r>
    </w:p>
    <w:p w:rsidR="00C65FD5" w:rsidRPr="00831C3C" w:rsidRDefault="00C65FD5" w:rsidP="003D003F">
      <w:pPr>
        <w:pStyle w:val="a3"/>
        <w:spacing w:before="0" w:beforeAutospacing="0" w:after="0" w:afterAutospacing="0"/>
        <w:ind w:firstLine="420"/>
        <w:jc w:val="both"/>
        <w:divId w:val="489298463"/>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内部研究开发项目研究阶段的支出，在发生时计入当期损益。</w:t>
      </w:r>
    </w:p>
    <w:p w:rsidR="00C65FD5" w:rsidRPr="00831C3C" w:rsidRDefault="00C65FD5" w:rsidP="00CC7D91">
      <w:pPr>
        <w:widowControl/>
        <w:numPr>
          <w:ilvl w:val="3"/>
          <w:numId w:val="97"/>
        </w:numPr>
        <w:tabs>
          <w:tab w:val="clear" w:pos="2880"/>
          <w:tab w:val="num" w:pos="1701"/>
        </w:tabs>
        <w:spacing w:before="100" w:beforeAutospacing="1" w:after="100" w:afterAutospacing="1"/>
        <w:ind w:left="851"/>
        <w:divId w:val="489298463"/>
        <w:rPr>
          <w:rFonts w:asciiTheme="minorEastAsia" w:hAnsiTheme="minorEastAsia"/>
          <w:sz w:val="18"/>
          <w:szCs w:val="18"/>
        </w:rPr>
      </w:pPr>
      <w:r w:rsidRPr="00831C3C">
        <w:rPr>
          <w:rFonts w:asciiTheme="minorEastAsia" w:hAnsiTheme="minorEastAsia" w:hint="eastAsia"/>
          <w:sz w:val="18"/>
          <w:szCs w:val="18"/>
        </w:rPr>
        <w:t>．开发阶段支出符合资本化的具体标准</w:t>
      </w:r>
    </w:p>
    <w:p w:rsidR="00C65FD5" w:rsidRPr="00831C3C" w:rsidRDefault="00C65FD5" w:rsidP="003D003F">
      <w:pPr>
        <w:pStyle w:val="a3"/>
        <w:spacing w:before="0" w:beforeAutospacing="0" w:after="0" w:afterAutospacing="0"/>
        <w:ind w:firstLine="420"/>
        <w:jc w:val="both"/>
        <w:divId w:val="489298463"/>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内部研究开发项目开发阶段的支出、内部数据资源研究开发项目的支出，同时满足下列条件时确认为无形资产：</w:t>
      </w:r>
    </w:p>
    <w:p w:rsidR="00C65FD5" w:rsidRPr="00831C3C" w:rsidRDefault="00C65FD5" w:rsidP="003D003F">
      <w:pPr>
        <w:pStyle w:val="a3"/>
        <w:spacing w:before="0" w:beforeAutospacing="0" w:after="0" w:afterAutospacing="0"/>
        <w:ind w:firstLine="420"/>
        <w:jc w:val="both"/>
        <w:divId w:val="489298463"/>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cs="Arial"/>
          <w:sz w:val="18"/>
          <w:szCs w:val="18"/>
        </w:rPr>
        <w:t>1</w:t>
      </w:r>
      <w:r w:rsidRPr="00831C3C">
        <w:rPr>
          <w:rFonts w:asciiTheme="minorEastAsia" w:eastAsiaTheme="minorEastAsia" w:hAnsiTheme="minorEastAsia" w:hint="eastAsia"/>
          <w:sz w:val="18"/>
          <w:szCs w:val="18"/>
        </w:rPr>
        <w:t>）完成该无形资产以使其能够使用或出售在技术上具有可行性；</w:t>
      </w:r>
    </w:p>
    <w:p w:rsidR="00C65FD5" w:rsidRPr="00831C3C" w:rsidRDefault="00C65FD5" w:rsidP="003D003F">
      <w:pPr>
        <w:pStyle w:val="a3"/>
        <w:spacing w:before="0" w:beforeAutospacing="0" w:after="0" w:afterAutospacing="0"/>
        <w:ind w:firstLine="420"/>
        <w:jc w:val="both"/>
        <w:divId w:val="489298463"/>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cs="Arial"/>
          <w:sz w:val="18"/>
          <w:szCs w:val="18"/>
        </w:rPr>
        <w:t>2</w:t>
      </w:r>
      <w:r w:rsidRPr="00831C3C">
        <w:rPr>
          <w:rFonts w:asciiTheme="minorEastAsia" w:eastAsiaTheme="minorEastAsia" w:hAnsiTheme="minorEastAsia" w:hint="eastAsia"/>
          <w:sz w:val="18"/>
          <w:szCs w:val="18"/>
        </w:rPr>
        <w:t>）具有完成该无形资产并使用或出售的意图；</w:t>
      </w:r>
    </w:p>
    <w:p w:rsidR="00C65FD5" w:rsidRPr="00831C3C" w:rsidRDefault="00C65FD5" w:rsidP="003D003F">
      <w:pPr>
        <w:pStyle w:val="a3"/>
        <w:spacing w:before="0" w:beforeAutospacing="0" w:after="0" w:afterAutospacing="0"/>
        <w:ind w:firstLine="420"/>
        <w:jc w:val="both"/>
        <w:divId w:val="489298463"/>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cs="Arial"/>
          <w:sz w:val="18"/>
          <w:szCs w:val="18"/>
        </w:rPr>
        <w:t>3</w:t>
      </w:r>
      <w:r w:rsidRPr="00831C3C">
        <w:rPr>
          <w:rFonts w:asciiTheme="minorEastAsia" w:eastAsiaTheme="minorEastAsia" w:hAnsiTheme="minorEastAsia" w:hint="eastAsia"/>
          <w:sz w:val="18"/>
          <w:szCs w:val="18"/>
        </w:rPr>
        <w:t>）无形资产产生经济利益的方式，包括能够证明运用该无形资产生产的产品存在市场或无形资产自身存在市场，无形资产将在内部使用的，能够证明其有用性；</w:t>
      </w:r>
    </w:p>
    <w:p w:rsidR="00C65FD5" w:rsidRPr="00831C3C" w:rsidRDefault="00C65FD5" w:rsidP="003D003F">
      <w:pPr>
        <w:pStyle w:val="a3"/>
        <w:spacing w:before="0" w:beforeAutospacing="0" w:after="0" w:afterAutospacing="0"/>
        <w:ind w:firstLine="420"/>
        <w:jc w:val="both"/>
        <w:divId w:val="489298463"/>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cs="Arial"/>
          <w:sz w:val="18"/>
          <w:szCs w:val="18"/>
        </w:rPr>
        <w:t>4</w:t>
      </w:r>
      <w:r w:rsidRPr="00831C3C">
        <w:rPr>
          <w:rFonts w:asciiTheme="minorEastAsia" w:eastAsiaTheme="minorEastAsia" w:hAnsiTheme="minorEastAsia" w:hint="eastAsia"/>
          <w:sz w:val="18"/>
          <w:szCs w:val="18"/>
        </w:rPr>
        <w:t>）有足够的技术、财务资源和其他资源支持，以完成该无形资产的开发，并有能力使用或出售该无形资产；</w:t>
      </w:r>
    </w:p>
    <w:p w:rsidR="00C65FD5" w:rsidRPr="00831C3C" w:rsidRDefault="00C65FD5" w:rsidP="003D003F">
      <w:pPr>
        <w:pStyle w:val="a3"/>
        <w:spacing w:before="0" w:beforeAutospacing="0" w:after="0" w:afterAutospacing="0"/>
        <w:ind w:firstLine="420"/>
        <w:jc w:val="both"/>
        <w:divId w:val="489298463"/>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cs="Arial"/>
          <w:sz w:val="18"/>
          <w:szCs w:val="18"/>
        </w:rPr>
        <w:t>5</w:t>
      </w:r>
      <w:r w:rsidRPr="00831C3C">
        <w:rPr>
          <w:rFonts w:asciiTheme="minorEastAsia" w:eastAsiaTheme="minorEastAsia" w:hAnsiTheme="minorEastAsia" w:hint="eastAsia"/>
          <w:sz w:val="18"/>
          <w:szCs w:val="18"/>
        </w:rPr>
        <w:t>）归属于该无形资产开发阶段的支出能够可靠地计量。</w:t>
      </w:r>
    </w:p>
    <w:p w:rsidR="00C65FD5" w:rsidRPr="00831C3C" w:rsidRDefault="00C65FD5" w:rsidP="003D003F">
      <w:pPr>
        <w:pStyle w:val="a3"/>
        <w:divId w:val="489298463"/>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不满足上述条件的开发阶段的支出，于发生时计入当期损益。无法区分研究阶段支出和开发阶段支出的，将发生的研发支出全部计入当期损益。内部开发活动形成的无形资产的成本仅包括满足资本化条件的时点至无形资产达到预定用途前发生的支出总额，对于同一项无形资产在开发过程中达到资本化条件之前已经费用化计入损益的支出不再进行调整。</w:t>
      </w:r>
    </w:p>
    <w:p w:rsidR="00E23A97" w:rsidRPr="00831C3C" w:rsidRDefault="00C65FD5">
      <w:pPr>
        <w:pStyle w:val="3"/>
        <w:spacing w:line="280" w:lineRule="exact"/>
        <w:jc w:val="left"/>
        <w:rPr>
          <w:rFonts w:ascii="宋体" w:hAnsi="宋体" w:cs="宋体"/>
          <w:b/>
          <w:bCs/>
        </w:rPr>
      </w:pPr>
      <w:bookmarkStart w:id="216" w:name="_Toc989099"/>
      <w:r w:rsidRPr="00831C3C">
        <w:rPr>
          <w:rFonts w:ascii="宋体" w:hAnsi="宋体" w:cs="宋体"/>
          <w:b/>
          <w:bCs/>
        </w:rPr>
        <w:t>30、长期资产减值</w:t>
      </w:r>
      <w:bookmarkEnd w:id="216"/>
    </w:p>
    <w:p w:rsidR="00C65FD5" w:rsidRPr="00831C3C" w:rsidRDefault="00C65FD5" w:rsidP="003D003F">
      <w:pPr>
        <w:pStyle w:val="a3"/>
        <w:spacing w:before="0" w:beforeAutospacing="0" w:after="0" w:afterAutospacing="0"/>
        <w:ind w:firstLine="420"/>
        <w:jc w:val="both"/>
        <w:divId w:val="592711438"/>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本公司在每一个资产负债表日</w:t>
      </w:r>
      <w:proofErr w:type="gramStart"/>
      <w:r w:rsidRPr="00831C3C">
        <w:rPr>
          <w:rFonts w:asciiTheme="minorEastAsia" w:eastAsiaTheme="minorEastAsia" w:hAnsiTheme="minorEastAsia" w:hint="eastAsia"/>
          <w:sz w:val="18"/>
          <w:szCs w:val="18"/>
        </w:rPr>
        <w:t>检查长</w:t>
      </w:r>
      <w:proofErr w:type="gramEnd"/>
      <w:r w:rsidRPr="00831C3C">
        <w:rPr>
          <w:rFonts w:asciiTheme="minorEastAsia" w:eastAsiaTheme="minorEastAsia" w:hAnsiTheme="minorEastAsia" w:hint="eastAsia"/>
          <w:sz w:val="18"/>
          <w:szCs w:val="18"/>
        </w:rPr>
        <w:t>期股权投资、采用成本法计量的投资性房地产、固定资产、在建工程、使用寿命确定的无形资产是否存在可能发生减值的迹象。如果长期资产存在减值迹象，则以单项资产为基础估计其可收回金额；难以对单项资产的可收回金额进行估计的，以该资产所属的资产组为基础确定资产组的可收回金额。</w:t>
      </w:r>
    </w:p>
    <w:p w:rsidR="00C65FD5" w:rsidRPr="00831C3C" w:rsidRDefault="00C65FD5" w:rsidP="003D003F">
      <w:pPr>
        <w:pStyle w:val="a3"/>
        <w:spacing w:before="0" w:beforeAutospacing="0" w:after="0" w:afterAutospacing="0"/>
        <w:ind w:firstLine="420"/>
        <w:jc w:val="both"/>
        <w:divId w:val="592711438"/>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资产可收回金额的估计，根据其公允价值减去处置费用后的净额与资产预计未来现金流量的现值两者之间较高者确定。</w:t>
      </w:r>
    </w:p>
    <w:p w:rsidR="00C65FD5" w:rsidRPr="00831C3C" w:rsidRDefault="00C65FD5" w:rsidP="003D003F">
      <w:pPr>
        <w:pStyle w:val="a3"/>
        <w:spacing w:before="0" w:beforeAutospacing="0" w:after="0" w:afterAutospacing="0"/>
        <w:ind w:firstLine="420"/>
        <w:jc w:val="both"/>
        <w:divId w:val="592711438"/>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lastRenderedPageBreak/>
        <w:t>可收回金额的计量结果表明，长期资产的可收回金额低于其账面价值的，将长期资产的账面价值</w:t>
      </w:r>
      <w:proofErr w:type="gramStart"/>
      <w:r w:rsidRPr="00831C3C">
        <w:rPr>
          <w:rFonts w:asciiTheme="minorEastAsia" w:eastAsiaTheme="minorEastAsia" w:hAnsiTheme="minorEastAsia" w:hint="eastAsia"/>
          <w:sz w:val="18"/>
          <w:szCs w:val="18"/>
        </w:rPr>
        <w:t>减记至</w:t>
      </w:r>
      <w:proofErr w:type="gramEnd"/>
      <w:r w:rsidRPr="00831C3C">
        <w:rPr>
          <w:rFonts w:asciiTheme="minorEastAsia" w:eastAsiaTheme="minorEastAsia" w:hAnsiTheme="minorEastAsia" w:hint="eastAsia"/>
          <w:sz w:val="18"/>
          <w:szCs w:val="18"/>
        </w:rPr>
        <w:t>可收回金额，</w:t>
      </w:r>
      <w:proofErr w:type="gramStart"/>
      <w:r w:rsidRPr="00831C3C">
        <w:rPr>
          <w:rFonts w:asciiTheme="minorEastAsia" w:eastAsiaTheme="minorEastAsia" w:hAnsiTheme="minorEastAsia" w:hint="eastAsia"/>
          <w:sz w:val="18"/>
          <w:szCs w:val="18"/>
        </w:rPr>
        <w:t>减记的</w:t>
      </w:r>
      <w:proofErr w:type="gramEnd"/>
      <w:r w:rsidRPr="00831C3C">
        <w:rPr>
          <w:rFonts w:asciiTheme="minorEastAsia" w:eastAsiaTheme="minorEastAsia" w:hAnsiTheme="minorEastAsia" w:hint="eastAsia"/>
          <w:sz w:val="18"/>
          <w:szCs w:val="18"/>
        </w:rPr>
        <w:t>金额确认为资产减值损失，计入当期损益，同时计提相应的资产减值准备。资产减值损失一经确认，在以后会计期间不得转回。</w:t>
      </w:r>
    </w:p>
    <w:p w:rsidR="00C65FD5" w:rsidRPr="00831C3C" w:rsidRDefault="00C65FD5" w:rsidP="003D003F">
      <w:pPr>
        <w:pStyle w:val="a3"/>
        <w:spacing w:before="0" w:beforeAutospacing="0" w:after="0" w:afterAutospacing="0"/>
        <w:ind w:firstLine="420"/>
        <w:jc w:val="both"/>
        <w:divId w:val="592711438"/>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资产减值损失确认后，减值资产的折旧或者摊销费用在未来期间作相应调整，以使该资产在剩余使用寿命内，系统地分摊调整后的资产账面价值（扣除预计净残值）。</w:t>
      </w:r>
    </w:p>
    <w:p w:rsidR="00C65FD5" w:rsidRPr="00831C3C" w:rsidRDefault="00C65FD5" w:rsidP="003D003F">
      <w:pPr>
        <w:pStyle w:val="a3"/>
        <w:spacing w:before="0" w:beforeAutospacing="0" w:after="0" w:afterAutospacing="0"/>
        <w:ind w:firstLine="420"/>
        <w:jc w:val="both"/>
        <w:divId w:val="592711438"/>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因企业合并所形成的商誉和使用寿命不确定的无形资产，无论是否存在减值迹象，每年都进行减值测试。</w:t>
      </w:r>
    </w:p>
    <w:p w:rsidR="00C65FD5" w:rsidRPr="00831C3C" w:rsidRDefault="00C65FD5" w:rsidP="003D003F">
      <w:pPr>
        <w:pStyle w:val="a3"/>
        <w:spacing w:before="0" w:beforeAutospacing="0" w:after="0" w:afterAutospacing="0"/>
        <w:ind w:firstLine="420"/>
        <w:jc w:val="both"/>
        <w:divId w:val="592711438"/>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在对商誉进行减值测试时，将商誉的账面价值分摊至预期从企业合并的协同效应中受益的资产组或资产组组合。在对包含商誉的相关资产组或者资产组组合进行减值测试时，如与商誉相关的资产组或者资产组组合存在减值迹象的，先对不包含商誉的资产组或者资产组组合进行减值测试，计算可收回金额，并与相关账面价值相比较，确认相应的减值损失。再对包含商誉的资产组或者资产组组合进行减值测试，比较这些相关资产组或者资产组组合的账面价值（包括所分摊的商誉的账面价值部分）</w:t>
      </w:r>
      <w:proofErr w:type="gramStart"/>
      <w:r w:rsidRPr="00831C3C">
        <w:rPr>
          <w:rFonts w:asciiTheme="minorEastAsia" w:eastAsiaTheme="minorEastAsia" w:hAnsiTheme="minorEastAsia" w:hint="eastAsia"/>
          <w:sz w:val="18"/>
          <w:szCs w:val="18"/>
        </w:rPr>
        <w:t>与其可</w:t>
      </w:r>
      <w:proofErr w:type="gramEnd"/>
      <w:r w:rsidRPr="00831C3C">
        <w:rPr>
          <w:rFonts w:asciiTheme="minorEastAsia" w:eastAsiaTheme="minorEastAsia" w:hAnsiTheme="minorEastAsia" w:hint="eastAsia"/>
          <w:sz w:val="18"/>
          <w:szCs w:val="18"/>
        </w:rPr>
        <w:t>收回金额，如相关资产组或者资产组组合的可收回金额低于其账面价值的，确认商誉的减值损失。</w:t>
      </w:r>
    </w:p>
    <w:p w:rsidR="00E23A97" w:rsidRPr="00831C3C" w:rsidRDefault="00C65FD5">
      <w:pPr>
        <w:pStyle w:val="3"/>
        <w:spacing w:line="280" w:lineRule="exact"/>
        <w:jc w:val="left"/>
        <w:rPr>
          <w:rFonts w:ascii="宋体" w:hAnsi="宋体" w:cs="宋体"/>
          <w:b/>
          <w:bCs/>
        </w:rPr>
      </w:pPr>
      <w:bookmarkStart w:id="217" w:name="_Toc989100"/>
      <w:r w:rsidRPr="00831C3C">
        <w:rPr>
          <w:rFonts w:ascii="宋体" w:hAnsi="宋体" w:cs="宋体"/>
          <w:b/>
          <w:bCs/>
        </w:rPr>
        <w:t>31、长期待摊费用</w:t>
      </w:r>
      <w:bookmarkEnd w:id="217"/>
    </w:p>
    <w:p w:rsidR="00C65FD5" w:rsidRPr="00831C3C" w:rsidRDefault="00C65FD5" w:rsidP="00CC7D91">
      <w:pPr>
        <w:widowControl/>
        <w:numPr>
          <w:ilvl w:val="0"/>
          <w:numId w:val="98"/>
        </w:numPr>
        <w:spacing w:before="100" w:beforeAutospacing="1" w:after="100" w:afterAutospacing="1"/>
        <w:divId w:val="1263759184"/>
        <w:rPr>
          <w:sz w:val="18"/>
          <w:szCs w:val="18"/>
        </w:rPr>
      </w:pPr>
      <w:r w:rsidRPr="00831C3C">
        <w:rPr>
          <w:rFonts w:hint="eastAsia"/>
          <w:sz w:val="18"/>
          <w:szCs w:val="18"/>
        </w:rPr>
        <w:t>．摊销方法</w:t>
      </w:r>
    </w:p>
    <w:p w:rsidR="00C65FD5" w:rsidRPr="00831C3C" w:rsidRDefault="00C65FD5" w:rsidP="003D003F">
      <w:pPr>
        <w:pStyle w:val="a3"/>
        <w:spacing w:before="0" w:beforeAutospacing="0" w:after="0" w:afterAutospacing="0"/>
        <w:ind w:firstLine="420"/>
        <w:jc w:val="both"/>
        <w:divId w:val="1263759184"/>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长期待摊费用，是指本公司已经发生但应由本期和以后各期负担的分摊期限在</w:t>
      </w:r>
      <w:r w:rsidRPr="00831C3C">
        <w:rPr>
          <w:rFonts w:asciiTheme="minorEastAsia" w:eastAsiaTheme="minorEastAsia" w:hAnsiTheme="minorEastAsia"/>
          <w:sz w:val="18"/>
          <w:szCs w:val="18"/>
        </w:rPr>
        <w:t>1</w:t>
      </w:r>
      <w:r w:rsidRPr="00831C3C">
        <w:rPr>
          <w:rFonts w:asciiTheme="minorEastAsia" w:eastAsiaTheme="minorEastAsia" w:hAnsiTheme="minorEastAsia" w:hint="eastAsia"/>
          <w:sz w:val="18"/>
          <w:szCs w:val="18"/>
        </w:rPr>
        <w:t>年以上的各项费用。长期待摊费用在受益期内按直线法分期摊销。</w:t>
      </w:r>
    </w:p>
    <w:p w:rsidR="00C65FD5" w:rsidRPr="00831C3C" w:rsidRDefault="00C65FD5" w:rsidP="00CC7D91">
      <w:pPr>
        <w:widowControl/>
        <w:numPr>
          <w:ilvl w:val="0"/>
          <w:numId w:val="99"/>
        </w:numPr>
        <w:spacing w:before="100" w:beforeAutospacing="1" w:after="100" w:afterAutospacing="1"/>
        <w:divId w:val="1263759184"/>
        <w:rPr>
          <w:sz w:val="18"/>
          <w:szCs w:val="18"/>
        </w:rPr>
      </w:pPr>
      <w:r w:rsidRPr="00831C3C">
        <w:rPr>
          <w:rFonts w:hint="eastAsia"/>
          <w:sz w:val="18"/>
          <w:szCs w:val="18"/>
        </w:rPr>
        <w:t>．摊销年限</w:t>
      </w:r>
    </w:p>
    <w:tbl>
      <w:tblPr>
        <w:tblW w:w="10002" w:type="dxa"/>
        <w:jc w:val="center"/>
        <w:tblInd w:w="2008" w:type="dxa"/>
        <w:tblCellMar>
          <w:left w:w="0" w:type="dxa"/>
          <w:right w:w="0" w:type="dxa"/>
        </w:tblCellMar>
        <w:tblLook w:val="04A0" w:firstRow="1" w:lastRow="0" w:firstColumn="1" w:lastColumn="0" w:noHBand="0" w:noVBand="1"/>
        <w:tblCaption w:val="D:\大华\华孚\2024年度\TB|0-合并TB-华孚时尚股份有限公司-2024年度.xlsx|W附注模板|_jds16|0|desc|||0|1"/>
      </w:tblPr>
      <w:tblGrid>
        <w:gridCol w:w="3334"/>
        <w:gridCol w:w="3334"/>
        <w:gridCol w:w="3334"/>
      </w:tblGrid>
      <w:tr w:rsidR="00831C3C" w:rsidRPr="00831C3C" w:rsidTr="003D003F">
        <w:trPr>
          <w:divId w:val="1263759184"/>
          <w:trHeight w:val="340"/>
          <w:tblHeader/>
          <w:jc w:val="center"/>
        </w:trPr>
        <w:tc>
          <w:tcPr>
            <w:tcW w:w="33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类别</w:t>
            </w:r>
          </w:p>
        </w:tc>
        <w:tc>
          <w:tcPr>
            <w:tcW w:w="33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摊销年限</w:t>
            </w:r>
          </w:p>
        </w:tc>
        <w:tc>
          <w:tcPr>
            <w:tcW w:w="33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备注</w:t>
            </w:r>
          </w:p>
        </w:tc>
      </w:tr>
      <w:tr w:rsidR="00831C3C" w:rsidRPr="00831C3C" w:rsidTr="003D003F">
        <w:trPr>
          <w:divId w:val="1263759184"/>
          <w:trHeight w:val="340"/>
          <w:jc w:val="center"/>
        </w:trPr>
        <w:tc>
          <w:tcPr>
            <w:tcW w:w="33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21"/>
                <w:szCs w:val="21"/>
              </w:rPr>
              <w:t>装修费</w:t>
            </w:r>
          </w:p>
        </w:tc>
        <w:tc>
          <w:tcPr>
            <w:tcW w:w="3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ascii="Arial Narrow" w:hAnsi="Arial Narrow" w:cs="Times New Roman"/>
                <w:sz w:val="21"/>
                <w:szCs w:val="21"/>
              </w:rPr>
              <w:t>3-5</w:t>
            </w:r>
            <w:r w:rsidRPr="00831C3C">
              <w:rPr>
                <w:rFonts w:cs="Times New Roman" w:hint="eastAsia"/>
                <w:sz w:val="21"/>
                <w:szCs w:val="21"/>
              </w:rPr>
              <w:t>年</w:t>
            </w:r>
          </w:p>
        </w:tc>
        <w:tc>
          <w:tcPr>
            <w:tcW w:w="3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p>
        </w:tc>
      </w:tr>
      <w:tr w:rsidR="00831C3C" w:rsidRPr="00831C3C" w:rsidTr="003D003F">
        <w:trPr>
          <w:divId w:val="1263759184"/>
          <w:trHeight w:val="340"/>
          <w:jc w:val="center"/>
        </w:trPr>
        <w:tc>
          <w:tcPr>
            <w:tcW w:w="33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21"/>
                <w:szCs w:val="21"/>
              </w:rPr>
              <w:t>机物料</w:t>
            </w:r>
          </w:p>
        </w:tc>
        <w:tc>
          <w:tcPr>
            <w:tcW w:w="3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ascii="Arial Narrow" w:hAnsi="Arial Narrow" w:cs="Times New Roman"/>
                <w:sz w:val="21"/>
                <w:szCs w:val="21"/>
              </w:rPr>
              <w:t>3-5</w:t>
            </w:r>
            <w:r w:rsidRPr="00831C3C">
              <w:rPr>
                <w:rFonts w:cs="Times New Roman" w:hint="eastAsia"/>
                <w:sz w:val="21"/>
                <w:szCs w:val="21"/>
              </w:rPr>
              <w:t>年</w:t>
            </w:r>
          </w:p>
        </w:tc>
        <w:tc>
          <w:tcPr>
            <w:tcW w:w="3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p>
        </w:tc>
      </w:tr>
      <w:tr w:rsidR="00831C3C" w:rsidRPr="00831C3C" w:rsidTr="003D003F">
        <w:trPr>
          <w:divId w:val="1263759184"/>
          <w:trHeight w:val="340"/>
          <w:jc w:val="center"/>
        </w:trPr>
        <w:tc>
          <w:tcPr>
            <w:tcW w:w="333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21"/>
                <w:szCs w:val="21"/>
              </w:rPr>
              <w:t>其他</w:t>
            </w:r>
          </w:p>
        </w:tc>
        <w:tc>
          <w:tcPr>
            <w:tcW w:w="3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ascii="Arial Narrow" w:hAnsi="Arial Narrow" w:cs="Times New Roman"/>
                <w:sz w:val="21"/>
                <w:szCs w:val="21"/>
              </w:rPr>
              <w:t>2-5</w:t>
            </w:r>
            <w:r w:rsidRPr="00831C3C">
              <w:rPr>
                <w:rFonts w:cs="Times New Roman" w:hint="eastAsia"/>
                <w:sz w:val="21"/>
                <w:szCs w:val="21"/>
              </w:rPr>
              <w:t>年</w:t>
            </w:r>
          </w:p>
        </w:tc>
        <w:tc>
          <w:tcPr>
            <w:tcW w:w="33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p>
        </w:tc>
      </w:tr>
    </w:tbl>
    <w:p w:rsidR="00E23A97" w:rsidRPr="00831C3C" w:rsidRDefault="00C65FD5">
      <w:pPr>
        <w:pStyle w:val="3"/>
        <w:spacing w:line="280" w:lineRule="exact"/>
        <w:jc w:val="left"/>
        <w:rPr>
          <w:rFonts w:ascii="宋体" w:hAnsi="宋体" w:cs="宋体"/>
          <w:b/>
          <w:bCs/>
        </w:rPr>
      </w:pPr>
      <w:bookmarkStart w:id="218" w:name="_Toc989101"/>
      <w:r w:rsidRPr="00831C3C">
        <w:rPr>
          <w:rFonts w:ascii="宋体" w:hAnsi="宋体" w:cs="宋体"/>
          <w:b/>
          <w:bCs/>
        </w:rPr>
        <w:t>32、合同负债</w:t>
      </w:r>
      <w:bookmarkEnd w:id="218"/>
    </w:p>
    <w:p w:rsidR="00C65FD5" w:rsidRPr="00831C3C" w:rsidRDefault="00C65FD5" w:rsidP="003D003F">
      <w:pPr>
        <w:pStyle w:val="a3"/>
        <w:spacing w:before="0" w:beforeAutospacing="0" w:after="0" w:afterAutospacing="0"/>
        <w:ind w:firstLine="420"/>
        <w:jc w:val="both"/>
        <w:divId w:val="1741833112"/>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本公司将已收或应收客户对价而应向客户转让商品的义务部分确认为合同负债。</w:t>
      </w:r>
    </w:p>
    <w:p w:rsidR="00E23A97" w:rsidRPr="00831C3C" w:rsidRDefault="00C65FD5">
      <w:pPr>
        <w:pStyle w:val="3"/>
        <w:spacing w:line="280" w:lineRule="exact"/>
        <w:jc w:val="left"/>
        <w:rPr>
          <w:rFonts w:ascii="宋体" w:hAnsi="宋体" w:cs="宋体"/>
          <w:b/>
          <w:bCs/>
        </w:rPr>
      </w:pPr>
      <w:bookmarkStart w:id="219" w:name="_Toc989102"/>
      <w:r w:rsidRPr="00831C3C">
        <w:rPr>
          <w:rFonts w:ascii="宋体" w:hAnsi="宋体" w:cs="宋体"/>
          <w:b/>
          <w:bCs/>
        </w:rPr>
        <w:t>33、职工薪</w:t>
      </w:r>
      <w:proofErr w:type="gramStart"/>
      <w:r w:rsidRPr="00831C3C">
        <w:rPr>
          <w:rFonts w:ascii="宋体" w:hAnsi="宋体" w:cs="宋体"/>
          <w:b/>
          <w:bCs/>
        </w:rPr>
        <w:t>酬</w:t>
      </w:r>
      <w:bookmarkEnd w:id="219"/>
      <w:proofErr w:type="gramEnd"/>
    </w:p>
    <w:p w:rsidR="00E23A97" w:rsidRPr="00831C3C" w:rsidRDefault="00C65FD5">
      <w:pPr>
        <w:keepNext/>
        <w:keepLines/>
        <w:spacing w:before="300" w:after="300" w:line="280" w:lineRule="exact"/>
        <w:outlineLvl w:val="3"/>
        <w:rPr>
          <w:rFonts w:ascii="宋体" w:eastAsia="宋体" w:hAnsi="宋体" w:cs="宋体"/>
          <w:b/>
          <w:bCs/>
          <w:szCs w:val="21"/>
        </w:rPr>
      </w:pPr>
      <w:bookmarkStart w:id="220" w:name="_Toc989103"/>
      <w:r w:rsidRPr="00831C3C">
        <w:rPr>
          <w:rFonts w:ascii="宋体" w:eastAsia="宋体" w:hAnsi="宋体" w:cs="宋体"/>
          <w:b/>
          <w:bCs/>
          <w:szCs w:val="21"/>
        </w:rPr>
        <w:t>（1）短期薪酬的会计处理方法</w:t>
      </w:r>
      <w:bookmarkEnd w:id="220"/>
    </w:p>
    <w:p w:rsidR="00C65FD5" w:rsidRPr="00831C3C" w:rsidRDefault="00C65FD5" w:rsidP="003D003F">
      <w:pPr>
        <w:pStyle w:val="a3"/>
        <w:spacing w:before="0" w:beforeAutospacing="0" w:after="0" w:afterAutospacing="0"/>
        <w:ind w:firstLine="420"/>
        <w:jc w:val="both"/>
        <w:divId w:val="1048796601"/>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短期薪酬是指本公司在职工提供相关服务的年度报告期间结束后十二个月内需要全部予以支付的职工薪酬，离职后福利和辞退福利除外。本公司在职工提供服务的会计期间，将应付的短期薪酬确认为负债，并根据职工提供服务的受益对象计入相关资产成本和费用。</w:t>
      </w:r>
    </w:p>
    <w:p w:rsidR="00E23A97" w:rsidRPr="00831C3C" w:rsidRDefault="00C65FD5">
      <w:pPr>
        <w:keepNext/>
        <w:keepLines/>
        <w:spacing w:before="300" w:after="300" w:line="280" w:lineRule="exact"/>
        <w:outlineLvl w:val="3"/>
        <w:rPr>
          <w:rFonts w:ascii="宋体" w:eastAsia="宋体" w:hAnsi="宋体" w:cs="宋体"/>
          <w:b/>
          <w:bCs/>
          <w:szCs w:val="21"/>
        </w:rPr>
      </w:pPr>
      <w:bookmarkStart w:id="221" w:name="_Toc989104"/>
      <w:r w:rsidRPr="00831C3C">
        <w:rPr>
          <w:rFonts w:ascii="宋体" w:eastAsia="宋体" w:hAnsi="宋体" w:cs="宋体"/>
          <w:b/>
          <w:bCs/>
          <w:szCs w:val="21"/>
        </w:rPr>
        <w:t>（2）离职后福利的会计处理方法</w:t>
      </w:r>
      <w:bookmarkEnd w:id="221"/>
    </w:p>
    <w:p w:rsidR="00C65FD5" w:rsidRPr="00831C3C" w:rsidRDefault="00C65FD5" w:rsidP="003D003F">
      <w:pPr>
        <w:pStyle w:val="a3"/>
        <w:spacing w:before="0" w:beforeAutospacing="0" w:after="0" w:afterAutospacing="0"/>
        <w:ind w:firstLine="420"/>
        <w:jc w:val="both"/>
        <w:divId w:val="641235174"/>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离职后福利是指本公司为获得职工提供的服务而在职工退休或与企业解除劳动关系后，提供的各种形式的报酬和福利，短期</w:t>
      </w:r>
      <w:proofErr w:type="gramStart"/>
      <w:r w:rsidRPr="00831C3C">
        <w:rPr>
          <w:rFonts w:asciiTheme="minorEastAsia" w:eastAsiaTheme="minorEastAsia" w:hAnsiTheme="minorEastAsia" w:hint="eastAsia"/>
          <w:sz w:val="18"/>
          <w:szCs w:val="18"/>
        </w:rPr>
        <w:t>薪</w:t>
      </w:r>
      <w:proofErr w:type="gramEnd"/>
      <w:r w:rsidRPr="00831C3C">
        <w:rPr>
          <w:rFonts w:asciiTheme="minorEastAsia" w:eastAsiaTheme="minorEastAsia" w:hAnsiTheme="minorEastAsia" w:hint="eastAsia"/>
          <w:sz w:val="18"/>
          <w:szCs w:val="18"/>
        </w:rPr>
        <w:t>酬和辞退福利除外。</w:t>
      </w:r>
    </w:p>
    <w:p w:rsidR="00C65FD5" w:rsidRPr="00831C3C" w:rsidRDefault="00C65FD5" w:rsidP="003D003F">
      <w:pPr>
        <w:pStyle w:val="a3"/>
        <w:spacing w:before="0" w:beforeAutospacing="0" w:after="0" w:afterAutospacing="0"/>
        <w:ind w:firstLine="420"/>
        <w:jc w:val="both"/>
        <w:divId w:val="641235174"/>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本公司的离职后福利计划分类为设定提存计划和设定受益计划。</w:t>
      </w:r>
    </w:p>
    <w:p w:rsidR="00C65FD5" w:rsidRPr="00831C3C" w:rsidRDefault="00C65FD5" w:rsidP="003D003F">
      <w:pPr>
        <w:pStyle w:val="a3"/>
        <w:spacing w:before="0" w:beforeAutospacing="0" w:after="0" w:afterAutospacing="0"/>
        <w:ind w:firstLine="420"/>
        <w:jc w:val="both"/>
        <w:divId w:val="641235174"/>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lastRenderedPageBreak/>
        <w:t>离职后福利设定提存计划主要为参加由各地劳动及社会保障机构组织实施的社会基本养老保险、失业保险等；在职工为本公司提供服务的会计期间，将根据设定提存计划计算的应缴存金额确认为负债，并计入当期损益或相关资产成本。</w:t>
      </w:r>
    </w:p>
    <w:p w:rsidR="00C65FD5" w:rsidRPr="00831C3C" w:rsidRDefault="00C65FD5" w:rsidP="003D003F">
      <w:pPr>
        <w:pStyle w:val="a3"/>
        <w:spacing w:before="0" w:beforeAutospacing="0" w:after="0" w:afterAutospacing="0"/>
        <w:ind w:firstLine="420"/>
        <w:jc w:val="both"/>
        <w:divId w:val="641235174"/>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本公司按照国家规定的标准定期缴付上述款项后，不再有其他的支付义务。</w:t>
      </w:r>
    </w:p>
    <w:p w:rsidR="00E23A97" w:rsidRPr="00831C3C" w:rsidRDefault="00C65FD5">
      <w:pPr>
        <w:keepNext/>
        <w:keepLines/>
        <w:spacing w:before="300" w:after="300" w:line="280" w:lineRule="exact"/>
        <w:outlineLvl w:val="3"/>
        <w:rPr>
          <w:rFonts w:ascii="宋体" w:eastAsia="宋体" w:hAnsi="宋体" w:cs="宋体"/>
          <w:b/>
          <w:bCs/>
          <w:szCs w:val="21"/>
        </w:rPr>
      </w:pPr>
      <w:bookmarkStart w:id="222" w:name="_Toc989105"/>
      <w:r w:rsidRPr="00831C3C">
        <w:rPr>
          <w:rFonts w:ascii="宋体" w:eastAsia="宋体" w:hAnsi="宋体" w:cs="宋体"/>
          <w:b/>
          <w:bCs/>
          <w:szCs w:val="21"/>
        </w:rPr>
        <w:t>（3）辞退福利的会计处理方法</w:t>
      </w:r>
      <w:bookmarkEnd w:id="222"/>
    </w:p>
    <w:p w:rsidR="00C65FD5" w:rsidRPr="00831C3C" w:rsidRDefault="00C65FD5" w:rsidP="003D003F">
      <w:pPr>
        <w:pStyle w:val="a3"/>
        <w:spacing w:before="0" w:beforeAutospacing="0" w:after="0" w:afterAutospacing="0"/>
        <w:ind w:firstLine="420"/>
        <w:jc w:val="both"/>
        <w:divId w:val="777411584"/>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辞退福利是指本公司在职工劳动合同到期之前解除与职工的劳动关系，或者为鼓励职工自愿接受裁减而给予职工的补偿，在本公司不能单方面撤回解除劳动关系计划或裁减建议时和确认与涉及支付辞退福利的重组相关的成本费用时两者</w:t>
      </w:r>
      <w:proofErr w:type="gramStart"/>
      <w:r w:rsidRPr="00831C3C">
        <w:rPr>
          <w:rFonts w:asciiTheme="minorEastAsia" w:eastAsiaTheme="minorEastAsia" w:hAnsiTheme="minorEastAsia" w:hint="eastAsia"/>
          <w:sz w:val="18"/>
          <w:szCs w:val="18"/>
        </w:rPr>
        <w:t>孰</w:t>
      </w:r>
      <w:proofErr w:type="gramEnd"/>
      <w:r w:rsidRPr="00831C3C">
        <w:rPr>
          <w:rFonts w:asciiTheme="minorEastAsia" w:eastAsiaTheme="minorEastAsia" w:hAnsiTheme="minorEastAsia" w:hint="eastAsia"/>
          <w:sz w:val="18"/>
          <w:szCs w:val="18"/>
        </w:rPr>
        <w:t>早日，</w:t>
      </w:r>
      <w:proofErr w:type="gramStart"/>
      <w:r w:rsidRPr="00831C3C">
        <w:rPr>
          <w:rFonts w:asciiTheme="minorEastAsia" w:eastAsiaTheme="minorEastAsia" w:hAnsiTheme="minorEastAsia" w:hint="eastAsia"/>
          <w:sz w:val="18"/>
          <w:szCs w:val="18"/>
        </w:rPr>
        <w:t>确认因</w:t>
      </w:r>
      <w:proofErr w:type="gramEnd"/>
      <w:r w:rsidRPr="00831C3C">
        <w:rPr>
          <w:rFonts w:asciiTheme="minorEastAsia" w:eastAsiaTheme="minorEastAsia" w:hAnsiTheme="minorEastAsia" w:hint="eastAsia"/>
          <w:sz w:val="18"/>
          <w:szCs w:val="18"/>
        </w:rPr>
        <w:t>解除与职工的劳动关系给予补偿而产生的负债，同时计入当期损益。</w:t>
      </w:r>
    </w:p>
    <w:p w:rsidR="00C65FD5" w:rsidRPr="00831C3C" w:rsidRDefault="00C65FD5" w:rsidP="003D003F">
      <w:pPr>
        <w:pStyle w:val="a3"/>
        <w:spacing w:before="0" w:beforeAutospacing="0" w:after="0" w:afterAutospacing="0"/>
        <w:ind w:firstLine="420"/>
        <w:jc w:val="both"/>
        <w:divId w:val="777411584"/>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本公司向接受内部退休安排的职工提供内退福利。内退福利是指，向未达到国家规定的退休年龄、经本公司管理层批准自愿退出工作岗位的职工支付的工资及为其缴纳的社会保险费等。本公司</w:t>
      </w:r>
      <w:proofErr w:type="gramStart"/>
      <w:r w:rsidRPr="00831C3C">
        <w:rPr>
          <w:rFonts w:asciiTheme="minorEastAsia" w:eastAsiaTheme="minorEastAsia" w:hAnsiTheme="minorEastAsia" w:hint="eastAsia"/>
          <w:sz w:val="18"/>
          <w:szCs w:val="18"/>
        </w:rPr>
        <w:t>自内部</w:t>
      </w:r>
      <w:proofErr w:type="gramEnd"/>
      <w:r w:rsidRPr="00831C3C">
        <w:rPr>
          <w:rFonts w:asciiTheme="minorEastAsia" w:eastAsiaTheme="minorEastAsia" w:hAnsiTheme="minorEastAsia" w:hint="eastAsia"/>
          <w:sz w:val="18"/>
          <w:szCs w:val="18"/>
        </w:rPr>
        <w:t>退休安排开始之日起</w:t>
      </w:r>
      <w:proofErr w:type="gramStart"/>
      <w:r w:rsidRPr="00831C3C">
        <w:rPr>
          <w:rFonts w:asciiTheme="minorEastAsia" w:eastAsiaTheme="minorEastAsia" w:hAnsiTheme="minorEastAsia" w:hint="eastAsia"/>
          <w:sz w:val="18"/>
          <w:szCs w:val="18"/>
        </w:rPr>
        <w:t>至职工</w:t>
      </w:r>
      <w:proofErr w:type="gramEnd"/>
      <w:r w:rsidRPr="00831C3C">
        <w:rPr>
          <w:rFonts w:asciiTheme="minorEastAsia" w:eastAsiaTheme="minorEastAsia" w:hAnsiTheme="minorEastAsia" w:hint="eastAsia"/>
          <w:sz w:val="18"/>
          <w:szCs w:val="18"/>
        </w:rPr>
        <w:t>达到正常退休年龄止，向内退职</w:t>
      </w:r>
      <w:proofErr w:type="gramStart"/>
      <w:r w:rsidRPr="00831C3C">
        <w:rPr>
          <w:rFonts w:asciiTheme="minorEastAsia" w:eastAsiaTheme="minorEastAsia" w:hAnsiTheme="minorEastAsia" w:hint="eastAsia"/>
          <w:sz w:val="18"/>
          <w:szCs w:val="18"/>
        </w:rPr>
        <w:t>工支付</w:t>
      </w:r>
      <w:proofErr w:type="gramEnd"/>
      <w:r w:rsidRPr="00831C3C">
        <w:rPr>
          <w:rFonts w:asciiTheme="minorEastAsia" w:eastAsiaTheme="minorEastAsia" w:hAnsiTheme="minorEastAsia" w:hint="eastAsia"/>
          <w:sz w:val="18"/>
          <w:szCs w:val="18"/>
        </w:rPr>
        <w:t>内部退养福利。对于内退福利，本公司比照辞退福利进行会计处理，在符合辞退福利相关确认条件时，将</w:t>
      </w:r>
      <w:proofErr w:type="gramStart"/>
      <w:r w:rsidRPr="00831C3C">
        <w:rPr>
          <w:rFonts w:asciiTheme="minorEastAsia" w:eastAsiaTheme="minorEastAsia" w:hAnsiTheme="minorEastAsia" w:hint="eastAsia"/>
          <w:sz w:val="18"/>
          <w:szCs w:val="18"/>
        </w:rPr>
        <w:t>自职工</w:t>
      </w:r>
      <w:proofErr w:type="gramEnd"/>
      <w:r w:rsidRPr="00831C3C">
        <w:rPr>
          <w:rFonts w:asciiTheme="minorEastAsia" w:eastAsiaTheme="minorEastAsia" w:hAnsiTheme="minorEastAsia" w:hint="eastAsia"/>
          <w:sz w:val="18"/>
          <w:szCs w:val="18"/>
        </w:rPr>
        <w:t>停止提供服务日至正常退休日期间</w:t>
      </w:r>
      <w:proofErr w:type="gramStart"/>
      <w:r w:rsidRPr="00831C3C">
        <w:rPr>
          <w:rFonts w:asciiTheme="minorEastAsia" w:eastAsiaTheme="minorEastAsia" w:hAnsiTheme="minorEastAsia" w:hint="eastAsia"/>
          <w:sz w:val="18"/>
          <w:szCs w:val="18"/>
        </w:rPr>
        <w:t>拟支付</w:t>
      </w:r>
      <w:proofErr w:type="gramEnd"/>
      <w:r w:rsidRPr="00831C3C">
        <w:rPr>
          <w:rFonts w:asciiTheme="minorEastAsia" w:eastAsiaTheme="minorEastAsia" w:hAnsiTheme="minorEastAsia" w:hint="eastAsia"/>
          <w:sz w:val="18"/>
          <w:szCs w:val="18"/>
        </w:rPr>
        <w:t>的内退职工工资和缴纳的社会保险费等，确认为负债，一次性计入当期损益。内退福利的精算假设变化及福利标准调整引起的差异于发生时计入当期损益。</w:t>
      </w:r>
    </w:p>
    <w:p w:rsidR="00E23A97" w:rsidRPr="00831C3C" w:rsidRDefault="00C65FD5">
      <w:pPr>
        <w:keepNext/>
        <w:keepLines/>
        <w:spacing w:before="300" w:after="300" w:line="280" w:lineRule="exact"/>
        <w:outlineLvl w:val="3"/>
        <w:rPr>
          <w:rFonts w:ascii="宋体" w:eastAsia="宋体" w:hAnsi="宋体" w:cs="宋体"/>
          <w:b/>
          <w:bCs/>
          <w:szCs w:val="21"/>
        </w:rPr>
      </w:pPr>
      <w:bookmarkStart w:id="223" w:name="_Toc989106"/>
      <w:r w:rsidRPr="00831C3C">
        <w:rPr>
          <w:rFonts w:ascii="宋体" w:eastAsia="宋体" w:hAnsi="宋体" w:cs="宋体"/>
          <w:b/>
          <w:bCs/>
          <w:szCs w:val="21"/>
        </w:rPr>
        <w:t>（4）其他长期职工福利的会计处理方法</w:t>
      </w:r>
      <w:bookmarkEnd w:id="223"/>
    </w:p>
    <w:p w:rsidR="00C65FD5" w:rsidRPr="00831C3C" w:rsidRDefault="00C65FD5" w:rsidP="003D003F">
      <w:pPr>
        <w:pStyle w:val="a3"/>
        <w:spacing w:before="0" w:beforeAutospacing="0" w:after="0" w:afterAutospacing="0"/>
        <w:ind w:firstLine="420"/>
        <w:jc w:val="both"/>
        <w:divId w:val="199704015"/>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其他长期职工福利是指除短期薪酬、离职后福利、辞退福利之外的其他所有职工福利。</w:t>
      </w:r>
    </w:p>
    <w:p w:rsidR="00C65FD5" w:rsidRPr="00831C3C" w:rsidRDefault="00C65FD5" w:rsidP="003D003F">
      <w:pPr>
        <w:pStyle w:val="a3"/>
        <w:spacing w:before="0" w:beforeAutospacing="0" w:after="0" w:afterAutospacing="0"/>
        <w:ind w:firstLine="420"/>
        <w:jc w:val="both"/>
        <w:divId w:val="199704015"/>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对符合设定提存计划条件的其他长期职工福利，在职工为本公司提供服务的会计期间，将应缴存金额确认为负债，并计入当期损益或相关资产成本；除上述情形外的其他长期职工福利，在资产负债表日使用预期累计福利单位法进行精算，将设定受益计划产生的福利义务归属于职工提供服务的期间，并计入当期损益或相关资产成本。</w:t>
      </w:r>
    </w:p>
    <w:p w:rsidR="00E23A97" w:rsidRPr="00831C3C" w:rsidRDefault="00C65FD5">
      <w:pPr>
        <w:pStyle w:val="3"/>
        <w:spacing w:line="280" w:lineRule="exact"/>
        <w:jc w:val="left"/>
        <w:rPr>
          <w:rFonts w:ascii="宋体" w:hAnsi="宋体" w:cs="宋体"/>
          <w:b/>
          <w:bCs/>
        </w:rPr>
      </w:pPr>
      <w:bookmarkStart w:id="224" w:name="_Toc989107"/>
      <w:r w:rsidRPr="00831C3C">
        <w:rPr>
          <w:rFonts w:ascii="宋体" w:hAnsi="宋体" w:cs="宋体"/>
          <w:b/>
          <w:bCs/>
        </w:rPr>
        <w:t>34、预计负债</w:t>
      </w:r>
      <w:bookmarkEnd w:id="224"/>
    </w:p>
    <w:p w:rsidR="00C65FD5" w:rsidRPr="00831C3C" w:rsidRDefault="00C65FD5" w:rsidP="00CC7D91">
      <w:pPr>
        <w:widowControl/>
        <w:numPr>
          <w:ilvl w:val="0"/>
          <w:numId w:val="100"/>
        </w:numPr>
        <w:spacing w:before="100" w:beforeAutospacing="1" w:after="100" w:afterAutospacing="1"/>
        <w:divId w:val="98767817"/>
        <w:rPr>
          <w:sz w:val="18"/>
          <w:szCs w:val="18"/>
        </w:rPr>
      </w:pPr>
      <w:r w:rsidRPr="00831C3C">
        <w:rPr>
          <w:rFonts w:hint="eastAsia"/>
          <w:sz w:val="18"/>
          <w:szCs w:val="18"/>
        </w:rPr>
        <w:t>．预计负债的确认标准</w:t>
      </w:r>
    </w:p>
    <w:p w:rsidR="00C65FD5" w:rsidRPr="00831C3C" w:rsidRDefault="00C65FD5" w:rsidP="003D003F">
      <w:pPr>
        <w:pStyle w:val="a3"/>
        <w:spacing w:before="0" w:beforeAutospacing="0" w:after="0" w:afterAutospacing="0"/>
        <w:ind w:firstLine="420"/>
        <w:jc w:val="both"/>
        <w:divId w:val="98767817"/>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当与或有事项相关的义务是本公司承担的现时义务，且履行该义务很可能导致经济利益流出，以及该义务的金额能够可靠地计量，则确认为预计负债。</w:t>
      </w:r>
    </w:p>
    <w:p w:rsidR="00C65FD5" w:rsidRPr="00831C3C" w:rsidRDefault="00C65FD5" w:rsidP="00CC7D91">
      <w:pPr>
        <w:widowControl/>
        <w:numPr>
          <w:ilvl w:val="0"/>
          <w:numId w:val="101"/>
        </w:numPr>
        <w:spacing w:before="100" w:beforeAutospacing="1" w:after="100" w:afterAutospacing="1"/>
        <w:divId w:val="98767817"/>
        <w:rPr>
          <w:sz w:val="18"/>
          <w:szCs w:val="18"/>
        </w:rPr>
      </w:pPr>
      <w:r w:rsidRPr="00831C3C">
        <w:rPr>
          <w:rFonts w:hint="eastAsia"/>
          <w:sz w:val="18"/>
          <w:szCs w:val="18"/>
        </w:rPr>
        <w:t>．预计负债的计量方法</w:t>
      </w:r>
    </w:p>
    <w:p w:rsidR="00C65FD5" w:rsidRPr="00831C3C" w:rsidRDefault="00C65FD5" w:rsidP="003D003F">
      <w:pPr>
        <w:pStyle w:val="a3"/>
        <w:spacing w:before="0" w:beforeAutospacing="0" w:after="0" w:afterAutospacing="0"/>
        <w:ind w:firstLine="420"/>
        <w:jc w:val="both"/>
        <w:divId w:val="98767817"/>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本公司预计负债</w:t>
      </w:r>
      <w:proofErr w:type="gramStart"/>
      <w:r w:rsidRPr="00831C3C">
        <w:rPr>
          <w:rFonts w:asciiTheme="minorEastAsia" w:eastAsiaTheme="minorEastAsia" w:hAnsiTheme="minorEastAsia" w:hint="eastAsia"/>
          <w:sz w:val="18"/>
          <w:szCs w:val="18"/>
        </w:rPr>
        <w:t>按履行</w:t>
      </w:r>
      <w:proofErr w:type="gramEnd"/>
      <w:r w:rsidRPr="00831C3C">
        <w:rPr>
          <w:rFonts w:asciiTheme="minorEastAsia" w:eastAsiaTheme="minorEastAsia" w:hAnsiTheme="minorEastAsia" w:hint="eastAsia"/>
          <w:sz w:val="18"/>
          <w:szCs w:val="18"/>
        </w:rPr>
        <w:t>相关现时义务所需的支出的最佳估计数进行初始计量。</w:t>
      </w:r>
    </w:p>
    <w:p w:rsidR="00C65FD5" w:rsidRPr="00831C3C" w:rsidRDefault="00C65FD5" w:rsidP="003D003F">
      <w:pPr>
        <w:pStyle w:val="a3"/>
        <w:spacing w:before="0" w:beforeAutospacing="0" w:after="0" w:afterAutospacing="0"/>
        <w:ind w:firstLine="420"/>
        <w:jc w:val="both"/>
        <w:divId w:val="98767817"/>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本公司在确定最佳估计数时，综合考虑与或有事项有关的风险、不确定性和货币时间价值等因素。对于货币时间价值影响重大的，通过对相关未来现金流出进行折现后确定最佳估计数。</w:t>
      </w:r>
    </w:p>
    <w:p w:rsidR="00C65FD5" w:rsidRPr="00831C3C" w:rsidRDefault="00C65FD5" w:rsidP="003D003F">
      <w:pPr>
        <w:pStyle w:val="a3"/>
        <w:spacing w:before="0" w:beforeAutospacing="0" w:after="0" w:afterAutospacing="0"/>
        <w:ind w:firstLine="420"/>
        <w:jc w:val="both"/>
        <w:divId w:val="98767817"/>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最佳估计数分别以下情况处理：</w:t>
      </w:r>
    </w:p>
    <w:p w:rsidR="00C65FD5" w:rsidRPr="00831C3C" w:rsidRDefault="00C65FD5" w:rsidP="003D003F">
      <w:pPr>
        <w:pStyle w:val="a3"/>
        <w:spacing w:before="0" w:beforeAutospacing="0" w:after="0" w:afterAutospacing="0"/>
        <w:ind w:firstLine="420"/>
        <w:jc w:val="both"/>
        <w:divId w:val="98767817"/>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所需支出存在一个连续范围（或区间），且该范围内各种结果发生的可能性相同的，</w:t>
      </w:r>
      <w:proofErr w:type="gramStart"/>
      <w:r w:rsidRPr="00831C3C">
        <w:rPr>
          <w:rFonts w:asciiTheme="minorEastAsia" w:eastAsiaTheme="minorEastAsia" w:hAnsiTheme="minorEastAsia" w:hint="eastAsia"/>
          <w:sz w:val="18"/>
          <w:szCs w:val="18"/>
        </w:rPr>
        <w:t>则最佳估计数按照</w:t>
      </w:r>
      <w:proofErr w:type="gramEnd"/>
      <w:r w:rsidRPr="00831C3C">
        <w:rPr>
          <w:rFonts w:asciiTheme="minorEastAsia" w:eastAsiaTheme="minorEastAsia" w:hAnsiTheme="minorEastAsia" w:hint="eastAsia"/>
          <w:sz w:val="18"/>
          <w:szCs w:val="18"/>
        </w:rPr>
        <w:t>该范围的中间值即上下限金额的平均数确定。</w:t>
      </w:r>
    </w:p>
    <w:p w:rsidR="00C65FD5" w:rsidRPr="00831C3C" w:rsidRDefault="00C65FD5" w:rsidP="003D003F">
      <w:pPr>
        <w:pStyle w:val="a3"/>
        <w:spacing w:before="0" w:beforeAutospacing="0" w:after="0" w:afterAutospacing="0"/>
        <w:ind w:firstLine="420"/>
        <w:jc w:val="both"/>
        <w:divId w:val="98767817"/>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所需支出不存在一个连续范围（或区间），或虽然存在一个连续范围但该范围内各种结果发生的可能性不相同的，如或有事项涉及单个项目的，</w:t>
      </w:r>
      <w:proofErr w:type="gramStart"/>
      <w:r w:rsidRPr="00831C3C">
        <w:rPr>
          <w:rFonts w:asciiTheme="minorEastAsia" w:eastAsiaTheme="minorEastAsia" w:hAnsiTheme="minorEastAsia" w:hint="eastAsia"/>
          <w:sz w:val="18"/>
          <w:szCs w:val="18"/>
        </w:rPr>
        <w:t>则最佳估计数按照</w:t>
      </w:r>
      <w:proofErr w:type="gramEnd"/>
      <w:r w:rsidRPr="00831C3C">
        <w:rPr>
          <w:rFonts w:asciiTheme="minorEastAsia" w:eastAsiaTheme="minorEastAsia" w:hAnsiTheme="minorEastAsia" w:hint="eastAsia"/>
          <w:sz w:val="18"/>
          <w:szCs w:val="18"/>
        </w:rPr>
        <w:t>最可能发生金额确定；如或有事项涉及多个项目的，</w:t>
      </w:r>
      <w:proofErr w:type="gramStart"/>
      <w:r w:rsidRPr="00831C3C">
        <w:rPr>
          <w:rFonts w:asciiTheme="minorEastAsia" w:eastAsiaTheme="minorEastAsia" w:hAnsiTheme="minorEastAsia" w:hint="eastAsia"/>
          <w:sz w:val="18"/>
          <w:szCs w:val="18"/>
        </w:rPr>
        <w:t>则最佳</w:t>
      </w:r>
      <w:proofErr w:type="gramEnd"/>
      <w:r w:rsidRPr="00831C3C">
        <w:rPr>
          <w:rFonts w:asciiTheme="minorEastAsia" w:eastAsiaTheme="minorEastAsia" w:hAnsiTheme="minorEastAsia" w:hint="eastAsia"/>
          <w:sz w:val="18"/>
          <w:szCs w:val="18"/>
        </w:rPr>
        <w:t>估计数按各种可能结果及相关概率计算确定。</w:t>
      </w:r>
    </w:p>
    <w:p w:rsidR="00C65FD5" w:rsidRPr="00831C3C" w:rsidRDefault="00C65FD5" w:rsidP="003D003F">
      <w:pPr>
        <w:pStyle w:val="a3"/>
        <w:spacing w:before="0" w:beforeAutospacing="0" w:after="0" w:afterAutospacing="0"/>
        <w:ind w:firstLine="420"/>
        <w:jc w:val="both"/>
        <w:divId w:val="98767817"/>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本公司清偿预计负债所需支出全部或部分预期由第三方补偿的，补偿金额在基本确定能够收到时，作为资产单独确认，确认的补偿金额不超过预计负债的账面价值。</w:t>
      </w:r>
    </w:p>
    <w:p w:rsidR="00E23A97" w:rsidRPr="00831C3C" w:rsidRDefault="00C65FD5">
      <w:pPr>
        <w:pStyle w:val="3"/>
        <w:spacing w:line="280" w:lineRule="exact"/>
        <w:jc w:val="left"/>
        <w:rPr>
          <w:rFonts w:ascii="宋体" w:hAnsi="宋体" w:cs="宋体"/>
          <w:b/>
          <w:bCs/>
        </w:rPr>
      </w:pPr>
      <w:bookmarkStart w:id="225" w:name="_Toc989108"/>
      <w:r w:rsidRPr="00831C3C">
        <w:rPr>
          <w:rFonts w:ascii="宋体" w:hAnsi="宋体" w:cs="宋体"/>
          <w:b/>
          <w:bCs/>
        </w:rPr>
        <w:lastRenderedPageBreak/>
        <w:t>35、股份支付</w:t>
      </w:r>
      <w:bookmarkEnd w:id="225"/>
    </w:p>
    <w:p w:rsidR="00C65FD5" w:rsidRPr="00831C3C" w:rsidRDefault="00C65FD5" w:rsidP="00CC7D91">
      <w:pPr>
        <w:widowControl/>
        <w:numPr>
          <w:ilvl w:val="0"/>
          <w:numId w:val="102"/>
        </w:numPr>
        <w:spacing w:before="100" w:beforeAutospacing="1" w:after="100" w:afterAutospacing="1"/>
        <w:divId w:val="2114199684"/>
        <w:rPr>
          <w:sz w:val="18"/>
          <w:szCs w:val="18"/>
        </w:rPr>
      </w:pPr>
      <w:r w:rsidRPr="00831C3C">
        <w:rPr>
          <w:rFonts w:hint="eastAsia"/>
          <w:sz w:val="18"/>
          <w:szCs w:val="18"/>
        </w:rPr>
        <w:t>．股份支付的种类</w:t>
      </w:r>
    </w:p>
    <w:p w:rsidR="00C65FD5" w:rsidRPr="00831C3C" w:rsidRDefault="00C65FD5" w:rsidP="003D003F">
      <w:pPr>
        <w:pStyle w:val="a3"/>
        <w:spacing w:before="0" w:beforeAutospacing="0" w:after="0" w:afterAutospacing="0"/>
        <w:ind w:firstLine="420"/>
        <w:jc w:val="both"/>
        <w:divId w:val="2114199684"/>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本公司的股份支付分为以权益结算的股份支付和以现金结算的股份支付。</w:t>
      </w:r>
    </w:p>
    <w:p w:rsidR="00C65FD5" w:rsidRPr="00831C3C" w:rsidRDefault="00C65FD5" w:rsidP="00CC7D91">
      <w:pPr>
        <w:widowControl/>
        <w:numPr>
          <w:ilvl w:val="0"/>
          <w:numId w:val="103"/>
        </w:numPr>
        <w:spacing w:before="100" w:beforeAutospacing="1" w:after="100" w:afterAutospacing="1"/>
        <w:divId w:val="2114199684"/>
        <w:rPr>
          <w:sz w:val="18"/>
          <w:szCs w:val="18"/>
        </w:rPr>
      </w:pPr>
      <w:r w:rsidRPr="00831C3C">
        <w:rPr>
          <w:rFonts w:hint="eastAsia"/>
          <w:sz w:val="18"/>
          <w:szCs w:val="18"/>
        </w:rPr>
        <w:t>．权益工具公允价值的确定方法</w:t>
      </w:r>
    </w:p>
    <w:p w:rsidR="00C65FD5" w:rsidRPr="00831C3C" w:rsidRDefault="00C65FD5" w:rsidP="003D003F">
      <w:pPr>
        <w:pStyle w:val="a3"/>
        <w:spacing w:before="0" w:beforeAutospacing="0" w:after="0" w:afterAutospacing="0"/>
        <w:ind w:firstLine="420"/>
        <w:jc w:val="both"/>
        <w:divId w:val="2114199684"/>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对于授予的存在活跃市场的期权等权益工具，按照活跃市场中的报价确定其公允价值。对于授予的不存在活跃市场的期权等权益工具，采用期权定价模型等确定其公允价值，选用的期权定价模型考虑以下因素：（</w:t>
      </w:r>
      <w:r w:rsidRPr="00831C3C">
        <w:rPr>
          <w:rFonts w:asciiTheme="minorEastAsia" w:eastAsiaTheme="minorEastAsia" w:hAnsiTheme="minorEastAsia"/>
          <w:sz w:val="18"/>
          <w:szCs w:val="18"/>
        </w:rPr>
        <w:t>1</w:t>
      </w:r>
      <w:r w:rsidRPr="00831C3C">
        <w:rPr>
          <w:rFonts w:asciiTheme="minorEastAsia" w:eastAsiaTheme="minorEastAsia" w:hAnsiTheme="minorEastAsia" w:hint="eastAsia"/>
          <w:sz w:val="18"/>
          <w:szCs w:val="18"/>
        </w:rPr>
        <w:t>）期权的行权价格；（</w:t>
      </w:r>
      <w:r w:rsidRPr="00831C3C">
        <w:rPr>
          <w:rFonts w:asciiTheme="minorEastAsia" w:eastAsiaTheme="minorEastAsia" w:hAnsiTheme="minorEastAsia"/>
          <w:sz w:val="18"/>
          <w:szCs w:val="18"/>
        </w:rPr>
        <w:t>2</w:t>
      </w:r>
      <w:r w:rsidRPr="00831C3C">
        <w:rPr>
          <w:rFonts w:asciiTheme="minorEastAsia" w:eastAsiaTheme="minorEastAsia" w:hAnsiTheme="minorEastAsia" w:hint="eastAsia"/>
          <w:sz w:val="18"/>
          <w:szCs w:val="18"/>
        </w:rPr>
        <w:t>）期权的有效期；（</w:t>
      </w:r>
      <w:r w:rsidRPr="00831C3C">
        <w:rPr>
          <w:rFonts w:asciiTheme="minorEastAsia" w:eastAsiaTheme="minorEastAsia" w:hAnsiTheme="minorEastAsia"/>
          <w:sz w:val="18"/>
          <w:szCs w:val="18"/>
        </w:rPr>
        <w:t>3</w:t>
      </w:r>
      <w:r w:rsidRPr="00831C3C">
        <w:rPr>
          <w:rFonts w:asciiTheme="minorEastAsia" w:eastAsiaTheme="minorEastAsia" w:hAnsiTheme="minorEastAsia" w:hint="eastAsia"/>
          <w:sz w:val="18"/>
          <w:szCs w:val="18"/>
        </w:rPr>
        <w:t>）标的股份的现行价格；（</w:t>
      </w:r>
      <w:r w:rsidRPr="00831C3C">
        <w:rPr>
          <w:rFonts w:asciiTheme="minorEastAsia" w:eastAsiaTheme="minorEastAsia" w:hAnsiTheme="minorEastAsia"/>
          <w:sz w:val="18"/>
          <w:szCs w:val="18"/>
        </w:rPr>
        <w:t>4</w:t>
      </w:r>
      <w:r w:rsidRPr="00831C3C">
        <w:rPr>
          <w:rFonts w:asciiTheme="minorEastAsia" w:eastAsiaTheme="minorEastAsia" w:hAnsiTheme="minorEastAsia" w:hint="eastAsia"/>
          <w:sz w:val="18"/>
          <w:szCs w:val="18"/>
        </w:rPr>
        <w:t>）股价预计波动率；（</w:t>
      </w:r>
      <w:r w:rsidRPr="00831C3C">
        <w:rPr>
          <w:rFonts w:asciiTheme="minorEastAsia" w:eastAsiaTheme="minorEastAsia" w:hAnsiTheme="minorEastAsia"/>
          <w:sz w:val="18"/>
          <w:szCs w:val="18"/>
        </w:rPr>
        <w:t>5</w:t>
      </w:r>
      <w:r w:rsidRPr="00831C3C">
        <w:rPr>
          <w:rFonts w:asciiTheme="minorEastAsia" w:eastAsiaTheme="minorEastAsia" w:hAnsiTheme="minorEastAsia" w:hint="eastAsia"/>
          <w:sz w:val="18"/>
          <w:szCs w:val="18"/>
        </w:rPr>
        <w:t>）股份的预计股利；（</w:t>
      </w:r>
      <w:r w:rsidRPr="00831C3C">
        <w:rPr>
          <w:rFonts w:asciiTheme="minorEastAsia" w:eastAsiaTheme="minorEastAsia" w:hAnsiTheme="minorEastAsia"/>
          <w:sz w:val="18"/>
          <w:szCs w:val="18"/>
        </w:rPr>
        <w:t>6</w:t>
      </w:r>
      <w:r w:rsidRPr="00831C3C">
        <w:rPr>
          <w:rFonts w:asciiTheme="minorEastAsia" w:eastAsiaTheme="minorEastAsia" w:hAnsiTheme="minorEastAsia" w:hint="eastAsia"/>
          <w:sz w:val="18"/>
          <w:szCs w:val="18"/>
        </w:rPr>
        <w:t>）期权有效期内的无风险利率。</w:t>
      </w:r>
    </w:p>
    <w:p w:rsidR="00C65FD5" w:rsidRPr="00831C3C" w:rsidRDefault="00C65FD5" w:rsidP="003D003F">
      <w:pPr>
        <w:pStyle w:val="a3"/>
        <w:spacing w:before="0" w:beforeAutospacing="0" w:after="0" w:afterAutospacing="0"/>
        <w:ind w:firstLine="420"/>
        <w:jc w:val="both"/>
        <w:divId w:val="2114199684"/>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在确定权益工具授予日的公允价值时，考虑股份支付协议规定的可行</w:t>
      </w:r>
      <w:proofErr w:type="gramStart"/>
      <w:r w:rsidRPr="00831C3C">
        <w:rPr>
          <w:rFonts w:asciiTheme="minorEastAsia" w:eastAsiaTheme="minorEastAsia" w:hAnsiTheme="minorEastAsia" w:hint="eastAsia"/>
          <w:sz w:val="18"/>
          <w:szCs w:val="18"/>
        </w:rPr>
        <w:t>权条件</w:t>
      </w:r>
      <w:proofErr w:type="gramEnd"/>
      <w:r w:rsidRPr="00831C3C">
        <w:rPr>
          <w:rFonts w:asciiTheme="minorEastAsia" w:eastAsiaTheme="minorEastAsia" w:hAnsiTheme="minorEastAsia" w:hint="eastAsia"/>
          <w:sz w:val="18"/>
          <w:szCs w:val="18"/>
        </w:rPr>
        <w:t>中的市场条件和非可行</w:t>
      </w:r>
      <w:proofErr w:type="gramStart"/>
      <w:r w:rsidRPr="00831C3C">
        <w:rPr>
          <w:rFonts w:asciiTheme="minorEastAsia" w:eastAsiaTheme="minorEastAsia" w:hAnsiTheme="minorEastAsia" w:hint="eastAsia"/>
          <w:sz w:val="18"/>
          <w:szCs w:val="18"/>
        </w:rPr>
        <w:t>权条件</w:t>
      </w:r>
      <w:proofErr w:type="gramEnd"/>
      <w:r w:rsidRPr="00831C3C">
        <w:rPr>
          <w:rFonts w:asciiTheme="minorEastAsia" w:eastAsiaTheme="minorEastAsia" w:hAnsiTheme="minorEastAsia" w:hint="eastAsia"/>
          <w:sz w:val="18"/>
          <w:szCs w:val="18"/>
        </w:rPr>
        <w:t>的影响。股份支付存在非可行</w:t>
      </w:r>
      <w:proofErr w:type="gramStart"/>
      <w:r w:rsidRPr="00831C3C">
        <w:rPr>
          <w:rFonts w:asciiTheme="minorEastAsia" w:eastAsiaTheme="minorEastAsia" w:hAnsiTheme="minorEastAsia" w:hint="eastAsia"/>
          <w:sz w:val="18"/>
          <w:szCs w:val="18"/>
        </w:rPr>
        <w:t>权条件</w:t>
      </w:r>
      <w:proofErr w:type="gramEnd"/>
      <w:r w:rsidRPr="00831C3C">
        <w:rPr>
          <w:rFonts w:asciiTheme="minorEastAsia" w:eastAsiaTheme="minorEastAsia" w:hAnsiTheme="minorEastAsia" w:hint="eastAsia"/>
          <w:sz w:val="18"/>
          <w:szCs w:val="18"/>
        </w:rPr>
        <w:t>的，只要职工或其他方满足了所有可行</w:t>
      </w:r>
      <w:proofErr w:type="gramStart"/>
      <w:r w:rsidRPr="00831C3C">
        <w:rPr>
          <w:rFonts w:asciiTheme="minorEastAsia" w:eastAsiaTheme="minorEastAsia" w:hAnsiTheme="minorEastAsia" w:hint="eastAsia"/>
          <w:sz w:val="18"/>
          <w:szCs w:val="18"/>
        </w:rPr>
        <w:t>权条件</w:t>
      </w:r>
      <w:proofErr w:type="gramEnd"/>
      <w:r w:rsidRPr="00831C3C">
        <w:rPr>
          <w:rFonts w:asciiTheme="minorEastAsia" w:eastAsiaTheme="minorEastAsia" w:hAnsiTheme="minorEastAsia" w:hint="eastAsia"/>
          <w:sz w:val="18"/>
          <w:szCs w:val="18"/>
        </w:rPr>
        <w:t>中的非市场条件（如服务期限等），即确认已得到服务相对应的成本费用。</w:t>
      </w:r>
    </w:p>
    <w:p w:rsidR="00C65FD5" w:rsidRPr="00831C3C" w:rsidRDefault="00C65FD5" w:rsidP="00CC7D91">
      <w:pPr>
        <w:widowControl/>
        <w:numPr>
          <w:ilvl w:val="0"/>
          <w:numId w:val="104"/>
        </w:numPr>
        <w:spacing w:before="100" w:beforeAutospacing="1" w:after="100" w:afterAutospacing="1"/>
        <w:divId w:val="2114199684"/>
        <w:rPr>
          <w:sz w:val="18"/>
          <w:szCs w:val="18"/>
        </w:rPr>
      </w:pPr>
      <w:r w:rsidRPr="00831C3C">
        <w:rPr>
          <w:rFonts w:hint="eastAsia"/>
          <w:sz w:val="18"/>
          <w:szCs w:val="18"/>
        </w:rPr>
        <w:t>．确定可行权权益工具最佳估计的依据</w:t>
      </w:r>
    </w:p>
    <w:p w:rsidR="00C65FD5" w:rsidRPr="00831C3C" w:rsidRDefault="00C65FD5" w:rsidP="003D003F">
      <w:pPr>
        <w:pStyle w:val="a3"/>
        <w:spacing w:before="0" w:beforeAutospacing="0" w:after="0" w:afterAutospacing="0"/>
        <w:ind w:firstLine="420"/>
        <w:jc w:val="both"/>
        <w:divId w:val="2114199684"/>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等待期内每个资产负债表日，根据最新取得的可行</w:t>
      </w:r>
      <w:proofErr w:type="gramStart"/>
      <w:r w:rsidRPr="00831C3C">
        <w:rPr>
          <w:rFonts w:asciiTheme="minorEastAsia" w:eastAsiaTheme="minorEastAsia" w:hAnsiTheme="minorEastAsia" w:hint="eastAsia"/>
          <w:sz w:val="18"/>
          <w:szCs w:val="18"/>
        </w:rPr>
        <w:t>权职工</w:t>
      </w:r>
      <w:proofErr w:type="gramEnd"/>
      <w:r w:rsidRPr="00831C3C">
        <w:rPr>
          <w:rFonts w:asciiTheme="minorEastAsia" w:eastAsiaTheme="minorEastAsia" w:hAnsiTheme="minorEastAsia" w:hint="eastAsia"/>
          <w:sz w:val="18"/>
          <w:szCs w:val="18"/>
        </w:rPr>
        <w:t>人数变动等后续信息</w:t>
      </w:r>
      <w:proofErr w:type="gramStart"/>
      <w:r w:rsidRPr="00831C3C">
        <w:rPr>
          <w:rFonts w:asciiTheme="minorEastAsia" w:eastAsiaTheme="minorEastAsia" w:hAnsiTheme="minorEastAsia" w:hint="eastAsia"/>
          <w:sz w:val="18"/>
          <w:szCs w:val="18"/>
        </w:rPr>
        <w:t>作出</w:t>
      </w:r>
      <w:proofErr w:type="gramEnd"/>
      <w:r w:rsidRPr="00831C3C">
        <w:rPr>
          <w:rFonts w:asciiTheme="minorEastAsia" w:eastAsiaTheme="minorEastAsia" w:hAnsiTheme="minorEastAsia" w:hint="eastAsia"/>
          <w:sz w:val="18"/>
          <w:szCs w:val="18"/>
        </w:rPr>
        <w:t>最佳估计，修正预计可行权的权益工具数量。在可行权日，最终预计可行权权益工具的数量与实际可行权数量一致。</w:t>
      </w:r>
    </w:p>
    <w:p w:rsidR="00C65FD5" w:rsidRPr="00831C3C" w:rsidRDefault="00C65FD5" w:rsidP="00CC7D91">
      <w:pPr>
        <w:widowControl/>
        <w:numPr>
          <w:ilvl w:val="0"/>
          <w:numId w:val="105"/>
        </w:numPr>
        <w:spacing w:before="100" w:beforeAutospacing="1" w:after="100" w:afterAutospacing="1"/>
        <w:divId w:val="2114199684"/>
        <w:rPr>
          <w:sz w:val="18"/>
          <w:szCs w:val="18"/>
        </w:rPr>
      </w:pPr>
      <w:r w:rsidRPr="00831C3C">
        <w:rPr>
          <w:rFonts w:hint="eastAsia"/>
          <w:sz w:val="18"/>
          <w:szCs w:val="18"/>
        </w:rPr>
        <w:t>．会计处理方法</w:t>
      </w:r>
    </w:p>
    <w:p w:rsidR="00C65FD5" w:rsidRPr="00831C3C" w:rsidRDefault="00C65FD5" w:rsidP="003D003F">
      <w:pPr>
        <w:pStyle w:val="a3"/>
        <w:spacing w:before="0" w:beforeAutospacing="0" w:after="0" w:afterAutospacing="0"/>
        <w:ind w:firstLine="420"/>
        <w:jc w:val="both"/>
        <w:divId w:val="2114199684"/>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1</w:t>
      </w:r>
      <w:r w:rsidRPr="00831C3C">
        <w:rPr>
          <w:rFonts w:asciiTheme="minorEastAsia" w:eastAsiaTheme="minorEastAsia" w:hAnsiTheme="minorEastAsia" w:hint="eastAsia"/>
          <w:sz w:val="18"/>
          <w:szCs w:val="18"/>
        </w:rPr>
        <w:t>）权益结算和现金结算股份支付的会计处理</w:t>
      </w:r>
    </w:p>
    <w:p w:rsidR="00C65FD5" w:rsidRPr="00831C3C" w:rsidRDefault="00C65FD5" w:rsidP="003D003F">
      <w:pPr>
        <w:pStyle w:val="a3"/>
        <w:spacing w:before="0" w:beforeAutospacing="0" w:after="0" w:afterAutospacing="0"/>
        <w:ind w:firstLine="420"/>
        <w:jc w:val="both"/>
        <w:divId w:val="2114199684"/>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以权益结算的股份支付，按授予职工权益工具的公允价值计量。授予后立即可行权的，在授予</w:t>
      </w:r>
      <w:proofErr w:type="gramStart"/>
      <w:r w:rsidRPr="00831C3C">
        <w:rPr>
          <w:rFonts w:asciiTheme="minorEastAsia" w:eastAsiaTheme="minorEastAsia" w:hAnsiTheme="minorEastAsia" w:hint="eastAsia"/>
          <w:sz w:val="18"/>
          <w:szCs w:val="18"/>
        </w:rPr>
        <w:t>日按照</w:t>
      </w:r>
      <w:proofErr w:type="gramEnd"/>
      <w:r w:rsidRPr="00831C3C">
        <w:rPr>
          <w:rFonts w:asciiTheme="minorEastAsia" w:eastAsiaTheme="minorEastAsia" w:hAnsiTheme="minorEastAsia" w:hint="eastAsia"/>
          <w:sz w:val="18"/>
          <w:szCs w:val="18"/>
        </w:rPr>
        <w:t>权益工具的公允价值计入相关成本或费用，相应增加资本公积。以权益结算的股份支付换取其他方服务的，如果其他方服务的公允价值能够可靠计量，按照其他方服务在取得日的公允价值，计入相关成本费用，相应增加资本公积</w:t>
      </w:r>
      <w:r w:rsidRPr="00831C3C">
        <w:rPr>
          <w:rFonts w:asciiTheme="minorEastAsia" w:eastAsiaTheme="minorEastAsia" w:hAnsiTheme="minorEastAsia"/>
          <w:sz w:val="18"/>
          <w:szCs w:val="18"/>
        </w:rPr>
        <w:t>;</w:t>
      </w:r>
      <w:r w:rsidRPr="00831C3C">
        <w:rPr>
          <w:rFonts w:asciiTheme="minorEastAsia" w:eastAsiaTheme="minorEastAsia" w:hAnsiTheme="minorEastAsia" w:hint="eastAsia"/>
          <w:sz w:val="18"/>
          <w:szCs w:val="18"/>
        </w:rPr>
        <w:t>如果其他方服务的公允价值不能可靠计量但权益工具公允价值能够可靠计量，按照权益工具在服务取得日的公允价值，计入相关成本费用，相应增加资本公积。在完成等待期内的服务或达到规定业绩条件才可行权的，在等待期内的每个资产负债表日，以对可行权权益工具数量的最佳估计为基础，按照权益工具授予日的公允价值，将当期取得的服务计入相关成本或费用和资本公积。在可行权日之后不再对已确认的相关成本或费用和所有者权益总额进行调整。以权益结算的股份支付换取其他方服务的，如果其他方服务的公允价值能够可靠计量，按照其他方服务在取得日的公允价值，计入相关成本费用，相应增加资本公积</w:t>
      </w:r>
      <w:r w:rsidRPr="00831C3C">
        <w:rPr>
          <w:rFonts w:asciiTheme="minorEastAsia" w:eastAsiaTheme="minorEastAsia" w:hAnsiTheme="minorEastAsia"/>
          <w:sz w:val="18"/>
          <w:szCs w:val="18"/>
        </w:rPr>
        <w:t>;</w:t>
      </w:r>
      <w:r w:rsidRPr="00831C3C">
        <w:rPr>
          <w:rFonts w:asciiTheme="minorEastAsia" w:eastAsiaTheme="minorEastAsia" w:hAnsiTheme="minorEastAsia" w:hint="eastAsia"/>
          <w:sz w:val="18"/>
          <w:szCs w:val="18"/>
        </w:rPr>
        <w:t>如果其他方服务的公允价值不能可靠计量但权益工具公允价值能够可靠计量，按照权益工具在服务取得日的公允价值，计入相关成本费用，相应增加资本公积。</w:t>
      </w:r>
    </w:p>
    <w:p w:rsidR="00C65FD5" w:rsidRPr="00831C3C" w:rsidRDefault="00C65FD5" w:rsidP="003D003F">
      <w:pPr>
        <w:pStyle w:val="a3"/>
        <w:spacing w:before="0" w:beforeAutospacing="0" w:after="0" w:afterAutospacing="0"/>
        <w:ind w:firstLine="420"/>
        <w:jc w:val="both"/>
        <w:divId w:val="2114199684"/>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以现金结算的股份支付，按照本公司承担的以股份或其他权益工具为基础计算确定的负债的公允价值计量。授予后立即可行权的，在授予日以本公司承担负债的公允价值计入相关成本或费用，相应增加负债。在完成等待期内的服务或达到规定业绩条件以后才可行权的以现金结算的股份支付，在等待期内的每个资产负债表日，以对可行</w:t>
      </w:r>
      <w:proofErr w:type="gramStart"/>
      <w:r w:rsidRPr="00831C3C">
        <w:rPr>
          <w:rFonts w:asciiTheme="minorEastAsia" w:eastAsiaTheme="minorEastAsia" w:hAnsiTheme="minorEastAsia" w:hint="eastAsia"/>
          <w:sz w:val="18"/>
          <w:szCs w:val="18"/>
        </w:rPr>
        <w:t>权情况</w:t>
      </w:r>
      <w:proofErr w:type="gramEnd"/>
      <w:r w:rsidRPr="00831C3C">
        <w:rPr>
          <w:rFonts w:asciiTheme="minorEastAsia" w:eastAsiaTheme="minorEastAsia" w:hAnsiTheme="minorEastAsia" w:hint="eastAsia"/>
          <w:sz w:val="18"/>
          <w:szCs w:val="18"/>
        </w:rPr>
        <w:t>的最佳估计为基础，按照本公司承担负债的公允价值金额，将当期取得的服务计入成本或费用和相应的负债。在相关负债结算前的每个资产负债表日以及结算日，对负债的公允价值重新计量，其变动计入当期损益。</w:t>
      </w:r>
    </w:p>
    <w:p w:rsidR="00C65FD5" w:rsidRPr="00831C3C" w:rsidRDefault="00C65FD5" w:rsidP="003D003F">
      <w:pPr>
        <w:pStyle w:val="a3"/>
        <w:spacing w:before="0" w:beforeAutospacing="0" w:after="0" w:afterAutospacing="0"/>
        <w:ind w:firstLine="420"/>
        <w:jc w:val="both"/>
        <w:divId w:val="2114199684"/>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2</w:t>
      </w:r>
      <w:r w:rsidRPr="00831C3C">
        <w:rPr>
          <w:rFonts w:asciiTheme="minorEastAsia" w:eastAsiaTheme="minorEastAsia" w:hAnsiTheme="minorEastAsia" w:hint="eastAsia"/>
          <w:sz w:val="18"/>
          <w:szCs w:val="18"/>
        </w:rPr>
        <w:t>）股份支付条款和条件修改的会计处理</w:t>
      </w:r>
    </w:p>
    <w:p w:rsidR="00C65FD5" w:rsidRPr="00831C3C" w:rsidRDefault="00C65FD5" w:rsidP="003D003F">
      <w:pPr>
        <w:pStyle w:val="a3"/>
        <w:spacing w:before="0" w:beforeAutospacing="0" w:after="0" w:afterAutospacing="0"/>
        <w:ind w:firstLine="420"/>
        <w:jc w:val="both"/>
        <w:divId w:val="2114199684"/>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对于不利修改，本公司视同该变更从未发生，仍继续对取得的服务进行会计处理。</w:t>
      </w:r>
    </w:p>
    <w:p w:rsidR="00C65FD5" w:rsidRPr="00831C3C" w:rsidRDefault="00C65FD5" w:rsidP="003D003F">
      <w:pPr>
        <w:pStyle w:val="a3"/>
        <w:spacing w:before="0" w:beforeAutospacing="0" w:after="0" w:afterAutospacing="0"/>
        <w:ind w:firstLine="420"/>
        <w:jc w:val="both"/>
        <w:divId w:val="2114199684"/>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对于有利修改，本公司按照如下规定进行处理：如果修改增加了所授予的权益工具的公允价值，企业应按照权益工具公允价值的增加相应地确认取得服务的增加。如果修改发生在等待期内，在确认修改日至修改后的可行权日之间取得服务的公允价值时，应当既包括在剩余原等待期内以原权益工具授予日公允价值为基础确定的服务金额，也包括权益工</w:t>
      </w:r>
      <w:r w:rsidRPr="00831C3C">
        <w:rPr>
          <w:rFonts w:asciiTheme="minorEastAsia" w:eastAsiaTheme="minorEastAsia" w:hAnsiTheme="minorEastAsia" w:hint="eastAsia"/>
          <w:sz w:val="18"/>
          <w:szCs w:val="18"/>
        </w:rPr>
        <w:lastRenderedPageBreak/>
        <w:t>具公允价值的增加。如果修改发生在可行权日之后，应当立即确认权益工具公允价值的增加。如果股份支付协议要求职工只有先完成更长期间的服务才能取得修改后的权益工具，则企业应在整个等待期内确认权益工具公允价值的增加。</w:t>
      </w:r>
    </w:p>
    <w:p w:rsidR="00C65FD5" w:rsidRPr="00831C3C" w:rsidRDefault="00C65FD5" w:rsidP="003D003F">
      <w:pPr>
        <w:pStyle w:val="a3"/>
        <w:spacing w:before="0" w:beforeAutospacing="0" w:after="0" w:afterAutospacing="0"/>
        <w:ind w:firstLine="420"/>
        <w:jc w:val="both"/>
        <w:divId w:val="2114199684"/>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如果修改增加了所授予的权益工具的数量，企业将增加的权益工具的公允价值相应地确认为取得服务的增加。如果修改发生在等待期内，在确认修改日至增加的权益工具可行权日之间取得服务的公允价值时，应当既包括在剩余原等待期内以原权益工具授予日公允价值为基础确定的服务金额，也包括权益工具公允价值的增加。</w:t>
      </w:r>
    </w:p>
    <w:p w:rsidR="00C65FD5" w:rsidRPr="00831C3C" w:rsidRDefault="00C65FD5" w:rsidP="003D003F">
      <w:pPr>
        <w:pStyle w:val="a3"/>
        <w:spacing w:before="0" w:beforeAutospacing="0" w:after="0" w:afterAutospacing="0"/>
        <w:ind w:firstLine="420"/>
        <w:jc w:val="both"/>
        <w:divId w:val="2114199684"/>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如果企业按照有利于职工的方式修改可行权条件，如缩短等待期、变更或取消业绩条件（而非市场条件），企业在处理可行</w:t>
      </w:r>
      <w:proofErr w:type="gramStart"/>
      <w:r w:rsidRPr="00831C3C">
        <w:rPr>
          <w:rFonts w:asciiTheme="minorEastAsia" w:eastAsiaTheme="minorEastAsia" w:hAnsiTheme="minorEastAsia" w:hint="eastAsia"/>
          <w:sz w:val="18"/>
          <w:szCs w:val="18"/>
        </w:rPr>
        <w:t>权条件</w:t>
      </w:r>
      <w:proofErr w:type="gramEnd"/>
      <w:r w:rsidRPr="00831C3C">
        <w:rPr>
          <w:rFonts w:asciiTheme="minorEastAsia" w:eastAsiaTheme="minorEastAsia" w:hAnsiTheme="minorEastAsia" w:hint="eastAsia"/>
          <w:sz w:val="18"/>
          <w:szCs w:val="18"/>
        </w:rPr>
        <w:t>时，应当考虑修改后的可行权条件。</w:t>
      </w:r>
    </w:p>
    <w:p w:rsidR="00C65FD5" w:rsidRPr="00831C3C" w:rsidRDefault="00C65FD5" w:rsidP="003D003F">
      <w:pPr>
        <w:pStyle w:val="a3"/>
        <w:spacing w:before="0" w:beforeAutospacing="0" w:after="0" w:afterAutospacing="0"/>
        <w:ind w:firstLine="420"/>
        <w:jc w:val="both"/>
        <w:divId w:val="2114199684"/>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本公司修改以现金结算的股份支付协议中的条款和条件，使其成为以权益结算的股份支付的，在修改日</w:t>
      </w:r>
      <w:r w:rsidRPr="00831C3C">
        <w:rPr>
          <w:rFonts w:asciiTheme="minorEastAsia" w:eastAsiaTheme="minorEastAsia" w:hAnsiTheme="minorEastAsia"/>
          <w:sz w:val="18"/>
          <w:szCs w:val="18"/>
        </w:rPr>
        <w:t>(</w:t>
      </w:r>
      <w:r w:rsidRPr="00831C3C">
        <w:rPr>
          <w:rFonts w:asciiTheme="minorEastAsia" w:eastAsiaTheme="minorEastAsia" w:hAnsiTheme="minorEastAsia" w:hint="eastAsia"/>
          <w:sz w:val="18"/>
          <w:szCs w:val="18"/>
        </w:rPr>
        <w:t>无论发生在等待期内还是等待期结束后</w:t>
      </w:r>
      <w:r w:rsidRPr="00831C3C">
        <w:rPr>
          <w:rFonts w:asciiTheme="minorEastAsia" w:eastAsiaTheme="minorEastAsia" w:hAnsiTheme="minorEastAsia"/>
          <w:sz w:val="18"/>
          <w:szCs w:val="18"/>
        </w:rPr>
        <w:t>)</w:t>
      </w:r>
      <w:r w:rsidRPr="00831C3C">
        <w:rPr>
          <w:rFonts w:asciiTheme="minorEastAsia" w:eastAsiaTheme="minorEastAsia" w:hAnsiTheme="minorEastAsia" w:hint="eastAsia"/>
          <w:sz w:val="18"/>
          <w:szCs w:val="18"/>
        </w:rPr>
        <w:t>，本公司按照所授予权益工具当日的公允价值计量以权益结算的股份支付，将已取得的服务计入资本公积，同时终止确认以现金结算的股份支付在修改日已确认的负债，两者之间的差额计入当期损益。如果由于修改延长或缩短了等待期，本公司按照修改后的等待期进行会计处理。</w:t>
      </w:r>
    </w:p>
    <w:p w:rsidR="00C65FD5" w:rsidRPr="00831C3C" w:rsidRDefault="00C65FD5" w:rsidP="003D003F">
      <w:pPr>
        <w:pStyle w:val="a3"/>
        <w:spacing w:before="0" w:beforeAutospacing="0" w:after="0" w:afterAutospacing="0"/>
        <w:ind w:firstLine="420"/>
        <w:jc w:val="both"/>
        <w:divId w:val="2114199684"/>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3</w:t>
      </w:r>
      <w:r w:rsidRPr="00831C3C">
        <w:rPr>
          <w:rFonts w:asciiTheme="minorEastAsia" w:eastAsiaTheme="minorEastAsia" w:hAnsiTheme="minorEastAsia" w:hint="eastAsia"/>
          <w:sz w:val="18"/>
          <w:szCs w:val="18"/>
        </w:rPr>
        <w:t>）股份支付取消的会计处理</w:t>
      </w:r>
    </w:p>
    <w:p w:rsidR="00C65FD5" w:rsidRPr="00831C3C" w:rsidRDefault="00C65FD5" w:rsidP="003D003F">
      <w:pPr>
        <w:pStyle w:val="a3"/>
        <w:spacing w:before="0" w:beforeAutospacing="0" w:after="0" w:afterAutospacing="0"/>
        <w:ind w:firstLine="420"/>
        <w:jc w:val="both"/>
        <w:divId w:val="2114199684"/>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若在等待期内取消了授予的权益工具，本公司对取消所授予的权益性工具作为加速行权处理，将剩余等待期内应确认的金额立即计入当期损益，同时确认资本公积。职工或其他方能够选择满足非可行</w:t>
      </w:r>
      <w:proofErr w:type="gramStart"/>
      <w:r w:rsidRPr="00831C3C">
        <w:rPr>
          <w:rFonts w:asciiTheme="minorEastAsia" w:eastAsiaTheme="minorEastAsia" w:hAnsiTheme="minorEastAsia" w:hint="eastAsia"/>
          <w:sz w:val="18"/>
          <w:szCs w:val="18"/>
        </w:rPr>
        <w:t>权条件</w:t>
      </w:r>
      <w:proofErr w:type="gramEnd"/>
      <w:r w:rsidRPr="00831C3C">
        <w:rPr>
          <w:rFonts w:asciiTheme="minorEastAsia" w:eastAsiaTheme="minorEastAsia" w:hAnsiTheme="minorEastAsia" w:hint="eastAsia"/>
          <w:sz w:val="18"/>
          <w:szCs w:val="18"/>
        </w:rPr>
        <w:t>但在等待期内未满足的，本公司将其作为授予权益工具的取消处理。</w:t>
      </w:r>
    </w:p>
    <w:p w:rsidR="00C65FD5" w:rsidRPr="00831C3C" w:rsidRDefault="00C65FD5" w:rsidP="003D003F">
      <w:pPr>
        <w:pStyle w:val="a3"/>
        <w:spacing w:before="0" w:beforeAutospacing="0" w:after="0" w:afterAutospacing="0"/>
        <w:ind w:firstLine="420"/>
        <w:jc w:val="both"/>
        <w:divId w:val="2114199684"/>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职工自愿退出股权激励计划的，本公司作为加速行权处理，将剩余等待期内应确认的金额立即计入当期损益，同时确认资本公积。</w:t>
      </w:r>
    </w:p>
    <w:p w:rsidR="00E23A97" w:rsidRPr="00831C3C" w:rsidRDefault="00C65FD5">
      <w:pPr>
        <w:pStyle w:val="3"/>
        <w:spacing w:line="280" w:lineRule="exact"/>
        <w:jc w:val="left"/>
        <w:rPr>
          <w:rFonts w:ascii="宋体" w:hAnsi="宋体" w:cs="宋体"/>
          <w:b/>
          <w:bCs/>
        </w:rPr>
      </w:pPr>
      <w:bookmarkStart w:id="226" w:name="_Toc989109"/>
      <w:r w:rsidRPr="00831C3C">
        <w:rPr>
          <w:rFonts w:ascii="宋体" w:hAnsi="宋体" w:cs="宋体"/>
          <w:b/>
          <w:bCs/>
        </w:rPr>
        <w:t>36、优先股、永续债等其他金融工具</w:t>
      </w:r>
      <w:bookmarkEnd w:id="226"/>
    </w:p>
    <w:p w:rsidR="00C65FD5" w:rsidRPr="00831C3C" w:rsidRDefault="00C65FD5">
      <w:pPr>
        <w:pStyle w:val="a3"/>
        <w:divId w:val="2038576799"/>
        <w:rPr>
          <w:sz w:val="18"/>
          <w:szCs w:val="18"/>
        </w:rPr>
      </w:pPr>
      <w:r w:rsidRPr="00831C3C">
        <w:rPr>
          <w:rFonts w:hint="eastAsia"/>
          <w:sz w:val="18"/>
          <w:szCs w:val="18"/>
        </w:rPr>
        <w:t>无</w:t>
      </w:r>
    </w:p>
    <w:p w:rsidR="00E23A97" w:rsidRPr="00831C3C" w:rsidRDefault="00C65FD5">
      <w:pPr>
        <w:pStyle w:val="3"/>
        <w:spacing w:line="280" w:lineRule="exact"/>
        <w:jc w:val="left"/>
        <w:rPr>
          <w:rFonts w:ascii="宋体" w:hAnsi="宋体" w:cs="宋体"/>
          <w:b/>
          <w:bCs/>
        </w:rPr>
      </w:pPr>
      <w:bookmarkStart w:id="227" w:name="_Toc989110"/>
      <w:r w:rsidRPr="00831C3C">
        <w:rPr>
          <w:rFonts w:ascii="宋体" w:hAnsi="宋体" w:cs="宋体"/>
          <w:b/>
          <w:bCs/>
        </w:rPr>
        <w:t>37、收入</w:t>
      </w:r>
      <w:bookmarkEnd w:id="227"/>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按照业务类型披露收入确认和计量所采用的会计政策</w:t>
      </w:r>
    </w:p>
    <w:p w:rsidR="00C65FD5" w:rsidRPr="00831C3C" w:rsidRDefault="00C65FD5" w:rsidP="00CC7D91">
      <w:pPr>
        <w:widowControl/>
        <w:numPr>
          <w:ilvl w:val="0"/>
          <w:numId w:val="106"/>
        </w:numPr>
        <w:spacing w:before="100" w:beforeAutospacing="1" w:after="100" w:afterAutospacing="1"/>
        <w:divId w:val="1774011221"/>
        <w:rPr>
          <w:sz w:val="18"/>
          <w:szCs w:val="18"/>
        </w:rPr>
      </w:pPr>
      <w:r w:rsidRPr="00831C3C">
        <w:rPr>
          <w:rFonts w:hint="eastAsia"/>
          <w:sz w:val="18"/>
          <w:szCs w:val="18"/>
        </w:rPr>
        <w:t>．收入确认的一般原则</w:t>
      </w:r>
    </w:p>
    <w:p w:rsidR="00C65FD5" w:rsidRPr="00831C3C" w:rsidRDefault="00C65FD5" w:rsidP="003D003F">
      <w:pPr>
        <w:pStyle w:val="a3"/>
        <w:spacing w:before="0" w:beforeAutospacing="0" w:after="0" w:afterAutospacing="0"/>
        <w:ind w:firstLine="420"/>
        <w:jc w:val="both"/>
        <w:divId w:val="1774011221"/>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在履行了合同中的履约义务，即在客户取得相关商品或服务控制权时，按照分摊至该项履约义务的交易价格确认收入。履约义务，是指合同中本公司向客户转让可明确区分商品或服务的承诺。取得相关商品控制权，是指能够主导该商品的使用并从中获得几乎全部的经济利益。</w:t>
      </w:r>
    </w:p>
    <w:p w:rsidR="00C65FD5" w:rsidRPr="00831C3C" w:rsidRDefault="00C65FD5" w:rsidP="003D003F">
      <w:pPr>
        <w:pStyle w:val="a3"/>
        <w:spacing w:before="0" w:beforeAutospacing="0" w:after="0" w:afterAutospacing="0"/>
        <w:ind w:firstLine="420"/>
        <w:jc w:val="both"/>
        <w:divId w:val="1774011221"/>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在合同开始日即对合同进行评估，识别该合同所包含的各单项履约义务，并确定各单项履约义务是在某一时段内履行，还是某一时点履行。满足下列条件之一的，属于在某一时间段内履行的履约义务，本公司按照履约进度，在一段时间内确认收入：</w:t>
      </w:r>
      <w:r w:rsidRPr="00831C3C">
        <w:rPr>
          <w:rFonts w:asciiTheme="minorEastAsia" w:eastAsiaTheme="minorEastAsia" w:hAnsiTheme="minorEastAsia"/>
          <w:sz w:val="18"/>
          <w:szCs w:val="18"/>
        </w:rPr>
        <w:t>(1)</w:t>
      </w:r>
      <w:r w:rsidRPr="00831C3C">
        <w:rPr>
          <w:rFonts w:asciiTheme="minorEastAsia" w:eastAsiaTheme="minorEastAsia" w:hAnsiTheme="minorEastAsia" w:hint="eastAsia"/>
          <w:sz w:val="18"/>
          <w:szCs w:val="18"/>
        </w:rPr>
        <w:t>客户在本公司履约的同时即取得并消耗本公司履约所带来的经济利益；</w:t>
      </w:r>
      <w:r w:rsidRPr="00831C3C">
        <w:rPr>
          <w:rFonts w:asciiTheme="minorEastAsia" w:eastAsiaTheme="minorEastAsia" w:hAnsiTheme="minorEastAsia"/>
          <w:sz w:val="18"/>
          <w:szCs w:val="18"/>
        </w:rPr>
        <w:t>(2)</w:t>
      </w:r>
      <w:r w:rsidRPr="00831C3C">
        <w:rPr>
          <w:rFonts w:asciiTheme="minorEastAsia" w:eastAsiaTheme="minorEastAsia" w:hAnsiTheme="minorEastAsia" w:hint="eastAsia"/>
          <w:sz w:val="18"/>
          <w:szCs w:val="18"/>
        </w:rPr>
        <w:t>客户能够控制本公司履约过程中在建的商品；</w:t>
      </w:r>
      <w:r w:rsidRPr="00831C3C">
        <w:rPr>
          <w:rFonts w:asciiTheme="minorEastAsia" w:eastAsiaTheme="minorEastAsia" w:hAnsiTheme="minorEastAsia"/>
          <w:sz w:val="18"/>
          <w:szCs w:val="18"/>
        </w:rPr>
        <w:t>(3)</w:t>
      </w:r>
      <w:r w:rsidRPr="00831C3C">
        <w:rPr>
          <w:rFonts w:asciiTheme="minorEastAsia" w:eastAsiaTheme="minorEastAsia" w:hAnsiTheme="minorEastAsia" w:hint="eastAsia"/>
          <w:sz w:val="18"/>
          <w:szCs w:val="18"/>
        </w:rPr>
        <w:t>本公司履约过程中所产出的商品具有不可替代用途，且本公司在整个合同期间内有权就累计至今已完成的履约部分收取款项。否则，本公司在客户取得相关商品或服务控制权的时点确认收入。</w:t>
      </w:r>
    </w:p>
    <w:p w:rsidR="00C65FD5" w:rsidRPr="00831C3C" w:rsidRDefault="00C65FD5" w:rsidP="003D003F">
      <w:pPr>
        <w:pStyle w:val="a3"/>
        <w:spacing w:before="0" w:beforeAutospacing="0" w:after="0" w:afterAutospacing="0"/>
        <w:ind w:firstLine="420"/>
        <w:jc w:val="both"/>
        <w:divId w:val="1774011221"/>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对于在某一时段内履行的履约义务，本公司根据商品和劳务的性质，采用产出法确定恰当的履约进度。产出法是根据已转移给客户的商品对于客户的价值确定履约进度。当履约进度不能合理确定时，已经发生的成本预计能够得到补偿的，本公司按照已经发生的成本金额确认收入，直到履约进度能够合理确定为止。</w:t>
      </w:r>
    </w:p>
    <w:p w:rsidR="00C65FD5" w:rsidRPr="00831C3C" w:rsidRDefault="00C65FD5" w:rsidP="00CC7D91">
      <w:pPr>
        <w:widowControl/>
        <w:numPr>
          <w:ilvl w:val="0"/>
          <w:numId w:val="107"/>
        </w:numPr>
        <w:spacing w:before="100" w:beforeAutospacing="1" w:after="100" w:afterAutospacing="1"/>
        <w:divId w:val="1774011221"/>
        <w:rPr>
          <w:sz w:val="18"/>
          <w:szCs w:val="18"/>
        </w:rPr>
      </w:pPr>
      <w:r w:rsidRPr="00831C3C">
        <w:rPr>
          <w:rFonts w:hint="eastAsia"/>
          <w:sz w:val="18"/>
          <w:szCs w:val="18"/>
        </w:rPr>
        <w:t>．收入确认的具体方法</w:t>
      </w:r>
    </w:p>
    <w:p w:rsidR="00C65FD5" w:rsidRPr="00831C3C" w:rsidRDefault="00C65FD5">
      <w:pPr>
        <w:pStyle w:val="a3"/>
        <w:spacing w:before="0" w:beforeAutospacing="0" w:after="0" w:afterAutospacing="0" w:line="360" w:lineRule="auto"/>
        <w:ind w:left="422"/>
        <w:jc w:val="both"/>
        <w:divId w:val="1774011221"/>
        <w:rPr>
          <w:b/>
          <w:bCs/>
          <w:sz w:val="21"/>
          <w:szCs w:val="21"/>
        </w:rPr>
      </w:pPr>
      <w:r w:rsidRPr="00831C3C">
        <w:rPr>
          <w:rFonts w:hint="eastAsia"/>
          <w:b/>
          <w:bCs/>
          <w:sz w:val="21"/>
          <w:szCs w:val="21"/>
        </w:rPr>
        <w:t>（</w:t>
      </w:r>
      <w:r w:rsidRPr="00831C3C">
        <w:rPr>
          <w:rFonts w:ascii="Times New Roman" w:hAnsi="Times New Roman" w:cs="Times New Roman"/>
          <w:b/>
          <w:bCs/>
          <w:sz w:val="21"/>
          <w:szCs w:val="21"/>
        </w:rPr>
        <w:t>1</w:t>
      </w:r>
      <w:r w:rsidRPr="00831C3C">
        <w:rPr>
          <w:rFonts w:hint="eastAsia"/>
          <w:b/>
          <w:bCs/>
          <w:sz w:val="21"/>
          <w:szCs w:val="21"/>
        </w:rPr>
        <w:t>）销售商品收入</w:t>
      </w:r>
    </w:p>
    <w:p w:rsidR="00C65FD5" w:rsidRPr="00831C3C" w:rsidRDefault="00C65FD5" w:rsidP="003D003F">
      <w:pPr>
        <w:pStyle w:val="a3"/>
        <w:spacing w:before="0" w:beforeAutospacing="0" w:after="0" w:afterAutospacing="0"/>
        <w:ind w:firstLine="420"/>
        <w:jc w:val="both"/>
        <w:divId w:val="1774011221"/>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公司的产品销售属于在某一时</w:t>
      </w:r>
      <w:proofErr w:type="gramStart"/>
      <w:r w:rsidRPr="00831C3C">
        <w:rPr>
          <w:rFonts w:asciiTheme="minorEastAsia" w:eastAsiaTheme="minorEastAsia" w:hAnsiTheme="minorEastAsia" w:hint="eastAsia"/>
          <w:sz w:val="18"/>
          <w:szCs w:val="18"/>
        </w:rPr>
        <w:t>点履行</w:t>
      </w:r>
      <w:proofErr w:type="gramEnd"/>
      <w:r w:rsidRPr="00831C3C">
        <w:rPr>
          <w:rFonts w:asciiTheme="minorEastAsia" w:eastAsiaTheme="minorEastAsia" w:hAnsiTheme="minorEastAsia" w:hint="eastAsia"/>
          <w:sz w:val="18"/>
          <w:szCs w:val="18"/>
        </w:rPr>
        <w:t>的履约义务，内销收入在公司将产品运送至合同约定交货地点并由客户确认接受、已收取价款或取得收款权利且相关的经济利益很可能流入时确认。外销收入在公司已根据合同约定将产品报关，取</w:t>
      </w:r>
      <w:r w:rsidRPr="00831C3C">
        <w:rPr>
          <w:rFonts w:asciiTheme="minorEastAsia" w:eastAsiaTheme="minorEastAsia" w:hAnsiTheme="minorEastAsia" w:hint="eastAsia"/>
          <w:sz w:val="18"/>
          <w:szCs w:val="18"/>
        </w:rPr>
        <w:lastRenderedPageBreak/>
        <w:t>得提单，已收取货款或取得了收款权利且相关的经济利益很可能流入时确认。线上销售收入在客户确认签收时确认对应的收入实现。</w:t>
      </w:r>
    </w:p>
    <w:p w:rsidR="00C65FD5" w:rsidRPr="00831C3C" w:rsidRDefault="00C65FD5">
      <w:pPr>
        <w:pStyle w:val="a3"/>
        <w:spacing w:before="0" w:beforeAutospacing="0" w:after="0" w:afterAutospacing="0" w:line="360" w:lineRule="auto"/>
        <w:ind w:firstLine="422"/>
        <w:jc w:val="both"/>
        <w:divId w:val="1774011221"/>
        <w:rPr>
          <w:sz w:val="21"/>
          <w:szCs w:val="21"/>
        </w:rPr>
      </w:pPr>
      <w:r w:rsidRPr="00831C3C">
        <w:rPr>
          <w:rStyle w:val="a4"/>
          <w:rFonts w:hint="eastAsia"/>
          <w:sz w:val="21"/>
          <w:szCs w:val="21"/>
        </w:rPr>
        <w:t>（</w:t>
      </w:r>
      <w:r w:rsidRPr="00831C3C">
        <w:rPr>
          <w:rStyle w:val="a4"/>
          <w:rFonts w:ascii="Times New Roman" w:hAnsi="Times New Roman" w:cs="Times New Roman"/>
          <w:sz w:val="21"/>
          <w:szCs w:val="21"/>
        </w:rPr>
        <w:t>2</w:t>
      </w:r>
      <w:r w:rsidRPr="00831C3C">
        <w:rPr>
          <w:rStyle w:val="a4"/>
          <w:rFonts w:hint="eastAsia"/>
          <w:sz w:val="21"/>
          <w:szCs w:val="21"/>
        </w:rPr>
        <w:t>）出租收入</w:t>
      </w:r>
    </w:p>
    <w:p w:rsidR="00C65FD5" w:rsidRPr="00831C3C" w:rsidRDefault="00C65FD5" w:rsidP="003D003F">
      <w:pPr>
        <w:pStyle w:val="a3"/>
        <w:spacing w:before="0" w:beforeAutospacing="0" w:after="0" w:afterAutospacing="0"/>
        <w:ind w:firstLine="420"/>
        <w:jc w:val="both"/>
        <w:divId w:val="1774011221"/>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按与承租方</w:t>
      </w:r>
      <w:proofErr w:type="gramStart"/>
      <w:r w:rsidRPr="00831C3C">
        <w:rPr>
          <w:rFonts w:asciiTheme="minorEastAsia" w:eastAsiaTheme="minorEastAsia" w:hAnsiTheme="minorEastAsia" w:hint="eastAsia"/>
          <w:sz w:val="18"/>
          <w:szCs w:val="18"/>
        </w:rPr>
        <w:t>签定</w:t>
      </w:r>
      <w:proofErr w:type="gramEnd"/>
      <w:r w:rsidRPr="00831C3C">
        <w:rPr>
          <w:rFonts w:asciiTheme="minorEastAsia" w:eastAsiaTheme="minorEastAsia" w:hAnsiTheme="minorEastAsia" w:hint="eastAsia"/>
          <w:sz w:val="18"/>
          <w:szCs w:val="18"/>
        </w:rPr>
        <w:t>的合同或协议规定的承租方付租期间和金额，按直线法分摊确认设备出租收入的实现。</w:t>
      </w:r>
    </w:p>
    <w:p w:rsidR="00C65FD5" w:rsidRPr="00831C3C" w:rsidRDefault="00C65FD5" w:rsidP="00CC7D91">
      <w:pPr>
        <w:widowControl/>
        <w:numPr>
          <w:ilvl w:val="0"/>
          <w:numId w:val="108"/>
        </w:numPr>
        <w:spacing w:before="100" w:beforeAutospacing="1" w:after="100" w:afterAutospacing="1"/>
        <w:divId w:val="1774011221"/>
        <w:rPr>
          <w:sz w:val="18"/>
          <w:szCs w:val="18"/>
        </w:rPr>
      </w:pPr>
      <w:r w:rsidRPr="00831C3C">
        <w:rPr>
          <w:rFonts w:hint="eastAsia"/>
          <w:sz w:val="18"/>
          <w:szCs w:val="18"/>
        </w:rPr>
        <w:t>．特定交易的收入处理原则</w:t>
      </w:r>
    </w:p>
    <w:p w:rsidR="00C65FD5" w:rsidRPr="00831C3C" w:rsidRDefault="00C65FD5" w:rsidP="003D003F">
      <w:pPr>
        <w:pStyle w:val="a3"/>
        <w:spacing w:before="0" w:beforeAutospacing="0" w:after="0" w:afterAutospacing="0"/>
        <w:ind w:firstLine="420"/>
        <w:jc w:val="both"/>
        <w:divId w:val="1774011221"/>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1</w:t>
      </w:r>
      <w:r w:rsidRPr="00831C3C">
        <w:rPr>
          <w:rFonts w:asciiTheme="minorEastAsia" w:eastAsiaTheme="minorEastAsia" w:hAnsiTheme="minorEastAsia" w:hint="eastAsia"/>
          <w:sz w:val="18"/>
          <w:szCs w:val="18"/>
        </w:rPr>
        <w:t>）附有销售退回条款的合同</w:t>
      </w:r>
    </w:p>
    <w:p w:rsidR="00C65FD5" w:rsidRPr="00831C3C" w:rsidRDefault="00C65FD5" w:rsidP="003D003F">
      <w:pPr>
        <w:pStyle w:val="a3"/>
        <w:spacing w:before="0" w:beforeAutospacing="0" w:after="0" w:afterAutospacing="0"/>
        <w:ind w:firstLine="420"/>
        <w:jc w:val="both"/>
        <w:divId w:val="1774011221"/>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对于附有销售退回条款的销售，本公司在客户取得相关商品控制权时，按照因向客户转让商品而预期有权收取的对</w:t>
      </w:r>
      <w:proofErr w:type="gramStart"/>
      <w:r w:rsidRPr="00831C3C">
        <w:rPr>
          <w:rFonts w:asciiTheme="minorEastAsia" w:eastAsiaTheme="minorEastAsia" w:hAnsiTheme="minorEastAsia" w:hint="eastAsia"/>
          <w:sz w:val="18"/>
          <w:szCs w:val="18"/>
        </w:rPr>
        <w:t>价金额</w:t>
      </w:r>
      <w:proofErr w:type="gramEnd"/>
      <w:r w:rsidRPr="00831C3C">
        <w:rPr>
          <w:rFonts w:asciiTheme="minorEastAsia" w:eastAsiaTheme="minorEastAsia" w:hAnsiTheme="minorEastAsia"/>
          <w:sz w:val="18"/>
          <w:szCs w:val="18"/>
        </w:rPr>
        <w:t>(</w:t>
      </w:r>
      <w:r w:rsidRPr="00831C3C">
        <w:rPr>
          <w:rFonts w:asciiTheme="minorEastAsia" w:eastAsiaTheme="minorEastAsia" w:hAnsiTheme="minorEastAsia" w:hint="eastAsia"/>
          <w:sz w:val="18"/>
          <w:szCs w:val="18"/>
        </w:rPr>
        <w:t>即，不包含预期因销售退回将退还的金额</w:t>
      </w:r>
      <w:r w:rsidRPr="00831C3C">
        <w:rPr>
          <w:rFonts w:asciiTheme="minorEastAsia" w:eastAsiaTheme="minorEastAsia" w:hAnsiTheme="minorEastAsia"/>
          <w:sz w:val="18"/>
          <w:szCs w:val="18"/>
        </w:rPr>
        <w:t>)</w:t>
      </w:r>
      <w:r w:rsidRPr="00831C3C">
        <w:rPr>
          <w:rFonts w:asciiTheme="minorEastAsia" w:eastAsiaTheme="minorEastAsia" w:hAnsiTheme="minorEastAsia" w:hint="eastAsia"/>
          <w:sz w:val="18"/>
          <w:szCs w:val="18"/>
        </w:rPr>
        <w:t>确认收入，照预期因销售退回将退还的金额确认负债；同时，按照预期将退回商品转让时的账面价值，扣除收回该商品预计发生的成本</w:t>
      </w:r>
      <w:r w:rsidRPr="00831C3C">
        <w:rPr>
          <w:rFonts w:asciiTheme="minorEastAsia" w:eastAsiaTheme="minorEastAsia" w:hAnsiTheme="minorEastAsia"/>
          <w:sz w:val="18"/>
          <w:szCs w:val="18"/>
        </w:rPr>
        <w:t>(</w:t>
      </w:r>
      <w:r w:rsidRPr="00831C3C">
        <w:rPr>
          <w:rFonts w:asciiTheme="minorEastAsia" w:eastAsiaTheme="minorEastAsia" w:hAnsiTheme="minorEastAsia" w:hint="eastAsia"/>
          <w:sz w:val="18"/>
          <w:szCs w:val="18"/>
        </w:rPr>
        <w:t>包括退回商品的价值减损</w:t>
      </w:r>
      <w:r w:rsidRPr="00831C3C">
        <w:rPr>
          <w:rFonts w:asciiTheme="minorEastAsia" w:eastAsiaTheme="minorEastAsia" w:hAnsiTheme="minorEastAsia"/>
          <w:sz w:val="18"/>
          <w:szCs w:val="18"/>
        </w:rPr>
        <w:t>)</w:t>
      </w:r>
      <w:r w:rsidRPr="00831C3C">
        <w:rPr>
          <w:rFonts w:asciiTheme="minorEastAsia" w:eastAsiaTheme="minorEastAsia" w:hAnsiTheme="minorEastAsia" w:hint="eastAsia"/>
          <w:sz w:val="18"/>
          <w:szCs w:val="18"/>
        </w:rPr>
        <w:t>后的余额，确认为一项资产，按照所转让商品转让时的账面价值，扣除上述资产成本的净额结转成本。</w:t>
      </w:r>
    </w:p>
    <w:p w:rsidR="00C65FD5" w:rsidRPr="00831C3C" w:rsidRDefault="00C65FD5" w:rsidP="003D003F">
      <w:pPr>
        <w:pStyle w:val="a3"/>
        <w:spacing w:before="0" w:beforeAutospacing="0" w:after="0" w:afterAutospacing="0"/>
        <w:ind w:firstLine="420"/>
        <w:jc w:val="both"/>
        <w:divId w:val="1774011221"/>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2</w:t>
      </w:r>
      <w:r w:rsidRPr="00831C3C">
        <w:rPr>
          <w:rFonts w:asciiTheme="minorEastAsia" w:eastAsiaTheme="minorEastAsia" w:hAnsiTheme="minorEastAsia" w:hint="eastAsia"/>
          <w:sz w:val="18"/>
          <w:szCs w:val="18"/>
        </w:rPr>
        <w:t>）附有质量保证条款的合同</w:t>
      </w:r>
    </w:p>
    <w:p w:rsidR="00C65FD5" w:rsidRPr="00831C3C" w:rsidRDefault="00C65FD5" w:rsidP="003D003F">
      <w:pPr>
        <w:pStyle w:val="a3"/>
        <w:spacing w:before="0" w:beforeAutospacing="0" w:after="0" w:afterAutospacing="0"/>
        <w:ind w:firstLine="420"/>
        <w:jc w:val="both"/>
        <w:divId w:val="1774011221"/>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对于附有质量保证条款的销售，如果该质量保证在向客户保证所销售商品或服务符合既定标准之外提供了一项单独的服务，该质量保证构成单项履约义务。否则，本公司按照《企业会计准则第</w:t>
      </w:r>
      <w:r w:rsidRPr="00831C3C">
        <w:rPr>
          <w:rFonts w:asciiTheme="minorEastAsia" w:eastAsiaTheme="minorEastAsia" w:hAnsiTheme="minorEastAsia"/>
          <w:sz w:val="18"/>
          <w:szCs w:val="18"/>
        </w:rPr>
        <w:t>13</w:t>
      </w:r>
      <w:r w:rsidRPr="00831C3C">
        <w:rPr>
          <w:rFonts w:asciiTheme="minorEastAsia" w:eastAsiaTheme="minorEastAsia" w:hAnsiTheme="minorEastAsia" w:hint="eastAsia"/>
          <w:sz w:val="18"/>
          <w:szCs w:val="18"/>
        </w:rPr>
        <w:t>号</w:t>
      </w:r>
      <w:r w:rsidRPr="00831C3C">
        <w:rPr>
          <w:rFonts w:asciiTheme="minorEastAsia" w:eastAsiaTheme="minorEastAsia" w:hAnsiTheme="minorEastAsia"/>
          <w:sz w:val="18"/>
          <w:szCs w:val="18"/>
        </w:rPr>
        <w:t>——</w:t>
      </w:r>
      <w:r w:rsidRPr="00831C3C">
        <w:rPr>
          <w:rFonts w:asciiTheme="minorEastAsia" w:eastAsiaTheme="minorEastAsia" w:hAnsiTheme="minorEastAsia" w:hint="eastAsia"/>
          <w:sz w:val="18"/>
          <w:szCs w:val="18"/>
        </w:rPr>
        <w:t>或有事项》规定对质量保证责任进行会计处理</w:t>
      </w:r>
    </w:p>
    <w:p w:rsidR="00C65FD5" w:rsidRPr="00831C3C" w:rsidRDefault="00C65FD5" w:rsidP="003D003F">
      <w:pPr>
        <w:pStyle w:val="a3"/>
        <w:spacing w:before="0" w:beforeAutospacing="0" w:after="0" w:afterAutospacing="0"/>
        <w:ind w:firstLine="420"/>
        <w:jc w:val="both"/>
        <w:divId w:val="1774011221"/>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3</w:t>
      </w:r>
      <w:r w:rsidRPr="00831C3C">
        <w:rPr>
          <w:rFonts w:asciiTheme="minorEastAsia" w:eastAsiaTheme="minorEastAsia" w:hAnsiTheme="minorEastAsia" w:hint="eastAsia"/>
          <w:sz w:val="18"/>
          <w:szCs w:val="18"/>
        </w:rPr>
        <w:t>）附有客户额外购买选择权的销售合同</w:t>
      </w:r>
    </w:p>
    <w:p w:rsidR="00C65FD5" w:rsidRPr="00831C3C" w:rsidRDefault="00C65FD5" w:rsidP="003D003F">
      <w:pPr>
        <w:pStyle w:val="a3"/>
        <w:spacing w:before="0" w:beforeAutospacing="0" w:after="0" w:afterAutospacing="0"/>
        <w:ind w:firstLine="420"/>
        <w:jc w:val="both"/>
        <w:divId w:val="1774011221"/>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客户额外购买选择权包括销售激励措施、客户奖励积分、续约选择权、针对未来商品或服务的其他折扣等，对于向客户提供了重大权利的额外购买选择权，本公司将其作为单项履约义务，在客户未来行使购买选择</w:t>
      </w:r>
      <w:proofErr w:type="gramStart"/>
      <w:r w:rsidRPr="00831C3C">
        <w:rPr>
          <w:rFonts w:asciiTheme="minorEastAsia" w:eastAsiaTheme="minorEastAsia" w:hAnsiTheme="minorEastAsia" w:hint="eastAsia"/>
          <w:sz w:val="18"/>
          <w:szCs w:val="18"/>
        </w:rPr>
        <w:t>权取得</w:t>
      </w:r>
      <w:proofErr w:type="gramEnd"/>
      <w:r w:rsidRPr="00831C3C">
        <w:rPr>
          <w:rFonts w:asciiTheme="minorEastAsia" w:eastAsiaTheme="minorEastAsia" w:hAnsiTheme="minorEastAsia" w:hint="eastAsia"/>
          <w:sz w:val="18"/>
          <w:szCs w:val="18"/>
        </w:rPr>
        <w:t>相关商品或服务控制权时，或者该选择权失效时，确认相应的收入。客户额外购买选择权的单独售价无法直接观察的，本公司综合考虑客户行使和不行使该选择权所能获得的折扣的差异、客户行使该选择权的可能性等全部相关信息予以估计。</w:t>
      </w:r>
    </w:p>
    <w:p w:rsidR="00C65FD5" w:rsidRPr="00831C3C" w:rsidRDefault="00C65FD5" w:rsidP="003D003F">
      <w:pPr>
        <w:pStyle w:val="a3"/>
        <w:spacing w:before="0" w:beforeAutospacing="0" w:after="0" w:afterAutospacing="0"/>
        <w:ind w:firstLine="420"/>
        <w:jc w:val="both"/>
        <w:divId w:val="1774011221"/>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4</w:t>
      </w:r>
      <w:r w:rsidRPr="00831C3C">
        <w:rPr>
          <w:rFonts w:asciiTheme="minorEastAsia" w:eastAsiaTheme="minorEastAsia" w:hAnsiTheme="minorEastAsia" w:hint="eastAsia"/>
          <w:sz w:val="18"/>
          <w:szCs w:val="18"/>
        </w:rPr>
        <w:t>）向客户授予知识产权许可的合同</w:t>
      </w:r>
    </w:p>
    <w:p w:rsidR="00C65FD5" w:rsidRPr="00831C3C" w:rsidRDefault="00C65FD5" w:rsidP="003D003F">
      <w:pPr>
        <w:pStyle w:val="a3"/>
        <w:spacing w:before="0" w:beforeAutospacing="0" w:after="0" w:afterAutospacing="0"/>
        <w:ind w:firstLine="420"/>
        <w:jc w:val="both"/>
        <w:divId w:val="1774011221"/>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评估该知识产权许可是否构成单项履约义务，构成单项履约义务的，则进一步确定其是在某一时段内履行还是在某一时点履行。向客户授予知识产权许可，并约定按客户实际销售或使用情况收取特许权使用费的，则在下列</w:t>
      </w:r>
      <w:proofErr w:type="gramStart"/>
      <w:r w:rsidRPr="00831C3C">
        <w:rPr>
          <w:rFonts w:asciiTheme="minorEastAsia" w:eastAsiaTheme="minorEastAsia" w:hAnsiTheme="minorEastAsia" w:hint="eastAsia"/>
          <w:sz w:val="18"/>
          <w:szCs w:val="18"/>
        </w:rPr>
        <w:t>两项孰晚的</w:t>
      </w:r>
      <w:proofErr w:type="gramEnd"/>
      <w:r w:rsidRPr="00831C3C">
        <w:rPr>
          <w:rFonts w:asciiTheme="minorEastAsia" w:eastAsiaTheme="minorEastAsia" w:hAnsiTheme="minorEastAsia" w:hint="eastAsia"/>
          <w:sz w:val="18"/>
          <w:szCs w:val="18"/>
        </w:rPr>
        <w:t>时点确认收入：客户后续销售或使用行为实际发生；公司履行相关履约义务。</w:t>
      </w:r>
    </w:p>
    <w:p w:rsidR="00C65FD5" w:rsidRPr="00831C3C" w:rsidRDefault="00C65FD5">
      <w:pPr>
        <w:pStyle w:val="a3"/>
        <w:spacing w:before="0" w:beforeAutospacing="0" w:after="0" w:afterAutospacing="0" w:line="360" w:lineRule="auto"/>
        <w:ind w:firstLine="420"/>
        <w:jc w:val="both"/>
        <w:divId w:val="1774011221"/>
        <w:rPr>
          <w:sz w:val="18"/>
          <w:szCs w:val="18"/>
        </w:rPr>
      </w:pPr>
      <w:r w:rsidRPr="00831C3C">
        <w:rPr>
          <w:rFonts w:hint="eastAsia"/>
          <w:sz w:val="18"/>
          <w:szCs w:val="18"/>
        </w:rPr>
        <w:t>（</w:t>
      </w:r>
      <w:r w:rsidRPr="00831C3C">
        <w:rPr>
          <w:rFonts w:ascii="Arial" w:hAnsi="Arial" w:cs="Arial"/>
          <w:sz w:val="18"/>
          <w:szCs w:val="18"/>
        </w:rPr>
        <w:t>5</w:t>
      </w:r>
      <w:r w:rsidRPr="00831C3C">
        <w:rPr>
          <w:rFonts w:hint="eastAsia"/>
          <w:sz w:val="18"/>
          <w:szCs w:val="18"/>
        </w:rPr>
        <w:t>）售后回购</w:t>
      </w:r>
    </w:p>
    <w:p w:rsidR="00C65FD5" w:rsidRPr="00831C3C" w:rsidRDefault="00C65FD5" w:rsidP="00CC7D91">
      <w:pPr>
        <w:widowControl/>
        <w:numPr>
          <w:ilvl w:val="0"/>
          <w:numId w:val="109"/>
        </w:numPr>
        <w:spacing w:before="100" w:beforeAutospacing="1" w:after="100" w:afterAutospacing="1"/>
        <w:divId w:val="1774011221"/>
        <w:rPr>
          <w:sz w:val="18"/>
          <w:szCs w:val="18"/>
        </w:rPr>
      </w:pPr>
      <w:r w:rsidRPr="00831C3C">
        <w:rPr>
          <w:rFonts w:hint="eastAsia"/>
          <w:sz w:val="18"/>
          <w:szCs w:val="18"/>
        </w:rPr>
        <w:t>）因与客户的远期安排而负有回购义务的合同：这种情况下客户在销售时点并未取得相关商品控制权，因此作为租赁交易或融资交易进行相应的会计处理。其中，回购价格低于原售价的视为租赁交易，按照企业会计准则对租赁的相关规定进行会计处理；回购价格不低于原售价的视为融资交易，在收到客户款项时确认金融负债，并将该款项和回购价格的差额在回购期间内确认为利息费用等。公司到期未行使回购权利的，则在该回购权利到期时终止确认金融负债，同时确认收入。</w:t>
      </w:r>
    </w:p>
    <w:p w:rsidR="00C65FD5" w:rsidRPr="00831C3C" w:rsidRDefault="00C65FD5" w:rsidP="00CC7D91">
      <w:pPr>
        <w:widowControl/>
        <w:numPr>
          <w:ilvl w:val="0"/>
          <w:numId w:val="109"/>
        </w:numPr>
        <w:spacing w:before="100" w:beforeAutospacing="1" w:after="100" w:afterAutospacing="1"/>
        <w:divId w:val="1774011221"/>
        <w:rPr>
          <w:sz w:val="18"/>
          <w:szCs w:val="18"/>
        </w:rPr>
      </w:pPr>
      <w:r w:rsidRPr="00831C3C">
        <w:rPr>
          <w:rFonts w:hint="eastAsia"/>
          <w:sz w:val="18"/>
          <w:szCs w:val="18"/>
        </w:rPr>
        <w:t>）应客户要求产生的回购义务的合同：经评估客户具有重大经济动因的，将售后回购作为租赁交易或融资交易，按照本条</w:t>
      </w:r>
      <w:r w:rsidRPr="00831C3C">
        <w:rPr>
          <w:rFonts w:ascii="Arial" w:hAnsi="Arial" w:cs="Arial"/>
          <w:sz w:val="18"/>
          <w:szCs w:val="18"/>
        </w:rPr>
        <w:t>1</w:t>
      </w:r>
      <w:r w:rsidRPr="00831C3C">
        <w:rPr>
          <w:rFonts w:hint="eastAsia"/>
          <w:sz w:val="18"/>
          <w:szCs w:val="18"/>
        </w:rPr>
        <w:t>）规定进行会计处理；否则将其作为附有销售退回条款的销售交易进行处理。</w:t>
      </w:r>
    </w:p>
    <w:p w:rsidR="00C65FD5" w:rsidRPr="00831C3C" w:rsidRDefault="00C65FD5">
      <w:pPr>
        <w:pStyle w:val="a3"/>
        <w:spacing w:before="0" w:beforeAutospacing="0" w:after="0" w:afterAutospacing="0" w:line="360" w:lineRule="auto"/>
        <w:ind w:firstLine="420"/>
        <w:jc w:val="both"/>
        <w:divId w:val="1774011221"/>
        <w:rPr>
          <w:sz w:val="21"/>
          <w:szCs w:val="21"/>
        </w:rPr>
      </w:pPr>
      <w:r w:rsidRPr="00831C3C">
        <w:rPr>
          <w:rFonts w:hint="eastAsia"/>
          <w:sz w:val="21"/>
          <w:szCs w:val="21"/>
        </w:rPr>
        <w:t>（</w:t>
      </w:r>
      <w:r w:rsidRPr="00831C3C">
        <w:rPr>
          <w:rFonts w:ascii="Arial" w:hAnsi="Arial" w:cs="Arial"/>
          <w:sz w:val="21"/>
          <w:szCs w:val="21"/>
        </w:rPr>
        <w:t>6</w:t>
      </w:r>
      <w:r w:rsidRPr="00831C3C">
        <w:rPr>
          <w:rFonts w:hint="eastAsia"/>
          <w:sz w:val="21"/>
          <w:szCs w:val="21"/>
        </w:rPr>
        <w:t>）向客户收取无需退回的初始费的合同</w:t>
      </w:r>
    </w:p>
    <w:p w:rsidR="00C65FD5" w:rsidRPr="00831C3C" w:rsidRDefault="00C65FD5" w:rsidP="003D003F">
      <w:pPr>
        <w:pStyle w:val="a3"/>
        <w:spacing w:before="0" w:beforeAutospacing="0" w:after="0" w:afterAutospacing="0"/>
        <w:ind w:firstLine="420"/>
        <w:jc w:val="both"/>
        <w:divId w:val="1774011221"/>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在合同开始（或接近合同开始）日向客户收取的无需退回的初始费应当计入交易价格。公司经评估，该初始费与向客户转让已承诺的商品相关，并且该商品构成单项履约义务的，则在转让该商品时，按照分摊至该商品的交易价格确认收入；该初始费与向客户转让已承诺的商品相关，但该商品不构成单项履约义务的，则在包含该商品的单项履约义务履行时，按照分摊至该单项履约义务的交易价格确认收入；该初始费与向客户转让已承诺的商品不相关的，该初始费则作为未来将转让商品的预收款，在未来转让该商品时确认为收入。</w:t>
      </w:r>
    </w:p>
    <w:p w:rsidR="00C65FD5" w:rsidRPr="00831C3C" w:rsidRDefault="00C65FD5" w:rsidP="003D003F">
      <w:pPr>
        <w:pStyle w:val="a3"/>
        <w:spacing w:before="0" w:beforeAutospacing="0" w:after="0" w:afterAutospacing="0"/>
        <w:ind w:firstLine="420"/>
        <w:jc w:val="both"/>
        <w:divId w:val="1774011221"/>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7</w:t>
      </w:r>
      <w:r w:rsidRPr="00831C3C">
        <w:rPr>
          <w:rFonts w:asciiTheme="minorEastAsia" w:eastAsiaTheme="minorEastAsia" w:hAnsiTheme="minorEastAsia" w:hint="eastAsia"/>
          <w:sz w:val="18"/>
          <w:szCs w:val="18"/>
        </w:rPr>
        <w:t>）主要责任人和代理人</w:t>
      </w:r>
    </w:p>
    <w:p w:rsidR="00C65FD5" w:rsidRPr="00831C3C" w:rsidRDefault="00C65FD5" w:rsidP="003D003F">
      <w:pPr>
        <w:pStyle w:val="a3"/>
        <w:spacing w:before="0" w:beforeAutospacing="0" w:after="0" w:afterAutospacing="0"/>
        <w:ind w:firstLine="420"/>
        <w:jc w:val="both"/>
        <w:divId w:val="1774011221"/>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lastRenderedPageBreak/>
        <w:t>本公司根据在向客户转让商品或服务前是否拥有对该商品或服务的控制权，来判断从事交易时本公司的身份是主要责任人还是代理人。本公司在向客户转让商品或服务前能够控制该商品或服务的，本公司为主要责任人，按照已收或应收对价总额确认收入；否则，本公司为代理人，按照预期有权收取的佣金或手续费的金额确认收入，该金额按照已收或应收对价总额扣除应支付给其他相关方的价款后的净额【，或者按照既定的佣金金额或比例等】确定。</w:t>
      </w:r>
    </w:p>
    <w:p w:rsidR="00E23A97" w:rsidRPr="00831C3C" w:rsidRDefault="00C65FD5" w:rsidP="003D003F">
      <w:pPr>
        <w:spacing w:before="100" w:after="100"/>
        <w:rPr>
          <w:rFonts w:asciiTheme="minorEastAsia" w:hAnsiTheme="minorEastAsia" w:cs="宋体"/>
          <w:kern w:val="0"/>
          <w:sz w:val="18"/>
          <w:szCs w:val="18"/>
        </w:rPr>
      </w:pPr>
      <w:r w:rsidRPr="00831C3C">
        <w:rPr>
          <w:rFonts w:asciiTheme="minorEastAsia" w:hAnsiTheme="minorEastAsia" w:cs="宋体"/>
          <w:kern w:val="0"/>
          <w:sz w:val="18"/>
          <w:szCs w:val="18"/>
        </w:rPr>
        <w:t>同类业务采用不同经营模式涉及不同收入确认方式及计量方法的情况</w:t>
      </w:r>
    </w:p>
    <w:p w:rsidR="00E23A97" w:rsidRPr="00831C3C" w:rsidRDefault="00C65FD5">
      <w:pPr>
        <w:pStyle w:val="3"/>
        <w:spacing w:line="280" w:lineRule="exact"/>
        <w:jc w:val="left"/>
        <w:rPr>
          <w:rFonts w:ascii="宋体" w:hAnsi="宋体" w:cs="宋体"/>
          <w:b/>
          <w:bCs/>
        </w:rPr>
      </w:pPr>
      <w:bookmarkStart w:id="228" w:name="_Toc989111"/>
      <w:r w:rsidRPr="00831C3C">
        <w:rPr>
          <w:rFonts w:ascii="宋体" w:hAnsi="宋体" w:cs="宋体"/>
          <w:b/>
          <w:bCs/>
        </w:rPr>
        <w:t>38、合同成本</w:t>
      </w:r>
      <w:bookmarkEnd w:id="228"/>
    </w:p>
    <w:p w:rsidR="00C65FD5" w:rsidRPr="00831C3C" w:rsidRDefault="00C65FD5" w:rsidP="00CC7D91">
      <w:pPr>
        <w:widowControl/>
        <w:numPr>
          <w:ilvl w:val="3"/>
          <w:numId w:val="110"/>
        </w:numPr>
        <w:tabs>
          <w:tab w:val="clear" w:pos="2880"/>
          <w:tab w:val="num" w:pos="1276"/>
        </w:tabs>
        <w:spacing w:before="100" w:beforeAutospacing="1" w:after="100" w:afterAutospacing="1"/>
        <w:ind w:left="851"/>
        <w:divId w:val="819462873"/>
        <w:rPr>
          <w:sz w:val="18"/>
          <w:szCs w:val="18"/>
        </w:rPr>
      </w:pPr>
      <w:r w:rsidRPr="00831C3C">
        <w:rPr>
          <w:rStyle w:val="a4"/>
          <w:rFonts w:hint="eastAsia"/>
          <w:sz w:val="18"/>
          <w:szCs w:val="18"/>
        </w:rPr>
        <w:t>合同履约成本</w:t>
      </w:r>
    </w:p>
    <w:p w:rsidR="00C65FD5" w:rsidRPr="00831C3C" w:rsidRDefault="00C65FD5" w:rsidP="003D003F">
      <w:pPr>
        <w:pStyle w:val="a3"/>
        <w:spacing w:before="0" w:beforeAutospacing="0" w:after="0" w:afterAutospacing="0"/>
        <w:ind w:firstLine="420"/>
        <w:jc w:val="both"/>
        <w:divId w:val="819462873"/>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本公司对于为履行合同发生的成本，不属于除收入准则外的其他企业会计准则范围且同时满足下列条件的作为合同履约成本确认为一项资产：</w:t>
      </w:r>
    </w:p>
    <w:p w:rsidR="00C65FD5" w:rsidRPr="00831C3C" w:rsidRDefault="00C65FD5" w:rsidP="003D003F">
      <w:pPr>
        <w:pStyle w:val="a3"/>
        <w:spacing w:before="0" w:beforeAutospacing="0" w:after="0" w:afterAutospacing="0"/>
        <w:ind w:firstLine="420"/>
        <w:jc w:val="both"/>
        <w:divId w:val="819462873"/>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1</w:t>
      </w:r>
      <w:r w:rsidRPr="00831C3C">
        <w:rPr>
          <w:rFonts w:asciiTheme="minorEastAsia" w:eastAsiaTheme="minorEastAsia" w:hAnsiTheme="minorEastAsia" w:hint="eastAsia"/>
          <w:sz w:val="18"/>
          <w:szCs w:val="18"/>
        </w:rPr>
        <w:t>）</w:t>
      </w:r>
      <w:proofErr w:type="gramStart"/>
      <w:r w:rsidRPr="00831C3C">
        <w:rPr>
          <w:rFonts w:asciiTheme="minorEastAsia" w:eastAsiaTheme="minorEastAsia" w:hAnsiTheme="minorEastAsia" w:hint="eastAsia"/>
          <w:sz w:val="18"/>
          <w:szCs w:val="18"/>
        </w:rPr>
        <w:t>该成本</w:t>
      </w:r>
      <w:proofErr w:type="gramEnd"/>
      <w:r w:rsidRPr="00831C3C">
        <w:rPr>
          <w:rFonts w:asciiTheme="minorEastAsia" w:eastAsiaTheme="minorEastAsia" w:hAnsiTheme="minorEastAsia" w:hint="eastAsia"/>
          <w:sz w:val="18"/>
          <w:szCs w:val="18"/>
        </w:rPr>
        <w:t>与一份当前或预期取得的合同直接相关，包括直接人工、直接材料、制造费用（或类似费用）、明确由客户承担的成本以及仅因该合同而发生的其他成本；</w:t>
      </w:r>
    </w:p>
    <w:p w:rsidR="00C65FD5" w:rsidRPr="00831C3C" w:rsidRDefault="00C65FD5" w:rsidP="003D003F">
      <w:pPr>
        <w:pStyle w:val="a3"/>
        <w:spacing w:before="0" w:beforeAutospacing="0" w:after="0" w:afterAutospacing="0"/>
        <w:ind w:firstLine="420"/>
        <w:jc w:val="both"/>
        <w:divId w:val="819462873"/>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2</w:t>
      </w:r>
      <w:r w:rsidRPr="00831C3C">
        <w:rPr>
          <w:rFonts w:asciiTheme="minorEastAsia" w:eastAsiaTheme="minorEastAsia" w:hAnsiTheme="minorEastAsia" w:hint="eastAsia"/>
          <w:sz w:val="18"/>
          <w:szCs w:val="18"/>
        </w:rPr>
        <w:t>）</w:t>
      </w:r>
      <w:proofErr w:type="gramStart"/>
      <w:r w:rsidRPr="00831C3C">
        <w:rPr>
          <w:rFonts w:asciiTheme="minorEastAsia" w:eastAsiaTheme="minorEastAsia" w:hAnsiTheme="minorEastAsia" w:hint="eastAsia"/>
          <w:sz w:val="18"/>
          <w:szCs w:val="18"/>
        </w:rPr>
        <w:t>该成本</w:t>
      </w:r>
      <w:proofErr w:type="gramEnd"/>
      <w:r w:rsidRPr="00831C3C">
        <w:rPr>
          <w:rFonts w:asciiTheme="minorEastAsia" w:eastAsiaTheme="minorEastAsia" w:hAnsiTheme="minorEastAsia" w:hint="eastAsia"/>
          <w:sz w:val="18"/>
          <w:szCs w:val="18"/>
        </w:rPr>
        <w:t>增加了企业未来用于履行履约义务的资源；</w:t>
      </w:r>
    </w:p>
    <w:p w:rsidR="00C65FD5" w:rsidRPr="00831C3C" w:rsidRDefault="00C65FD5" w:rsidP="003D003F">
      <w:pPr>
        <w:pStyle w:val="a3"/>
        <w:spacing w:before="0" w:beforeAutospacing="0" w:after="0" w:afterAutospacing="0"/>
        <w:ind w:firstLine="420"/>
        <w:jc w:val="both"/>
        <w:divId w:val="819462873"/>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3</w:t>
      </w:r>
      <w:r w:rsidRPr="00831C3C">
        <w:rPr>
          <w:rFonts w:asciiTheme="minorEastAsia" w:eastAsiaTheme="minorEastAsia" w:hAnsiTheme="minorEastAsia" w:hint="eastAsia"/>
          <w:sz w:val="18"/>
          <w:szCs w:val="18"/>
        </w:rPr>
        <w:t>）</w:t>
      </w:r>
      <w:proofErr w:type="gramStart"/>
      <w:r w:rsidRPr="00831C3C">
        <w:rPr>
          <w:rFonts w:asciiTheme="minorEastAsia" w:eastAsiaTheme="minorEastAsia" w:hAnsiTheme="minorEastAsia" w:hint="eastAsia"/>
          <w:sz w:val="18"/>
          <w:szCs w:val="18"/>
        </w:rPr>
        <w:t>该成本</w:t>
      </w:r>
      <w:proofErr w:type="gramEnd"/>
      <w:r w:rsidRPr="00831C3C">
        <w:rPr>
          <w:rFonts w:asciiTheme="minorEastAsia" w:eastAsiaTheme="minorEastAsia" w:hAnsiTheme="minorEastAsia" w:hint="eastAsia"/>
          <w:sz w:val="18"/>
          <w:szCs w:val="18"/>
        </w:rPr>
        <w:t>预期能够收回。</w:t>
      </w:r>
    </w:p>
    <w:p w:rsidR="00C65FD5" w:rsidRPr="00831C3C" w:rsidRDefault="00C65FD5" w:rsidP="003D003F">
      <w:pPr>
        <w:pStyle w:val="a3"/>
        <w:spacing w:before="0" w:beforeAutospacing="0" w:after="0" w:afterAutospacing="0"/>
        <w:ind w:firstLine="420"/>
        <w:jc w:val="both"/>
        <w:divId w:val="819462873"/>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该资产根据其初始确认时摊销期限是否超过一个正常营业周期在存货或其他非流动资产中列报。</w:t>
      </w:r>
    </w:p>
    <w:p w:rsidR="00C65FD5" w:rsidRPr="00831C3C" w:rsidRDefault="00C65FD5" w:rsidP="00CC7D91">
      <w:pPr>
        <w:widowControl/>
        <w:numPr>
          <w:ilvl w:val="3"/>
          <w:numId w:val="110"/>
        </w:numPr>
        <w:tabs>
          <w:tab w:val="clear" w:pos="2880"/>
          <w:tab w:val="num" w:pos="1276"/>
        </w:tabs>
        <w:spacing w:before="100" w:beforeAutospacing="1" w:after="100" w:afterAutospacing="1"/>
        <w:ind w:left="851"/>
        <w:divId w:val="819462873"/>
        <w:rPr>
          <w:rStyle w:val="a4"/>
        </w:rPr>
      </w:pPr>
      <w:r w:rsidRPr="00831C3C">
        <w:rPr>
          <w:rStyle w:val="a4"/>
          <w:rFonts w:hint="eastAsia"/>
          <w:sz w:val="18"/>
          <w:szCs w:val="18"/>
        </w:rPr>
        <w:t>合同取得成本</w:t>
      </w:r>
    </w:p>
    <w:p w:rsidR="00C65FD5" w:rsidRPr="00831C3C" w:rsidRDefault="00C65FD5" w:rsidP="003D003F">
      <w:pPr>
        <w:pStyle w:val="a3"/>
        <w:spacing w:before="0" w:beforeAutospacing="0" w:after="0" w:afterAutospacing="0"/>
        <w:ind w:firstLine="420"/>
        <w:jc w:val="both"/>
        <w:divId w:val="819462873"/>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本公司为取得合同发生的增量成本预期能够收回的，作为合同取得成本确认为一项资产。增量成本是指本公司不取得合同就不会发生的成本，如销售佣金等。对于摊销期限不超过一年的，在发生时计入当期损益。</w:t>
      </w:r>
    </w:p>
    <w:p w:rsidR="00C65FD5" w:rsidRPr="00831C3C" w:rsidRDefault="00C65FD5" w:rsidP="00CC7D91">
      <w:pPr>
        <w:widowControl/>
        <w:numPr>
          <w:ilvl w:val="3"/>
          <w:numId w:val="110"/>
        </w:numPr>
        <w:tabs>
          <w:tab w:val="clear" w:pos="2880"/>
          <w:tab w:val="num" w:pos="1276"/>
        </w:tabs>
        <w:spacing w:before="100" w:beforeAutospacing="1" w:after="100" w:afterAutospacing="1"/>
        <w:ind w:left="851"/>
        <w:divId w:val="819462873"/>
        <w:rPr>
          <w:rStyle w:val="a4"/>
        </w:rPr>
      </w:pPr>
      <w:r w:rsidRPr="00831C3C">
        <w:rPr>
          <w:rStyle w:val="a4"/>
          <w:rFonts w:hint="eastAsia"/>
          <w:sz w:val="18"/>
          <w:szCs w:val="18"/>
        </w:rPr>
        <w:t>合同成本摊销</w:t>
      </w:r>
    </w:p>
    <w:p w:rsidR="00C65FD5" w:rsidRPr="00831C3C" w:rsidRDefault="00C65FD5" w:rsidP="003D003F">
      <w:pPr>
        <w:pStyle w:val="a3"/>
        <w:spacing w:before="0" w:beforeAutospacing="0" w:after="0" w:afterAutospacing="0"/>
        <w:ind w:firstLine="420"/>
        <w:jc w:val="both"/>
        <w:divId w:val="819462873"/>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上述与合同成本有关的资产，采用与该资产相关的商品或服务收入确认相同的基础，在履约义务履行的时点或按照履约义务的履约进度进行摊销，计入当期损益。</w:t>
      </w:r>
    </w:p>
    <w:p w:rsidR="00C65FD5" w:rsidRPr="00831C3C" w:rsidRDefault="00C65FD5" w:rsidP="00CC7D91">
      <w:pPr>
        <w:widowControl/>
        <w:numPr>
          <w:ilvl w:val="3"/>
          <w:numId w:val="110"/>
        </w:numPr>
        <w:tabs>
          <w:tab w:val="clear" w:pos="2880"/>
          <w:tab w:val="num" w:pos="1276"/>
        </w:tabs>
        <w:spacing w:before="100" w:beforeAutospacing="1" w:after="100" w:afterAutospacing="1"/>
        <w:ind w:left="851"/>
        <w:divId w:val="819462873"/>
        <w:rPr>
          <w:rStyle w:val="a4"/>
        </w:rPr>
      </w:pPr>
      <w:r w:rsidRPr="00831C3C">
        <w:rPr>
          <w:rStyle w:val="a4"/>
          <w:rFonts w:hint="eastAsia"/>
          <w:sz w:val="18"/>
          <w:szCs w:val="18"/>
        </w:rPr>
        <w:t>合同成本减值</w:t>
      </w:r>
    </w:p>
    <w:p w:rsidR="00C65FD5" w:rsidRPr="00831C3C" w:rsidRDefault="00C65FD5" w:rsidP="003D003F">
      <w:pPr>
        <w:pStyle w:val="a3"/>
        <w:spacing w:before="0" w:beforeAutospacing="0" w:after="0" w:afterAutospacing="0"/>
        <w:ind w:firstLine="420"/>
        <w:jc w:val="both"/>
        <w:divId w:val="819462873"/>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上述与合同成本有关的资产，账面价值高于本公司因转让与该资产相关的商品预期能够取得剩余对价与为转让</w:t>
      </w:r>
      <w:proofErr w:type="gramStart"/>
      <w:r w:rsidRPr="00831C3C">
        <w:rPr>
          <w:rFonts w:asciiTheme="minorEastAsia" w:eastAsiaTheme="minorEastAsia" w:hAnsiTheme="minorEastAsia" w:hint="eastAsia"/>
          <w:sz w:val="18"/>
          <w:szCs w:val="18"/>
        </w:rPr>
        <w:t>该相关</w:t>
      </w:r>
      <w:proofErr w:type="gramEnd"/>
      <w:r w:rsidRPr="00831C3C">
        <w:rPr>
          <w:rFonts w:asciiTheme="minorEastAsia" w:eastAsiaTheme="minorEastAsia" w:hAnsiTheme="minorEastAsia" w:hint="eastAsia"/>
          <w:sz w:val="18"/>
          <w:szCs w:val="18"/>
        </w:rPr>
        <w:t>商品估计将要发生的成本的差额的，超出部分应当计提减值准备，并确认为资产减值损失。</w:t>
      </w:r>
    </w:p>
    <w:p w:rsidR="00C65FD5" w:rsidRPr="00831C3C" w:rsidRDefault="00C65FD5" w:rsidP="003D003F">
      <w:pPr>
        <w:pStyle w:val="a3"/>
        <w:spacing w:before="0" w:beforeAutospacing="0" w:after="0" w:afterAutospacing="0"/>
        <w:ind w:firstLine="420"/>
        <w:jc w:val="both"/>
        <w:divId w:val="819462873"/>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计提减值准备后，如果以前期间减值的因素发生变化，使得上述两项差额高于该资产账面价值的，转回原已计提的资产减值准备，并计入当期损益，但转回后的资产账面价值不超过假定不计提减值准备情况下该资产在</w:t>
      </w:r>
      <w:proofErr w:type="gramStart"/>
      <w:r w:rsidRPr="00831C3C">
        <w:rPr>
          <w:rFonts w:asciiTheme="minorEastAsia" w:eastAsiaTheme="minorEastAsia" w:hAnsiTheme="minorEastAsia" w:hint="eastAsia"/>
          <w:sz w:val="18"/>
          <w:szCs w:val="18"/>
        </w:rPr>
        <w:t>转回日</w:t>
      </w:r>
      <w:proofErr w:type="gramEnd"/>
      <w:r w:rsidRPr="00831C3C">
        <w:rPr>
          <w:rFonts w:asciiTheme="minorEastAsia" w:eastAsiaTheme="minorEastAsia" w:hAnsiTheme="minorEastAsia" w:hint="eastAsia"/>
          <w:sz w:val="18"/>
          <w:szCs w:val="18"/>
        </w:rPr>
        <w:t>的账面价值。</w:t>
      </w:r>
    </w:p>
    <w:p w:rsidR="00E23A97" w:rsidRPr="00831C3C" w:rsidRDefault="00C65FD5">
      <w:pPr>
        <w:pStyle w:val="3"/>
        <w:spacing w:line="280" w:lineRule="exact"/>
        <w:jc w:val="left"/>
        <w:rPr>
          <w:rFonts w:ascii="宋体" w:hAnsi="宋体" w:cs="宋体"/>
          <w:b/>
          <w:bCs/>
        </w:rPr>
      </w:pPr>
      <w:bookmarkStart w:id="229" w:name="_Toc989112"/>
      <w:r w:rsidRPr="00831C3C">
        <w:rPr>
          <w:rFonts w:ascii="宋体" w:hAnsi="宋体" w:cs="宋体"/>
          <w:b/>
          <w:bCs/>
        </w:rPr>
        <w:t>39、政府补助</w:t>
      </w:r>
      <w:bookmarkEnd w:id="229"/>
    </w:p>
    <w:p w:rsidR="00C65FD5" w:rsidRPr="00831C3C" w:rsidRDefault="00C65FD5" w:rsidP="00CC7D91">
      <w:pPr>
        <w:widowControl/>
        <w:numPr>
          <w:ilvl w:val="0"/>
          <w:numId w:val="111"/>
        </w:numPr>
        <w:spacing w:before="100" w:beforeAutospacing="1" w:after="100" w:afterAutospacing="1"/>
        <w:divId w:val="1844587742"/>
        <w:rPr>
          <w:sz w:val="18"/>
          <w:szCs w:val="18"/>
        </w:rPr>
      </w:pPr>
      <w:r w:rsidRPr="00831C3C">
        <w:rPr>
          <w:rFonts w:hint="eastAsia"/>
          <w:sz w:val="18"/>
          <w:szCs w:val="18"/>
        </w:rPr>
        <w:t>．类型</w:t>
      </w:r>
    </w:p>
    <w:p w:rsidR="00C65FD5" w:rsidRPr="00831C3C" w:rsidRDefault="00C65FD5" w:rsidP="003D003F">
      <w:pPr>
        <w:pStyle w:val="a3"/>
        <w:spacing w:before="0" w:beforeAutospacing="0" w:after="0" w:afterAutospacing="0"/>
        <w:ind w:firstLine="420"/>
        <w:jc w:val="both"/>
        <w:divId w:val="1844587742"/>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政府补助，是本公司从政府无偿取得的货币性资产与非货币性资产。政府补助分为与资产相关的政府补助和与收益相关的政府补助。</w:t>
      </w:r>
    </w:p>
    <w:p w:rsidR="00C65FD5" w:rsidRPr="00831C3C" w:rsidRDefault="00C65FD5" w:rsidP="003D003F">
      <w:pPr>
        <w:pStyle w:val="a3"/>
        <w:spacing w:before="0" w:beforeAutospacing="0" w:after="0" w:afterAutospacing="0"/>
        <w:ind w:firstLine="420"/>
        <w:jc w:val="both"/>
        <w:divId w:val="1844587742"/>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根据相关政府文件规定的补助对象，将政府补助划分为与资产相关的政府补助和与收益相关的政府补助。本公司将所取得的用于购建或以其他方式形成长期资产的政府补助界定为与资产相关的政府补助；</w:t>
      </w:r>
      <w:proofErr w:type="gramStart"/>
      <w:r w:rsidRPr="00831C3C">
        <w:rPr>
          <w:rFonts w:asciiTheme="minorEastAsia" w:eastAsiaTheme="minorEastAsia" w:hAnsiTheme="minorEastAsia" w:hint="eastAsia"/>
          <w:sz w:val="18"/>
          <w:szCs w:val="18"/>
        </w:rPr>
        <w:t>其余政府</w:t>
      </w:r>
      <w:proofErr w:type="gramEnd"/>
      <w:r w:rsidRPr="00831C3C">
        <w:rPr>
          <w:rFonts w:asciiTheme="minorEastAsia" w:eastAsiaTheme="minorEastAsia" w:hAnsiTheme="minorEastAsia" w:hint="eastAsia"/>
          <w:sz w:val="18"/>
          <w:szCs w:val="18"/>
        </w:rPr>
        <w:t>补助界定为与收益相关的政府补助。若政府文件未明确规定补助对象，则采用以下方式将补助款划分为与收益相关的政府补助和与资产相关</w:t>
      </w:r>
      <w:r w:rsidRPr="00831C3C">
        <w:rPr>
          <w:rFonts w:asciiTheme="minorEastAsia" w:eastAsiaTheme="minorEastAsia" w:hAnsiTheme="minorEastAsia" w:hint="eastAsia"/>
          <w:sz w:val="18"/>
          <w:szCs w:val="18"/>
        </w:rPr>
        <w:lastRenderedPageBreak/>
        <w:t>的政府补助：（</w:t>
      </w:r>
      <w:r w:rsidRPr="00831C3C">
        <w:rPr>
          <w:rFonts w:asciiTheme="minorEastAsia" w:eastAsiaTheme="minorEastAsia" w:hAnsiTheme="minorEastAsia"/>
          <w:sz w:val="18"/>
          <w:szCs w:val="18"/>
        </w:rPr>
        <w:t>1</w:t>
      </w:r>
      <w:r w:rsidRPr="00831C3C">
        <w:rPr>
          <w:rFonts w:asciiTheme="minorEastAsia" w:eastAsiaTheme="minorEastAsia" w:hAnsiTheme="minorEastAsia" w:hint="eastAsia"/>
          <w:sz w:val="18"/>
          <w:szCs w:val="18"/>
        </w:rPr>
        <w:t>）政府文件明确了补助所针对的特定项目的，根据该特定项目的预算中将形成资产的支出金额和计入费用的支出金额的相对比例进行划分，对该划分比例需在每个资产负债表日进行复核，必要时进行变更；（</w:t>
      </w:r>
      <w:r w:rsidRPr="00831C3C">
        <w:rPr>
          <w:rFonts w:asciiTheme="minorEastAsia" w:eastAsiaTheme="minorEastAsia" w:hAnsiTheme="minorEastAsia"/>
          <w:sz w:val="18"/>
          <w:szCs w:val="18"/>
        </w:rPr>
        <w:t>2</w:t>
      </w:r>
      <w:r w:rsidRPr="00831C3C">
        <w:rPr>
          <w:rFonts w:asciiTheme="minorEastAsia" w:eastAsiaTheme="minorEastAsia" w:hAnsiTheme="minorEastAsia" w:hint="eastAsia"/>
          <w:sz w:val="18"/>
          <w:szCs w:val="18"/>
        </w:rPr>
        <w:t>）政府文件中对用途仅作一般性表述，没有指明特定项目的，作为与收益相关的政府补助。</w:t>
      </w:r>
    </w:p>
    <w:p w:rsidR="00C65FD5" w:rsidRPr="00831C3C" w:rsidRDefault="00C65FD5" w:rsidP="00CC7D91">
      <w:pPr>
        <w:widowControl/>
        <w:numPr>
          <w:ilvl w:val="0"/>
          <w:numId w:val="112"/>
        </w:numPr>
        <w:spacing w:before="100" w:beforeAutospacing="1" w:after="100" w:afterAutospacing="1"/>
        <w:divId w:val="1844587742"/>
        <w:rPr>
          <w:sz w:val="18"/>
          <w:szCs w:val="18"/>
        </w:rPr>
      </w:pPr>
      <w:r w:rsidRPr="00831C3C">
        <w:rPr>
          <w:rFonts w:hint="eastAsia"/>
          <w:sz w:val="18"/>
          <w:szCs w:val="18"/>
        </w:rPr>
        <w:t>．政府补助的确认</w:t>
      </w:r>
    </w:p>
    <w:p w:rsidR="00C65FD5" w:rsidRPr="00831C3C" w:rsidRDefault="00C65FD5" w:rsidP="003D003F">
      <w:pPr>
        <w:pStyle w:val="a3"/>
        <w:spacing w:before="0" w:beforeAutospacing="0" w:after="0" w:afterAutospacing="0"/>
        <w:ind w:firstLine="420"/>
        <w:jc w:val="both"/>
        <w:divId w:val="1844587742"/>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对期末有证据表明公司能够符合财政扶持政策规定的相关条件且预计能够收到财政扶持资金的，按应收金额确认政府补助。除此之外，政府补助均在实际收到时确认。</w:t>
      </w:r>
    </w:p>
    <w:p w:rsidR="00C65FD5" w:rsidRPr="00831C3C" w:rsidRDefault="00C65FD5" w:rsidP="003D003F">
      <w:pPr>
        <w:pStyle w:val="a3"/>
        <w:spacing w:before="0" w:beforeAutospacing="0" w:after="0" w:afterAutospacing="0"/>
        <w:ind w:firstLine="420"/>
        <w:jc w:val="both"/>
        <w:divId w:val="1844587742"/>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政府补助为货币性资产的，按照收到或应收的金额计量。政府补助为非货币性资产的，按照公允价值计量；公允价值不能够可靠取得的，按照名义金额（人民币</w:t>
      </w:r>
      <w:r w:rsidRPr="00831C3C">
        <w:rPr>
          <w:rFonts w:asciiTheme="minorEastAsia" w:eastAsiaTheme="minorEastAsia" w:hAnsiTheme="minorEastAsia"/>
          <w:sz w:val="18"/>
          <w:szCs w:val="18"/>
        </w:rPr>
        <w:t>1</w:t>
      </w:r>
      <w:r w:rsidRPr="00831C3C">
        <w:rPr>
          <w:rFonts w:asciiTheme="minorEastAsia" w:eastAsiaTheme="minorEastAsia" w:hAnsiTheme="minorEastAsia" w:hint="eastAsia"/>
          <w:sz w:val="18"/>
          <w:szCs w:val="18"/>
        </w:rPr>
        <w:t>元）计量。按照名义金额计量的政府补助，直接计入当期损益。</w:t>
      </w:r>
    </w:p>
    <w:p w:rsidR="00C65FD5" w:rsidRPr="00831C3C" w:rsidRDefault="00C65FD5" w:rsidP="00CC7D91">
      <w:pPr>
        <w:widowControl/>
        <w:numPr>
          <w:ilvl w:val="0"/>
          <w:numId w:val="113"/>
        </w:numPr>
        <w:spacing w:before="100" w:beforeAutospacing="1" w:after="100" w:afterAutospacing="1"/>
        <w:divId w:val="1844587742"/>
        <w:rPr>
          <w:sz w:val="18"/>
          <w:szCs w:val="18"/>
        </w:rPr>
      </w:pPr>
      <w:r w:rsidRPr="00831C3C">
        <w:rPr>
          <w:rFonts w:hint="eastAsia"/>
          <w:sz w:val="18"/>
          <w:szCs w:val="18"/>
        </w:rPr>
        <w:t>．会计处理方法</w:t>
      </w:r>
    </w:p>
    <w:p w:rsidR="00C65FD5" w:rsidRPr="00831C3C" w:rsidRDefault="00C65FD5" w:rsidP="003D003F">
      <w:pPr>
        <w:pStyle w:val="a3"/>
        <w:spacing w:before="0" w:beforeAutospacing="0" w:after="0" w:afterAutospacing="0"/>
        <w:ind w:firstLine="420"/>
        <w:jc w:val="both"/>
        <w:divId w:val="1844587742"/>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本公司根据经济业务的实质，确定某一类政府补助业务应当采用总额法还是净额法进行会计处理。通常情况下，本公司对于同类或类似政府补助业务只选用一种方法，且对该业务一贯地运用该方法。</w:t>
      </w:r>
    </w:p>
    <w:p w:rsidR="00C65FD5" w:rsidRPr="00831C3C" w:rsidRDefault="00C65FD5" w:rsidP="003D003F">
      <w:pPr>
        <w:pStyle w:val="a3"/>
        <w:spacing w:before="0" w:beforeAutospacing="0" w:after="0" w:afterAutospacing="0"/>
        <w:ind w:firstLine="420"/>
        <w:jc w:val="both"/>
        <w:divId w:val="1844587742"/>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与资产相关的政府补助，应当冲减相关资产的账面价值或</w:t>
      </w:r>
      <w:proofErr w:type="gramStart"/>
      <w:r w:rsidRPr="00831C3C">
        <w:rPr>
          <w:rFonts w:asciiTheme="minorEastAsia" w:eastAsiaTheme="minorEastAsia" w:hAnsiTheme="minorEastAsia" w:hint="eastAsia"/>
          <w:sz w:val="18"/>
          <w:szCs w:val="18"/>
        </w:rPr>
        <w:t>确认为递延</w:t>
      </w:r>
      <w:proofErr w:type="gramEnd"/>
      <w:r w:rsidRPr="00831C3C">
        <w:rPr>
          <w:rFonts w:asciiTheme="minorEastAsia" w:eastAsiaTheme="minorEastAsia" w:hAnsiTheme="minorEastAsia" w:hint="eastAsia"/>
          <w:sz w:val="18"/>
          <w:szCs w:val="18"/>
        </w:rPr>
        <w:t>收益。与资产相关的政府补助</w:t>
      </w:r>
      <w:proofErr w:type="gramStart"/>
      <w:r w:rsidRPr="00831C3C">
        <w:rPr>
          <w:rFonts w:asciiTheme="minorEastAsia" w:eastAsiaTheme="minorEastAsia" w:hAnsiTheme="minorEastAsia" w:hint="eastAsia"/>
          <w:sz w:val="18"/>
          <w:szCs w:val="18"/>
        </w:rPr>
        <w:t>确认为递延</w:t>
      </w:r>
      <w:proofErr w:type="gramEnd"/>
      <w:r w:rsidRPr="00831C3C">
        <w:rPr>
          <w:rFonts w:asciiTheme="minorEastAsia" w:eastAsiaTheme="minorEastAsia" w:hAnsiTheme="minorEastAsia" w:hint="eastAsia"/>
          <w:sz w:val="18"/>
          <w:szCs w:val="18"/>
        </w:rPr>
        <w:t>收益的，在所建造或购买资产使用寿命内按照合理、系统的方法分期计入损益。</w:t>
      </w:r>
    </w:p>
    <w:p w:rsidR="00C65FD5" w:rsidRPr="00831C3C" w:rsidRDefault="00C65FD5" w:rsidP="003D003F">
      <w:pPr>
        <w:pStyle w:val="a3"/>
        <w:spacing w:before="0" w:beforeAutospacing="0" w:after="0" w:afterAutospacing="0"/>
        <w:ind w:firstLine="420"/>
        <w:jc w:val="both"/>
        <w:divId w:val="1844587742"/>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与收益相关的政府补助，用于补偿企业以后期间的相关费用或损失的，</w:t>
      </w:r>
      <w:proofErr w:type="gramStart"/>
      <w:r w:rsidRPr="00831C3C">
        <w:rPr>
          <w:rFonts w:asciiTheme="minorEastAsia" w:eastAsiaTheme="minorEastAsia" w:hAnsiTheme="minorEastAsia" w:hint="eastAsia"/>
          <w:sz w:val="18"/>
          <w:szCs w:val="18"/>
        </w:rPr>
        <w:t>确认为递延</w:t>
      </w:r>
      <w:proofErr w:type="gramEnd"/>
      <w:r w:rsidRPr="00831C3C">
        <w:rPr>
          <w:rFonts w:asciiTheme="minorEastAsia" w:eastAsiaTheme="minorEastAsia" w:hAnsiTheme="minorEastAsia" w:hint="eastAsia"/>
          <w:sz w:val="18"/>
          <w:szCs w:val="18"/>
        </w:rPr>
        <w:t>收益，在确认相关费用或损失的期间计入当期损益或冲减相关成本；用于补偿企业已发生的相关费用或损失的，取得时直接计入当期损益或冲减相关成本。</w:t>
      </w:r>
    </w:p>
    <w:p w:rsidR="00C65FD5" w:rsidRPr="00831C3C" w:rsidRDefault="00C65FD5" w:rsidP="003D003F">
      <w:pPr>
        <w:pStyle w:val="a3"/>
        <w:spacing w:before="0" w:beforeAutospacing="0" w:after="0" w:afterAutospacing="0"/>
        <w:ind w:firstLine="420"/>
        <w:jc w:val="both"/>
        <w:divId w:val="1844587742"/>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与企业日常活动相关的政府补助计入其他收益或冲减相关成本费用；与企业日常活动无关的政府补助计入营业外收支。</w:t>
      </w:r>
    </w:p>
    <w:p w:rsidR="00C65FD5" w:rsidRPr="00831C3C" w:rsidRDefault="00C65FD5" w:rsidP="003D003F">
      <w:pPr>
        <w:pStyle w:val="a3"/>
        <w:spacing w:before="0" w:beforeAutospacing="0" w:after="0" w:afterAutospacing="0"/>
        <w:ind w:firstLine="420"/>
        <w:jc w:val="both"/>
        <w:divId w:val="1844587742"/>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收到与政策性优惠贷款贴息相关的政府补助冲减相关借款费用；取得贷款银行提供的政策性优惠利率贷款的，以实际收到的借款金额作为借款的入账价值，按照借款本金和该政策性优惠利率计算相关借款费用。</w:t>
      </w:r>
    </w:p>
    <w:p w:rsidR="00C65FD5" w:rsidRPr="00831C3C" w:rsidRDefault="00C65FD5" w:rsidP="003D003F">
      <w:pPr>
        <w:pStyle w:val="a3"/>
        <w:spacing w:before="0" w:beforeAutospacing="0" w:after="0" w:afterAutospacing="0"/>
        <w:ind w:firstLine="420"/>
        <w:jc w:val="both"/>
        <w:divId w:val="1844587742"/>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已确认的政府补助需要返还时，初始确认时冲减相关资产账面价值的，调整资产账面价值；存在相关递延收益余额的，冲减相关递延收益账面余额，超出部分计入当期损益；不存在相关递延收益的，直接计入当期损益。</w:t>
      </w:r>
    </w:p>
    <w:p w:rsidR="00E23A97" w:rsidRPr="00831C3C" w:rsidRDefault="00C65FD5">
      <w:pPr>
        <w:pStyle w:val="3"/>
        <w:spacing w:line="280" w:lineRule="exact"/>
        <w:jc w:val="left"/>
        <w:rPr>
          <w:rFonts w:ascii="宋体" w:hAnsi="宋体" w:cs="宋体"/>
          <w:b/>
          <w:bCs/>
        </w:rPr>
      </w:pPr>
      <w:bookmarkStart w:id="230" w:name="_Toc989113"/>
      <w:r w:rsidRPr="00831C3C">
        <w:rPr>
          <w:rFonts w:ascii="宋体" w:hAnsi="宋体" w:cs="宋体"/>
          <w:b/>
          <w:bCs/>
        </w:rPr>
        <w:t>40、递延所得税资产/递延所得税负债</w:t>
      </w:r>
      <w:bookmarkEnd w:id="230"/>
    </w:p>
    <w:p w:rsidR="00C65FD5" w:rsidRPr="00831C3C" w:rsidRDefault="00C65FD5" w:rsidP="003D003F">
      <w:pPr>
        <w:pStyle w:val="a3"/>
        <w:spacing w:before="0" w:beforeAutospacing="0" w:after="0" w:afterAutospacing="0"/>
        <w:ind w:firstLine="420"/>
        <w:jc w:val="both"/>
        <w:divId w:val="783578188"/>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递延所得税资产和递延所得税负债根据资产和负债的计税基础与其账面价值的差额</w:t>
      </w:r>
      <w:r w:rsidRPr="00831C3C">
        <w:rPr>
          <w:rFonts w:asciiTheme="minorEastAsia" w:eastAsiaTheme="minorEastAsia" w:hAnsiTheme="minorEastAsia"/>
          <w:sz w:val="18"/>
          <w:szCs w:val="18"/>
        </w:rPr>
        <w:t>(</w:t>
      </w:r>
      <w:r w:rsidRPr="00831C3C">
        <w:rPr>
          <w:rFonts w:asciiTheme="minorEastAsia" w:eastAsiaTheme="minorEastAsia" w:hAnsiTheme="minorEastAsia" w:hint="eastAsia"/>
          <w:sz w:val="18"/>
          <w:szCs w:val="18"/>
        </w:rPr>
        <w:t>暂时性差异</w:t>
      </w:r>
      <w:r w:rsidRPr="00831C3C">
        <w:rPr>
          <w:rFonts w:asciiTheme="minorEastAsia" w:eastAsiaTheme="minorEastAsia" w:hAnsiTheme="minorEastAsia"/>
          <w:sz w:val="18"/>
          <w:szCs w:val="18"/>
        </w:rPr>
        <w:t>)</w:t>
      </w:r>
      <w:r w:rsidRPr="00831C3C">
        <w:rPr>
          <w:rFonts w:asciiTheme="minorEastAsia" w:eastAsiaTheme="minorEastAsia" w:hAnsiTheme="minorEastAsia" w:hint="eastAsia"/>
          <w:sz w:val="18"/>
          <w:szCs w:val="18"/>
        </w:rPr>
        <w:t>计算确认。于资产负债表日，递延所得税资产和递延所得税负债，按照预期收回该资产或清偿该负债期间的适用税率计量。</w:t>
      </w:r>
    </w:p>
    <w:p w:rsidR="00C65FD5" w:rsidRPr="00831C3C" w:rsidRDefault="00C65FD5" w:rsidP="00CC7D91">
      <w:pPr>
        <w:widowControl/>
        <w:numPr>
          <w:ilvl w:val="0"/>
          <w:numId w:val="114"/>
        </w:numPr>
        <w:spacing w:before="100" w:beforeAutospacing="1" w:after="100" w:afterAutospacing="1"/>
        <w:divId w:val="783578188"/>
        <w:rPr>
          <w:sz w:val="18"/>
          <w:szCs w:val="18"/>
        </w:rPr>
      </w:pPr>
      <w:r w:rsidRPr="00831C3C">
        <w:rPr>
          <w:rFonts w:hint="eastAsia"/>
          <w:sz w:val="18"/>
          <w:szCs w:val="18"/>
        </w:rPr>
        <w:t>．确认递延所得税资产的依据</w:t>
      </w:r>
    </w:p>
    <w:p w:rsidR="00C65FD5" w:rsidRPr="00831C3C" w:rsidRDefault="00C65FD5" w:rsidP="003D003F">
      <w:pPr>
        <w:pStyle w:val="a3"/>
        <w:spacing w:before="0" w:beforeAutospacing="0" w:after="0" w:afterAutospacing="0"/>
        <w:ind w:firstLine="420"/>
        <w:jc w:val="both"/>
        <w:divId w:val="783578188"/>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以很可能取得用来抵扣可抵扣暂时性差异、能够结转以后年度的可抵扣亏损和税款抵减的应纳税所得额为限，确认由可抵扣暂时性差异产生的递延所得税资产。但是，同时具有下列特征的交易中因资产或负债的初始确认所产生的递延所得税资产不予确认：（</w:t>
      </w:r>
      <w:r w:rsidRPr="00831C3C">
        <w:rPr>
          <w:rFonts w:asciiTheme="minorEastAsia" w:eastAsiaTheme="minorEastAsia" w:hAnsiTheme="minorEastAsia"/>
          <w:sz w:val="18"/>
          <w:szCs w:val="18"/>
        </w:rPr>
        <w:t>1</w:t>
      </w:r>
      <w:r w:rsidRPr="00831C3C">
        <w:rPr>
          <w:rFonts w:asciiTheme="minorEastAsia" w:eastAsiaTheme="minorEastAsia" w:hAnsiTheme="minorEastAsia" w:hint="eastAsia"/>
          <w:sz w:val="18"/>
          <w:szCs w:val="18"/>
        </w:rPr>
        <w:t>）该交易不是企业合并；（</w:t>
      </w:r>
      <w:r w:rsidRPr="00831C3C">
        <w:rPr>
          <w:rFonts w:asciiTheme="minorEastAsia" w:eastAsiaTheme="minorEastAsia" w:hAnsiTheme="minorEastAsia"/>
          <w:sz w:val="18"/>
          <w:szCs w:val="18"/>
        </w:rPr>
        <w:t>2</w:t>
      </w:r>
      <w:r w:rsidRPr="00831C3C">
        <w:rPr>
          <w:rFonts w:asciiTheme="minorEastAsia" w:eastAsiaTheme="minorEastAsia" w:hAnsiTheme="minorEastAsia" w:hint="eastAsia"/>
          <w:sz w:val="18"/>
          <w:szCs w:val="18"/>
        </w:rPr>
        <w:t>）交易发生时既不影响会计利润也不影响应纳税所得额或可抵扣亏损。</w:t>
      </w:r>
    </w:p>
    <w:p w:rsidR="00C65FD5" w:rsidRPr="00831C3C" w:rsidRDefault="00C65FD5" w:rsidP="003D003F">
      <w:pPr>
        <w:pStyle w:val="a3"/>
        <w:spacing w:before="0" w:beforeAutospacing="0" w:after="0" w:afterAutospacing="0"/>
        <w:ind w:firstLine="420"/>
        <w:jc w:val="both"/>
        <w:divId w:val="783578188"/>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对于与联营企业投资相关的可抵扣暂时性差异，同时满足下列条件的，确认相应的递延所得税资产：暂时性差异在可预见的未来很可能转回，且未来很可能获得用来抵扣可抵扣暂时性差异的应纳税所得额。</w:t>
      </w:r>
    </w:p>
    <w:p w:rsidR="00C65FD5" w:rsidRPr="00831C3C" w:rsidRDefault="00C65FD5" w:rsidP="00CC7D91">
      <w:pPr>
        <w:widowControl/>
        <w:numPr>
          <w:ilvl w:val="0"/>
          <w:numId w:val="115"/>
        </w:numPr>
        <w:spacing w:before="100" w:beforeAutospacing="1" w:after="100" w:afterAutospacing="1"/>
        <w:divId w:val="783578188"/>
        <w:rPr>
          <w:sz w:val="18"/>
          <w:szCs w:val="18"/>
        </w:rPr>
      </w:pPr>
      <w:r w:rsidRPr="00831C3C">
        <w:rPr>
          <w:rFonts w:hint="eastAsia"/>
          <w:sz w:val="18"/>
          <w:szCs w:val="18"/>
        </w:rPr>
        <w:t>．确认递延所得税负债的依据</w:t>
      </w:r>
    </w:p>
    <w:p w:rsidR="00C65FD5" w:rsidRPr="00831C3C" w:rsidRDefault="00C65FD5" w:rsidP="003D003F">
      <w:pPr>
        <w:pStyle w:val="a3"/>
        <w:spacing w:before="0" w:beforeAutospacing="0" w:after="0" w:afterAutospacing="0"/>
        <w:ind w:firstLine="420"/>
        <w:jc w:val="both"/>
        <w:divId w:val="783578188"/>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公司将当期与以前期间应交未交的应纳税暂时性差异</w:t>
      </w:r>
      <w:proofErr w:type="gramStart"/>
      <w:r w:rsidRPr="00831C3C">
        <w:rPr>
          <w:rFonts w:asciiTheme="minorEastAsia" w:eastAsiaTheme="minorEastAsia" w:hAnsiTheme="minorEastAsia" w:hint="eastAsia"/>
          <w:sz w:val="18"/>
          <w:szCs w:val="18"/>
        </w:rPr>
        <w:t>确认为递延</w:t>
      </w:r>
      <w:proofErr w:type="gramEnd"/>
      <w:r w:rsidRPr="00831C3C">
        <w:rPr>
          <w:rFonts w:asciiTheme="minorEastAsia" w:eastAsiaTheme="minorEastAsia" w:hAnsiTheme="minorEastAsia" w:hint="eastAsia"/>
          <w:sz w:val="18"/>
          <w:szCs w:val="18"/>
        </w:rPr>
        <w:t>所得税负债。但不包括：</w:t>
      </w:r>
    </w:p>
    <w:p w:rsidR="00C65FD5" w:rsidRPr="00831C3C" w:rsidRDefault="00C65FD5" w:rsidP="003D003F">
      <w:pPr>
        <w:pStyle w:val="a3"/>
        <w:spacing w:before="0" w:beforeAutospacing="0" w:after="0" w:afterAutospacing="0"/>
        <w:ind w:firstLine="420"/>
        <w:jc w:val="both"/>
        <w:divId w:val="783578188"/>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1</w:t>
      </w:r>
      <w:r w:rsidRPr="00831C3C">
        <w:rPr>
          <w:rFonts w:asciiTheme="minorEastAsia" w:eastAsiaTheme="minorEastAsia" w:hAnsiTheme="minorEastAsia" w:hint="eastAsia"/>
          <w:sz w:val="18"/>
          <w:szCs w:val="18"/>
        </w:rPr>
        <w:t>）商誉的初始确认所形成的暂时性差异；</w:t>
      </w:r>
    </w:p>
    <w:p w:rsidR="00C65FD5" w:rsidRPr="00831C3C" w:rsidRDefault="00C65FD5" w:rsidP="003D003F">
      <w:pPr>
        <w:pStyle w:val="a3"/>
        <w:spacing w:before="0" w:beforeAutospacing="0" w:after="0" w:afterAutospacing="0"/>
        <w:ind w:firstLine="420"/>
        <w:jc w:val="both"/>
        <w:divId w:val="783578188"/>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lastRenderedPageBreak/>
        <w:t>（</w:t>
      </w:r>
      <w:r w:rsidRPr="00831C3C">
        <w:rPr>
          <w:rFonts w:asciiTheme="minorEastAsia" w:eastAsiaTheme="minorEastAsia" w:hAnsiTheme="minorEastAsia"/>
          <w:sz w:val="18"/>
          <w:szCs w:val="18"/>
        </w:rPr>
        <w:t>2</w:t>
      </w:r>
      <w:r w:rsidRPr="00831C3C">
        <w:rPr>
          <w:rFonts w:asciiTheme="minorEastAsia" w:eastAsiaTheme="minorEastAsia" w:hAnsiTheme="minorEastAsia" w:hint="eastAsia"/>
          <w:sz w:val="18"/>
          <w:szCs w:val="18"/>
        </w:rPr>
        <w:t>）非企业合并形成的交易或事项，且该交易或事项发生时既不影响会计利润，也不影响应纳税所得额（或可抵扣亏损）所形成的暂时性差异；</w:t>
      </w:r>
    </w:p>
    <w:p w:rsidR="00C65FD5" w:rsidRPr="00831C3C" w:rsidRDefault="00C65FD5" w:rsidP="003D003F">
      <w:pPr>
        <w:pStyle w:val="a3"/>
        <w:spacing w:before="0" w:beforeAutospacing="0" w:after="0" w:afterAutospacing="0"/>
        <w:ind w:firstLine="420"/>
        <w:jc w:val="both"/>
        <w:divId w:val="783578188"/>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3</w:t>
      </w:r>
      <w:r w:rsidRPr="00831C3C">
        <w:rPr>
          <w:rFonts w:asciiTheme="minorEastAsia" w:eastAsiaTheme="minorEastAsia" w:hAnsiTheme="minorEastAsia" w:hint="eastAsia"/>
          <w:sz w:val="18"/>
          <w:szCs w:val="18"/>
        </w:rPr>
        <w:t>）对于与子公司、联营企业投资相关的应纳税暂时性差异，该暂时性差异转回的时间能够控制并且该暂时性差异在可预见的未来很可能不会转回。</w:t>
      </w:r>
    </w:p>
    <w:p w:rsidR="00C65FD5" w:rsidRPr="00831C3C" w:rsidRDefault="00C65FD5" w:rsidP="00CC7D91">
      <w:pPr>
        <w:widowControl/>
        <w:numPr>
          <w:ilvl w:val="0"/>
          <w:numId w:val="115"/>
        </w:numPr>
        <w:spacing w:before="100" w:beforeAutospacing="1" w:after="100" w:afterAutospacing="1"/>
        <w:divId w:val="783578188"/>
        <w:rPr>
          <w:sz w:val="18"/>
          <w:szCs w:val="18"/>
        </w:rPr>
      </w:pPr>
      <w:r w:rsidRPr="00831C3C">
        <w:rPr>
          <w:rFonts w:hint="eastAsia"/>
          <w:sz w:val="18"/>
          <w:szCs w:val="18"/>
        </w:rPr>
        <w:t>．同时满足下列条件时，</w:t>
      </w:r>
      <w:proofErr w:type="gramStart"/>
      <w:r w:rsidRPr="00831C3C">
        <w:rPr>
          <w:rFonts w:hint="eastAsia"/>
          <w:sz w:val="18"/>
          <w:szCs w:val="18"/>
        </w:rPr>
        <w:t>将递延</w:t>
      </w:r>
      <w:proofErr w:type="gramEnd"/>
      <w:r w:rsidRPr="00831C3C">
        <w:rPr>
          <w:rFonts w:hint="eastAsia"/>
          <w:sz w:val="18"/>
          <w:szCs w:val="18"/>
        </w:rPr>
        <w:t>所得税资产及递延所得税负债以</w:t>
      </w:r>
      <w:proofErr w:type="gramStart"/>
      <w:r w:rsidRPr="00831C3C">
        <w:rPr>
          <w:rFonts w:hint="eastAsia"/>
          <w:sz w:val="18"/>
          <w:szCs w:val="18"/>
        </w:rPr>
        <w:t>抵销</w:t>
      </w:r>
      <w:proofErr w:type="gramEnd"/>
      <w:r w:rsidRPr="00831C3C">
        <w:rPr>
          <w:rFonts w:hint="eastAsia"/>
          <w:sz w:val="18"/>
          <w:szCs w:val="18"/>
        </w:rPr>
        <w:t>后的净额列示</w:t>
      </w:r>
    </w:p>
    <w:p w:rsidR="00C65FD5" w:rsidRPr="00831C3C" w:rsidRDefault="00C65FD5" w:rsidP="003D003F">
      <w:pPr>
        <w:pStyle w:val="a3"/>
        <w:spacing w:before="0" w:beforeAutospacing="0" w:after="0" w:afterAutospacing="0"/>
        <w:ind w:firstLine="420"/>
        <w:jc w:val="both"/>
        <w:divId w:val="783578188"/>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1</w:t>
      </w:r>
      <w:r w:rsidRPr="00831C3C">
        <w:rPr>
          <w:rFonts w:asciiTheme="minorEastAsia" w:eastAsiaTheme="minorEastAsia" w:hAnsiTheme="minorEastAsia" w:hint="eastAsia"/>
          <w:sz w:val="18"/>
          <w:szCs w:val="18"/>
        </w:rPr>
        <w:t>）企业拥有以净额结算当期所得税资产及当期所得税负债的法定权利；</w:t>
      </w:r>
    </w:p>
    <w:p w:rsidR="00C65FD5" w:rsidRPr="00831C3C" w:rsidRDefault="00C65FD5" w:rsidP="003D003F">
      <w:pPr>
        <w:pStyle w:val="a3"/>
        <w:spacing w:before="0" w:beforeAutospacing="0" w:after="0" w:afterAutospacing="0"/>
        <w:ind w:firstLine="420"/>
        <w:jc w:val="both"/>
        <w:divId w:val="783578188"/>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2</w:t>
      </w:r>
      <w:r w:rsidRPr="00831C3C">
        <w:rPr>
          <w:rFonts w:asciiTheme="minorEastAsia" w:eastAsiaTheme="minorEastAsia" w:hAnsiTheme="minorEastAsia" w:hint="eastAsia"/>
          <w:sz w:val="18"/>
          <w:szCs w:val="18"/>
        </w:rPr>
        <w:t>）递延所得税资产和递延所得税负债是与同</w:t>
      </w:r>
      <w:proofErr w:type="gramStart"/>
      <w:r w:rsidRPr="00831C3C">
        <w:rPr>
          <w:rFonts w:asciiTheme="minorEastAsia" w:eastAsiaTheme="minorEastAsia" w:hAnsiTheme="minorEastAsia" w:hint="eastAsia"/>
          <w:sz w:val="18"/>
          <w:szCs w:val="18"/>
        </w:rPr>
        <w:t>一税收</w:t>
      </w:r>
      <w:proofErr w:type="gramEnd"/>
      <w:r w:rsidRPr="00831C3C">
        <w:rPr>
          <w:rFonts w:asciiTheme="minorEastAsia" w:eastAsiaTheme="minorEastAsia" w:hAnsiTheme="minorEastAsia" w:hint="eastAsia"/>
          <w:sz w:val="18"/>
          <w:szCs w:val="18"/>
        </w:rPr>
        <w:t>征管部门对同一纳税主体征收的所得税相关或者对不同的纳税主体相关，但在未来每一具有重要性的递延所得税资产和递延所得税负债转回的期间内，涉及的纳税主体</w:t>
      </w:r>
      <w:proofErr w:type="gramStart"/>
      <w:r w:rsidRPr="00831C3C">
        <w:rPr>
          <w:rFonts w:asciiTheme="minorEastAsia" w:eastAsiaTheme="minorEastAsia" w:hAnsiTheme="minorEastAsia" w:hint="eastAsia"/>
          <w:sz w:val="18"/>
          <w:szCs w:val="18"/>
        </w:rPr>
        <w:t>体</w:t>
      </w:r>
      <w:proofErr w:type="gramEnd"/>
      <w:r w:rsidRPr="00831C3C">
        <w:rPr>
          <w:rFonts w:asciiTheme="minorEastAsia" w:eastAsiaTheme="minorEastAsia" w:hAnsiTheme="minorEastAsia" w:hint="eastAsia"/>
          <w:sz w:val="18"/>
          <w:szCs w:val="18"/>
        </w:rPr>
        <w:t>意图以净额结算当期所得税资产及当期所得税负债或是同时取得资产、清偿债务。</w:t>
      </w:r>
    </w:p>
    <w:p w:rsidR="00E23A97" w:rsidRPr="00831C3C" w:rsidRDefault="00C65FD5">
      <w:pPr>
        <w:pStyle w:val="3"/>
        <w:spacing w:line="280" w:lineRule="exact"/>
        <w:jc w:val="left"/>
        <w:rPr>
          <w:rFonts w:ascii="宋体" w:hAnsi="宋体" w:cs="宋体"/>
          <w:b/>
          <w:bCs/>
        </w:rPr>
      </w:pPr>
      <w:bookmarkStart w:id="231" w:name="_Toc989114"/>
      <w:r w:rsidRPr="00831C3C">
        <w:rPr>
          <w:rFonts w:ascii="宋体" w:hAnsi="宋体" w:cs="宋体"/>
          <w:b/>
          <w:bCs/>
        </w:rPr>
        <w:t>41、租赁</w:t>
      </w:r>
      <w:bookmarkEnd w:id="231"/>
    </w:p>
    <w:p w:rsidR="00E23A97" w:rsidRPr="00831C3C" w:rsidRDefault="00C65FD5">
      <w:pPr>
        <w:keepNext/>
        <w:keepLines/>
        <w:spacing w:before="300" w:after="300" w:line="280" w:lineRule="exact"/>
        <w:outlineLvl w:val="3"/>
        <w:rPr>
          <w:rFonts w:ascii="宋体" w:eastAsia="宋体" w:hAnsi="宋体" w:cs="宋体"/>
          <w:b/>
          <w:bCs/>
          <w:szCs w:val="21"/>
        </w:rPr>
      </w:pPr>
      <w:bookmarkStart w:id="232" w:name="_Toc989115"/>
      <w:r w:rsidRPr="00831C3C">
        <w:rPr>
          <w:rFonts w:ascii="宋体" w:eastAsia="宋体" w:hAnsi="宋体" w:cs="宋体"/>
          <w:b/>
          <w:bCs/>
          <w:szCs w:val="21"/>
        </w:rPr>
        <w:t>（1）作为承租方租赁的会计处理方法</w:t>
      </w:r>
      <w:bookmarkEnd w:id="232"/>
    </w:p>
    <w:p w:rsidR="00C65FD5" w:rsidRPr="00831C3C" w:rsidRDefault="00C65FD5" w:rsidP="003D003F">
      <w:pPr>
        <w:pStyle w:val="a3"/>
        <w:spacing w:before="0" w:beforeAutospacing="0" w:after="0" w:afterAutospacing="0"/>
        <w:ind w:firstLine="420"/>
        <w:divId w:val="414211523"/>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在租赁期开始日，除应用简化处理的短期租赁和低价值资产租赁外，本公司对租赁确认使用权资产和租赁负债。</w:t>
      </w:r>
    </w:p>
    <w:p w:rsidR="00C65FD5" w:rsidRPr="00831C3C" w:rsidRDefault="00C65FD5" w:rsidP="003D003F">
      <w:pPr>
        <w:pStyle w:val="a3"/>
        <w:spacing w:before="0" w:beforeAutospacing="0" w:after="0" w:afterAutospacing="0"/>
        <w:ind w:firstLine="420"/>
        <w:divId w:val="414211523"/>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1</w:t>
      </w:r>
      <w:r w:rsidRPr="00831C3C">
        <w:rPr>
          <w:rFonts w:asciiTheme="minorEastAsia" w:eastAsiaTheme="minorEastAsia" w:hAnsiTheme="minorEastAsia" w:hint="eastAsia"/>
          <w:sz w:val="18"/>
          <w:szCs w:val="18"/>
        </w:rPr>
        <w:t>）短期租赁和低价值资产租赁</w:t>
      </w:r>
    </w:p>
    <w:p w:rsidR="00C65FD5" w:rsidRPr="00831C3C" w:rsidRDefault="00C65FD5" w:rsidP="003D003F">
      <w:pPr>
        <w:pStyle w:val="a3"/>
        <w:spacing w:before="0" w:beforeAutospacing="0" w:after="0" w:afterAutospacing="0"/>
        <w:ind w:firstLine="420"/>
        <w:divId w:val="414211523"/>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短期租赁是指不包含购买选择权且租赁期不超过</w:t>
      </w:r>
      <w:r w:rsidRPr="00831C3C">
        <w:rPr>
          <w:rFonts w:asciiTheme="minorEastAsia" w:eastAsiaTheme="minorEastAsia" w:hAnsiTheme="minorEastAsia"/>
          <w:sz w:val="18"/>
          <w:szCs w:val="18"/>
        </w:rPr>
        <w:t>12</w:t>
      </w:r>
      <w:r w:rsidRPr="00831C3C">
        <w:rPr>
          <w:rFonts w:asciiTheme="minorEastAsia" w:eastAsiaTheme="minorEastAsia" w:hAnsiTheme="minorEastAsia" w:hint="eastAsia"/>
          <w:sz w:val="18"/>
          <w:szCs w:val="18"/>
        </w:rPr>
        <w:t>个月的租赁。低价值资产租赁是指单项租赁资产为全新资产时价值较低的租赁，主要包括员工宿舍租赁。</w:t>
      </w:r>
    </w:p>
    <w:p w:rsidR="00C65FD5" w:rsidRPr="00831C3C" w:rsidRDefault="00C65FD5" w:rsidP="003D003F">
      <w:pPr>
        <w:pStyle w:val="a3"/>
        <w:spacing w:before="0" w:beforeAutospacing="0" w:after="0" w:afterAutospacing="0"/>
        <w:ind w:firstLine="420"/>
        <w:divId w:val="414211523"/>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本公司对以下短期租赁和低价值资产租赁不确认使用权资产和租赁负债，相关租赁付款额在租赁期内各个期间按照直线法计入相关资产成本或当期损益。</w:t>
      </w:r>
    </w:p>
    <w:tbl>
      <w:tblPr>
        <w:tblW w:w="9606" w:type="dxa"/>
        <w:tblCellMar>
          <w:left w:w="0" w:type="dxa"/>
          <w:right w:w="0" w:type="dxa"/>
        </w:tblCellMar>
        <w:tblLook w:val="04A0" w:firstRow="1" w:lastRow="0" w:firstColumn="1" w:lastColumn="0" w:noHBand="0" w:noVBand="1"/>
        <w:tblCaption w:val="D:\大华\华孚\2024年度\TB|0-合并TB-华孚时尚股份有限公司-2024年度.xlsx|W附注模板|_jds18|0|desc|||0|1"/>
      </w:tblPr>
      <w:tblGrid>
        <w:gridCol w:w="2766"/>
        <w:gridCol w:w="6840"/>
      </w:tblGrid>
      <w:tr w:rsidR="00831C3C" w:rsidRPr="00831C3C" w:rsidTr="003D003F">
        <w:trPr>
          <w:divId w:val="414211523"/>
          <w:trHeight w:val="340"/>
        </w:trPr>
        <w:tc>
          <w:tcPr>
            <w:tcW w:w="276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项目</w:t>
            </w:r>
          </w:p>
        </w:tc>
        <w:tc>
          <w:tcPr>
            <w:tcW w:w="68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采用简化处理的租赁资产类别</w:t>
            </w:r>
          </w:p>
        </w:tc>
      </w:tr>
      <w:tr w:rsidR="00831C3C" w:rsidRPr="00831C3C" w:rsidTr="003D003F">
        <w:trPr>
          <w:divId w:val="414211523"/>
          <w:trHeight w:val="340"/>
        </w:trPr>
        <w:tc>
          <w:tcPr>
            <w:tcW w:w="276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短期租赁</w:t>
            </w:r>
          </w:p>
        </w:tc>
        <w:tc>
          <w:tcPr>
            <w:tcW w:w="6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租赁期在1年及以下的租赁</w:t>
            </w:r>
          </w:p>
        </w:tc>
      </w:tr>
    </w:tbl>
    <w:p w:rsidR="00C65FD5" w:rsidRPr="00831C3C" w:rsidRDefault="00C65FD5">
      <w:pPr>
        <w:pStyle w:val="a3"/>
        <w:spacing w:before="0" w:beforeAutospacing="0" w:after="0" w:afterAutospacing="0" w:line="360" w:lineRule="auto"/>
        <w:ind w:firstLine="420"/>
        <w:divId w:val="414211523"/>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本公司对除上述以外的短期租赁和低价值资产租赁确认使用权资产和租赁负债。</w:t>
      </w:r>
    </w:p>
    <w:p w:rsidR="00C65FD5" w:rsidRPr="00831C3C" w:rsidRDefault="00C65FD5">
      <w:pPr>
        <w:pStyle w:val="a3"/>
        <w:spacing w:before="0" w:beforeAutospacing="0" w:after="0" w:afterAutospacing="0" w:line="360" w:lineRule="auto"/>
        <w:ind w:firstLine="420"/>
        <w:divId w:val="414211523"/>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2</w:t>
      </w:r>
      <w:r w:rsidRPr="00831C3C">
        <w:rPr>
          <w:rFonts w:asciiTheme="minorEastAsia" w:eastAsiaTheme="minorEastAsia" w:hAnsiTheme="minorEastAsia" w:hint="eastAsia"/>
          <w:sz w:val="18"/>
          <w:szCs w:val="18"/>
        </w:rPr>
        <w:t>）使用权资产和租赁负债的会计政策详见本附注（三十）和（三十八）。</w:t>
      </w:r>
    </w:p>
    <w:p w:rsidR="00E23A97" w:rsidRPr="00831C3C" w:rsidRDefault="00C65FD5">
      <w:pPr>
        <w:keepNext/>
        <w:keepLines/>
        <w:spacing w:before="300" w:after="300" w:line="280" w:lineRule="exact"/>
        <w:outlineLvl w:val="3"/>
        <w:rPr>
          <w:rFonts w:ascii="宋体" w:eastAsia="宋体" w:hAnsi="宋体" w:cs="宋体"/>
          <w:b/>
          <w:bCs/>
          <w:szCs w:val="21"/>
        </w:rPr>
      </w:pPr>
      <w:bookmarkStart w:id="233" w:name="_Toc989116"/>
      <w:r w:rsidRPr="00831C3C">
        <w:rPr>
          <w:rFonts w:ascii="宋体" w:eastAsia="宋体" w:hAnsi="宋体" w:cs="宋体"/>
          <w:b/>
          <w:bCs/>
          <w:szCs w:val="21"/>
        </w:rPr>
        <w:t>（2）作为出租方租赁的会计处理方法</w:t>
      </w:r>
      <w:bookmarkEnd w:id="233"/>
    </w:p>
    <w:p w:rsidR="00C65FD5" w:rsidRPr="00831C3C" w:rsidRDefault="00C65FD5" w:rsidP="003D003F">
      <w:pPr>
        <w:pStyle w:val="a3"/>
        <w:spacing w:before="0" w:beforeAutospacing="0" w:after="0" w:afterAutospacing="0"/>
        <w:ind w:firstLine="420"/>
        <w:divId w:val="827289713"/>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1</w:t>
      </w:r>
      <w:r w:rsidRPr="00831C3C">
        <w:rPr>
          <w:rFonts w:asciiTheme="minorEastAsia" w:eastAsiaTheme="minorEastAsia" w:hAnsiTheme="minorEastAsia" w:hint="eastAsia"/>
          <w:sz w:val="18"/>
          <w:szCs w:val="18"/>
        </w:rPr>
        <w:t>）租赁的分类</w:t>
      </w:r>
    </w:p>
    <w:p w:rsidR="00C65FD5" w:rsidRPr="00831C3C" w:rsidRDefault="00C65FD5" w:rsidP="003D003F">
      <w:pPr>
        <w:pStyle w:val="a3"/>
        <w:spacing w:before="0" w:beforeAutospacing="0" w:after="0" w:afterAutospacing="0"/>
        <w:ind w:firstLine="420"/>
        <w:divId w:val="827289713"/>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在租赁开始日将租赁分为融资租赁和经营租赁。融资租赁是指实质上转移了与租赁资产所有权有关的几乎全部风险和报酬的租赁，其所有权最终可能转移，也可能不转移。经营租赁是指除融资租赁以外的其他租赁。</w:t>
      </w:r>
    </w:p>
    <w:p w:rsidR="00C65FD5" w:rsidRPr="00831C3C" w:rsidRDefault="00C65FD5" w:rsidP="003D003F">
      <w:pPr>
        <w:pStyle w:val="a3"/>
        <w:spacing w:before="0" w:beforeAutospacing="0" w:after="0" w:afterAutospacing="0"/>
        <w:ind w:firstLine="420"/>
        <w:divId w:val="827289713"/>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一项租赁存在下列一种或多种情形的，本公司通常分类为融资租赁：</w:t>
      </w:r>
    </w:p>
    <w:p w:rsidR="00C65FD5" w:rsidRPr="00831C3C" w:rsidRDefault="00C65FD5" w:rsidP="003D003F">
      <w:pPr>
        <w:pStyle w:val="a3"/>
        <w:spacing w:before="0" w:beforeAutospacing="0" w:after="0" w:afterAutospacing="0"/>
        <w:ind w:firstLine="420"/>
        <w:divId w:val="827289713"/>
        <w:rPr>
          <w:rFonts w:asciiTheme="minorEastAsia" w:eastAsiaTheme="minorEastAsia" w:hAnsiTheme="minorEastAsia"/>
          <w:sz w:val="18"/>
          <w:szCs w:val="18"/>
        </w:rPr>
      </w:pPr>
      <w:r w:rsidRPr="00831C3C">
        <w:rPr>
          <w:rFonts w:asciiTheme="minorEastAsia" w:eastAsiaTheme="minorEastAsia" w:hAnsiTheme="minorEastAsia"/>
          <w:sz w:val="18"/>
          <w:szCs w:val="18"/>
        </w:rPr>
        <w:t>1</w:t>
      </w:r>
      <w:r w:rsidRPr="00831C3C">
        <w:rPr>
          <w:rFonts w:asciiTheme="minorEastAsia" w:eastAsiaTheme="minorEastAsia" w:hAnsiTheme="minorEastAsia" w:hint="eastAsia"/>
          <w:sz w:val="18"/>
          <w:szCs w:val="18"/>
        </w:rPr>
        <w:t>）在租赁期届满时，租赁资产的所有权转移给承租人。</w:t>
      </w:r>
    </w:p>
    <w:p w:rsidR="00C65FD5" w:rsidRPr="00831C3C" w:rsidRDefault="00C65FD5" w:rsidP="003D003F">
      <w:pPr>
        <w:pStyle w:val="a3"/>
        <w:spacing w:before="0" w:beforeAutospacing="0" w:after="0" w:afterAutospacing="0"/>
        <w:ind w:firstLine="420"/>
        <w:divId w:val="827289713"/>
        <w:rPr>
          <w:rFonts w:asciiTheme="minorEastAsia" w:eastAsiaTheme="minorEastAsia" w:hAnsiTheme="minorEastAsia"/>
          <w:sz w:val="18"/>
          <w:szCs w:val="18"/>
        </w:rPr>
      </w:pPr>
      <w:r w:rsidRPr="00831C3C">
        <w:rPr>
          <w:rFonts w:asciiTheme="minorEastAsia" w:eastAsiaTheme="minorEastAsia" w:hAnsiTheme="minorEastAsia"/>
          <w:sz w:val="18"/>
          <w:szCs w:val="18"/>
        </w:rPr>
        <w:t>2</w:t>
      </w:r>
      <w:r w:rsidRPr="00831C3C">
        <w:rPr>
          <w:rFonts w:asciiTheme="minorEastAsia" w:eastAsiaTheme="minorEastAsia" w:hAnsiTheme="minorEastAsia" w:hint="eastAsia"/>
          <w:sz w:val="18"/>
          <w:szCs w:val="18"/>
        </w:rPr>
        <w:t>）承租人有购买租赁资产的选择权，所订立的购买价款与预计行使选择权时租赁资产的公允价值相比足够低，因而在租赁开始日就可以合理确定承租人将行使该选择权。</w:t>
      </w:r>
    </w:p>
    <w:p w:rsidR="00C65FD5" w:rsidRPr="00831C3C" w:rsidRDefault="00C65FD5" w:rsidP="003D003F">
      <w:pPr>
        <w:pStyle w:val="a3"/>
        <w:spacing w:before="0" w:beforeAutospacing="0" w:after="0" w:afterAutospacing="0"/>
        <w:ind w:firstLine="420"/>
        <w:divId w:val="827289713"/>
        <w:rPr>
          <w:rFonts w:asciiTheme="minorEastAsia" w:eastAsiaTheme="minorEastAsia" w:hAnsiTheme="minorEastAsia"/>
          <w:sz w:val="18"/>
          <w:szCs w:val="18"/>
        </w:rPr>
      </w:pPr>
      <w:r w:rsidRPr="00831C3C">
        <w:rPr>
          <w:rFonts w:asciiTheme="minorEastAsia" w:eastAsiaTheme="minorEastAsia" w:hAnsiTheme="minorEastAsia"/>
          <w:sz w:val="18"/>
          <w:szCs w:val="18"/>
        </w:rPr>
        <w:t>3</w:t>
      </w:r>
      <w:r w:rsidRPr="00831C3C">
        <w:rPr>
          <w:rFonts w:asciiTheme="minorEastAsia" w:eastAsiaTheme="minorEastAsia" w:hAnsiTheme="minorEastAsia" w:hint="eastAsia"/>
          <w:sz w:val="18"/>
          <w:szCs w:val="18"/>
        </w:rPr>
        <w:t>）资产的所有权虽然不转移，但租赁期占租赁资产使用寿命的大部分。</w:t>
      </w:r>
    </w:p>
    <w:p w:rsidR="00C65FD5" w:rsidRPr="00831C3C" w:rsidRDefault="00C65FD5" w:rsidP="003D003F">
      <w:pPr>
        <w:pStyle w:val="a3"/>
        <w:spacing w:before="0" w:beforeAutospacing="0" w:after="0" w:afterAutospacing="0"/>
        <w:ind w:firstLine="420"/>
        <w:divId w:val="827289713"/>
        <w:rPr>
          <w:rFonts w:asciiTheme="minorEastAsia" w:eastAsiaTheme="minorEastAsia" w:hAnsiTheme="minorEastAsia"/>
          <w:sz w:val="18"/>
          <w:szCs w:val="18"/>
        </w:rPr>
      </w:pPr>
      <w:r w:rsidRPr="00831C3C">
        <w:rPr>
          <w:rFonts w:asciiTheme="minorEastAsia" w:eastAsiaTheme="minorEastAsia" w:hAnsiTheme="minorEastAsia"/>
          <w:sz w:val="18"/>
          <w:szCs w:val="18"/>
        </w:rPr>
        <w:t>4</w:t>
      </w:r>
      <w:r w:rsidRPr="00831C3C">
        <w:rPr>
          <w:rFonts w:asciiTheme="minorEastAsia" w:eastAsiaTheme="minorEastAsia" w:hAnsiTheme="minorEastAsia" w:hint="eastAsia"/>
          <w:sz w:val="18"/>
          <w:szCs w:val="18"/>
        </w:rPr>
        <w:t>）在租赁开始日，</w:t>
      </w:r>
      <w:proofErr w:type="gramStart"/>
      <w:r w:rsidRPr="00831C3C">
        <w:rPr>
          <w:rFonts w:asciiTheme="minorEastAsia" w:eastAsiaTheme="minorEastAsia" w:hAnsiTheme="minorEastAsia" w:hint="eastAsia"/>
          <w:sz w:val="18"/>
          <w:szCs w:val="18"/>
        </w:rPr>
        <w:t>租赁收</w:t>
      </w:r>
      <w:proofErr w:type="gramEnd"/>
      <w:r w:rsidRPr="00831C3C">
        <w:rPr>
          <w:rFonts w:asciiTheme="minorEastAsia" w:eastAsiaTheme="minorEastAsia" w:hAnsiTheme="minorEastAsia" w:hint="eastAsia"/>
          <w:sz w:val="18"/>
          <w:szCs w:val="18"/>
        </w:rPr>
        <w:t>款额的现值几乎相当于租赁资产的公允价值。</w:t>
      </w:r>
    </w:p>
    <w:p w:rsidR="00C65FD5" w:rsidRPr="00831C3C" w:rsidRDefault="00C65FD5" w:rsidP="003D003F">
      <w:pPr>
        <w:pStyle w:val="a3"/>
        <w:spacing w:before="0" w:beforeAutospacing="0" w:after="0" w:afterAutospacing="0"/>
        <w:ind w:firstLine="420"/>
        <w:divId w:val="827289713"/>
        <w:rPr>
          <w:rFonts w:asciiTheme="minorEastAsia" w:eastAsiaTheme="minorEastAsia" w:hAnsiTheme="minorEastAsia"/>
          <w:sz w:val="18"/>
          <w:szCs w:val="18"/>
        </w:rPr>
      </w:pPr>
      <w:r w:rsidRPr="00831C3C">
        <w:rPr>
          <w:rFonts w:asciiTheme="minorEastAsia" w:eastAsiaTheme="minorEastAsia" w:hAnsiTheme="minorEastAsia"/>
          <w:sz w:val="18"/>
          <w:szCs w:val="18"/>
        </w:rPr>
        <w:t>5</w:t>
      </w:r>
      <w:r w:rsidRPr="00831C3C">
        <w:rPr>
          <w:rFonts w:asciiTheme="minorEastAsia" w:eastAsiaTheme="minorEastAsia" w:hAnsiTheme="minorEastAsia" w:hint="eastAsia"/>
          <w:sz w:val="18"/>
          <w:szCs w:val="18"/>
        </w:rPr>
        <w:t>）租赁资产性质特殊，如果不作较大改造，只有承租人才能使用。</w:t>
      </w:r>
    </w:p>
    <w:p w:rsidR="00C65FD5" w:rsidRPr="00831C3C" w:rsidRDefault="00C65FD5" w:rsidP="003D003F">
      <w:pPr>
        <w:pStyle w:val="a3"/>
        <w:spacing w:before="0" w:beforeAutospacing="0" w:after="0" w:afterAutospacing="0"/>
        <w:ind w:firstLine="420"/>
        <w:divId w:val="827289713"/>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一项租赁存在下列一项或</w:t>
      </w:r>
      <w:proofErr w:type="gramStart"/>
      <w:r w:rsidRPr="00831C3C">
        <w:rPr>
          <w:rFonts w:asciiTheme="minorEastAsia" w:eastAsiaTheme="minorEastAsia" w:hAnsiTheme="minorEastAsia" w:hint="eastAsia"/>
          <w:sz w:val="18"/>
          <w:szCs w:val="18"/>
        </w:rPr>
        <w:t>多项迹象</w:t>
      </w:r>
      <w:proofErr w:type="gramEnd"/>
      <w:r w:rsidRPr="00831C3C">
        <w:rPr>
          <w:rFonts w:asciiTheme="minorEastAsia" w:eastAsiaTheme="minorEastAsia" w:hAnsiTheme="minorEastAsia" w:hint="eastAsia"/>
          <w:sz w:val="18"/>
          <w:szCs w:val="18"/>
        </w:rPr>
        <w:t>的，本公司也可能分类为融资租赁：</w:t>
      </w:r>
    </w:p>
    <w:p w:rsidR="00C65FD5" w:rsidRPr="00831C3C" w:rsidRDefault="00C65FD5" w:rsidP="003D003F">
      <w:pPr>
        <w:pStyle w:val="a3"/>
        <w:spacing w:before="0" w:beforeAutospacing="0" w:after="0" w:afterAutospacing="0"/>
        <w:ind w:firstLine="420"/>
        <w:divId w:val="827289713"/>
        <w:rPr>
          <w:rFonts w:asciiTheme="minorEastAsia" w:eastAsiaTheme="minorEastAsia" w:hAnsiTheme="minorEastAsia"/>
          <w:sz w:val="18"/>
          <w:szCs w:val="18"/>
        </w:rPr>
      </w:pPr>
      <w:r w:rsidRPr="00831C3C">
        <w:rPr>
          <w:rFonts w:asciiTheme="minorEastAsia" w:eastAsiaTheme="minorEastAsia" w:hAnsiTheme="minorEastAsia"/>
          <w:sz w:val="18"/>
          <w:szCs w:val="18"/>
        </w:rPr>
        <w:t>1</w:t>
      </w:r>
      <w:r w:rsidRPr="00831C3C">
        <w:rPr>
          <w:rFonts w:asciiTheme="minorEastAsia" w:eastAsiaTheme="minorEastAsia" w:hAnsiTheme="minorEastAsia" w:hint="eastAsia"/>
          <w:sz w:val="18"/>
          <w:szCs w:val="18"/>
        </w:rPr>
        <w:t>）若承租人撤销租赁，撤销租赁对出租人造成的损失由承租人承担。</w:t>
      </w:r>
    </w:p>
    <w:p w:rsidR="00C65FD5" w:rsidRPr="00831C3C" w:rsidRDefault="00C65FD5" w:rsidP="003D003F">
      <w:pPr>
        <w:pStyle w:val="a3"/>
        <w:spacing w:before="0" w:beforeAutospacing="0" w:after="0" w:afterAutospacing="0"/>
        <w:ind w:firstLine="420"/>
        <w:divId w:val="827289713"/>
        <w:rPr>
          <w:rFonts w:asciiTheme="minorEastAsia" w:eastAsiaTheme="minorEastAsia" w:hAnsiTheme="minorEastAsia"/>
          <w:sz w:val="18"/>
          <w:szCs w:val="18"/>
        </w:rPr>
      </w:pPr>
      <w:r w:rsidRPr="00831C3C">
        <w:rPr>
          <w:rFonts w:asciiTheme="minorEastAsia" w:eastAsiaTheme="minorEastAsia" w:hAnsiTheme="minorEastAsia"/>
          <w:sz w:val="18"/>
          <w:szCs w:val="18"/>
        </w:rPr>
        <w:t>2</w:t>
      </w:r>
      <w:r w:rsidRPr="00831C3C">
        <w:rPr>
          <w:rFonts w:asciiTheme="minorEastAsia" w:eastAsiaTheme="minorEastAsia" w:hAnsiTheme="minorEastAsia" w:hint="eastAsia"/>
          <w:sz w:val="18"/>
          <w:szCs w:val="18"/>
        </w:rPr>
        <w:t>）资产余值的公允价值波动所产生的利得或损失归属于承租人。</w:t>
      </w:r>
    </w:p>
    <w:p w:rsidR="00C65FD5" w:rsidRPr="00831C3C" w:rsidRDefault="00C65FD5" w:rsidP="003D003F">
      <w:pPr>
        <w:pStyle w:val="a3"/>
        <w:spacing w:before="0" w:beforeAutospacing="0" w:after="0" w:afterAutospacing="0"/>
        <w:ind w:firstLine="420"/>
        <w:divId w:val="827289713"/>
        <w:rPr>
          <w:rFonts w:asciiTheme="minorEastAsia" w:eastAsiaTheme="minorEastAsia" w:hAnsiTheme="minorEastAsia"/>
          <w:sz w:val="18"/>
          <w:szCs w:val="18"/>
        </w:rPr>
      </w:pPr>
      <w:r w:rsidRPr="00831C3C">
        <w:rPr>
          <w:rFonts w:asciiTheme="minorEastAsia" w:eastAsiaTheme="minorEastAsia" w:hAnsiTheme="minorEastAsia"/>
          <w:sz w:val="18"/>
          <w:szCs w:val="18"/>
        </w:rPr>
        <w:t>3</w:t>
      </w:r>
      <w:r w:rsidRPr="00831C3C">
        <w:rPr>
          <w:rFonts w:asciiTheme="minorEastAsia" w:eastAsiaTheme="minorEastAsia" w:hAnsiTheme="minorEastAsia" w:hint="eastAsia"/>
          <w:sz w:val="18"/>
          <w:szCs w:val="18"/>
        </w:rPr>
        <w:t>）承租人有能力以远低于市场水平的租金继续租赁至下一期间。</w:t>
      </w:r>
    </w:p>
    <w:p w:rsidR="00C65FD5" w:rsidRPr="00831C3C" w:rsidRDefault="00C65FD5" w:rsidP="003D003F">
      <w:pPr>
        <w:pStyle w:val="a3"/>
        <w:spacing w:before="0" w:beforeAutospacing="0" w:after="0" w:afterAutospacing="0"/>
        <w:ind w:firstLine="420"/>
        <w:divId w:val="827289713"/>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2</w:t>
      </w:r>
      <w:r w:rsidRPr="00831C3C">
        <w:rPr>
          <w:rFonts w:asciiTheme="minorEastAsia" w:eastAsiaTheme="minorEastAsia" w:hAnsiTheme="minorEastAsia" w:hint="eastAsia"/>
          <w:sz w:val="18"/>
          <w:szCs w:val="18"/>
        </w:rPr>
        <w:t>）对融资租赁的会计处理</w:t>
      </w:r>
    </w:p>
    <w:p w:rsidR="00C65FD5" w:rsidRPr="00831C3C" w:rsidRDefault="00C65FD5" w:rsidP="003D003F">
      <w:pPr>
        <w:pStyle w:val="a3"/>
        <w:spacing w:before="0" w:beforeAutospacing="0" w:after="0" w:afterAutospacing="0"/>
        <w:ind w:firstLine="420"/>
        <w:divId w:val="827289713"/>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lastRenderedPageBreak/>
        <w:t>在租赁期开始日，本公司对融资租赁确认应收融资租赁款，并终止确认融资租赁资产。</w:t>
      </w:r>
    </w:p>
    <w:p w:rsidR="00C65FD5" w:rsidRPr="00831C3C" w:rsidRDefault="00C65FD5" w:rsidP="003D003F">
      <w:pPr>
        <w:pStyle w:val="a3"/>
        <w:spacing w:before="0" w:beforeAutospacing="0" w:after="0" w:afterAutospacing="0"/>
        <w:ind w:firstLine="420"/>
        <w:divId w:val="827289713"/>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应收融资租赁款初始计量时，以未担保余值和租赁期开始日尚未收到的</w:t>
      </w:r>
      <w:proofErr w:type="gramStart"/>
      <w:r w:rsidRPr="00831C3C">
        <w:rPr>
          <w:rFonts w:asciiTheme="minorEastAsia" w:eastAsiaTheme="minorEastAsia" w:hAnsiTheme="minorEastAsia" w:hint="eastAsia"/>
          <w:sz w:val="18"/>
          <w:szCs w:val="18"/>
        </w:rPr>
        <w:t>租赁收</w:t>
      </w:r>
      <w:proofErr w:type="gramEnd"/>
      <w:r w:rsidRPr="00831C3C">
        <w:rPr>
          <w:rFonts w:asciiTheme="minorEastAsia" w:eastAsiaTheme="minorEastAsia" w:hAnsiTheme="minorEastAsia" w:hint="eastAsia"/>
          <w:sz w:val="18"/>
          <w:szCs w:val="18"/>
        </w:rPr>
        <w:t>款额按照租赁内含利率折现的现值之和作为应收融资租赁款的入账价值。</w:t>
      </w:r>
      <w:proofErr w:type="gramStart"/>
      <w:r w:rsidRPr="00831C3C">
        <w:rPr>
          <w:rFonts w:asciiTheme="minorEastAsia" w:eastAsiaTheme="minorEastAsia" w:hAnsiTheme="minorEastAsia" w:hint="eastAsia"/>
          <w:sz w:val="18"/>
          <w:szCs w:val="18"/>
        </w:rPr>
        <w:t>租赁收</w:t>
      </w:r>
      <w:proofErr w:type="gramEnd"/>
      <w:r w:rsidRPr="00831C3C">
        <w:rPr>
          <w:rFonts w:asciiTheme="minorEastAsia" w:eastAsiaTheme="minorEastAsia" w:hAnsiTheme="minorEastAsia" w:hint="eastAsia"/>
          <w:sz w:val="18"/>
          <w:szCs w:val="18"/>
        </w:rPr>
        <w:t>款额包括：</w:t>
      </w:r>
    </w:p>
    <w:p w:rsidR="00C65FD5" w:rsidRPr="00831C3C" w:rsidRDefault="00C65FD5" w:rsidP="003D003F">
      <w:pPr>
        <w:pStyle w:val="a3"/>
        <w:spacing w:before="0" w:beforeAutospacing="0" w:after="0" w:afterAutospacing="0"/>
        <w:ind w:firstLine="420"/>
        <w:divId w:val="827289713"/>
        <w:rPr>
          <w:rFonts w:asciiTheme="minorEastAsia" w:eastAsiaTheme="minorEastAsia" w:hAnsiTheme="minorEastAsia"/>
          <w:sz w:val="18"/>
          <w:szCs w:val="18"/>
        </w:rPr>
      </w:pPr>
      <w:r w:rsidRPr="00831C3C">
        <w:rPr>
          <w:rFonts w:asciiTheme="minorEastAsia" w:eastAsiaTheme="minorEastAsia" w:hAnsiTheme="minorEastAsia"/>
          <w:sz w:val="18"/>
          <w:szCs w:val="18"/>
        </w:rPr>
        <w:t>1</w:t>
      </w:r>
      <w:r w:rsidRPr="00831C3C">
        <w:rPr>
          <w:rFonts w:asciiTheme="minorEastAsia" w:eastAsiaTheme="minorEastAsia" w:hAnsiTheme="minorEastAsia" w:hint="eastAsia"/>
          <w:sz w:val="18"/>
          <w:szCs w:val="18"/>
        </w:rPr>
        <w:t>）扣除租赁激励相关金额后的固定付款额及实质固定付款额；</w:t>
      </w:r>
    </w:p>
    <w:p w:rsidR="00C65FD5" w:rsidRPr="00831C3C" w:rsidRDefault="00C65FD5" w:rsidP="003D003F">
      <w:pPr>
        <w:pStyle w:val="a3"/>
        <w:spacing w:before="0" w:beforeAutospacing="0" w:after="0" w:afterAutospacing="0"/>
        <w:ind w:firstLine="420"/>
        <w:divId w:val="827289713"/>
        <w:rPr>
          <w:rFonts w:asciiTheme="minorEastAsia" w:eastAsiaTheme="minorEastAsia" w:hAnsiTheme="minorEastAsia"/>
          <w:sz w:val="18"/>
          <w:szCs w:val="18"/>
        </w:rPr>
      </w:pPr>
      <w:r w:rsidRPr="00831C3C">
        <w:rPr>
          <w:rFonts w:asciiTheme="minorEastAsia" w:eastAsiaTheme="minorEastAsia" w:hAnsiTheme="minorEastAsia"/>
          <w:sz w:val="18"/>
          <w:szCs w:val="18"/>
        </w:rPr>
        <w:t>2</w:t>
      </w:r>
      <w:r w:rsidRPr="00831C3C">
        <w:rPr>
          <w:rFonts w:asciiTheme="minorEastAsia" w:eastAsiaTheme="minorEastAsia" w:hAnsiTheme="minorEastAsia" w:hint="eastAsia"/>
          <w:sz w:val="18"/>
          <w:szCs w:val="18"/>
        </w:rPr>
        <w:t>）取决于指数或比率的可变租赁付款额；</w:t>
      </w:r>
    </w:p>
    <w:p w:rsidR="00C65FD5" w:rsidRPr="00831C3C" w:rsidRDefault="00C65FD5" w:rsidP="003D003F">
      <w:pPr>
        <w:pStyle w:val="a3"/>
        <w:spacing w:before="0" w:beforeAutospacing="0" w:after="0" w:afterAutospacing="0"/>
        <w:ind w:firstLine="420"/>
        <w:divId w:val="827289713"/>
        <w:rPr>
          <w:rFonts w:asciiTheme="minorEastAsia" w:eastAsiaTheme="minorEastAsia" w:hAnsiTheme="minorEastAsia"/>
          <w:sz w:val="18"/>
          <w:szCs w:val="18"/>
        </w:rPr>
      </w:pPr>
      <w:r w:rsidRPr="00831C3C">
        <w:rPr>
          <w:rFonts w:asciiTheme="minorEastAsia" w:eastAsiaTheme="minorEastAsia" w:hAnsiTheme="minorEastAsia"/>
          <w:sz w:val="18"/>
          <w:szCs w:val="18"/>
        </w:rPr>
        <w:t>3</w:t>
      </w:r>
      <w:r w:rsidRPr="00831C3C">
        <w:rPr>
          <w:rFonts w:asciiTheme="minorEastAsia" w:eastAsiaTheme="minorEastAsia" w:hAnsiTheme="minorEastAsia" w:hint="eastAsia"/>
          <w:sz w:val="18"/>
          <w:szCs w:val="18"/>
        </w:rPr>
        <w:t>）合理确定承租人将行使购买选择权的情况下，</w:t>
      </w:r>
      <w:proofErr w:type="gramStart"/>
      <w:r w:rsidRPr="00831C3C">
        <w:rPr>
          <w:rFonts w:asciiTheme="minorEastAsia" w:eastAsiaTheme="minorEastAsia" w:hAnsiTheme="minorEastAsia" w:hint="eastAsia"/>
          <w:sz w:val="18"/>
          <w:szCs w:val="18"/>
        </w:rPr>
        <w:t>租赁收</w:t>
      </w:r>
      <w:proofErr w:type="gramEnd"/>
      <w:r w:rsidRPr="00831C3C">
        <w:rPr>
          <w:rFonts w:asciiTheme="minorEastAsia" w:eastAsiaTheme="minorEastAsia" w:hAnsiTheme="minorEastAsia" w:hint="eastAsia"/>
          <w:sz w:val="18"/>
          <w:szCs w:val="18"/>
        </w:rPr>
        <w:t>款额包括购买选择权的行权价格；</w:t>
      </w:r>
    </w:p>
    <w:p w:rsidR="00C65FD5" w:rsidRPr="00831C3C" w:rsidRDefault="00C65FD5" w:rsidP="003D003F">
      <w:pPr>
        <w:pStyle w:val="a3"/>
        <w:spacing w:before="0" w:beforeAutospacing="0" w:after="0" w:afterAutospacing="0"/>
        <w:ind w:firstLine="420"/>
        <w:divId w:val="827289713"/>
        <w:rPr>
          <w:rFonts w:asciiTheme="minorEastAsia" w:eastAsiaTheme="minorEastAsia" w:hAnsiTheme="minorEastAsia"/>
          <w:sz w:val="18"/>
          <w:szCs w:val="18"/>
        </w:rPr>
      </w:pPr>
      <w:r w:rsidRPr="00831C3C">
        <w:rPr>
          <w:rFonts w:asciiTheme="minorEastAsia" w:eastAsiaTheme="minorEastAsia" w:hAnsiTheme="minorEastAsia"/>
          <w:sz w:val="18"/>
          <w:szCs w:val="18"/>
        </w:rPr>
        <w:t>4</w:t>
      </w:r>
      <w:r w:rsidRPr="00831C3C">
        <w:rPr>
          <w:rFonts w:asciiTheme="minorEastAsia" w:eastAsiaTheme="minorEastAsia" w:hAnsiTheme="minorEastAsia" w:hint="eastAsia"/>
          <w:sz w:val="18"/>
          <w:szCs w:val="18"/>
        </w:rPr>
        <w:t>）租赁</w:t>
      </w:r>
      <w:proofErr w:type="gramStart"/>
      <w:r w:rsidRPr="00831C3C">
        <w:rPr>
          <w:rFonts w:asciiTheme="minorEastAsia" w:eastAsiaTheme="minorEastAsia" w:hAnsiTheme="minorEastAsia" w:hint="eastAsia"/>
          <w:sz w:val="18"/>
          <w:szCs w:val="18"/>
        </w:rPr>
        <w:t>期反映</w:t>
      </w:r>
      <w:proofErr w:type="gramEnd"/>
      <w:r w:rsidRPr="00831C3C">
        <w:rPr>
          <w:rFonts w:asciiTheme="minorEastAsia" w:eastAsiaTheme="minorEastAsia" w:hAnsiTheme="minorEastAsia" w:hint="eastAsia"/>
          <w:sz w:val="18"/>
          <w:szCs w:val="18"/>
        </w:rPr>
        <w:t>出承租人将行使终止租赁选择权的情况下，</w:t>
      </w:r>
      <w:proofErr w:type="gramStart"/>
      <w:r w:rsidRPr="00831C3C">
        <w:rPr>
          <w:rFonts w:asciiTheme="minorEastAsia" w:eastAsiaTheme="minorEastAsia" w:hAnsiTheme="minorEastAsia" w:hint="eastAsia"/>
          <w:sz w:val="18"/>
          <w:szCs w:val="18"/>
        </w:rPr>
        <w:t>租赁收</w:t>
      </w:r>
      <w:proofErr w:type="gramEnd"/>
      <w:r w:rsidRPr="00831C3C">
        <w:rPr>
          <w:rFonts w:asciiTheme="minorEastAsia" w:eastAsiaTheme="minorEastAsia" w:hAnsiTheme="minorEastAsia" w:hint="eastAsia"/>
          <w:sz w:val="18"/>
          <w:szCs w:val="18"/>
        </w:rPr>
        <w:t>款额包括承租人行使终止租赁选择权需支付的款项；</w:t>
      </w:r>
    </w:p>
    <w:p w:rsidR="00C65FD5" w:rsidRPr="00831C3C" w:rsidRDefault="00C65FD5" w:rsidP="003D003F">
      <w:pPr>
        <w:pStyle w:val="a3"/>
        <w:spacing w:before="0" w:beforeAutospacing="0" w:after="0" w:afterAutospacing="0"/>
        <w:ind w:firstLine="420"/>
        <w:divId w:val="827289713"/>
        <w:rPr>
          <w:rFonts w:asciiTheme="minorEastAsia" w:eastAsiaTheme="minorEastAsia" w:hAnsiTheme="minorEastAsia"/>
          <w:sz w:val="18"/>
          <w:szCs w:val="18"/>
        </w:rPr>
      </w:pPr>
      <w:r w:rsidRPr="00831C3C">
        <w:rPr>
          <w:rFonts w:asciiTheme="minorEastAsia" w:eastAsiaTheme="minorEastAsia" w:hAnsiTheme="minorEastAsia"/>
          <w:sz w:val="18"/>
          <w:szCs w:val="18"/>
        </w:rPr>
        <w:t>5</w:t>
      </w:r>
      <w:r w:rsidRPr="00831C3C">
        <w:rPr>
          <w:rFonts w:asciiTheme="minorEastAsia" w:eastAsiaTheme="minorEastAsia" w:hAnsiTheme="minorEastAsia" w:hint="eastAsia"/>
          <w:sz w:val="18"/>
          <w:szCs w:val="18"/>
        </w:rPr>
        <w:t>）由承租人、与承租人有关的一方以及有经济能力履行担保义务的</w:t>
      </w:r>
      <w:proofErr w:type="gramStart"/>
      <w:r w:rsidRPr="00831C3C">
        <w:rPr>
          <w:rFonts w:asciiTheme="minorEastAsia" w:eastAsiaTheme="minorEastAsia" w:hAnsiTheme="minorEastAsia" w:hint="eastAsia"/>
          <w:sz w:val="18"/>
          <w:szCs w:val="18"/>
        </w:rPr>
        <w:t>独立第三</w:t>
      </w:r>
      <w:proofErr w:type="gramEnd"/>
      <w:r w:rsidRPr="00831C3C">
        <w:rPr>
          <w:rFonts w:asciiTheme="minorEastAsia" w:eastAsiaTheme="minorEastAsia" w:hAnsiTheme="minorEastAsia" w:hint="eastAsia"/>
          <w:sz w:val="18"/>
          <w:szCs w:val="18"/>
        </w:rPr>
        <w:t>方向出租人提供的担保余值。</w:t>
      </w:r>
    </w:p>
    <w:p w:rsidR="00C65FD5" w:rsidRPr="00831C3C" w:rsidRDefault="00C65FD5" w:rsidP="003D003F">
      <w:pPr>
        <w:pStyle w:val="a3"/>
        <w:spacing w:before="0" w:beforeAutospacing="0" w:after="0" w:afterAutospacing="0"/>
        <w:ind w:firstLine="420"/>
        <w:divId w:val="827289713"/>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本公司按照固定的租赁内含利率计算并确认租赁期内各个期间的利息收入，所取得的未纳入租赁投资净额计量的可变租赁付款额在实际发生时计入当期损益。</w:t>
      </w:r>
    </w:p>
    <w:p w:rsidR="00C65FD5" w:rsidRPr="00831C3C" w:rsidRDefault="00C65FD5" w:rsidP="003D003F">
      <w:pPr>
        <w:pStyle w:val="a3"/>
        <w:spacing w:before="0" w:beforeAutospacing="0" w:after="0" w:afterAutospacing="0"/>
        <w:ind w:firstLine="420"/>
        <w:divId w:val="827289713"/>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3</w:t>
      </w:r>
      <w:r w:rsidRPr="00831C3C">
        <w:rPr>
          <w:rFonts w:asciiTheme="minorEastAsia" w:eastAsiaTheme="minorEastAsia" w:hAnsiTheme="minorEastAsia" w:hint="eastAsia"/>
          <w:sz w:val="18"/>
          <w:szCs w:val="18"/>
        </w:rPr>
        <w:t>）对经营租赁的会计处理</w:t>
      </w:r>
    </w:p>
    <w:p w:rsidR="00C65FD5" w:rsidRPr="00831C3C" w:rsidRDefault="00C65FD5" w:rsidP="003D003F">
      <w:pPr>
        <w:pStyle w:val="a3"/>
        <w:divId w:val="827289713"/>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本公司在租赁期内各个期间采用直线法或其他系统合理的方法，将经营租赁的</w:t>
      </w:r>
      <w:proofErr w:type="gramStart"/>
      <w:r w:rsidRPr="00831C3C">
        <w:rPr>
          <w:rFonts w:asciiTheme="minorEastAsia" w:eastAsiaTheme="minorEastAsia" w:hAnsiTheme="minorEastAsia" w:hint="eastAsia"/>
          <w:sz w:val="18"/>
          <w:szCs w:val="18"/>
        </w:rPr>
        <w:t>租赁收</w:t>
      </w:r>
      <w:proofErr w:type="gramEnd"/>
      <w:r w:rsidRPr="00831C3C">
        <w:rPr>
          <w:rFonts w:asciiTheme="minorEastAsia" w:eastAsiaTheme="minorEastAsia" w:hAnsiTheme="minorEastAsia" w:hint="eastAsia"/>
          <w:sz w:val="18"/>
          <w:szCs w:val="18"/>
        </w:rPr>
        <w:t>款额确认为租金收入；发生的与经营租赁有关的初始直接费用资本化，在租赁期内按照与租金收入确认相同的基础进行分摊，分期计入当期损益；取得的与经营租赁有关的未计入</w:t>
      </w:r>
      <w:proofErr w:type="gramStart"/>
      <w:r w:rsidRPr="00831C3C">
        <w:rPr>
          <w:rFonts w:asciiTheme="minorEastAsia" w:eastAsiaTheme="minorEastAsia" w:hAnsiTheme="minorEastAsia" w:hint="eastAsia"/>
          <w:sz w:val="18"/>
          <w:szCs w:val="18"/>
        </w:rPr>
        <w:t>租赁收</w:t>
      </w:r>
      <w:proofErr w:type="gramEnd"/>
      <w:r w:rsidRPr="00831C3C">
        <w:rPr>
          <w:rFonts w:asciiTheme="minorEastAsia" w:eastAsiaTheme="minorEastAsia" w:hAnsiTheme="minorEastAsia" w:hint="eastAsia"/>
          <w:sz w:val="18"/>
          <w:szCs w:val="18"/>
        </w:rPr>
        <w:t>款额的可变租赁付款额，在实际发生时计入当期损益。</w:t>
      </w:r>
    </w:p>
    <w:p w:rsidR="00E23A97" w:rsidRPr="00831C3C" w:rsidRDefault="00C65FD5">
      <w:pPr>
        <w:pStyle w:val="3"/>
        <w:spacing w:line="280" w:lineRule="exact"/>
        <w:jc w:val="left"/>
        <w:rPr>
          <w:rFonts w:ascii="宋体" w:hAnsi="宋体" w:cs="宋体"/>
          <w:b/>
          <w:bCs/>
        </w:rPr>
      </w:pPr>
      <w:bookmarkStart w:id="234" w:name="_Toc989117"/>
      <w:r w:rsidRPr="00831C3C">
        <w:rPr>
          <w:rFonts w:ascii="宋体" w:hAnsi="宋体" w:cs="宋体"/>
          <w:b/>
          <w:bCs/>
        </w:rPr>
        <w:t>42、其他重要的会计政策和会计估计</w:t>
      </w:r>
      <w:bookmarkEnd w:id="234"/>
    </w:p>
    <w:p w:rsidR="00C65FD5" w:rsidRPr="00831C3C" w:rsidRDefault="00C65FD5" w:rsidP="00CC7D91">
      <w:pPr>
        <w:widowControl/>
        <w:numPr>
          <w:ilvl w:val="0"/>
          <w:numId w:val="116"/>
        </w:numPr>
        <w:spacing w:before="100" w:beforeAutospacing="1" w:after="100" w:afterAutospacing="1"/>
        <w:divId w:val="1222909507"/>
        <w:rPr>
          <w:sz w:val="18"/>
          <w:szCs w:val="18"/>
        </w:rPr>
      </w:pPr>
      <w:r w:rsidRPr="00831C3C">
        <w:rPr>
          <w:rFonts w:hint="eastAsia"/>
          <w:sz w:val="18"/>
          <w:szCs w:val="18"/>
        </w:rPr>
        <w:t>终止经营</w:t>
      </w:r>
    </w:p>
    <w:p w:rsidR="00C65FD5" w:rsidRPr="00831C3C" w:rsidRDefault="00C65FD5" w:rsidP="003D003F">
      <w:pPr>
        <w:pStyle w:val="a3"/>
        <w:spacing w:before="0" w:beforeAutospacing="0" w:after="0" w:afterAutospacing="0"/>
        <w:ind w:firstLine="420"/>
        <w:jc w:val="both"/>
        <w:divId w:val="1222909507"/>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本公司将满足下列条件之一的，且该组成部分已经处置或划归为持有待售类别的、能够单独区分的组成部分确认为终止经营组成部分：</w:t>
      </w:r>
    </w:p>
    <w:p w:rsidR="00C65FD5" w:rsidRPr="00831C3C" w:rsidRDefault="00C65FD5" w:rsidP="003D003F">
      <w:pPr>
        <w:pStyle w:val="a3"/>
        <w:spacing w:before="0" w:beforeAutospacing="0" w:after="0" w:afterAutospacing="0"/>
        <w:ind w:firstLine="420"/>
        <w:jc w:val="both"/>
        <w:divId w:val="1222909507"/>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1</w:t>
      </w:r>
      <w:r w:rsidRPr="00831C3C">
        <w:rPr>
          <w:rFonts w:asciiTheme="minorEastAsia" w:eastAsiaTheme="minorEastAsia" w:hAnsiTheme="minorEastAsia" w:hint="eastAsia"/>
          <w:sz w:val="18"/>
          <w:szCs w:val="18"/>
        </w:rPr>
        <w:t>）该组成部分代表一项独立的主要业务或一个单独的主要经营地区。</w:t>
      </w:r>
    </w:p>
    <w:p w:rsidR="00C65FD5" w:rsidRPr="00831C3C" w:rsidRDefault="00C65FD5" w:rsidP="003D003F">
      <w:pPr>
        <w:pStyle w:val="a3"/>
        <w:spacing w:before="0" w:beforeAutospacing="0" w:after="0" w:afterAutospacing="0"/>
        <w:ind w:firstLine="420"/>
        <w:jc w:val="both"/>
        <w:divId w:val="1222909507"/>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2</w:t>
      </w:r>
      <w:r w:rsidRPr="00831C3C">
        <w:rPr>
          <w:rFonts w:asciiTheme="minorEastAsia" w:eastAsiaTheme="minorEastAsia" w:hAnsiTheme="minorEastAsia" w:hint="eastAsia"/>
          <w:sz w:val="18"/>
          <w:szCs w:val="18"/>
        </w:rPr>
        <w:t>）该组成部分是拟对一项独立的主要业务或一个单独的主要经营地区进行处置的一项相关联计划的一部分。</w:t>
      </w:r>
    </w:p>
    <w:p w:rsidR="00C65FD5" w:rsidRPr="00831C3C" w:rsidRDefault="00C65FD5" w:rsidP="003D003F">
      <w:pPr>
        <w:pStyle w:val="a3"/>
        <w:spacing w:before="0" w:beforeAutospacing="0" w:after="0" w:afterAutospacing="0"/>
        <w:ind w:firstLine="420"/>
        <w:jc w:val="both"/>
        <w:divId w:val="1222909507"/>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3</w:t>
      </w:r>
      <w:r w:rsidRPr="00831C3C">
        <w:rPr>
          <w:rFonts w:asciiTheme="minorEastAsia" w:eastAsiaTheme="minorEastAsia" w:hAnsiTheme="minorEastAsia" w:hint="eastAsia"/>
          <w:sz w:val="18"/>
          <w:szCs w:val="18"/>
        </w:rPr>
        <w:t>）该组成部分是专为转售而取得的子公司。</w:t>
      </w:r>
    </w:p>
    <w:p w:rsidR="00C65FD5" w:rsidRPr="00831C3C" w:rsidRDefault="00C65FD5" w:rsidP="003D003F">
      <w:pPr>
        <w:pStyle w:val="a3"/>
        <w:spacing w:before="0" w:beforeAutospacing="0" w:after="0" w:afterAutospacing="0"/>
        <w:ind w:firstLine="420"/>
        <w:jc w:val="both"/>
        <w:divId w:val="1222909507"/>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终止经营的减值损失和转回金额等经营损益及处置损益作为终止经营损益在利润表中列示。</w:t>
      </w:r>
    </w:p>
    <w:p w:rsidR="00C65FD5" w:rsidRPr="00831C3C" w:rsidRDefault="00C65FD5" w:rsidP="003D003F">
      <w:pPr>
        <w:pStyle w:val="a3"/>
        <w:spacing w:before="0" w:beforeAutospacing="0" w:after="0" w:afterAutospacing="0"/>
        <w:ind w:firstLine="420"/>
        <w:jc w:val="both"/>
        <w:divId w:val="1222909507"/>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在资产负债表中区别于其他资产单独列示持有待售的非流动资产或持有待售的处置组中的资产，区别于其他负债单独列示持有待售的处置组中的负债。持有待售的非流动资产或持有待售的处置组中的资产与持有待售的处置组中的负债不予相互</w:t>
      </w:r>
      <w:proofErr w:type="gramStart"/>
      <w:r w:rsidRPr="00831C3C">
        <w:rPr>
          <w:rFonts w:asciiTheme="minorEastAsia" w:eastAsiaTheme="minorEastAsia" w:hAnsiTheme="minorEastAsia" w:hint="eastAsia"/>
          <w:sz w:val="18"/>
          <w:szCs w:val="18"/>
        </w:rPr>
        <w:t>抵销</w:t>
      </w:r>
      <w:proofErr w:type="gramEnd"/>
      <w:r w:rsidRPr="00831C3C">
        <w:rPr>
          <w:rFonts w:asciiTheme="minorEastAsia" w:eastAsiaTheme="minorEastAsia" w:hAnsiTheme="minorEastAsia" w:hint="eastAsia"/>
          <w:sz w:val="18"/>
          <w:szCs w:val="18"/>
        </w:rPr>
        <w:t>，分别作为流动资产和流动负债列示。本公司在利润表中分别列示持续经营损益和终止经营损益。对于当期列报的终止经营，本公司在当期财务报表中，将原来作为持续经营损益列报的信息重新作为可比会计期间的终止经营损益列报。终止经营不再满足持有待售类别划分条件的，本公司在当期财务报表中，将原来作为终止经营损益列报的信息重新作为可比会计期间的持续经营损益列报。</w:t>
      </w:r>
    </w:p>
    <w:p w:rsidR="00C65FD5" w:rsidRPr="00831C3C" w:rsidRDefault="00C65FD5" w:rsidP="00CC7D91">
      <w:pPr>
        <w:widowControl/>
        <w:numPr>
          <w:ilvl w:val="0"/>
          <w:numId w:val="117"/>
        </w:numPr>
        <w:spacing w:before="100" w:beforeAutospacing="1" w:after="100" w:afterAutospacing="1"/>
        <w:divId w:val="1222909507"/>
        <w:rPr>
          <w:rFonts w:asciiTheme="minorEastAsia" w:hAnsiTheme="minorEastAsia" w:cs="宋体"/>
          <w:kern w:val="0"/>
          <w:sz w:val="18"/>
          <w:szCs w:val="18"/>
        </w:rPr>
      </w:pPr>
      <w:r w:rsidRPr="00831C3C">
        <w:rPr>
          <w:rFonts w:asciiTheme="minorEastAsia" w:hAnsiTheme="minorEastAsia" w:cs="宋体" w:hint="eastAsia"/>
          <w:kern w:val="0"/>
          <w:sz w:val="18"/>
          <w:szCs w:val="18"/>
        </w:rPr>
        <w:t>套期会计</w:t>
      </w:r>
    </w:p>
    <w:p w:rsidR="00C65FD5" w:rsidRPr="00831C3C" w:rsidRDefault="00C65FD5" w:rsidP="003D003F">
      <w:pPr>
        <w:pStyle w:val="a3"/>
        <w:spacing w:before="0" w:beforeAutospacing="0" w:after="0" w:afterAutospacing="0"/>
        <w:ind w:firstLine="420"/>
        <w:jc w:val="both"/>
        <w:divId w:val="1222909507"/>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本公司按照套期关系，将套期保值划分为公允价值套期、现金流量套期和境外净投资套期。</w:t>
      </w:r>
    </w:p>
    <w:p w:rsidR="00C65FD5" w:rsidRPr="00831C3C" w:rsidRDefault="00C65FD5" w:rsidP="00CC7D91">
      <w:pPr>
        <w:widowControl/>
        <w:numPr>
          <w:ilvl w:val="0"/>
          <w:numId w:val="118"/>
        </w:numPr>
        <w:spacing w:before="100" w:beforeAutospacing="1" w:after="100" w:afterAutospacing="1"/>
        <w:divId w:val="1222909507"/>
        <w:rPr>
          <w:rFonts w:asciiTheme="minorEastAsia" w:hAnsiTheme="minorEastAsia" w:cs="宋体"/>
          <w:kern w:val="0"/>
          <w:sz w:val="18"/>
          <w:szCs w:val="18"/>
        </w:rPr>
      </w:pPr>
      <w:r w:rsidRPr="00831C3C">
        <w:rPr>
          <w:rFonts w:asciiTheme="minorEastAsia" w:hAnsiTheme="minorEastAsia" w:cs="宋体" w:hint="eastAsia"/>
          <w:kern w:val="0"/>
          <w:sz w:val="18"/>
          <w:szCs w:val="18"/>
        </w:rPr>
        <w:t>．对于同时满足下列条件的套期工具，运用套期会计方法进行处理</w:t>
      </w:r>
    </w:p>
    <w:p w:rsidR="00C65FD5" w:rsidRPr="00831C3C" w:rsidRDefault="00C65FD5" w:rsidP="003D003F">
      <w:pPr>
        <w:pStyle w:val="a3"/>
        <w:spacing w:before="0" w:beforeAutospacing="0" w:after="0" w:afterAutospacing="0"/>
        <w:ind w:firstLine="420"/>
        <w:jc w:val="both"/>
        <w:divId w:val="1222909507"/>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1</w:t>
      </w:r>
      <w:r w:rsidRPr="00831C3C">
        <w:rPr>
          <w:rFonts w:asciiTheme="minorEastAsia" w:eastAsiaTheme="minorEastAsia" w:hAnsiTheme="minorEastAsia" w:hint="eastAsia"/>
          <w:sz w:val="18"/>
          <w:szCs w:val="18"/>
        </w:rPr>
        <w:t>）套</w:t>
      </w:r>
      <w:proofErr w:type="gramStart"/>
      <w:r w:rsidRPr="00831C3C">
        <w:rPr>
          <w:rFonts w:asciiTheme="minorEastAsia" w:eastAsiaTheme="minorEastAsia" w:hAnsiTheme="minorEastAsia" w:hint="eastAsia"/>
          <w:sz w:val="18"/>
          <w:szCs w:val="18"/>
        </w:rPr>
        <w:t>期关系</w:t>
      </w:r>
      <w:proofErr w:type="gramEnd"/>
      <w:r w:rsidRPr="00831C3C">
        <w:rPr>
          <w:rFonts w:asciiTheme="minorEastAsia" w:eastAsiaTheme="minorEastAsia" w:hAnsiTheme="minorEastAsia" w:hint="eastAsia"/>
          <w:sz w:val="18"/>
          <w:szCs w:val="18"/>
        </w:rPr>
        <w:t>仅由符合条件的套</w:t>
      </w:r>
      <w:proofErr w:type="gramStart"/>
      <w:r w:rsidRPr="00831C3C">
        <w:rPr>
          <w:rFonts w:asciiTheme="minorEastAsia" w:eastAsiaTheme="minorEastAsia" w:hAnsiTheme="minorEastAsia" w:hint="eastAsia"/>
          <w:sz w:val="18"/>
          <w:szCs w:val="18"/>
        </w:rPr>
        <w:t>期工具</w:t>
      </w:r>
      <w:proofErr w:type="gramEnd"/>
      <w:r w:rsidRPr="00831C3C">
        <w:rPr>
          <w:rFonts w:asciiTheme="minorEastAsia" w:eastAsiaTheme="minorEastAsia" w:hAnsiTheme="minorEastAsia" w:hint="eastAsia"/>
          <w:sz w:val="18"/>
          <w:szCs w:val="18"/>
        </w:rPr>
        <w:t>和被套</w:t>
      </w:r>
      <w:proofErr w:type="gramStart"/>
      <w:r w:rsidRPr="00831C3C">
        <w:rPr>
          <w:rFonts w:asciiTheme="minorEastAsia" w:eastAsiaTheme="minorEastAsia" w:hAnsiTheme="minorEastAsia" w:hint="eastAsia"/>
          <w:sz w:val="18"/>
          <w:szCs w:val="18"/>
        </w:rPr>
        <w:t>期项目</w:t>
      </w:r>
      <w:proofErr w:type="gramEnd"/>
      <w:r w:rsidRPr="00831C3C">
        <w:rPr>
          <w:rFonts w:asciiTheme="minorEastAsia" w:eastAsiaTheme="minorEastAsia" w:hAnsiTheme="minorEastAsia" w:hint="eastAsia"/>
          <w:sz w:val="18"/>
          <w:szCs w:val="18"/>
        </w:rPr>
        <w:t>组成。</w:t>
      </w:r>
    </w:p>
    <w:p w:rsidR="00C65FD5" w:rsidRPr="00831C3C" w:rsidRDefault="00C65FD5" w:rsidP="003D003F">
      <w:pPr>
        <w:pStyle w:val="a3"/>
        <w:spacing w:before="0" w:beforeAutospacing="0" w:after="0" w:afterAutospacing="0"/>
        <w:ind w:firstLine="420"/>
        <w:jc w:val="both"/>
        <w:divId w:val="1222909507"/>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2</w:t>
      </w:r>
      <w:r w:rsidRPr="00831C3C">
        <w:rPr>
          <w:rFonts w:asciiTheme="minorEastAsia" w:eastAsiaTheme="minorEastAsia" w:hAnsiTheme="minorEastAsia" w:hint="eastAsia"/>
          <w:sz w:val="18"/>
          <w:szCs w:val="18"/>
        </w:rPr>
        <w:t>）在套期开始时，本公司正式指定了套</w:t>
      </w:r>
      <w:proofErr w:type="gramStart"/>
      <w:r w:rsidRPr="00831C3C">
        <w:rPr>
          <w:rFonts w:asciiTheme="minorEastAsia" w:eastAsiaTheme="minorEastAsia" w:hAnsiTheme="minorEastAsia" w:hint="eastAsia"/>
          <w:sz w:val="18"/>
          <w:szCs w:val="18"/>
        </w:rPr>
        <w:t>期工具</w:t>
      </w:r>
      <w:proofErr w:type="gramEnd"/>
      <w:r w:rsidRPr="00831C3C">
        <w:rPr>
          <w:rFonts w:asciiTheme="minorEastAsia" w:eastAsiaTheme="minorEastAsia" w:hAnsiTheme="minorEastAsia" w:hint="eastAsia"/>
          <w:sz w:val="18"/>
          <w:szCs w:val="18"/>
        </w:rPr>
        <w:t>和被套期项目，并准备了关于套</w:t>
      </w:r>
      <w:proofErr w:type="gramStart"/>
      <w:r w:rsidRPr="00831C3C">
        <w:rPr>
          <w:rFonts w:asciiTheme="minorEastAsia" w:eastAsiaTheme="minorEastAsia" w:hAnsiTheme="minorEastAsia" w:hint="eastAsia"/>
          <w:sz w:val="18"/>
          <w:szCs w:val="18"/>
        </w:rPr>
        <w:t>期关系</w:t>
      </w:r>
      <w:proofErr w:type="gramEnd"/>
      <w:r w:rsidRPr="00831C3C">
        <w:rPr>
          <w:rFonts w:asciiTheme="minorEastAsia" w:eastAsiaTheme="minorEastAsia" w:hAnsiTheme="minorEastAsia" w:hint="eastAsia"/>
          <w:sz w:val="18"/>
          <w:szCs w:val="18"/>
        </w:rPr>
        <w:t>和从事套期的风险管理策略和风险管理目标的书面文件。</w:t>
      </w:r>
    </w:p>
    <w:p w:rsidR="00C65FD5" w:rsidRPr="00831C3C" w:rsidRDefault="00C65FD5" w:rsidP="003D003F">
      <w:pPr>
        <w:pStyle w:val="a3"/>
        <w:spacing w:before="0" w:beforeAutospacing="0" w:after="0" w:afterAutospacing="0"/>
        <w:ind w:firstLine="420"/>
        <w:jc w:val="both"/>
        <w:divId w:val="1222909507"/>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3</w:t>
      </w:r>
      <w:r w:rsidRPr="00831C3C">
        <w:rPr>
          <w:rFonts w:asciiTheme="minorEastAsia" w:eastAsiaTheme="minorEastAsia" w:hAnsiTheme="minorEastAsia" w:hint="eastAsia"/>
          <w:sz w:val="18"/>
          <w:szCs w:val="18"/>
        </w:rPr>
        <w:t>）套</w:t>
      </w:r>
      <w:proofErr w:type="gramStart"/>
      <w:r w:rsidRPr="00831C3C">
        <w:rPr>
          <w:rFonts w:asciiTheme="minorEastAsia" w:eastAsiaTheme="minorEastAsia" w:hAnsiTheme="minorEastAsia" w:hint="eastAsia"/>
          <w:sz w:val="18"/>
          <w:szCs w:val="18"/>
        </w:rPr>
        <w:t>期关系</w:t>
      </w:r>
      <w:proofErr w:type="gramEnd"/>
      <w:r w:rsidRPr="00831C3C">
        <w:rPr>
          <w:rFonts w:asciiTheme="minorEastAsia" w:eastAsiaTheme="minorEastAsia" w:hAnsiTheme="minorEastAsia" w:hint="eastAsia"/>
          <w:sz w:val="18"/>
          <w:szCs w:val="18"/>
        </w:rPr>
        <w:t>符合套期有效性要求。</w:t>
      </w:r>
    </w:p>
    <w:p w:rsidR="00C65FD5" w:rsidRPr="00831C3C" w:rsidRDefault="00C65FD5" w:rsidP="003D003F">
      <w:pPr>
        <w:pStyle w:val="a3"/>
        <w:spacing w:before="0" w:beforeAutospacing="0" w:after="0" w:afterAutospacing="0"/>
        <w:ind w:firstLine="420"/>
        <w:jc w:val="both"/>
        <w:divId w:val="1222909507"/>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套</w:t>
      </w:r>
      <w:proofErr w:type="gramStart"/>
      <w:r w:rsidRPr="00831C3C">
        <w:rPr>
          <w:rFonts w:asciiTheme="minorEastAsia" w:eastAsiaTheme="minorEastAsia" w:hAnsiTheme="minorEastAsia" w:hint="eastAsia"/>
          <w:sz w:val="18"/>
          <w:szCs w:val="18"/>
        </w:rPr>
        <w:t>期同时</w:t>
      </w:r>
      <w:proofErr w:type="gramEnd"/>
      <w:r w:rsidRPr="00831C3C">
        <w:rPr>
          <w:rFonts w:asciiTheme="minorEastAsia" w:eastAsiaTheme="minorEastAsia" w:hAnsiTheme="minorEastAsia" w:hint="eastAsia"/>
          <w:sz w:val="18"/>
          <w:szCs w:val="18"/>
        </w:rPr>
        <w:t>满足下列条件的，认定套</w:t>
      </w:r>
      <w:proofErr w:type="gramStart"/>
      <w:r w:rsidRPr="00831C3C">
        <w:rPr>
          <w:rFonts w:asciiTheme="minorEastAsia" w:eastAsiaTheme="minorEastAsia" w:hAnsiTheme="minorEastAsia" w:hint="eastAsia"/>
          <w:sz w:val="18"/>
          <w:szCs w:val="18"/>
        </w:rPr>
        <w:t>期关系</w:t>
      </w:r>
      <w:proofErr w:type="gramEnd"/>
      <w:r w:rsidRPr="00831C3C">
        <w:rPr>
          <w:rFonts w:asciiTheme="minorEastAsia" w:eastAsiaTheme="minorEastAsia" w:hAnsiTheme="minorEastAsia" w:hint="eastAsia"/>
          <w:sz w:val="18"/>
          <w:szCs w:val="18"/>
        </w:rPr>
        <w:t>符合套期有效性要求：</w:t>
      </w:r>
    </w:p>
    <w:p w:rsidR="00C65FD5" w:rsidRPr="00831C3C" w:rsidRDefault="00C65FD5" w:rsidP="003D003F">
      <w:pPr>
        <w:pStyle w:val="a3"/>
        <w:spacing w:before="0" w:beforeAutospacing="0" w:after="0" w:afterAutospacing="0"/>
        <w:ind w:firstLine="420"/>
        <w:jc w:val="both"/>
        <w:divId w:val="1222909507"/>
        <w:rPr>
          <w:rFonts w:asciiTheme="minorEastAsia" w:eastAsiaTheme="minorEastAsia" w:hAnsiTheme="minorEastAsia"/>
          <w:sz w:val="18"/>
          <w:szCs w:val="18"/>
        </w:rPr>
      </w:pPr>
      <w:r w:rsidRPr="00831C3C">
        <w:rPr>
          <w:rFonts w:asciiTheme="minorEastAsia" w:eastAsiaTheme="minorEastAsia" w:hAnsiTheme="minorEastAsia"/>
          <w:sz w:val="18"/>
          <w:szCs w:val="18"/>
        </w:rPr>
        <w:lastRenderedPageBreak/>
        <w:t>1</w:t>
      </w:r>
      <w:r w:rsidRPr="00831C3C">
        <w:rPr>
          <w:rFonts w:asciiTheme="minorEastAsia" w:eastAsiaTheme="minorEastAsia" w:hAnsiTheme="minorEastAsia" w:hint="eastAsia"/>
          <w:sz w:val="18"/>
          <w:szCs w:val="18"/>
        </w:rPr>
        <w:t>）被套</w:t>
      </w:r>
      <w:proofErr w:type="gramStart"/>
      <w:r w:rsidRPr="00831C3C">
        <w:rPr>
          <w:rFonts w:asciiTheme="minorEastAsia" w:eastAsiaTheme="minorEastAsia" w:hAnsiTheme="minorEastAsia" w:hint="eastAsia"/>
          <w:sz w:val="18"/>
          <w:szCs w:val="18"/>
        </w:rPr>
        <w:t>期项目</w:t>
      </w:r>
      <w:proofErr w:type="gramEnd"/>
      <w:r w:rsidRPr="00831C3C">
        <w:rPr>
          <w:rFonts w:asciiTheme="minorEastAsia" w:eastAsiaTheme="minorEastAsia" w:hAnsiTheme="minorEastAsia" w:hint="eastAsia"/>
          <w:sz w:val="18"/>
          <w:szCs w:val="18"/>
        </w:rPr>
        <w:t>和套</w:t>
      </w:r>
      <w:proofErr w:type="gramStart"/>
      <w:r w:rsidRPr="00831C3C">
        <w:rPr>
          <w:rFonts w:asciiTheme="minorEastAsia" w:eastAsiaTheme="minorEastAsia" w:hAnsiTheme="minorEastAsia" w:hint="eastAsia"/>
          <w:sz w:val="18"/>
          <w:szCs w:val="18"/>
        </w:rPr>
        <w:t>期工具</w:t>
      </w:r>
      <w:proofErr w:type="gramEnd"/>
      <w:r w:rsidRPr="00831C3C">
        <w:rPr>
          <w:rFonts w:asciiTheme="minorEastAsia" w:eastAsiaTheme="minorEastAsia" w:hAnsiTheme="minorEastAsia" w:hint="eastAsia"/>
          <w:sz w:val="18"/>
          <w:szCs w:val="18"/>
        </w:rPr>
        <w:t>之间存在经济关系。该经济关系使得套</w:t>
      </w:r>
      <w:proofErr w:type="gramStart"/>
      <w:r w:rsidRPr="00831C3C">
        <w:rPr>
          <w:rFonts w:asciiTheme="minorEastAsia" w:eastAsiaTheme="minorEastAsia" w:hAnsiTheme="minorEastAsia" w:hint="eastAsia"/>
          <w:sz w:val="18"/>
          <w:szCs w:val="18"/>
        </w:rPr>
        <w:t>期工具</w:t>
      </w:r>
      <w:proofErr w:type="gramEnd"/>
      <w:r w:rsidRPr="00831C3C">
        <w:rPr>
          <w:rFonts w:asciiTheme="minorEastAsia" w:eastAsiaTheme="minorEastAsia" w:hAnsiTheme="minorEastAsia" w:hint="eastAsia"/>
          <w:sz w:val="18"/>
          <w:szCs w:val="18"/>
        </w:rPr>
        <w:t>和被套</w:t>
      </w:r>
      <w:proofErr w:type="gramStart"/>
      <w:r w:rsidRPr="00831C3C">
        <w:rPr>
          <w:rFonts w:asciiTheme="minorEastAsia" w:eastAsiaTheme="minorEastAsia" w:hAnsiTheme="minorEastAsia" w:hint="eastAsia"/>
          <w:sz w:val="18"/>
          <w:szCs w:val="18"/>
        </w:rPr>
        <w:t>期项目</w:t>
      </w:r>
      <w:proofErr w:type="gramEnd"/>
      <w:r w:rsidRPr="00831C3C">
        <w:rPr>
          <w:rFonts w:asciiTheme="minorEastAsia" w:eastAsiaTheme="minorEastAsia" w:hAnsiTheme="minorEastAsia" w:hint="eastAsia"/>
          <w:sz w:val="18"/>
          <w:szCs w:val="18"/>
        </w:rPr>
        <w:t>的价值因面临相同的被套期风险而发生方向相反的变动。</w:t>
      </w:r>
    </w:p>
    <w:p w:rsidR="00C65FD5" w:rsidRPr="00831C3C" w:rsidRDefault="00C65FD5" w:rsidP="003D003F">
      <w:pPr>
        <w:pStyle w:val="a3"/>
        <w:spacing w:before="0" w:beforeAutospacing="0" w:after="0" w:afterAutospacing="0"/>
        <w:ind w:firstLine="420"/>
        <w:jc w:val="both"/>
        <w:divId w:val="1222909507"/>
        <w:rPr>
          <w:rFonts w:asciiTheme="minorEastAsia" w:eastAsiaTheme="minorEastAsia" w:hAnsiTheme="minorEastAsia"/>
          <w:sz w:val="18"/>
          <w:szCs w:val="18"/>
        </w:rPr>
      </w:pPr>
      <w:r w:rsidRPr="00831C3C">
        <w:rPr>
          <w:rFonts w:asciiTheme="minorEastAsia" w:eastAsiaTheme="minorEastAsia" w:hAnsiTheme="minorEastAsia"/>
          <w:sz w:val="18"/>
          <w:szCs w:val="18"/>
        </w:rPr>
        <w:t>2</w:t>
      </w:r>
      <w:r w:rsidRPr="00831C3C">
        <w:rPr>
          <w:rFonts w:asciiTheme="minorEastAsia" w:eastAsiaTheme="minorEastAsia" w:hAnsiTheme="minorEastAsia" w:hint="eastAsia"/>
          <w:sz w:val="18"/>
          <w:szCs w:val="18"/>
        </w:rPr>
        <w:t>）被套</w:t>
      </w:r>
      <w:proofErr w:type="gramStart"/>
      <w:r w:rsidRPr="00831C3C">
        <w:rPr>
          <w:rFonts w:asciiTheme="minorEastAsia" w:eastAsiaTheme="minorEastAsia" w:hAnsiTheme="minorEastAsia" w:hint="eastAsia"/>
          <w:sz w:val="18"/>
          <w:szCs w:val="18"/>
        </w:rPr>
        <w:t>期项目</w:t>
      </w:r>
      <w:proofErr w:type="gramEnd"/>
      <w:r w:rsidRPr="00831C3C">
        <w:rPr>
          <w:rFonts w:asciiTheme="minorEastAsia" w:eastAsiaTheme="minorEastAsia" w:hAnsiTheme="minorEastAsia" w:hint="eastAsia"/>
          <w:sz w:val="18"/>
          <w:szCs w:val="18"/>
        </w:rPr>
        <w:t>和套</w:t>
      </w:r>
      <w:proofErr w:type="gramStart"/>
      <w:r w:rsidRPr="00831C3C">
        <w:rPr>
          <w:rFonts w:asciiTheme="minorEastAsia" w:eastAsiaTheme="minorEastAsia" w:hAnsiTheme="minorEastAsia" w:hint="eastAsia"/>
          <w:sz w:val="18"/>
          <w:szCs w:val="18"/>
        </w:rPr>
        <w:t>期工具</w:t>
      </w:r>
      <w:proofErr w:type="gramEnd"/>
      <w:r w:rsidRPr="00831C3C">
        <w:rPr>
          <w:rFonts w:asciiTheme="minorEastAsia" w:eastAsiaTheme="minorEastAsia" w:hAnsiTheme="minorEastAsia" w:hint="eastAsia"/>
          <w:sz w:val="18"/>
          <w:szCs w:val="18"/>
        </w:rPr>
        <w:t>经济关系产生的价值变动中，信用风险的影响不占主导地位。</w:t>
      </w:r>
    </w:p>
    <w:p w:rsidR="00C65FD5" w:rsidRPr="00831C3C" w:rsidRDefault="00C65FD5" w:rsidP="003D003F">
      <w:pPr>
        <w:pStyle w:val="a3"/>
        <w:spacing w:before="0" w:beforeAutospacing="0" w:after="0" w:afterAutospacing="0"/>
        <w:ind w:firstLine="420"/>
        <w:jc w:val="both"/>
        <w:divId w:val="1222909507"/>
        <w:rPr>
          <w:rFonts w:asciiTheme="minorEastAsia" w:eastAsiaTheme="minorEastAsia" w:hAnsiTheme="minorEastAsia"/>
          <w:sz w:val="18"/>
          <w:szCs w:val="18"/>
        </w:rPr>
      </w:pPr>
      <w:r w:rsidRPr="00831C3C">
        <w:rPr>
          <w:rFonts w:asciiTheme="minorEastAsia" w:eastAsiaTheme="minorEastAsia" w:hAnsiTheme="minorEastAsia"/>
          <w:sz w:val="18"/>
          <w:szCs w:val="18"/>
        </w:rPr>
        <w:t>3</w:t>
      </w:r>
      <w:r w:rsidRPr="00831C3C">
        <w:rPr>
          <w:rFonts w:asciiTheme="minorEastAsia" w:eastAsiaTheme="minorEastAsia" w:hAnsiTheme="minorEastAsia" w:hint="eastAsia"/>
          <w:sz w:val="18"/>
          <w:szCs w:val="18"/>
        </w:rPr>
        <w:t>）套</w:t>
      </w:r>
      <w:proofErr w:type="gramStart"/>
      <w:r w:rsidRPr="00831C3C">
        <w:rPr>
          <w:rFonts w:asciiTheme="minorEastAsia" w:eastAsiaTheme="minorEastAsia" w:hAnsiTheme="minorEastAsia" w:hint="eastAsia"/>
          <w:sz w:val="18"/>
          <w:szCs w:val="18"/>
        </w:rPr>
        <w:t>期关系</w:t>
      </w:r>
      <w:proofErr w:type="gramEnd"/>
      <w:r w:rsidRPr="00831C3C">
        <w:rPr>
          <w:rFonts w:asciiTheme="minorEastAsia" w:eastAsiaTheme="minorEastAsia" w:hAnsiTheme="minorEastAsia" w:hint="eastAsia"/>
          <w:sz w:val="18"/>
          <w:szCs w:val="18"/>
        </w:rPr>
        <w:t>的套期比率，等于公司实际套期的被套</w:t>
      </w:r>
      <w:proofErr w:type="gramStart"/>
      <w:r w:rsidRPr="00831C3C">
        <w:rPr>
          <w:rFonts w:asciiTheme="minorEastAsia" w:eastAsiaTheme="minorEastAsia" w:hAnsiTheme="minorEastAsia" w:hint="eastAsia"/>
          <w:sz w:val="18"/>
          <w:szCs w:val="18"/>
        </w:rPr>
        <w:t>期项目</w:t>
      </w:r>
      <w:proofErr w:type="gramEnd"/>
      <w:r w:rsidRPr="00831C3C">
        <w:rPr>
          <w:rFonts w:asciiTheme="minorEastAsia" w:eastAsiaTheme="minorEastAsia" w:hAnsiTheme="minorEastAsia" w:hint="eastAsia"/>
          <w:sz w:val="18"/>
          <w:szCs w:val="18"/>
        </w:rPr>
        <w:t>数量与对其进行套期的套</w:t>
      </w:r>
      <w:proofErr w:type="gramStart"/>
      <w:r w:rsidRPr="00831C3C">
        <w:rPr>
          <w:rFonts w:asciiTheme="minorEastAsia" w:eastAsiaTheme="minorEastAsia" w:hAnsiTheme="minorEastAsia" w:hint="eastAsia"/>
          <w:sz w:val="18"/>
          <w:szCs w:val="18"/>
        </w:rPr>
        <w:t>期工具</w:t>
      </w:r>
      <w:proofErr w:type="gramEnd"/>
      <w:r w:rsidRPr="00831C3C">
        <w:rPr>
          <w:rFonts w:asciiTheme="minorEastAsia" w:eastAsiaTheme="minorEastAsia" w:hAnsiTheme="minorEastAsia" w:hint="eastAsia"/>
          <w:sz w:val="18"/>
          <w:szCs w:val="18"/>
        </w:rPr>
        <w:t>实际数量之比，但不反映被套</w:t>
      </w:r>
      <w:proofErr w:type="gramStart"/>
      <w:r w:rsidRPr="00831C3C">
        <w:rPr>
          <w:rFonts w:asciiTheme="minorEastAsia" w:eastAsiaTheme="minorEastAsia" w:hAnsiTheme="minorEastAsia" w:hint="eastAsia"/>
          <w:sz w:val="18"/>
          <w:szCs w:val="18"/>
        </w:rPr>
        <w:t>期项目</w:t>
      </w:r>
      <w:proofErr w:type="gramEnd"/>
      <w:r w:rsidRPr="00831C3C">
        <w:rPr>
          <w:rFonts w:asciiTheme="minorEastAsia" w:eastAsiaTheme="minorEastAsia" w:hAnsiTheme="minorEastAsia" w:hint="eastAsia"/>
          <w:sz w:val="18"/>
          <w:szCs w:val="18"/>
        </w:rPr>
        <w:t>和套</w:t>
      </w:r>
      <w:proofErr w:type="gramStart"/>
      <w:r w:rsidRPr="00831C3C">
        <w:rPr>
          <w:rFonts w:asciiTheme="minorEastAsia" w:eastAsiaTheme="minorEastAsia" w:hAnsiTheme="minorEastAsia" w:hint="eastAsia"/>
          <w:sz w:val="18"/>
          <w:szCs w:val="18"/>
        </w:rPr>
        <w:t>期工具</w:t>
      </w:r>
      <w:proofErr w:type="gramEnd"/>
      <w:r w:rsidRPr="00831C3C">
        <w:rPr>
          <w:rFonts w:asciiTheme="minorEastAsia" w:eastAsiaTheme="minorEastAsia" w:hAnsiTheme="minorEastAsia" w:hint="eastAsia"/>
          <w:sz w:val="18"/>
          <w:szCs w:val="18"/>
        </w:rPr>
        <w:t>相对权重的失衡，这种失衡会导致套期无效，并可能产生与套期会计目标不一致的会计结果。</w:t>
      </w:r>
    </w:p>
    <w:p w:rsidR="00C65FD5" w:rsidRPr="00831C3C" w:rsidRDefault="00C65FD5" w:rsidP="00CC7D91">
      <w:pPr>
        <w:widowControl/>
        <w:numPr>
          <w:ilvl w:val="0"/>
          <w:numId w:val="119"/>
        </w:numPr>
        <w:spacing w:before="100" w:beforeAutospacing="1" w:after="100" w:afterAutospacing="1"/>
        <w:divId w:val="1222909507"/>
        <w:rPr>
          <w:rFonts w:asciiTheme="minorEastAsia" w:hAnsiTheme="minorEastAsia" w:cs="宋体"/>
          <w:kern w:val="0"/>
          <w:sz w:val="18"/>
          <w:szCs w:val="18"/>
        </w:rPr>
      </w:pPr>
      <w:r w:rsidRPr="00831C3C">
        <w:rPr>
          <w:rFonts w:asciiTheme="minorEastAsia" w:hAnsiTheme="minorEastAsia" w:cs="宋体" w:hint="eastAsia"/>
          <w:kern w:val="0"/>
          <w:sz w:val="18"/>
          <w:szCs w:val="18"/>
        </w:rPr>
        <w:t>．公允价值套期会计处理</w:t>
      </w:r>
    </w:p>
    <w:p w:rsidR="00C65FD5" w:rsidRPr="00831C3C" w:rsidRDefault="00C65FD5" w:rsidP="003D003F">
      <w:pPr>
        <w:pStyle w:val="a3"/>
        <w:spacing w:before="0" w:beforeAutospacing="0" w:after="0" w:afterAutospacing="0"/>
        <w:ind w:firstLine="420"/>
        <w:jc w:val="both"/>
        <w:divId w:val="1222909507"/>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1</w:t>
      </w:r>
      <w:r w:rsidRPr="00831C3C">
        <w:rPr>
          <w:rFonts w:asciiTheme="minorEastAsia" w:eastAsiaTheme="minorEastAsia" w:hAnsiTheme="minorEastAsia" w:hint="eastAsia"/>
          <w:sz w:val="18"/>
          <w:szCs w:val="18"/>
        </w:rPr>
        <w:t>）套</w:t>
      </w:r>
      <w:proofErr w:type="gramStart"/>
      <w:r w:rsidRPr="00831C3C">
        <w:rPr>
          <w:rFonts w:asciiTheme="minorEastAsia" w:eastAsiaTheme="minorEastAsia" w:hAnsiTheme="minorEastAsia" w:hint="eastAsia"/>
          <w:sz w:val="18"/>
          <w:szCs w:val="18"/>
        </w:rPr>
        <w:t>期工具</w:t>
      </w:r>
      <w:proofErr w:type="gramEnd"/>
      <w:r w:rsidRPr="00831C3C">
        <w:rPr>
          <w:rFonts w:asciiTheme="minorEastAsia" w:eastAsiaTheme="minorEastAsia" w:hAnsiTheme="minorEastAsia" w:hint="eastAsia"/>
          <w:sz w:val="18"/>
          <w:szCs w:val="18"/>
        </w:rPr>
        <w:t>产生的利得或损失计入当期损益。如果套</w:t>
      </w:r>
      <w:proofErr w:type="gramStart"/>
      <w:r w:rsidRPr="00831C3C">
        <w:rPr>
          <w:rFonts w:asciiTheme="minorEastAsia" w:eastAsiaTheme="minorEastAsia" w:hAnsiTheme="minorEastAsia" w:hint="eastAsia"/>
          <w:sz w:val="18"/>
          <w:szCs w:val="18"/>
        </w:rPr>
        <w:t>期工具</w:t>
      </w:r>
      <w:proofErr w:type="gramEnd"/>
      <w:r w:rsidRPr="00831C3C">
        <w:rPr>
          <w:rFonts w:asciiTheme="minorEastAsia" w:eastAsiaTheme="minorEastAsia" w:hAnsiTheme="minorEastAsia" w:hint="eastAsia"/>
          <w:sz w:val="18"/>
          <w:szCs w:val="18"/>
        </w:rPr>
        <w:t>是对选择以公允价值计量且其变动计入其他综合收益的</w:t>
      </w:r>
      <w:proofErr w:type="gramStart"/>
      <w:r w:rsidRPr="00831C3C">
        <w:rPr>
          <w:rFonts w:asciiTheme="minorEastAsia" w:eastAsiaTheme="minorEastAsia" w:hAnsiTheme="minorEastAsia" w:hint="eastAsia"/>
          <w:sz w:val="18"/>
          <w:szCs w:val="18"/>
        </w:rPr>
        <w:t>非交易</w:t>
      </w:r>
      <w:proofErr w:type="gramEnd"/>
      <w:r w:rsidRPr="00831C3C">
        <w:rPr>
          <w:rFonts w:asciiTheme="minorEastAsia" w:eastAsiaTheme="minorEastAsia" w:hAnsiTheme="minorEastAsia" w:hint="eastAsia"/>
          <w:sz w:val="18"/>
          <w:szCs w:val="18"/>
        </w:rPr>
        <w:t>性权益工具投资（或其组成部分）进行套期的，套</w:t>
      </w:r>
      <w:proofErr w:type="gramStart"/>
      <w:r w:rsidRPr="00831C3C">
        <w:rPr>
          <w:rFonts w:asciiTheme="minorEastAsia" w:eastAsiaTheme="minorEastAsia" w:hAnsiTheme="minorEastAsia" w:hint="eastAsia"/>
          <w:sz w:val="18"/>
          <w:szCs w:val="18"/>
        </w:rPr>
        <w:t>期工具</w:t>
      </w:r>
      <w:proofErr w:type="gramEnd"/>
      <w:r w:rsidRPr="00831C3C">
        <w:rPr>
          <w:rFonts w:asciiTheme="minorEastAsia" w:eastAsiaTheme="minorEastAsia" w:hAnsiTheme="minorEastAsia" w:hint="eastAsia"/>
          <w:sz w:val="18"/>
          <w:szCs w:val="18"/>
        </w:rPr>
        <w:t>产生的利得或损失计入其他综合收益。</w:t>
      </w:r>
    </w:p>
    <w:p w:rsidR="00C65FD5" w:rsidRPr="00831C3C" w:rsidRDefault="00C65FD5" w:rsidP="003D003F">
      <w:pPr>
        <w:pStyle w:val="a3"/>
        <w:spacing w:before="0" w:beforeAutospacing="0" w:after="0" w:afterAutospacing="0"/>
        <w:ind w:firstLine="420"/>
        <w:jc w:val="both"/>
        <w:divId w:val="1222909507"/>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2</w:t>
      </w:r>
      <w:r w:rsidRPr="00831C3C">
        <w:rPr>
          <w:rFonts w:asciiTheme="minorEastAsia" w:eastAsiaTheme="minorEastAsia" w:hAnsiTheme="minorEastAsia" w:hint="eastAsia"/>
          <w:sz w:val="18"/>
          <w:szCs w:val="18"/>
        </w:rPr>
        <w:t>）被套</w:t>
      </w:r>
      <w:proofErr w:type="gramStart"/>
      <w:r w:rsidRPr="00831C3C">
        <w:rPr>
          <w:rFonts w:asciiTheme="minorEastAsia" w:eastAsiaTheme="minorEastAsia" w:hAnsiTheme="minorEastAsia" w:hint="eastAsia"/>
          <w:sz w:val="18"/>
          <w:szCs w:val="18"/>
        </w:rPr>
        <w:t>期项目</w:t>
      </w:r>
      <w:proofErr w:type="gramEnd"/>
      <w:r w:rsidRPr="00831C3C">
        <w:rPr>
          <w:rFonts w:asciiTheme="minorEastAsia" w:eastAsiaTheme="minorEastAsia" w:hAnsiTheme="minorEastAsia" w:hint="eastAsia"/>
          <w:sz w:val="18"/>
          <w:szCs w:val="18"/>
        </w:rPr>
        <w:t>因被套期风险敞口形成的利得或损失计入当期损益，同时调整未以公允价值计量的已确认被套</w:t>
      </w:r>
      <w:proofErr w:type="gramStart"/>
      <w:r w:rsidRPr="00831C3C">
        <w:rPr>
          <w:rFonts w:asciiTheme="minorEastAsia" w:eastAsiaTheme="minorEastAsia" w:hAnsiTheme="minorEastAsia" w:hint="eastAsia"/>
          <w:sz w:val="18"/>
          <w:szCs w:val="18"/>
        </w:rPr>
        <w:t>期项目</w:t>
      </w:r>
      <w:proofErr w:type="gramEnd"/>
      <w:r w:rsidRPr="00831C3C">
        <w:rPr>
          <w:rFonts w:asciiTheme="minorEastAsia" w:eastAsiaTheme="minorEastAsia" w:hAnsiTheme="minorEastAsia" w:hint="eastAsia"/>
          <w:sz w:val="18"/>
          <w:szCs w:val="18"/>
        </w:rPr>
        <w:t>的账面价值。被套</w:t>
      </w:r>
      <w:proofErr w:type="gramStart"/>
      <w:r w:rsidRPr="00831C3C">
        <w:rPr>
          <w:rFonts w:asciiTheme="minorEastAsia" w:eastAsiaTheme="minorEastAsia" w:hAnsiTheme="minorEastAsia" w:hint="eastAsia"/>
          <w:sz w:val="18"/>
          <w:szCs w:val="18"/>
        </w:rPr>
        <w:t>期项目</w:t>
      </w:r>
      <w:proofErr w:type="gramEnd"/>
      <w:r w:rsidRPr="00831C3C">
        <w:rPr>
          <w:rFonts w:asciiTheme="minorEastAsia" w:eastAsiaTheme="minorEastAsia" w:hAnsiTheme="minorEastAsia" w:hint="eastAsia"/>
          <w:sz w:val="18"/>
          <w:szCs w:val="18"/>
        </w:rPr>
        <w:t>为以公允价值计量且其变动计入其他综合收益的金融资产（或其组成部分）的，其因被套期风险敞口形成的利得或损失计入当期损益，其账面价值已经按公允价值计量，不需要调整；被套</w:t>
      </w:r>
      <w:proofErr w:type="gramStart"/>
      <w:r w:rsidRPr="00831C3C">
        <w:rPr>
          <w:rFonts w:asciiTheme="minorEastAsia" w:eastAsiaTheme="minorEastAsia" w:hAnsiTheme="minorEastAsia" w:hint="eastAsia"/>
          <w:sz w:val="18"/>
          <w:szCs w:val="18"/>
        </w:rPr>
        <w:t>期项目</w:t>
      </w:r>
      <w:proofErr w:type="gramEnd"/>
      <w:r w:rsidRPr="00831C3C">
        <w:rPr>
          <w:rFonts w:asciiTheme="minorEastAsia" w:eastAsiaTheme="minorEastAsia" w:hAnsiTheme="minorEastAsia" w:hint="eastAsia"/>
          <w:sz w:val="18"/>
          <w:szCs w:val="18"/>
        </w:rPr>
        <w:t>为公司选择以公允价值计量且其变动计入其他综合收益的</w:t>
      </w:r>
      <w:proofErr w:type="gramStart"/>
      <w:r w:rsidRPr="00831C3C">
        <w:rPr>
          <w:rFonts w:asciiTheme="minorEastAsia" w:eastAsiaTheme="minorEastAsia" w:hAnsiTheme="minorEastAsia" w:hint="eastAsia"/>
          <w:sz w:val="18"/>
          <w:szCs w:val="18"/>
        </w:rPr>
        <w:t>非交易</w:t>
      </w:r>
      <w:proofErr w:type="gramEnd"/>
      <w:r w:rsidRPr="00831C3C">
        <w:rPr>
          <w:rFonts w:asciiTheme="minorEastAsia" w:eastAsiaTheme="minorEastAsia" w:hAnsiTheme="minorEastAsia" w:hint="eastAsia"/>
          <w:sz w:val="18"/>
          <w:szCs w:val="18"/>
        </w:rPr>
        <w:t>性权益工具投资（或其组成部分）的，其因被套期风险敞口形成的利得或损失计入其他综合收益，其账面价值已经按公允价值计量，不需要调整。</w:t>
      </w:r>
    </w:p>
    <w:p w:rsidR="00C65FD5" w:rsidRPr="00831C3C" w:rsidRDefault="00C65FD5" w:rsidP="003D003F">
      <w:pPr>
        <w:pStyle w:val="a3"/>
        <w:spacing w:before="0" w:beforeAutospacing="0" w:after="0" w:afterAutospacing="0"/>
        <w:ind w:firstLine="420"/>
        <w:jc w:val="both"/>
        <w:divId w:val="1222909507"/>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被套</w:t>
      </w:r>
      <w:proofErr w:type="gramStart"/>
      <w:r w:rsidRPr="00831C3C">
        <w:rPr>
          <w:rFonts w:asciiTheme="minorEastAsia" w:eastAsiaTheme="minorEastAsia" w:hAnsiTheme="minorEastAsia" w:hint="eastAsia"/>
          <w:sz w:val="18"/>
          <w:szCs w:val="18"/>
        </w:rPr>
        <w:t>期项目</w:t>
      </w:r>
      <w:proofErr w:type="gramEnd"/>
      <w:r w:rsidRPr="00831C3C">
        <w:rPr>
          <w:rFonts w:asciiTheme="minorEastAsia" w:eastAsiaTheme="minorEastAsia" w:hAnsiTheme="minorEastAsia" w:hint="eastAsia"/>
          <w:sz w:val="18"/>
          <w:szCs w:val="18"/>
        </w:rPr>
        <w:t>为尚未确认的确定承诺（或其组成部分）的，其在套</w:t>
      </w:r>
      <w:proofErr w:type="gramStart"/>
      <w:r w:rsidRPr="00831C3C">
        <w:rPr>
          <w:rFonts w:asciiTheme="minorEastAsia" w:eastAsiaTheme="minorEastAsia" w:hAnsiTheme="minorEastAsia" w:hint="eastAsia"/>
          <w:sz w:val="18"/>
          <w:szCs w:val="18"/>
        </w:rPr>
        <w:t>期关系</w:t>
      </w:r>
      <w:proofErr w:type="gramEnd"/>
      <w:r w:rsidRPr="00831C3C">
        <w:rPr>
          <w:rFonts w:asciiTheme="minorEastAsia" w:eastAsiaTheme="minorEastAsia" w:hAnsiTheme="minorEastAsia" w:hint="eastAsia"/>
          <w:sz w:val="18"/>
          <w:szCs w:val="18"/>
        </w:rPr>
        <w:t>指定后因被套期风险引起的公允价值累计变动额确认为一项资产或负债，相关的利得或损失计入各相关期间损益。当履行确定承诺而取得资产或承担负债时，调整该资产或负债的初始确认金额，以包括已确认的被套</w:t>
      </w:r>
      <w:proofErr w:type="gramStart"/>
      <w:r w:rsidRPr="00831C3C">
        <w:rPr>
          <w:rFonts w:asciiTheme="minorEastAsia" w:eastAsiaTheme="minorEastAsia" w:hAnsiTheme="minorEastAsia" w:hint="eastAsia"/>
          <w:sz w:val="18"/>
          <w:szCs w:val="18"/>
        </w:rPr>
        <w:t>期项目</w:t>
      </w:r>
      <w:proofErr w:type="gramEnd"/>
      <w:r w:rsidRPr="00831C3C">
        <w:rPr>
          <w:rFonts w:asciiTheme="minorEastAsia" w:eastAsiaTheme="minorEastAsia" w:hAnsiTheme="minorEastAsia" w:hint="eastAsia"/>
          <w:sz w:val="18"/>
          <w:szCs w:val="18"/>
        </w:rPr>
        <w:t>的公允价值累计变动额。</w:t>
      </w:r>
    </w:p>
    <w:p w:rsidR="00C65FD5" w:rsidRPr="00831C3C" w:rsidRDefault="00C65FD5" w:rsidP="003D003F">
      <w:pPr>
        <w:pStyle w:val="a3"/>
        <w:spacing w:before="0" w:beforeAutospacing="0" w:after="0" w:afterAutospacing="0"/>
        <w:ind w:firstLine="420"/>
        <w:jc w:val="both"/>
        <w:divId w:val="1222909507"/>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3</w:t>
      </w:r>
      <w:r w:rsidRPr="00831C3C">
        <w:rPr>
          <w:rFonts w:asciiTheme="minorEastAsia" w:eastAsiaTheme="minorEastAsia" w:hAnsiTheme="minorEastAsia" w:hint="eastAsia"/>
          <w:sz w:val="18"/>
          <w:szCs w:val="18"/>
        </w:rPr>
        <w:t>）被套</w:t>
      </w:r>
      <w:proofErr w:type="gramStart"/>
      <w:r w:rsidRPr="00831C3C">
        <w:rPr>
          <w:rFonts w:asciiTheme="minorEastAsia" w:eastAsiaTheme="minorEastAsia" w:hAnsiTheme="minorEastAsia" w:hint="eastAsia"/>
          <w:sz w:val="18"/>
          <w:szCs w:val="18"/>
        </w:rPr>
        <w:t>期项目</w:t>
      </w:r>
      <w:proofErr w:type="gramEnd"/>
      <w:r w:rsidRPr="00831C3C">
        <w:rPr>
          <w:rFonts w:asciiTheme="minorEastAsia" w:eastAsiaTheme="minorEastAsia" w:hAnsiTheme="minorEastAsia" w:hint="eastAsia"/>
          <w:sz w:val="18"/>
          <w:szCs w:val="18"/>
        </w:rPr>
        <w:t>为以摊</w:t>
      </w:r>
      <w:proofErr w:type="gramStart"/>
      <w:r w:rsidRPr="00831C3C">
        <w:rPr>
          <w:rFonts w:asciiTheme="minorEastAsia" w:eastAsiaTheme="minorEastAsia" w:hAnsiTheme="minorEastAsia" w:hint="eastAsia"/>
          <w:sz w:val="18"/>
          <w:szCs w:val="18"/>
        </w:rPr>
        <w:t>余成本</w:t>
      </w:r>
      <w:proofErr w:type="gramEnd"/>
      <w:r w:rsidRPr="00831C3C">
        <w:rPr>
          <w:rFonts w:asciiTheme="minorEastAsia" w:eastAsiaTheme="minorEastAsia" w:hAnsiTheme="minorEastAsia" w:hint="eastAsia"/>
          <w:sz w:val="18"/>
          <w:szCs w:val="18"/>
        </w:rPr>
        <w:t>计量的金融工具（或其组成部分）的，对被套</w:t>
      </w:r>
      <w:proofErr w:type="gramStart"/>
      <w:r w:rsidRPr="00831C3C">
        <w:rPr>
          <w:rFonts w:asciiTheme="minorEastAsia" w:eastAsiaTheme="minorEastAsia" w:hAnsiTheme="minorEastAsia" w:hint="eastAsia"/>
          <w:sz w:val="18"/>
          <w:szCs w:val="18"/>
        </w:rPr>
        <w:t>期项目</w:t>
      </w:r>
      <w:proofErr w:type="gramEnd"/>
      <w:r w:rsidRPr="00831C3C">
        <w:rPr>
          <w:rFonts w:asciiTheme="minorEastAsia" w:eastAsiaTheme="minorEastAsia" w:hAnsiTheme="minorEastAsia" w:hint="eastAsia"/>
          <w:sz w:val="18"/>
          <w:szCs w:val="18"/>
        </w:rPr>
        <w:t>账面价值所作的调整按照开始摊销日重新计算的实际利率进行摊销，并计入当期损益。该摊销可以自调整日开始，但不晚于对被套</w:t>
      </w:r>
      <w:proofErr w:type="gramStart"/>
      <w:r w:rsidRPr="00831C3C">
        <w:rPr>
          <w:rFonts w:asciiTheme="minorEastAsia" w:eastAsiaTheme="minorEastAsia" w:hAnsiTheme="minorEastAsia" w:hint="eastAsia"/>
          <w:sz w:val="18"/>
          <w:szCs w:val="18"/>
        </w:rPr>
        <w:t>期项目</w:t>
      </w:r>
      <w:proofErr w:type="gramEnd"/>
      <w:r w:rsidRPr="00831C3C">
        <w:rPr>
          <w:rFonts w:asciiTheme="minorEastAsia" w:eastAsiaTheme="minorEastAsia" w:hAnsiTheme="minorEastAsia" w:hint="eastAsia"/>
          <w:sz w:val="18"/>
          <w:szCs w:val="18"/>
        </w:rPr>
        <w:t>终止进行</w:t>
      </w:r>
      <w:proofErr w:type="gramStart"/>
      <w:r w:rsidRPr="00831C3C">
        <w:rPr>
          <w:rFonts w:asciiTheme="minorEastAsia" w:eastAsiaTheme="minorEastAsia" w:hAnsiTheme="minorEastAsia" w:hint="eastAsia"/>
          <w:sz w:val="18"/>
          <w:szCs w:val="18"/>
        </w:rPr>
        <w:t>套期利得</w:t>
      </w:r>
      <w:proofErr w:type="gramEnd"/>
      <w:r w:rsidRPr="00831C3C">
        <w:rPr>
          <w:rFonts w:asciiTheme="minorEastAsia" w:eastAsiaTheme="minorEastAsia" w:hAnsiTheme="minorEastAsia" w:hint="eastAsia"/>
          <w:sz w:val="18"/>
          <w:szCs w:val="18"/>
        </w:rPr>
        <w:t>和损失调整的时点。被套</w:t>
      </w:r>
      <w:proofErr w:type="gramStart"/>
      <w:r w:rsidRPr="00831C3C">
        <w:rPr>
          <w:rFonts w:asciiTheme="minorEastAsia" w:eastAsiaTheme="minorEastAsia" w:hAnsiTheme="minorEastAsia" w:hint="eastAsia"/>
          <w:sz w:val="18"/>
          <w:szCs w:val="18"/>
        </w:rPr>
        <w:t>期项目</w:t>
      </w:r>
      <w:proofErr w:type="gramEnd"/>
      <w:r w:rsidRPr="00831C3C">
        <w:rPr>
          <w:rFonts w:asciiTheme="minorEastAsia" w:eastAsiaTheme="minorEastAsia" w:hAnsiTheme="minorEastAsia" w:hint="eastAsia"/>
          <w:sz w:val="18"/>
          <w:szCs w:val="18"/>
        </w:rPr>
        <w:t>为以公允价值计量且其变动计入其他综合收益的金融资产（或其组成部分）的，则按照相同的方式对累计已确认的</w:t>
      </w:r>
      <w:proofErr w:type="gramStart"/>
      <w:r w:rsidRPr="00831C3C">
        <w:rPr>
          <w:rFonts w:asciiTheme="minorEastAsia" w:eastAsiaTheme="minorEastAsia" w:hAnsiTheme="minorEastAsia" w:hint="eastAsia"/>
          <w:sz w:val="18"/>
          <w:szCs w:val="18"/>
        </w:rPr>
        <w:t>套期利得</w:t>
      </w:r>
      <w:proofErr w:type="gramEnd"/>
      <w:r w:rsidRPr="00831C3C">
        <w:rPr>
          <w:rFonts w:asciiTheme="minorEastAsia" w:eastAsiaTheme="minorEastAsia" w:hAnsiTheme="minorEastAsia" w:hint="eastAsia"/>
          <w:sz w:val="18"/>
          <w:szCs w:val="18"/>
        </w:rPr>
        <w:t>或损失进行摊销，并计入当期损益，但不调整金融资产（或其组成部分）的账面价值。</w:t>
      </w:r>
    </w:p>
    <w:p w:rsidR="00C65FD5" w:rsidRPr="00831C3C" w:rsidRDefault="00C65FD5" w:rsidP="00CC7D91">
      <w:pPr>
        <w:widowControl/>
        <w:numPr>
          <w:ilvl w:val="0"/>
          <w:numId w:val="120"/>
        </w:numPr>
        <w:spacing w:before="100" w:beforeAutospacing="1" w:after="100" w:afterAutospacing="1"/>
        <w:divId w:val="1222909507"/>
        <w:rPr>
          <w:rFonts w:asciiTheme="minorEastAsia" w:hAnsiTheme="minorEastAsia" w:cs="宋体"/>
          <w:kern w:val="0"/>
          <w:sz w:val="18"/>
          <w:szCs w:val="18"/>
        </w:rPr>
      </w:pPr>
      <w:r w:rsidRPr="00831C3C">
        <w:rPr>
          <w:rFonts w:asciiTheme="minorEastAsia" w:hAnsiTheme="minorEastAsia" w:cs="宋体" w:hint="eastAsia"/>
          <w:kern w:val="0"/>
          <w:sz w:val="18"/>
          <w:szCs w:val="18"/>
        </w:rPr>
        <w:t>．现金流量套期会计处理</w:t>
      </w:r>
    </w:p>
    <w:p w:rsidR="00C65FD5" w:rsidRPr="00831C3C" w:rsidRDefault="00C65FD5" w:rsidP="003D003F">
      <w:pPr>
        <w:pStyle w:val="a3"/>
        <w:spacing w:before="0" w:beforeAutospacing="0" w:after="0" w:afterAutospacing="0"/>
        <w:ind w:firstLine="420"/>
        <w:jc w:val="both"/>
        <w:divId w:val="1222909507"/>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1</w:t>
      </w:r>
      <w:r w:rsidRPr="00831C3C">
        <w:rPr>
          <w:rFonts w:asciiTheme="minorEastAsia" w:eastAsiaTheme="minorEastAsia" w:hAnsiTheme="minorEastAsia" w:hint="eastAsia"/>
          <w:sz w:val="18"/>
          <w:szCs w:val="18"/>
        </w:rPr>
        <w:t>）套</w:t>
      </w:r>
      <w:proofErr w:type="gramStart"/>
      <w:r w:rsidRPr="00831C3C">
        <w:rPr>
          <w:rFonts w:asciiTheme="minorEastAsia" w:eastAsiaTheme="minorEastAsia" w:hAnsiTheme="minorEastAsia" w:hint="eastAsia"/>
          <w:sz w:val="18"/>
          <w:szCs w:val="18"/>
        </w:rPr>
        <w:t>期工具</w:t>
      </w:r>
      <w:proofErr w:type="gramEnd"/>
      <w:r w:rsidRPr="00831C3C">
        <w:rPr>
          <w:rFonts w:asciiTheme="minorEastAsia" w:eastAsiaTheme="minorEastAsia" w:hAnsiTheme="minorEastAsia" w:hint="eastAsia"/>
          <w:sz w:val="18"/>
          <w:szCs w:val="18"/>
        </w:rPr>
        <w:t>产生的利得或损失中属于套</w:t>
      </w:r>
      <w:proofErr w:type="gramStart"/>
      <w:r w:rsidRPr="00831C3C">
        <w:rPr>
          <w:rFonts w:asciiTheme="minorEastAsia" w:eastAsiaTheme="minorEastAsia" w:hAnsiTheme="minorEastAsia" w:hint="eastAsia"/>
          <w:sz w:val="18"/>
          <w:szCs w:val="18"/>
        </w:rPr>
        <w:t>期有效</w:t>
      </w:r>
      <w:proofErr w:type="gramEnd"/>
      <w:r w:rsidRPr="00831C3C">
        <w:rPr>
          <w:rFonts w:asciiTheme="minorEastAsia" w:eastAsiaTheme="minorEastAsia" w:hAnsiTheme="minorEastAsia" w:hint="eastAsia"/>
          <w:sz w:val="18"/>
          <w:szCs w:val="18"/>
        </w:rPr>
        <w:t>的部分，作为现金流量套期储备，计入其他综合收益。现金流量套期储备的金额，按照下列两项的绝对额中较低者确定：</w:t>
      </w:r>
    </w:p>
    <w:p w:rsidR="00C65FD5" w:rsidRPr="00831C3C" w:rsidRDefault="00C65FD5" w:rsidP="003D003F">
      <w:pPr>
        <w:pStyle w:val="a3"/>
        <w:spacing w:before="0" w:beforeAutospacing="0" w:after="0" w:afterAutospacing="0"/>
        <w:ind w:firstLine="420"/>
        <w:jc w:val="both"/>
        <w:divId w:val="1222909507"/>
        <w:rPr>
          <w:rFonts w:asciiTheme="minorEastAsia" w:eastAsiaTheme="minorEastAsia" w:hAnsiTheme="minorEastAsia"/>
          <w:sz w:val="18"/>
          <w:szCs w:val="18"/>
        </w:rPr>
      </w:pPr>
      <w:r w:rsidRPr="00831C3C">
        <w:rPr>
          <w:rFonts w:asciiTheme="minorEastAsia" w:eastAsiaTheme="minorEastAsia" w:hAnsiTheme="minorEastAsia"/>
          <w:sz w:val="18"/>
          <w:szCs w:val="18"/>
        </w:rPr>
        <w:t>1</w:t>
      </w:r>
      <w:r w:rsidRPr="00831C3C">
        <w:rPr>
          <w:rFonts w:asciiTheme="minorEastAsia" w:eastAsiaTheme="minorEastAsia" w:hAnsiTheme="minorEastAsia" w:hint="eastAsia"/>
          <w:sz w:val="18"/>
          <w:szCs w:val="18"/>
        </w:rPr>
        <w:t>）套</w:t>
      </w:r>
      <w:proofErr w:type="gramStart"/>
      <w:r w:rsidRPr="00831C3C">
        <w:rPr>
          <w:rFonts w:asciiTheme="minorEastAsia" w:eastAsiaTheme="minorEastAsia" w:hAnsiTheme="minorEastAsia" w:hint="eastAsia"/>
          <w:sz w:val="18"/>
          <w:szCs w:val="18"/>
        </w:rPr>
        <w:t>期工具</w:t>
      </w:r>
      <w:proofErr w:type="gramEnd"/>
      <w:r w:rsidRPr="00831C3C">
        <w:rPr>
          <w:rFonts w:asciiTheme="minorEastAsia" w:eastAsiaTheme="minorEastAsia" w:hAnsiTheme="minorEastAsia" w:hint="eastAsia"/>
          <w:sz w:val="18"/>
          <w:szCs w:val="18"/>
        </w:rPr>
        <w:t>自套期开始的累计利得或损失；</w:t>
      </w:r>
    </w:p>
    <w:p w:rsidR="00C65FD5" w:rsidRPr="00831C3C" w:rsidRDefault="00C65FD5" w:rsidP="003D003F">
      <w:pPr>
        <w:pStyle w:val="a3"/>
        <w:spacing w:before="0" w:beforeAutospacing="0" w:after="0" w:afterAutospacing="0"/>
        <w:ind w:firstLine="420"/>
        <w:jc w:val="both"/>
        <w:divId w:val="1222909507"/>
        <w:rPr>
          <w:rFonts w:asciiTheme="minorEastAsia" w:eastAsiaTheme="minorEastAsia" w:hAnsiTheme="minorEastAsia"/>
          <w:sz w:val="18"/>
          <w:szCs w:val="18"/>
        </w:rPr>
      </w:pPr>
      <w:r w:rsidRPr="00831C3C">
        <w:rPr>
          <w:rFonts w:asciiTheme="minorEastAsia" w:eastAsiaTheme="minorEastAsia" w:hAnsiTheme="minorEastAsia"/>
          <w:sz w:val="18"/>
          <w:szCs w:val="18"/>
        </w:rPr>
        <w:t>2</w:t>
      </w:r>
      <w:r w:rsidRPr="00831C3C">
        <w:rPr>
          <w:rFonts w:asciiTheme="minorEastAsia" w:eastAsiaTheme="minorEastAsia" w:hAnsiTheme="minorEastAsia" w:hint="eastAsia"/>
          <w:sz w:val="18"/>
          <w:szCs w:val="18"/>
        </w:rPr>
        <w:t>）被套</w:t>
      </w:r>
      <w:proofErr w:type="gramStart"/>
      <w:r w:rsidRPr="00831C3C">
        <w:rPr>
          <w:rFonts w:asciiTheme="minorEastAsia" w:eastAsiaTheme="minorEastAsia" w:hAnsiTheme="minorEastAsia" w:hint="eastAsia"/>
          <w:sz w:val="18"/>
          <w:szCs w:val="18"/>
        </w:rPr>
        <w:t>期项目</w:t>
      </w:r>
      <w:proofErr w:type="gramEnd"/>
      <w:r w:rsidRPr="00831C3C">
        <w:rPr>
          <w:rFonts w:asciiTheme="minorEastAsia" w:eastAsiaTheme="minorEastAsia" w:hAnsiTheme="minorEastAsia" w:hint="eastAsia"/>
          <w:sz w:val="18"/>
          <w:szCs w:val="18"/>
        </w:rPr>
        <w:t>自套期开始的预计未来现金流量现值的累计变动额。每期计入其他综合收益的现金流量套期储备的金额为当期现金流量套期储备的变动额。</w:t>
      </w:r>
    </w:p>
    <w:p w:rsidR="00C65FD5" w:rsidRPr="00831C3C" w:rsidRDefault="00C65FD5" w:rsidP="003D003F">
      <w:pPr>
        <w:pStyle w:val="a3"/>
        <w:spacing w:before="0" w:beforeAutospacing="0" w:after="0" w:afterAutospacing="0"/>
        <w:ind w:firstLine="420"/>
        <w:jc w:val="both"/>
        <w:divId w:val="1222909507"/>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2</w:t>
      </w:r>
      <w:r w:rsidRPr="00831C3C">
        <w:rPr>
          <w:rFonts w:asciiTheme="minorEastAsia" w:eastAsiaTheme="minorEastAsia" w:hAnsiTheme="minorEastAsia" w:hint="eastAsia"/>
          <w:sz w:val="18"/>
          <w:szCs w:val="18"/>
        </w:rPr>
        <w:t>）套</w:t>
      </w:r>
      <w:proofErr w:type="gramStart"/>
      <w:r w:rsidRPr="00831C3C">
        <w:rPr>
          <w:rFonts w:asciiTheme="minorEastAsia" w:eastAsiaTheme="minorEastAsia" w:hAnsiTheme="minorEastAsia" w:hint="eastAsia"/>
          <w:sz w:val="18"/>
          <w:szCs w:val="18"/>
        </w:rPr>
        <w:t>期工具</w:t>
      </w:r>
      <w:proofErr w:type="gramEnd"/>
      <w:r w:rsidRPr="00831C3C">
        <w:rPr>
          <w:rFonts w:asciiTheme="minorEastAsia" w:eastAsiaTheme="minorEastAsia" w:hAnsiTheme="minorEastAsia" w:hint="eastAsia"/>
          <w:sz w:val="18"/>
          <w:szCs w:val="18"/>
        </w:rPr>
        <w:t>产生的利得或损失中属于套期无效的部分（即扣除计入其他综合收益后的其他利得或损失），计入当期损益。</w:t>
      </w:r>
    </w:p>
    <w:p w:rsidR="00C65FD5" w:rsidRPr="00831C3C" w:rsidRDefault="00C65FD5" w:rsidP="003D003F">
      <w:pPr>
        <w:pStyle w:val="a3"/>
        <w:spacing w:before="0" w:beforeAutospacing="0" w:after="0" w:afterAutospacing="0"/>
        <w:ind w:firstLine="420"/>
        <w:jc w:val="both"/>
        <w:divId w:val="1222909507"/>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3</w:t>
      </w:r>
      <w:r w:rsidRPr="00831C3C">
        <w:rPr>
          <w:rFonts w:asciiTheme="minorEastAsia" w:eastAsiaTheme="minorEastAsia" w:hAnsiTheme="minorEastAsia" w:hint="eastAsia"/>
          <w:sz w:val="18"/>
          <w:szCs w:val="18"/>
        </w:rPr>
        <w:t>）现金流量套期储备的金额，按照下列规定处理：</w:t>
      </w:r>
    </w:p>
    <w:p w:rsidR="00C65FD5" w:rsidRPr="00831C3C" w:rsidRDefault="00C65FD5" w:rsidP="003D003F">
      <w:pPr>
        <w:pStyle w:val="a3"/>
        <w:spacing w:before="0" w:beforeAutospacing="0" w:after="0" w:afterAutospacing="0"/>
        <w:ind w:firstLine="420"/>
        <w:jc w:val="both"/>
        <w:divId w:val="1222909507"/>
        <w:rPr>
          <w:rFonts w:asciiTheme="minorEastAsia" w:eastAsiaTheme="minorEastAsia" w:hAnsiTheme="minorEastAsia"/>
          <w:sz w:val="18"/>
          <w:szCs w:val="18"/>
        </w:rPr>
      </w:pPr>
      <w:r w:rsidRPr="00831C3C">
        <w:rPr>
          <w:rFonts w:asciiTheme="minorEastAsia" w:eastAsiaTheme="minorEastAsia" w:hAnsiTheme="minorEastAsia"/>
          <w:sz w:val="18"/>
          <w:szCs w:val="18"/>
        </w:rPr>
        <w:t>1</w:t>
      </w:r>
      <w:r w:rsidRPr="00831C3C">
        <w:rPr>
          <w:rFonts w:asciiTheme="minorEastAsia" w:eastAsiaTheme="minorEastAsia" w:hAnsiTheme="minorEastAsia" w:hint="eastAsia"/>
          <w:sz w:val="18"/>
          <w:szCs w:val="18"/>
        </w:rPr>
        <w:t>）被套</w:t>
      </w:r>
      <w:proofErr w:type="gramStart"/>
      <w:r w:rsidRPr="00831C3C">
        <w:rPr>
          <w:rFonts w:asciiTheme="minorEastAsia" w:eastAsiaTheme="minorEastAsia" w:hAnsiTheme="minorEastAsia" w:hint="eastAsia"/>
          <w:sz w:val="18"/>
          <w:szCs w:val="18"/>
        </w:rPr>
        <w:t>期项目</w:t>
      </w:r>
      <w:proofErr w:type="gramEnd"/>
      <w:r w:rsidRPr="00831C3C">
        <w:rPr>
          <w:rFonts w:asciiTheme="minorEastAsia" w:eastAsiaTheme="minorEastAsia" w:hAnsiTheme="minorEastAsia" w:hint="eastAsia"/>
          <w:sz w:val="18"/>
          <w:szCs w:val="18"/>
        </w:rPr>
        <w:t>为预期交易，且该预期交易使公司随后确认一项非金融资产或非金融负债的，或者非金融资产或非金融负债的预期交易形成一项适用于公允价值套期会计的确定承诺时，则将原在其他综合收益中确认的现金流量套期储备金额转出，计入该资产或负债的初始确认金额。</w:t>
      </w:r>
    </w:p>
    <w:p w:rsidR="00C65FD5" w:rsidRPr="00831C3C" w:rsidRDefault="00C65FD5" w:rsidP="003D003F">
      <w:pPr>
        <w:pStyle w:val="a3"/>
        <w:spacing w:before="0" w:beforeAutospacing="0" w:after="0" w:afterAutospacing="0"/>
        <w:ind w:firstLine="420"/>
        <w:jc w:val="both"/>
        <w:divId w:val="1222909507"/>
        <w:rPr>
          <w:rFonts w:asciiTheme="minorEastAsia" w:eastAsiaTheme="minorEastAsia" w:hAnsiTheme="minorEastAsia"/>
          <w:sz w:val="18"/>
          <w:szCs w:val="18"/>
        </w:rPr>
      </w:pPr>
      <w:r w:rsidRPr="00831C3C">
        <w:rPr>
          <w:rFonts w:asciiTheme="minorEastAsia" w:eastAsiaTheme="minorEastAsia" w:hAnsiTheme="minorEastAsia"/>
          <w:sz w:val="18"/>
          <w:szCs w:val="18"/>
        </w:rPr>
        <w:t>2</w:t>
      </w:r>
      <w:r w:rsidRPr="00831C3C">
        <w:rPr>
          <w:rFonts w:asciiTheme="minorEastAsia" w:eastAsiaTheme="minorEastAsia" w:hAnsiTheme="minorEastAsia" w:hint="eastAsia"/>
          <w:sz w:val="18"/>
          <w:szCs w:val="18"/>
        </w:rPr>
        <w:t>）对于不属于前一条涉及的现金流量套期，在被套期的预期现金流量影响损益的相同期间，将原在其他综合收益中确认的现金流量套期储备金额转出，计入当期损益。</w:t>
      </w:r>
    </w:p>
    <w:p w:rsidR="00C65FD5" w:rsidRPr="00831C3C" w:rsidRDefault="00C65FD5" w:rsidP="003D003F">
      <w:pPr>
        <w:pStyle w:val="a3"/>
        <w:spacing w:before="0" w:beforeAutospacing="0" w:after="0" w:afterAutospacing="0"/>
        <w:ind w:firstLine="420"/>
        <w:jc w:val="both"/>
        <w:divId w:val="1222909507"/>
        <w:rPr>
          <w:rFonts w:asciiTheme="minorEastAsia" w:eastAsiaTheme="minorEastAsia" w:hAnsiTheme="minorEastAsia"/>
          <w:sz w:val="18"/>
          <w:szCs w:val="18"/>
        </w:rPr>
      </w:pPr>
      <w:r w:rsidRPr="00831C3C">
        <w:rPr>
          <w:rFonts w:asciiTheme="minorEastAsia" w:eastAsiaTheme="minorEastAsia" w:hAnsiTheme="minorEastAsia"/>
          <w:sz w:val="18"/>
          <w:szCs w:val="18"/>
        </w:rPr>
        <w:t>3</w:t>
      </w:r>
      <w:r w:rsidRPr="00831C3C">
        <w:rPr>
          <w:rFonts w:asciiTheme="minorEastAsia" w:eastAsiaTheme="minorEastAsia" w:hAnsiTheme="minorEastAsia" w:hint="eastAsia"/>
          <w:sz w:val="18"/>
          <w:szCs w:val="18"/>
        </w:rPr>
        <w:t>）如果在其他综合收益中确认的现金流量套期储备金额是一项损失，且该损失全部或部分预计在未来会计期间不能弥补的，则在预计不能弥补时，将预计不能弥补的部分从其他综合收益中转出，计入当期损益。</w:t>
      </w:r>
    </w:p>
    <w:p w:rsidR="00C65FD5" w:rsidRPr="00831C3C" w:rsidRDefault="00C65FD5" w:rsidP="00CC7D91">
      <w:pPr>
        <w:widowControl/>
        <w:numPr>
          <w:ilvl w:val="0"/>
          <w:numId w:val="121"/>
        </w:numPr>
        <w:spacing w:before="100" w:beforeAutospacing="1" w:after="100" w:afterAutospacing="1"/>
        <w:divId w:val="1222909507"/>
        <w:rPr>
          <w:rFonts w:asciiTheme="minorEastAsia" w:hAnsiTheme="minorEastAsia" w:cs="宋体"/>
          <w:kern w:val="0"/>
          <w:sz w:val="18"/>
          <w:szCs w:val="18"/>
        </w:rPr>
      </w:pPr>
      <w:r w:rsidRPr="00831C3C">
        <w:rPr>
          <w:rFonts w:asciiTheme="minorEastAsia" w:hAnsiTheme="minorEastAsia" w:cs="宋体" w:hint="eastAsia"/>
          <w:kern w:val="0"/>
          <w:sz w:val="18"/>
          <w:szCs w:val="18"/>
        </w:rPr>
        <w:t>．境外经营净投资套期</w:t>
      </w:r>
    </w:p>
    <w:p w:rsidR="00C65FD5" w:rsidRPr="00831C3C" w:rsidRDefault="00C65FD5" w:rsidP="003D003F">
      <w:pPr>
        <w:pStyle w:val="a3"/>
        <w:spacing w:before="0" w:beforeAutospacing="0" w:after="0" w:afterAutospacing="0"/>
        <w:ind w:firstLine="420"/>
        <w:jc w:val="both"/>
        <w:divId w:val="1222909507"/>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lastRenderedPageBreak/>
        <w:t>对境外经营净投资的套期，包括对作为净投资的一部分进行会计处理的货币性项目的套期，本公司按照类似于现金流量套期会计的规定处理</w:t>
      </w:r>
      <w:r w:rsidRPr="00831C3C">
        <w:rPr>
          <w:rFonts w:asciiTheme="minorEastAsia" w:eastAsiaTheme="minorEastAsia" w:hAnsiTheme="minorEastAsia"/>
          <w:sz w:val="18"/>
          <w:szCs w:val="18"/>
        </w:rPr>
        <w:t>:</w:t>
      </w:r>
    </w:p>
    <w:p w:rsidR="00C65FD5" w:rsidRPr="00831C3C" w:rsidRDefault="00C65FD5" w:rsidP="00CC7D91">
      <w:pPr>
        <w:widowControl/>
        <w:numPr>
          <w:ilvl w:val="0"/>
          <w:numId w:val="122"/>
        </w:numPr>
        <w:spacing w:before="100" w:beforeAutospacing="1" w:after="100" w:afterAutospacing="1"/>
        <w:divId w:val="1222909507"/>
        <w:rPr>
          <w:rFonts w:asciiTheme="minorEastAsia" w:hAnsiTheme="minorEastAsia" w:cs="宋体"/>
          <w:kern w:val="0"/>
          <w:sz w:val="18"/>
          <w:szCs w:val="18"/>
        </w:rPr>
      </w:pPr>
      <w:r w:rsidRPr="00831C3C">
        <w:rPr>
          <w:rFonts w:asciiTheme="minorEastAsia" w:hAnsiTheme="minorEastAsia" w:cs="宋体" w:hint="eastAsia"/>
          <w:kern w:val="0"/>
          <w:sz w:val="18"/>
          <w:szCs w:val="18"/>
        </w:rPr>
        <w:t>套</w:t>
      </w:r>
      <w:proofErr w:type="gramStart"/>
      <w:r w:rsidRPr="00831C3C">
        <w:rPr>
          <w:rFonts w:asciiTheme="minorEastAsia" w:hAnsiTheme="minorEastAsia" w:cs="宋体" w:hint="eastAsia"/>
          <w:kern w:val="0"/>
          <w:sz w:val="18"/>
          <w:szCs w:val="18"/>
        </w:rPr>
        <w:t>期工具</w:t>
      </w:r>
      <w:proofErr w:type="gramEnd"/>
      <w:r w:rsidRPr="00831C3C">
        <w:rPr>
          <w:rFonts w:asciiTheme="minorEastAsia" w:hAnsiTheme="minorEastAsia" w:cs="宋体" w:hint="eastAsia"/>
          <w:kern w:val="0"/>
          <w:sz w:val="18"/>
          <w:szCs w:val="18"/>
        </w:rPr>
        <w:t>形成的利得或损失中属于套</w:t>
      </w:r>
      <w:proofErr w:type="gramStart"/>
      <w:r w:rsidRPr="00831C3C">
        <w:rPr>
          <w:rFonts w:asciiTheme="minorEastAsia" w:hAnsiTheme="minorEastAsia" w:cs="宋体" w:hint="eastAsia"/>
          <w:kern w:val="0"/>
          <w:sz w:val="18"/>
          <w:szCs w:val="18"/>
        </w:rPr>
        <w:t>期有效</w:t>
      </w:r>
      <w:proofErr w:type="gramEnd"/>
      <w:r w:rsidRPr="00831C3C">
        <w:rPr>
          <w:rFonts w:asciiTheme="minorEastAsia" w:hAnsiTheme="minorEastAsia" w:cs="宋体" w:hint="eastAsia"/>
          <w:kern w:val="0"/>
          <w:sz w:val="18"/>
          <w:szCs w:val="18"/>
        </w:rPr>
        <w:t>的部分，应当计入其他综合收益。</w:t>
      </w:r>
    </w:p>
    <w:p w:rsidR="00C65FD5" w:rsidRPr="00831C3C" w:rsidRDefault="00C65FD5" w:rsidP="003D003F">
      <w:pPr>
        <w:pStyle w:val="a3"/>
        <w:spacing w:before="0" w:beforeAutospacing="0" w:after="0" w:afterAutospacing="0"/>
        <w:ind w:firstLine="420"/>
        <w:jc w:val="both"/>
        <w:divId w:val="1222909507"/>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全部或部分处置境外经营时，上述计入其他综合收益的套</w:t>
      </w:r>
      <w:proofErr w:type="gramStart"/>
      <w:r w:rsidRPr="00831C3C">
        <w:rPr>
          <w:rFonts w:asciiTheme="minorEastAsia" w:eastAsiaTheme="minorEastAsia" w:hAnsiTheme="minorEastAsia" w:hint="eastAsia"/>
          <w:sz w:val="18"/>
          <w:szCs w:val="18"/>
        </w:rPr>
        <w:t>期工具利</w:t>
      </w:r>
      <w:proofErr w:type="gramEnd"/>
      <w:r w:rsidRPr="00831C3C">
        <w:rPr>
          <w:rFonts w:asciiTheme="minorEastAsia" w:eastAsiaTheme="minorEastAsia" w:hAnsiTheme="minorEastAsia" w:hint="eastAsia"/>
          <w:sz w:val="18"/>
          <w:szCs w:val="18"/>
        </w:rPr>
        <w:t>得或损失应当相应转出，计入当期损益。</w:t>
      </w:r>
    </w:p>
    <w:p w:rsidR="00C65FD5" w:rsidRPr="00831C3C" w:rsidRDefault="00C65FD5" w:rsidP="00CC7D91">
      <w:pPr>
        <w:widowControl/>
        <w:numPr>
          <w:ilvl w:val="0"/>
          <w:numId w:val="123"/>
        </w:numPr>
        <w:spacing w:before="100" w:beforeAutospacing="1" w:after="100" w:afterAutospacing="1"/>
        <w:divId w:val="1222909507"/>
        <w:rPr>
          <w:rFonts w:asciiTheme="minorEastAsia" w:hAnsiTheme="minorEastAsia" w:cs="宋体"/>
          <w:kern w:val="0"/>
          <w:sz w:val="18"/>
          <w:szCs w:val="18"/>
        </w:rPr>
      </w:pPr>
      <w:r w:rsidRPr="00831C3C">
        <w:rPr>
          <w:rFonts w:asciiTheme="minorEastAsia" w:hAnsiTheme="minorEastAsia" w:cs="宋体" w:hint="eastAsia"/>
          <w:kern w:val="0"/>
          <w:sz w:val="18"/>
          <w:szCs w:val="18"/>
        </w:rPr>
        <w:t>套</w:t>
      </w:r>
      <w:proofErr w:type="gramStart"/>
      <w:r w:rsidRPr="00831C3C">
        <w:rPr>
          <w:rFonts w:asciiTheme="minorEastAsia" w:hAnsiTheme="minorEastAsia" w:cs="宋体" w:hint="eastAsia"/>
          <w:kern w:val="0"/>
          <w:sz w:val="18"/>
          <w:szCs w:val="18"/>
        </w:rPr>
        <w:t>期工具</w:t>
      </w:r>
      <w:proofErr w:type="gramEnd"/>
      <w:r w:rsidRPr="00831C3C">
        <w:rPr>
          <w:rFonts w:asciiTheme="minorEastAsia" w:hAnsiTheme="minorEastAsia" w:cs="宋体" w:hint="eastAsia"/>
          <w:kern w:val="0"/>
          <w:sz w:val="18"/>
          <w:szCs w:val="18"/>
        </w:rPr>
        <w:t>形成的利得或损失中属于套期无效的部分，应当计入当期损益。</w:t>
      </w:r>
    </w:p>
    <w:p w:rsidR="00C65FD5" w:rsidRPr="00831C3C" w:rsidRDefault="00C65FD5" w:rsidP="00CC7D91">
      <w:pPr>
        <w:widowControl/>
        <w:numPr>
          <w:ilvl w:val="0"/>
          <w:numId w:val="124"/>
        </w:numPr>
        <w:spacing w:before="100" w:beforeAutospacing="1" w:after="100" w:afterAutospacing="1"/>
        <w:divId w:val="1222909507"/>
        <w:rPr>
          <w:rFonts w:asciiTheme="minorEastAsia" w:hAnsiTheme="minorEastAsia" w:cs="宋体"/>
          <w:kern w:val="0"/>
          <w:sz w:val="18"/>
          <w:szCs w:val="18"/>
        </w:rPr>
      </w:pPr>
      <w:r w:rsidRPr="00831C3C">
        <w:rPr>
          <w:rFonts w:asciiTheme="minorEastAsia" w:hAnsiTheme="minorEastAsia" w:cs="宋体" w:hint="eastAsia"/>
          <w:kern w:val="0"/>
          <w:sz w:val="18"/>
          <w:szCs w:val="18"/>
        </w:rPr>
        <w:t>．终止运用套期会计</w:t>
      </w:r>
    </w:p>
    <w:p w:rsidR="00C65FD5" w:rsidRPr="00831C3C" w:rsidRDefault="00C65FD5" w:rsidP="003D003F">
      <w:pPr>
        <w:pStyle w:val="a3"/>
        <w:spacing w:before="0" w:beforeAutospacing="0" w:after="0" w:afterAutospacing="0"/>
        <w:ind w:firstLine="420"/>
        <w:jc w:val="both"/>
        <w:divId w:val="1222909507"/>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对于发生下列情形之一的，则终止运用套期会计：</w:t>
      </w:r>
    </w:p>
    <w:p w:rsidR="00C65FD5" w:rsidRPr="00831C3C" w:rsidRDefault="00C65FD5" w:rsidP="003D003F">
      <w:pPr>
        <w:pStyle w:val="a3"/>
        <w:spacing w:before="0" w:beforeAutospacing="0" w:after="0" w:afterAutospacing="0"/>
        <w:ind w:firstLine="420"/>
        <w:jc w:val="both"/>
        <w:divId w:val="1222909507"/>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1</w:t>
      </w:r>
      <w:r w:rsidRPr="00831C3C">
        <w:rPr>
          <w:rFonts w:asciiTheme="minorEastAsia" w:eastAsiaTheme="minorEastAsia" w:hAnsiTheme="minorEastAsia" w:hint="eastAsia"/>
          <w:sz w:val="18"/>
          <w:szCs w:val="18"/>
        </w:rPr>
        <w:t>）因风险管理目标发生变化，导致套</w:t>
      </w:r>
      <w:proofErr w:type="gramStart"/>
      <w:r w:rsidRPr="00831C3C">
        <w:rPr>
          <w:rFonts w:asciiTheme="minorEastAsia" w:eastAsiaTheme="minorEastAsia" w:hAnsiTheme="minorEastAsia" w:hint="eastAsia"/>
          <w:sz w:val="18"/>
          <w:szCs w:val="18"/>
        </w:rPr>
        <w:t>期关系</w:t>
      </w:r>
      <w:proofErr w:type="gramEnd"/>
      <w:r w:rsidRPr="00831C3C">
        <w:rPr>
          <w:rFonts w:asciiTheme="minorEastAsia" w:eastAsiaTheme="minorEastAsia" w:hAnsiTheme="minorEastAsia" w:hint="eastAsia"/>
          <w:sz w:val="18"/>
          <w:szCs w:val="18"/>
        </w:rPr>
        <w:t>不再满足风险管理目标。</w:t>
      </w:r>
    </w:p>
    <w:p w:rsidR="00C65FD5" w:rsidRPr="00831C3C" w:rsidRDefault="00C65FD5" w:rsidP="003D003F">
      <w:pPr>
        <w:pStyle w:val="a3"/>
        <w:spacing w:before="0" w:beforeAutospacing="0" w:after="0" w:afterAutospacing="0"/>
        <w:ind w:firstLine="420"/>
        <w:jc w:val="both"/>
        <w:divId w:val="1222909507"/>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2</w:t>
      </w:r>
      <w:r w:rsidRPr="00831C3C">
        <w:rPr>
          <w:rFonts w:asciiTheme="minorEastAsia" w:eastAsiaTheme="minorEastAsia" w:hAnsiTheme="minorEastAsia" w:hint="eastAsia"/>
          <w:sz w:val="18"/>
          <w:szCs w:val="18"/>
        </w:rPr>
        <w:t>）套</w:t>
      </w:r>
      <w:proofErr w:type="gramStart"/>
      <w:r w:rsidRPr="00831C3C">
        <w:rPr>
          <w:rFonts w:asciiTheme="minorEastAsia" w:eastAsiaTheme="minorEastAsia" w:hAnsiTheme="minorEastAsia" w:hint="eastAsia"/>
          <w:sz w:val="18"/>
          <w:szCs w:val="18"/>
        </w:rPr>
        <w:t>期工具</w:t>
      </w:r>
      <w:proofErr w:type="gramEnd"/>
      <w:r w:rsidRPr="00831C3C">
        <w:rPr>
          <w:rFonts w:asciiTheme="minorEastAsia" w:eastAsiaTheme="minorEastAsia" w:hAnsiTheme="minorEastAsia" w:hint="eastAsia"/>
          <w:sz w:val="18"/>
          <w:szCs w:val="18"/>
        </w:rPr>
        <w:t>已到期、被出售、合同终止或已行使。</w:t>
      </w:r>
    </w:p>
    <w:p w:rsidR="00C65FD5" w:rsidRPr="00831C3C" w:rsidRDefault="00C65FD5" w:rsidP="003D003F">
      <w:pPr>
        <w:pStyle w:val="a3"/>
        <w:spacing w:before="0" w:beforeAutospacing="0" w:after="0" w:afterAutospacing="0"/>
        <w:ind w:firstLine="420"/>
        <w:jc w:val="both"/>
        <w:divId w:val="1222909507"/>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3</w:t>
      </w:r>
      <w:r w:rsidRPr="00831C3C">
        <w:rPr>
          <w:rFonts w:asciiTheme="minorEastAsia" w:eastAsiaTheme="minorEastAsia" w:hAnsiTheme="minorEastAsia" w:hint="eastAsia"/>
          <w:sz w:val="18"/>
          <w:szCs w:val="18"/>
        </w:rPr>
        <w:t>）被套</w:t>
      </w:r>
      <w:proofErr w:type="gramStart"/>
      <w:r w:rsidRPr="00831C3C">
        <w:rPr>
          <w:rFonts w:asciiTheme="minorEastAsia" w:eastAsiaTheme="minorEastAsia" w:hAnsiTheme="minorEastAsia" w:hint="eastAsia"/>
          <w:sz w:val="18"/>
          <w:szCs w:val="18"/>
        </w:rPr>
        <w:t>期项目</w:t>
      </w:r>
      <w:proofErr w:type="gramEnd"/>
      <w:r w:rsidRPr="00831C3C">
        <w:rPr>
          <w:rFonts w:asciiTheme="minorEastAsia" w:eastAsiaTheme="minorEastAsia" w:hAnsiTheme="minorEastAsia" w:hint="eastAsia"/>
          <w:sz w:val="18"/>
          <w:szCs w:val="18"/>
        </w:rPr>
        <w:t>与套</w:t>
      </w:r>
      <w:proofErr w:type="gramStart"/>
      <w:r w:rsidRPr="00831C3C">
        <w:rPr>
          <w:rFonts w:asciiTheme="minorEastAsia" w:eastAsiaTheme="minorEastAsia" w:hAnsiTheme="minorEastAsia" w:hint="eastAsia"/>
          <w:sz w:val="18"/>
          <w:szCs w:val="18"/>
        </w:rPr>
        <w:t>期工具</w:t>
      </w:r>
      <w:proofErr w:type="gramEnd"/>
      <w:r w:rsidRPr="00831C3C">
        <w:rPr>
          <w:rFonts w:asciiTheme="minorEastAsia" w:eastAsiaTheme="minorEastAsia" w:hAnsiTheme="minorEastAsia" w:hint="eastAsia"/>
          <w:sz w:val="18"/>
          <w:szCs w:val="18"/>
        </w:rPr>
        <w:t>之间不再存在经济关系，或者被套</w:t>
      </w:r>
      <w:proofErr w:type="gramStart"/>
      <w:r w:rsidRPr="00831C3C">
        <w:rPr>
          <w:rFonts w:asciiTheme="minorEastAsia" w:eastAsiaTheme="minorEastAsia" w:hAnsiTheme="minorEastAsia" w:hint="eastAsia"/>
          <w:sz w:val="18"/>
          <w:szCs w:val="18"/>
        </w:rPr>
        <w:t>期项目</w:t>
      </w:r>
      <w:proofErr w:type="gramEnd"/>
      <w:r w:rsidRPr="00831C3C">
        <w:rPr>
          <w:rFonts w:asciiTheme="minorEastAsia" w:eastAsiaTheme="minorEastAsia" w:hAnsiTheme="minorEastAsia" w:hint="eastAsia"/>
          <w:sz w:val="18"/>
          <w:szCs w:val="18"/>
        </w:rPr>
        <w:t>和套</w:t>
      </w:r>
      <w:proofErr w:type="gramStart"/>
      <w:r w:rsidRPr="00831C3C">
        <w:rPr>
          <w:rFonts w:asciiTheme="minorEastAsia" w:eastAsiaTheme="minorEastAsia" w:hAnsiTheme="minorEastAsia" w:hint="eastAsia"/>
          <w:sz w:val="18"/>
          <w:szCs w:val="18"/>
        </w:rPr>
        <w:t>期工具</w:t>
      </w:r>
      <w:proofErr w:type="gramEnd"/>
      <w:r w:rsidRPr="00831C3C">
        <w:rPr>
          <w:rFonts w:asciiTheme="minorEastAsia" w:eastAsiaTheme="minorEastAsia" w:hAnsiTheme="minorEastAsia" w:hint="eastAsia"/>
          <w:sz w:val="18"/>
          <w:szCs w:val="18"/>
        </w:rPr>
        <w:t>经济关系产生的价值变动中，信用风险的影响开始占主导地位。</w:t>
      </w:r>
    </w:p>
    <w:p w:rsidR="00C65FD5" w:rsidRPr="00831C3C" w:rsidRDefault="00C65FD5" w:rsidP="003D003F">
      <w:pPr>
        <w:pStyle w:val="a3"/>
        <w:spacing w:before="0" w:beforeAutospacing="0" w:after="0" w:afterAutospacing="0"/>
        <w:ind w:firstLine="420"/>
        <w:jc w:val="both"/>
        <w:divId w:val="1222909507"/>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4</w:t>
      </w:r>
      <w:r w:rsidRPr="00831C3C">
        <w:rPr>
          <w:rFonts w:asciiTheme="minorEastAsia" w:eastAsiaTheme="minorEastAsia" w:hAnsiTheme="minorEastAsia" w:hint="eastAsia"/>
          <w:sz w:val="18"/>
          <w:szCs w:val="18"/>
        </w:rPr>
        <w:t>）套</w:t>
      </w:r>
      <w:proofErr w:type="gramStart"/>
      <w:r w:rsidRPr="00831C3C">
        <w:rPr>
          <w:rFonts w:asciiTheme="minorEastAsia" w:eastAsiaTheme="minorEastAsia" w:hAnsiTheme="minorEastAsia" w:hint="eastAsia"/>
          <w:sz w:val="18"/>
          <w:szCs w:val="18"/>
        </w:rPr>
        <w:t>期关系</w:t>
      </w:r>
      <w:proofErr w:type="gramEnd"/>
      <w:r w:rsidRPr="00831C3C">
        <w:rPr>
          <w:rFonts w:asciiTheme="minorEastAsia" w:eastAsiaTheme="minorEastAsia" w:hAnsiTheme="minorEastAsia" w:hint="eastAsia"/>
          <w:sz w:val="18"/>
          <w:szCs w:val="18"/>
        </w:rPr>
        <w:t>不再满足本准则所规定的运用套期会计方法的其他条件。在适用套</w:t>
      </w:r>
      <w:proofErr w:type="gramStart"/>
      <w:r w:rsidRPr="00831C3C">
        <w:rPr>
          <w:rFonts w:asciiTheme="minorEastAsia" w:eastAsiaTheme="minorEastAsia" w:hAnsiTheme="minorEastAsia" w:hint="eastAsia"/>
          <w:sz w:val="18"/>
          <w:szCs w:val="18"/>
        </w:rPr>
        <w:t>期关系</w:t>
      </w:r>
      <w:proofErr w:type="gramEnd"/>
      <w:r w:rsidRPr="00831C3C">
        <w:rPr>
          <w:rFonts w:asciiTheme="minorEastAsia" w:eastAsiaTheme="minorEastAsia" w:hAnsiTheme="minorEastAsia" w:hint="eastAsia"/>
          <w:sz w:val="18"/>
          <w:szCs w:val="18"/>
        </w:rPr>
        <w:t>再平衡的情况下，企业应当首先考虑套</w:t>
      </w:r>
      <w:proofErr w:type="gramStart"/>
      <w:r w:rsidRPr="00831C3C">
        <w:rPr>
          <w:rFonts w:asciiTheme="minorEastAsia" w:eastAsiaTheme="minorEastAsia" w:hAnsiTheme="minorEastAsia" w:hint="eastAsia"/>
          <w:sz w:val="18"/>
          <w:szCs w:val="18"/>
        </w:rPr>
        <w:t>期关系</w:t>
      </w:r>
      <w:proofErr w:type="gramEnd"/>
      <w:r w:rsidRPr="00831C3C">
        <w:rPr>
          <w:rFonts w:asciiTheme="minorEastAsia" w:eastAsiaTheme="minorEastAsia" w:hAnsiTheme="minorEastAsia" w:hint="eastAsia"/>
          <w:sz w:val="18"/>
          <w:szCs w:val="18"/>
        </w:rPr>
        <w:t>再平衡，然后评估套</w:t>
      </w:r>
      <w:proofErr w:type="gramStart"/>
      <w:r w:rsidRPr="00831C3C">
        <w:rPr>
          <w:rFonts w:asciiTheme="minorEastAsia" w:eastAsiaTheme="minorEastAsia" w:hAnsiTheme="minorEastAsia" w:hint="eastAsia"/>
          <w:sz w:val="18"/>
          <w:szCs w:val="18"/>
        </w:rPr>
        <w:t>期关系</w:t>
      </w:r>
      <w:proofErr w:type="gramEnd"/>
      <w:r w:rsidRPr="00831C3C">
        <w:rPr>
          <w:rFonts w:asciiTheme="minorEastAsia" w:eastAsiaTheme="minorEastAsia" w:hAnsiTheme="minorEastAsia" w:hint="eastAsia"/>
          <w:sz w:val="18"/>
          <w:szCs w:val="18"/>
        </w:rPr>
        <w:t>是否满足本准则所规定的运用套期会计方法的条件。</w:t>
      </w:r>
    </w:p>
    <w:p w:rsidR="00C65FD5" w:rsidRPr="00831C3C" w:rsidRDefault="00C65FD5" w:rsidP="003D003F">
      <w:pPr>
        <w:pStyle w:val="a3"/>
        <w:spacing w:before="0" w:beforeAutospacing="0" w:after="0" w:afterAutospacing="0"/>
        <w:ind w:firstLine="420"/>
        <w:jc w:val="both"/>
        <w:divId w:val="1222909507"/>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终止套期会计可能会影响套</w:t>
      </w:r>
      <w:proofErr w:type="gramStart"/>
      <w:r w:rsidRPr="00831C3C">
        <w:rPr>
          <w:rFonts w:asciiTheme="minorEastAsia" w:eastAsiaTheme="minorEastAsia" w:hAnsiTheme="minorEastAsia" w:hint="eastAsia"/>
          <w:sz w:val="18"/>
          <w:szCs w:val="18"/>
        </w:rPr>
        <w:t>期关系</w:t>
      </w:r>
      <w:proofErr w:type="gramEnd"/>
      <w:r w:rsidRPr="00831C3C">
        <w:rPr>
          <w:rFonts w:asciiTheme="minorEastAsia" w:eastAsiaTheme="minorEastAsia" w:hAnsiTheme="minorEastAsia" w:hint="eastAsia"/>
          <w:sz w:val="18"/>
          <w:szCs w:val="18"/>
        </w:rPr>
        <w:t>的整体或其中一部分，在仅影响其中一部分时，剩余未受影响的部分仍适用套期会计。</w:t>
      </w:r>
    </w:p>
    <w:p w:rsidR="00C65FD5" w:rsidRPr="00831C3C" w:rsidRDefault="00C65FD5" w:rsidP="00CC7D91">
      <w:pPr>
        <w:widowControl/>
        <w:numPr>
          <w:ilvl w:val="0"/>
          <w:numId w:val="125"/>
        </w:numPr>
        <w:spacing w:before="100" w:beforeAutospacing="1" w:after="100" w:afterAutospacing="1"/>
        <w:divId w:val="1222909507"/>
        <w:rPr>
          <w:rFonts w:asciiTheme="minorEastAsia" w:hAnsiTheme="minorEastAsia" w:cs="宋体"/>
          <w:kern w:val="0"/>
          <w:sz w:val="18"/>
          <w:szCs w:val="18"/>
        </w:rPr>
      </w:pPr>
      <w:r w:rsidRPr="00831C3C">
        <w:rPr>
          <w:rFonts w:asciiTheme="minorEastAsia" w:hAnsiTheme="minorEastAsia" w:cs="宋体" w:hint="eastAsia"/>
          <w:kern w:val="0"/>
          <w:sz w:val="18"/>
          <w:szCs w:val="18"/>
        </w:rPr>
        <w:t>．信用风险敞口的公允价值选择</w:t>
      </w:r>
    </w:p>
    <w:p w:rsidR="00C65FD5" w:rsidRPr="00831C3C" w:rsidRDefault="00C65FD5" w:rsidP="003D003F">
      <w:pPr>
        <w:pStyle w:val="a3"/>
        <w:spacing w:before="0" w:beforeAutospacing="0" w:after="0" w:afterAutospacing="0"/>
        <w:ind w:firstLine="420"/>
        <w:jc w:val="both"/>
        <w:divId w:val="1222909507"/>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当使用以公允价值计量且其变动计入当期损益的信用衍生工具管理金融工具（或其组成部分）的信用风险敞口时，可以在该金融工具（或其组成部分）初始确认时、后续计量中或尚未确认时，将其指定为以公允价值计量且其变动计入当期损益的金融工具，并同时</w:t>
      </w:r>
      <w:proofErr w:type="gramStart"/>
      <w:r w:rsidRPr="00831C3C">
        <w:rPr>
          <w:rFonts w:asciiTheme="minorEastAsia" w:eastAsiaTheme="minorEastAsia" w:hAnsiTheme="minorEastAsia" w:hint="eastAsia"/>
          <w:sz w:val="18"/>
          <w:szCs w:val="18"/>
        </w:rPr>
        <w:t>作出</w:t>
      </w:r>
      <w:proofErr w:type="gramEnd"/>
      <w:r w:rsidRPr="00831C3C">
        <w:rPr>
          <w:rFonts w:asciiTheme="minorEastAsia" w:eastAsiaTheme="minorEastAsia" w:hAnsiTheme="minorEastAsia" w:hint="eastAsia"/>
          <w:sz w:val="18"/>
          <w:szCs w:val="18"/>
        </w:rPr>
        <w:t>书面记录，但应同时满足下列条件：</w:t>
      </w:r>
    </w:p>
    <w:p w:rsidR="00C65FD5" w:rsidRPr="00831C3C" w:rsidRDefault="00C65FD5" w:rsidP="003D003F">
      <w:pPr>
        <w:pStyle w:val="a3"/>
        <w:spacing w:before="0" w:beforeAutospacing="0" w:after="0" w:afterAutospacing="0"/>
        <w:ind w:firstLine="420"/>
        <w:jc w:val="both"/>
        <w:divId w:val="1222909507"/>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1</w:t>
      </w:r>
      <w:r w:rsidRPr="00831C3C">
        <w:rPr>
          <w:rFonts w:asciiTheme="minorEastAsia" w:eastAsiaTheme="minorEastAsia" w:hAnsiTheme="minorEastAsia" w:hint="eastAsia"/>
          <w:sz w:val="18"/>
          <w:szCs w:val="18"/>
        </w:rPr>
        <w:t>）金融工具信用风险敞口的主体（如借款人或贷款承诺持有人）与信用衍生工具涉及的主体相一致；</w:t>
      </w:r>
    </w:p>
    <w:p w:rsidR="00C65FD5" w:rsidRPr="00831C3C" w:rsidRDefault="00C65FD5" w:rsidP="003D003F">
      <w:pPr>
        <w:pStyle w:val="a3"/>
        <w:spacing w:before="0" w:beforeAutospacing="0" w:after="0" w:afterAutospacing="0"/>
        <w:ind w:firstLine="420"/>
        <w:jc w:val="both"/>
        <w:divId w:val="1222909507"/>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2</w:t>
      </w:r>
      <w:r w:rsidRPr="00831C3C">
        <w:rPr>
          <w:rFonts w:asciiTheme="minorEastAsia" w:eastAsiaTheme="minorEastAsia" w:hAnsiTheme="minorEastAsia" w:hint="eastAsia"/>
          <w:sz w:val="18"/>
          <w:szCs w:val="18"/>
        </w:rPr>
        <w:t>）金融工具的偿付级次与根据信用衍生工具条款须交付的工具的偿付级次相一致。</w:t>
      </w:r>
    </w:p>
    <w:p w:rsidR="00C65FD5" w:rsidRPr="00831C3C" w:rsidRDefault="00C65FD5" w:rsidP="00CC7D91">
      <w:pPr>
        <w:widowControl/>
        <w:numPr>
          <w:ilvl w:val="0"/>
          <w:numId w:val="126"/>
        </w:numPr>
        <w:spacing w:before="100" w:beforeAutospacing="1" w:after="100" w:afterAutospacing="1"/>
        <w:divId w:val="1222909507"/>
        <w:rPr>
          <w:sz w:val="18"/>
          <w:szCs w:val="18"/>
        </w:rPr>
      </w:pPr>
      <w:r w:rsidRPr="00831C3C">
        <w:rPr>
          <w:rFonts w:hint="eastAsia"/>
          <w:sz w:val="18"/>
          <w:szCs w:val="18"/>
        </w:rPr>
        <w:t>回购股份</w:t>
      </w:r>
    </w:p>
    <w:p w:rsidR="00C65FD5" w:rsidRPr="00831C3C" w:rsidRDefault="00C65FD5" w:rsidP="003D003F">
      <w:pPr>
        <w:pStyle w:val="a3"/>
        <w:spacing w:before="0" w:beforeAutospacing="0" w:after="0" w:afterAutospacing="0"/>
        <w:ind w:firstLine="420"/>
        <w:jc w:val="both"/>
        <w:divId w:val="1222909507"/>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本公司股份回购中支付的对价和交易费用减少股东权益，回购、转让或注销本公司股份时，不确认利得或损失。</w:t>
      </w:r>
    </w:p>
    <w:p w:rsidR="00C65FD5" w:rsidRPr="00831C3C" w:rsidRDefault="00C65FD5" w:rsidP="003D003F">
      <w:pPr>
        <w:pStyle w:val="a3"/>
        <w:spacing w:before="0" w:beforeAutospacing="0" w:after="0" w:afterAutospacing="0"/>
        <w:ind w:firstLine="420"/>
        <w:jc w:val="both"/>
        <w:divId w:val="1222909507"/>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本公司转让库存股时，按实际收到的金额与库存股账面金额的差额，计入资本公积，资本公</w:t>
      </w:r>
      <w:proofErr w:type="gramStart"/>
      <w:r w:rsidRPr="00831C3C">
        <w:rPr>
          <w:rFonts w:asciiTheme="minorEastAsia" w:eastAsiaTheme="minorEastAsia" w:hAnsiTheme="minorEastAsia" w:hint="eastAsia"/>
          <w:sz w:val="18"/>
          <w:szCs w:val="18"/>
        </w:rPr>
        <w:t>积不足</w:t>
      </w:r>
      <w:proofErr w:type="gramEnd"/>
      <w:r w:rsidRPr="00831C3C">
        <w:rPr>
          <w:rFonts w:asciiTheme="minorEastAsia" w:eastAsiaTheme="minorEastAsia" w:hAnsiTheme="minorEastAsia" w:hint="eastAsia"/>
          <w:sz w:val="18"/>
          <w:szCs w:val="18"/>
        </w:rPr>
        <w:t>冲减的，冲减盈余公积和未分配利润。本公司注销库存股时，按股票面值和注销股数减少股本，按注销库存股的账面余额与面值的差额，冲减资本公积，资本公</w:t>
      </w:r>
      <w:proofErr w:type="gramStart"/>
      <w:r w:rsidRPr="00831C3C">
        <w:rPr>
          <w:rFonts w:asciiTheme="minorEastAsia" w:eastAsiaTheme="minorEastAsia" w:hAnsiTheme="minorEastAsia" w:hint="eastAsia"/>
          <w:sz w:val="18"/>
          <w:szCs w:val="18"/>
        </w:rPr>
        <w:t>积不足</w:t>
      </w:r>
      <w:proofErr w:type="gramEnd"/>
      <w:r w:rsidRPr="00831C3C">
        <w:rPr>
          <w:rFonts w:asciiTheme="minorEastAsia" w:eastAsiaTheme="minorEastAsia" w:hAnsiTheme="minorEastAsia" w:hint="eastAsia"/>
          <w:sz w:val="18"/>
          <w:szCs w:val="18"/>
        </w:rPr>
        <w:t>冲减的，冲减盈余公积和未分配利润。</w:t>
      </w:r>
    </w:p>
    <w:p w:rsidR="00E23A97" w:rsidRPr="00831C3C" w:rsidRDefault="00C65FD5">
      <w:pPr>
        <w:pStyle w:val="3"/>
        <w:spacing w:line="280" w:lineRule="exact"/>
        <w:jc w:val="left"/>
        <w:rPr>
          <w:rFonts w:ascii="宋体" w:hAnsi="宋体" w:cs="宋体"/>
          <w:b/>
          <w:bCs/>
        </w:rPr>
      </w:pPr>
      <w:bookmarkStart w:id="235" w:name="_Toc989118"/>
      <w:r w:rsidRPr="00831C3C">
        <w:rPr>
          <w:rFonts w:ascii="宋体" w:hAnsi="宋体" w:cs="宋体"/>
          <w:b/>
          <w:bCs/>
        </w:rPr>
        <w:t>43、重要会计政策和会计估计变更</w:t>
      </w:r>
      <w:bookmarkEnd w:id="235"/>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236" w:name="_Toc989119"/>
      <w:r w:rsidRPr="00831C3C">
        <w:rPr>
          <w:rFonts w:ascii="宋体" w:eastAsia="宋体" w:hAnsi="宋体" w:cs="宋体"/>
          <w:b/>
          <w:bCs/>
          <w:sz w:val="18"/>
          <w:szCs w:val="18"/>
        </w:rPr>
        <w:t>（1）重要会计政策变更</w:t>
      </w:r>
      <w:bookmarkEnd w:id="236"/>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适用□不适用</w:t>
      </w:r>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会计政策变更的内容和原因</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proofErr w:type="gramStart"/>
            <w:r w:rsidRPr="00831C3C">
              <w:rPr>
                <w:rFonts w:ascii="宋体" w:eastAsia="宋体" w:hAnsi="宋体" w:cs="宋体"/>
                <w:sz w:val="18"/>
                <w:szCs w:val="18"/>
              </w:rPr>
              <w:t>受重要</w:t>
            </w:r>
            <w:proofErr w:type="gramEnd"/>
            <w:r w:rsidRPr="00831C3C">
              <w:rPr>
                <w:rFonts w:ascii="宋体" w:eastAsia="宋体" w:hAnsi="宋体" w:cs="宋体"/>
                <w:sz w:val="18"/>
                <w:szCs w:val="18"/>
              </w:rPr>
              <w:t>影响的报表项目名称</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影响金额</w:t>
            </w:r>
          </w:p>
        </w:tc>
      </w:tr>
    </w:tbl>
    <w:p w:rsidR="00E23A97" w:rsidRPr="00831C3C" w:rsidRDefault="00E23A97">
      <w:pPr>
        <w:spacing w:before="100" w:after="100" w:line="0" w:lineRule="atLeast"/>
      </w:pPr>
    </w:p>
    <w:p w:rsidR="00C65FD5" w:rsidRPr="00831C3C" w:rsidRDefault="00C65FD5" w:rsidP="00CC7D91">
      <w:pPr>
        <w:widowControl/>
        <w:numPr>
          <w:ilvl w:val="0"/>
          <w:numId w:val="127"/>
        </w:numPr>
        <w:spacing w:before="100" w:beforeAutospacing="1" w:after="100" w:afterAutospacing="1"/>
        <w:divId w:val="1914241737"/>
        <w:rPr>
          <w:sz w:val="18"/>
          <w:szCs w:val="18"/>
        </w:rPr>
      </w:pPr>
      <w:r w:rsidRPr="00831C3C">
        <w:rPr>
          <w:rFonts w:hint="eastAsia"/>
          <w:sz w:val="18"/>
          <w:szCs w:val="18"/>
        </w:rPr>
        <w:t>．会计政策变更</w:t>
      </w:r>
    </w:p>
    <w:p w:rsidR="00C65FD5" w:rsidRPr="00831C3C" w:rsidRDefault="00C65FD5" w:rsidP="003D003F">
      <w:pPr>
        <w:spacing w:before="100" w:after="100" w:line="240" w:lineRule="exact"/>
        <w:divId w:val="1914241737"/>
        <w:rPr>
          <w:rFonts w:ascii="宋体" w:eastAsia="宋体" w:hAnsi="宋体" w:cs="宋体"/>
          <w:sz w:val="18"/>
          <w:szCs w:val="18"/>
        </w:rPr>
      </w:pPr>
      <w:r w:rsidRPr="00831C3C">
        <w:rPr>
          <w:rFonts w:ascii="宋体" w:eastAsia="宋体" w:hAnsi="宋体" w:cs="宋体" w:hint="eastAsia"/>
          <w:sz w:val="18"/>
          <w:szCs w:val="18"/>
        </w:rPr>
        <w:lastRenderedPageBreak/>
        <w:t>本期重要会计政策未变更。</w:t>
      </w:r>
    </w:p>
    <w:tbl>
      <w:tblPr>
        <w:tblW w:w="9179" w:type="dxa"/>
        <w:tblCellMar>
          <w:left w:w="0" w:type="dxa"/>
          <w:right w:w="0" w:type="dxa"/>
        </w:tblCellMar>
        <w:tblLook w:val="04A0" w:firstRow="1" w:lastRow="0" w:firstColumn="1" w:lastColumn="0" w:noHBand="0" w:noVBand="1"/>
        <w:tblCaption w:val="D:\大华\华孚\2024年度\TB|0-合并TB-华孚时尚股份有限公司-2024年度.xlsx|W附注模板|_jds19|0|desc|||0|1"/>
      </w:tblPr>
      <w:tblGrid>
        <w:gridCol w:w="7683"/>
        <w:gridCol w:w="1496"/>
      </w:tblGrid>
      <w:tr w:rsidR="00831C3C" w:rsidRPr="00831C3C" w:rsidTr="003D003F">
        <w:trPr>
          <w:divId w:val="1914241737"/>
          <w:trHeight w:val="338"/>
          <w:tblHeader/>
        </w:trPr>
        <w:tc>
          <w:tcPr>
            <w:tcW w:w="7683" w:type="dxa"/>
            <w:tcBorders>
              <w:top w:val="single" w:sz="8" w:space="0" w:color="auto"/>
              <w:left w:val="single" w:sz="8" w:space="0" w:color="auto"/>
              <w:bottom w:val="single" w:sz="8" w:space="0" w:color="auto"/>
              <w:right w:val="single" w:sz="8" w:space="0" w:color="auto"/>
            </w:tcBorders>
            <w:tcMar>
              <w:top w:w="0" w:type="dxa"/>
              <w:left w:w="28" w:type="dxa"/>
              <w:bottom w:w="0" w:type="dxa"/>
              <w:right w:w="2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会计政策变更的内容和原因</w:t>
            </w:r>
          </w:p>
        </w:tc>
        <w:tc>
          <w:tcPr>
            <w:tcW w:w="1496"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备注</w:t>
            </w:r>
          </w:p>
        </w:tc>
      </w:tr>
      <w:tr w:rsidR="00831C3C" w:rsidRPr="00831C3C" w:rsidTr="003D003F">
        <w:trPr>
          <w:divId w:val="1914241737"/>
          <w:trHeight w:val="338"/>
        </w:trPr>
        <w:tc>
          <w:tcPr>
            <w:tcW w:w="768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本公司自</w:t>
            </w:r>
            <w:r w:rsidRPr="00831C3C">
              <w:rPr>
                <w:rFonts w:ascii="Arial" w:hAnsi="Arial" w:cs="Arial"/>
                <w:sz w:val="18"/>
                <w:szCs w:val="18"/>
              </w:rPr>
              <w:t>2023</w:t>
            </w:r>
            <w:r w:rsidRPr="00831C3C">
              <w:rPr>
                <w:rFonts w:cs="Times New Roman" w:hint="eastAsia"/>
                <w:sz w:val="18"/>
                <w:szCs w:val="18"/>
              </w:rPr>
              <w:t>年</w:t>
            </w:r>
            <w:r w:rsidRPr="00831C3C">
              <w:rPr>
                <w:rFonts w:ascii="Arial" w:hAnsi="Arial" w:cs="Arial"/>
                <w:sz w:val="18"/>
                <w:szCs w:val="18"/>
              </w:rPr>
              <w:t>10</w:t>
            </w:r>
            <w:r w:rsidRPr="00831C3C">
              <w:rPr>
                <w:rFonts w:cs="Times New Roman" w:hint="eastAsia"/>
                <w:sz w:val="18"/>
                <w:szCs w:val="18"/>
              </w:rPr>
              <w:t>月</w:t>
            </w:r>
            <w:r w:rsidRPr="00831C3C">
              <w:rPr>
                <w:rFonts w:ascii="Arial" w:hAnsi="Arial" w:cs="Arial"/>
                <w:sz w:val="18"/>
                <w:szCs w:val="18"/>
              </w:rPr>
              <w:t>25</w:t>
            </w:r>
            <w:r w:rsidRPr="00831C3C">
              <w:rPr>
                <w:rFonts w:cs="Times New Roman" w:hint="eastAsia"/>
                <w:sz w:val="18"/>
                <w:szCs w:val="18"/>
              </w:rPr>
              <w:t>日起执行财政部</w:t>
            </w:r>
            <w:r w:rsidRPr="00831C3C">
              <w:rPr>
                <w:rFonts w:ascii="Arial" w:hAnsi="Arial" w:cs="Arial"/>
                <w:sz w:val="18"/>
                <w:szCs w:val="18"/>
              </w:rPr>
              <w:t>2023</w:t>
            </w:r>
            <w:r w:rsidRPr="00831C3C">
              <w:rPr>
                <w:rFonts w:cs="Times New Roman" w:hint="eastAsia"/>
                <w:sz w:val="18"/>
                <w:szCs w:val="18"/>
              </w:rPr>
              <w:t>年发布的《企业会计准则解释第</w:t>
            </w:r>
            <w:r w:rsidRPr="00831C3C">
              <w:rPr>
                <w:rFonts w:ascii="Arial" w:hAnsi="Arial" w:cs="Arial"/>
                <w:sz w:val="18"/>
                <w:szCs w:val="18"/>
              </w:rPr>
              <w:t>17</w:t>
            </w:r>
            <w:r w:rsidRPr="00831C3C">
              <w:rPr>
                <w:rFonts w:cs="Times New Roman" w:hint="eastAsia"/>
                <w:sz w:val="18"/>
                <w:szCs w:val="18"/>
              </w:rPr>
              <w:t>号》</w:t>
            </w:r>
            <w:r w:rsidRPr="00831C3C">
              <w:rPr>
                <w:rFonts w:ascii="Arial" w:hAnsi="Arial" w:cs="Arial"/>
                <w:sz w:val="18"/>
                <w:szCs w:val="18"/>
              </w:rPr>
              <w:t>"</w:t>
            </w:r>
            <w:r w:rsidRPr="00831C3C">
              <w:rPr>
                <w:rFonts w:cs="Times New Roman" w:hint="eastAsia"/>
                <w:sz w:val="18"/>
                <w:szCs w:val="18"/>
              </w:rPr>
              <w:t>关于售后租回的会计处理</w:t>
            </w:r>
            <w:r w:rsidRPr="00831C3C">
              <w:rPr>
                <w:rFonts w:ascii="Arial" w:hAnsi="Arial" w:cs="Arial"/>
                <w:sz w:val="18"/>
                <w:szCs w:val="18"/>
              </w:rPr>
              <w:t>"</w:t>
            </w:r>
          </w:p>
        </w:tc>
        <w:tc>
          <w:tcPr>
            <w:tcW w:w="1496"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w:t>
            </w:r>
            <w:r w:rsidRPr="00831C3C">
              <w:rPr>
                <w:rFonts w:ascii="Arial" w:hAnsi="Arial" w:cs="Arial"/>
                <w:sz w:val="18"/>
                <w:szCs w:val="18"/>
              </w:rPr>
              <w:t>1</w:t>
            </w:r>
            <w:r w:rsidRPr="00831C3C">
              <w:rPr>
                <w:rFonts w:cs="Times New Roman" w:hint="eastAsia"/>
                <w:sz w:val="18"/>
                <w:szCs w:val="18"/>
              </w:rPr>
              <w:t>）</w:t>
            </w:r>
          </w:p>
        </w:tc>
      </w:tr>
      <w:tr w:rsidR="00831C3C" w:rsidRPr="00831C3C" w:rsidTr="003D003F">
        <w:trPr>
          <w:divId w:val="1914241737"/>
          <w:trHeight w:val="338"/>
        </w:trPr>
        <w:tc>
          <w:tcPr>
            <w:tcW w:w="768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本公司自</w:t>
            </w:r>
            <w:r w:rsidRPr="00831C3C">
              <w:rPr>
                <w:rFonts w:ascii="Arial" w:hAnsi="Arial" w:cs="Arial"/>
                <w:sz w:val="18"/>
                <w:szCs w:val="18"/>
              </w:rPr>
              <w:t>2024</w:t>
            </w:r>
            <w:r w:rsidRPr="00831C3C">
              <w:rPr>
                <w:rFonts w:cs="Times New Roman" w:hint="eastAsia"/>
                <w:sz w:val="18"/>
                <w:szCs w:val="18"/>
              </w:rPr>
              <w:t>年</w:t>
            </w:r>
            <w:r w:rsidRPr="00831C3C">
              <w:rPr>
                <w:rFonts w:ascii="Arial" w:hAnsi="Arial" w:cs="Arial"/>
                <w:sz w:val="18"/>
                <w:szCs w:val="18"/>
              </w:rPr>
              <w:t>1</w:t>
            </w:r>
            <w:r w:rsidRPr="00831C3C">
              <w:rPr>
                <w:rFonts w:cs="Times New Roman" w:hint="eastAsia"/>
                <w:sz w:val="18"/>
                <w:szCs w:val="18"/>
              </w:rPr>
              <w:t>月</w:t>
            </w:r>
            <w:r w:rsidRPr="00831C3C">
              <w:rPr>
                <w:rFonts w:ascii="Arial" w:hAnsi="Arial" w:cs="Arial"/>
                <w:sz w:val="18"/>
                <w:szCs w:val="18"/>
              </w:rPr>
              <w:t>1</w:t>
            </w:r>
            <w:r w:rsidRPr="00831C3C">
              <w:rPr>
                <w:rFonts w:cs="Times New Roman" w:hint="eastAsia"/>
                <w:sz w:val="18"/>
                <w:szCs w:val="18"/>
              </w:rPr>
              <w:t>日起执行财政部</w:t>
            </w:r>
            <w:r w:rsidRPr="00831C3C">
              <w:rPr>
                <w:rFonts w:ascii="Arial" w:hAnsi="Arial" w:cs="Arial"/>
                <w:sz w:val="18"/>
                <w:szCs w:val="18"/>
              </w:rPr>
              <w:t>2023</w:t>
            </w:r>
            <w:r w:rsidRPr="00831C3C">
              <w:rPr>
                <w:rFonts w:cs="Times New Roman" w:hint="eastAsia"/>
                <w:sz w:val="18"/>
                <w:szCs w:val="18"/>
              </w:rPr>
              <w:t>年</w:t>
            </w:r>
            <w:r w:rsidRPr="00831C3C">
              <w:rPr>
                <w:rFonts w:ascii="Arial" w:hAnsi="Arial" w:cs="Arial"/>
                <w:sz w:val="18"/>
                <w:szCs w:val="18"/>
              </w:rPr>
              <w:t>8</w:t>
            </w:r>
            <w:r w:rsidRPr="00831C3C">
              <w:rPr>
                <w:rFonts w:cs="Times New Roman" w:hint="eastAsia"/>
                <w:sz w:val="18"/>
                <w:szCs w:val="18"/>
              </w:rPr>
              <w:t>月</w:t>
            </w:r>
            <w:r w:rsidRPr="00831C3C">
              <w:rPr>
                <w:rFonts w:ascii="Arial" w:hAnsi="Arial" w:cs="Arial"/>
                <w:sz w:val="18"/>
                <w:szCs w:val="18"/>
              </w:rPr>
              <w:t>1</w:t>
            </w:r>
            <w:r w:rsidRPr="00831C3C">
              <w:rPr>
                <w:rFonts w:cs="Times New Roman" w:hint="eastAsia"/>
                <w:sz w:val="18"/>
                <w:szCs w:val="18"/>
              </w:rPr>
              <w:t>日发布的《企业数据资源相关会计处理暂行规定》。</w:t>
            </w:r>
          </w:p>
        </w:tc>
        <w:tc>
          <w:tcPr>
            <w:tcW w:w="1496"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w:t>
            </w:r>
            <w:r w:rsidRPr="00831C3C">
              <w:rPr>
                <w:rFonts w:ascii="Arial" w:hAnsi="Arial" w:cs="Arial"/>
                <w:sz w:val="18"/>
                <w:szCs w:val="18"/>
              </w:rPr>
              <w:t>2</w:t>
            </w:r>
            <w:r w:rsidRPr="00831C3C">
              <w:rPr>
                <w:rFonts w:cs="Times New Roman" w:hint="eastAsia"/>
                <w:sz w:val="18"/>
                <w:szCs w:val="18"/>
              </w:rPr>
              <w:t>）</w:t>
            </w:r>
          </w:p>
        </w:tc>
      </w:tr>
      <w:tr w:rsidR="00831C3C" w:rsidRPr="00831C3C" w:rsidTr="003D003F">
        <w:trPr>
          <w:divId w:val="1914241737"/>
          <w:trHeight w:val="338"/>
        </w:trPr>
        <w:tc>
          <w:tcPr>
            <w:tcW w:w="768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本公司自</w:t>
            </w:r>
            <w:r w:rsidRPr="00831C3C">
              <w:rPr>
                <w:rFonts w:ascii="Arial" w:hAnsi="Arial" w:cs="Arial"/>
                <w:sz w:val="18"/>
                <w:szCs w:val="18"/>
              </w:rPr>
              <w:t>2024</w:t>
            </w:r>
            <w:r w:rsidRPr="00831C3C">
              <w:rPr>
                <w:rFonts w:cs="Times New Roman" w:hint="eastAsia"/>
                <w:sz w:val="18"/>
                <w:szCs w:val="18"/>
              </w:rPr>
              <w:t>年</w:t>
            </w:r>
            <w:r w:rsidRPr="00831C3C">
              <w:rPr>
                <w:rFonts w:ascii="Arial" w:hAnsi="Arial" w:cs="Arial"/>
                <w:sz w:val="18"/>
                <w:szCs w:val="18"/>
              </w:rPr>
              <w:t>12</w:t>
            </w:r>
            <w:r w:rsidRPr="00831C3C">
              <w:rPr>
                <w:rFonts w:cs="Times New Roman" w:hint="eastAsia"/>
                <w:sz w:val="18"/>
                <w:szCs w:val="18"/>
              </w:rPr>
              <w:t>月</w:t>
            </w:r>
            <w:r w:rsidRPr="00831C3C">
              <w:rPr>
                <w:rFonts w:ascii="Arial" w:hAnsi="Arial" w:cs="Arial"/>
                <w:sz w:val="18"/>
                <w:szCs w:val="18"/>
              </w:rPr>
              <w:t>6</w:t>
            </w:r>
            <w:r w:rsidRPr="00831C3C">
              <w:rPr>
                <w:rFonts w:cs="Times New Roman" w:hint="eastAsia"/>
                <w:sz w:val="18"/>
                <w:szCs w:val="18"/>
              </w:rPr>
              <w:t>日起执行财政部</w:t>
            </w:r>
            <w:r w:rsidRPr="00831C3C">
              <w:rPr>
                <w:rFonts w:ascii="Arial" w:hAnsi="Arial" w:cs="Arial"/>
                <w:sz w:val="18"/>
                <w:szCs w:val="18"/>
              </w:rPr>
              <w:t>2024</w:t>
            </w:r>
            <w:r w:rsidRPr="00831C3C">
              <w:rPr>
                <w:rFonts w:cs="Times New Roman" w:hint="eastAsia"/>
                <w:sz w:val="18"/>
                <w:szCs w:val="18"/>
              </w:rPr>
              <w:t>年</w:t>
            </w:r>
            <w:r w:rsidRPr="00831C3C">
              <w:rPr>
                <w:rFonts w:ascii="Arial" w:hAnsi="Arial" w:cs="Arial"/>
                <w:sz w:val="18"/>
                <w:szCs w:val="18"/>
              </w:rPr>
              <w:t>12</w:t>
            </w:r>
            <w:r w:rsidRPr="00831C3C">
              <w:rPr>
                <w:rFonts w:cs="Times New Roman" w:hint="eastAsia"/>
                <w:sz w:val="18"/>
                <w:szCs w:val="18"/>
              </w:rPr>
              <w:t>月</w:t>
            </w:r>
            <w:r w:rsidRPr="00831C3C">
              <w:rPr>
                <w:rFonts w:ascii="Arial" w:hAnsi="Arial" w:cs="Arial"/>
                <w:sz w:val="18"/>
                <w:szCs w:val="18"/>
              </w:rPr>
              <w:t>6</w:t>
            </w:r>
            <w:r w:rsidRPr="00831C3C">
              <w:rPr>
                <w:rFonts w:cs="Times New Roman" w:hint="eastAsia"/>
                <w:sz w:val="18"/>
                <w:szCs w:val="18"/>
              </w:rPr>
              <w:t>日印发的《企业会计准则解释第</w:t>
            </w:r>
            <w:r w:rsidRPr="00831C3C">
              <w:rPr>
                <w:rFonts w:ascii="Arial" w:hAnsi="Arial" w:cs="Arial"/>
                <w:sz w:val="18"/>
                <w:szCs w:val="18"/>
              </w:rPr>
              <w:t>18</w:t>
            </w:r>
            <w:r w:rsidRPr="00831C3C">
              <w:rPr>
                <w:rFonts w:cs="Times New Roman" w:hint="eastAsia"/>
                <w:sz w:val="18"/>
                <w:szCs w:val="18"/>
              </w:rPr>
              <w:t>号》</w:t>
            </w:r>
          </w:p>
        </w:tc>
        <w:tc>
          <w:tcPr>
            <w:tcW w:w="1496"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w:t>
            </w:r>
            <w:r w:rsidRPr="00831C3C">
              <w:rPr>
                <w:rFonts w:ascii="Arial" w:hAnsi="Arial" w:cs="Arial"/>
                <w:sz w:val="18"/>
                <w:szCs w:val="18"/>
              </w:rPr>
              <w:t>3</w:t>
            </w:r>
            <w:r w:rsidRPr="00831C3C">
              <w:rPr>
                <w:rFonts w:cs="Times New Roman" w:hint="eastAsia"/>
                <w:sz w:val="18"/>
                <w:szCs w:val="18"/>
              </w:rPr>
              <w:t>）</w:t>
            </w:r>
          </w:p>
        </w:tc>
      </w:tr>
    </w:tbl>
    <w:p w:rsidR="00C65FD5" w:rsidRPr="00831C3C" w:rsidRDefault="00C65FD5" w:rsidP="00903F43">
      <w:pPr>
        <w:spacing w:before="100" w:after="100" w:line="240" w:lineRule="exact"/>
        <w:divId w:val="1914241737"/>
        <w:rPr>
          <w:rFonts w:ascii="宋体" w:eastAsia="宋体" w:hAnsi="宋体" w:cs="宋体"/>
          <w:sz w:val="18"/>
          <w:szCs w:val="18"/>
        </w:rPr>
      </w:pPr>
      <w:r w:rsidRPr="00831C3C">
        <w:rPr>
          <w:rFonts w:ascii="宋体" w:eastAsia="宋体" w:hAnsi="宋体" w:cs="宋体" w:hint="eastAsia"/>
          <w:sz w:val="18"/>
          <w:szCs w:val="18"/>
        </w:rPr>
        <w:t>会计政策变更说明：</w:t>
      </w:r>
    </w:p>
    <w:p w:rsidR="00C65FD5" w:rsidRPr="00831C3C" w:rsidRDefault="00C65FD5" w:rsidP="00CC7D91">
      <w:pPr>
        <w:widowControl/>
        <w:numPr>
          <w:ilvl w:val="0"/>
          <w:numId w:val="128"/>
        </w:numPr>
        <w:spacing w:before="100" w:beforeAutospacing="1" w:after="100" w:afterAutospacing="1"/>
        <w:divId w:val="1914241737"/>
        <w:rPr>
          <w:sz w:val="18"/>
          <w:szCs w:val="18"/>
        </w:rPr>
      </w:pPr>
      <w:r w:rsidRPr="00831C3C">
        <w:rPr>
          <w:rFonts w:hint="eastAsia"/>
          <w:sz w:val="18"/>
          <w:szCs w:val="18"/>
        </w:rPr>
        <w:t>执行企业会计准则解释第</w:t>
      </w:r>
      <w:r w:rsidRPr="00831C3C">
        <w:rPr>
          <w:rFonts w:ascii="Arial" w:hAnsi="Arial" w:cs="Arial"/>
          <w:sz w:val="18"/>
          <w:szCs w:val="18"/>
        </w:rPr>
        <w:t>17</w:t>
      </w:r>
      <w:r w:rsidRPr="00831C3C">
        <w:rPr>
          <w:rFonts w:hint="eastAsia"/>
          <w:sz w:val="18"/>
          <w:szCs w:val="18"/>
        </w:rPr>
        <w:t>号对本公司的影响</w:t>
      </w:r>
    </w:p>
    <w:p w:rsidR="00C65FD5" w:rsidRPr="00831C3C" w:rsidRDefault="00C65FD5" w:rsidP="00903F43">
      <w:pPr>
        <w:pStyle w:val="a3"/>
        <w:spacing w:before="0" w:beforeAutospacing="0" w:after="0" w:afterAutospacing="0"/>
        <w:ind w:firstLine="420"/>
        <w:jc w:val="both"/>
        <w:divId w:val="1914241737"/>
        <w:rPr>
          <w:rFonts w:asciiTheme="minorEastAsia" w:eastAsiaTheme="minorEastAsia" w:hAnsiTheme="minorEastAsia"/>
          <w:sz w:val="18"/>
          <w:szCs w:val="18"/>
        </w:rPr>
      </w:pPr>
      <w:r w:rsidRPr="00831C3C">
        <w:rPr>
          <w:rFonts w:asciiTheme="minorEastAsia" w:eastAsiaTheme="minorEastAsia" w:hAnsiTheme="minorEastAsia"/>
          <w:sz w:val="18"/>
          <w:szCs w:val="18"/>
        </w:rPr>
        <w:t>2023</w:t>
      </w:r>
      <w:r w:rsidRPr="00831C3C">
        <w:rPr>
          <w:rFonts w:asciiTheme="minorEastAsia" w:eastAsiaTheme="minorEastAsia" w:hAnsiTheme="minorEastAsia" w:hint="eastAsia"/>
          <w:sz w:val="18"/>
          <w:szCs w:val="18"/>
        </w:rPr>
        <w:t>年</w:t>
      </w:r>
      <w:r w:rsidRPr="00831C3C">
        <w:rPr>
          <w:rFonts w:asciiTheme="minorEastAsia" w:eastAsiaTheme="minorEastAsia" w:hAnsiTheme="minorEastAsia"/>
          <w:sz w:val="18"/>
          <w:szCs w:val="18"/>
        </w:rPr>
        <w:t>10</w:t>
      </w:r>
      <w:r w:rsidRPr="00831C3C">
        <w:rPr>
          <w:rFonts w:asciiTheme="minorEastAsia" w:eastAsiaTheme="minorEastAsia" w:hAnsiTheme="minorEastAsia" w:hint="eastAsia"/>
          <w:sz w:val="18"/>
          <w:szCs w:val="18"/>
        </w:rPr>
        <w:t>月</w:t>
      </w:r>
      <w:r w:rsidRPr="00831C3C">
        <w:rPr>
          <w:rFonts w:asciiTheme="minorEastAsia" w:eastAsiaTheme="minorEastAsia" w:hAnsiTheme="minorEastAsia"/>
          <w:sz w:val="18"/>
          <w:szCs w:val="18"/>
        </w:rPr>
        <w:t>25</w:t>
      </w:r>
      <w:r w:rsidRPr="00831C3C">
        <w:rPr>
          <w:rFonts w:asciiTheme="minorEastAsia" w:eastAsiaTheme="minorEastAsia" w:hAnsiTheme="minorEastAsia" w:hint="eastAsia"/>
          <w:sz w:val="18"/>
          <w:szCs w:val="18"/>
        </w:rPr>
        <w:t>日，财政部发布了《企业会计准则解释第</w:t>
      </w:r>
      <w:r w:rsidRPr="00831C3C">
        <w:rPr>
          <w:rFonts w:asciiTheme="minorEastAsia" w:eastAsiaTheme="minorEastAsia" w:hAnsiTheme="minorEastAsia"/>
          <w:sz w:val="18"/>
          <w:szCs w:val="18"/>
        </w:rPr>
        <w:t>17</w:t>
      </w:r>
      <w:r w:rsidRPr="00831C3C">
        <w:rPr>
          <w:rFonts w:asciiTheme="minorEastAsia" w:eastAsiaTheme="minorEastAsia" w:hAnsiTheme="minorEastAsia" w:hint="eastAsia"/>
          <w:sz w:val="18"/>
          <w:szCs w:val="18"/>
        </w:rPr>
        <w:t>号》（财会〔</w:t>
      </w:r>
      <w:r w:rsidRPr="00831C3C">
        <w:rPr>
          <w:rFonts w:asciiTheme="minorEastAsia" w:eastAsiaTheme="minorEastAsia" w:hAnsiTheme="minorEastAsia"/>
          <w:sz w:val="18"/>
          <w:szCs w:val="18"/>
        </w:rPr>
        <w:t>2023</w:t>
      </w: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21</w:t>
      </w:r>
      <w:r w:rsidRPr="00831C3C">
        <w:rPr>
          <w:rFonts w:asciiTheme="minorEastAsia" w:eastAsiaTheme="minorEastAsia" w:hAnsiTheme="minorEastAsia" w:hint="eastAsia"/>
          <w:sz w:val="18"/>
          <w:szCs w:val="18"/>
        </w:rPr>
        <w:t>号，以下简称“解释</w:t>
      </w:r>
      <w:r w:rsidRPr="00831C3C">
        <w:rPr>
          <w:rFonts w:asciiTheme="minorEastAsia" w:eastAsiaTheme="minorEastAsia" w:hAnsiTheme="minorEastAsia"/>
          <w:sz w:val="18"/>
          <w:szCs w:val="18"/>
        </w:rPr>
        <w:t>17</w:t>
      </w:r>
      <w:r w:rsidRPr="00831C3C">
        <w:rPr>
          <w:rFonts w:asciiTheme="minorEastAsia" w:eastAsiaTheme="minorEastAsia" w:hAnsiTheme="minorEastAsia" w:hint="eastAsia"/>
          <w:sz w:val="18"/>
          <w:szCs w:val="18"/>
        </w:rPr>
        <w:t>号”），本公司自</w:t>
      </w:r>
      <w:r w:rsidRPr="00831C3C">
        <w:rPr>
          <w:rFonts w:asciiTheme="minorEastAsia" w:eastAsiaTheme="minorEastAsia" w:hAnsiTheme="minorEastAsia"/>
          <w:sz w:val="18"/>
          <w:szCs w:val="18"/>
        </w:rPr>
        <w:t>2023</w:t>
      </w:r>
      <w:r w:rsidRPr="00831C3C">
        <w:rPr>
          <w:rFonts w:asciiTheme="minorEastAsia" w:eastAsiaTheme="minorEastAsia" w:hAnsiTheme="minorEastAsia" w:hint="eastAsia"/>
          <w:sz w:val="18"/>
          <w:szCs w:val="18"/>
        </w:rPr>
        <w:t>年</w:t>
      </w:r>
      <w:r w:rsidRPr="00831C3C">
        <w:rPr>
          <w:rFonts w:asciiTheme="minorEastAsia" w:eastAsiaTheme="minorEastAsia" w:hAnsiTheme="minorEastAsia"/>
          <w:sz w:val="18"/>
          <w:szCs w:val="18"/>
        </w:rPr>
        <w:t>10</w:t>
      </w:r>
      <w:r w:rsidRPr="00831C3C">
        <w:rPr>
          <w:rFonts w:asciiTheme="minorEastAsia" w:eastAsiaTheme="minorEastAsia" w:hAnsiTheme="minorEastAsia" w:hint="eastAsia"/>
          <w:sz w:val="18"/>
          <w:szCs w:val="18"/>
        </w:rPr>
        <w:t>月</w:t>
      </w:r>
      <w:r w:rsidRPr="00831C3C">
        <w:rPr>
          <w:rFonts w:asciiTheme="minorEastAsia" w:eastAsiaTheme="minorEastAsia" w:hAnsiTheme="minorEastAsia"/>
          <w:sz w:val="18"/>
          <w:szCs w:val="18"/>
        </w:rPr>
        <w:t>25</w:t>
      </w:r>
      <w:r w:rsidRPr="00831C3C">
        <w:rPr>
          <w:rFonts w:asciiTheme="minorEastAsia" w:eastAsiaTheme="minorEastAsia" w:hAnsiTheme="minorEastAsia" w:hint="eastAsia"/>
          <w:sz w:val="18"/>
          <w:szCs w:val="18"/>
        </w:rPr>
        <w:t>日起施行“关于售后租回交易的会计处理”，自</w:t>
      </w:r>
      <w:r w:rsidRPr="00831C3C">
        <w:rPr>
          <w:rFonts w:asciiTheme="minorEastAsia" w:eastAsiaTheme="minorEastAsia" w:hAnsiTheme="minorEastAsia"/>
          <w:sz w:val="18"/>
          <w:szCs w:val="18"/>
        </w:rPr>
        <w:t>2024</w:t>
      </w:r>
      <w:r w:rsidRPr="00831C3C">
        <w:rPr>
          <w:rFonts w:asciiTheme="minorEastAsia" w:eastAsiaTheme="minorEastAsia" w:hAnsiTheme="minorEastAsia" w:hint="eastAsia"/>
          <w:sz w:val="18"/>
          <w:szCs w:val="18"/>
        </w:rPr>
        <w:t>年</w:t>
      </w:r>
      <w:r w:rsidRPr="00831C3C">
        <w:rPr>
          <w:rFonts w:asciiTheme="minorEastAsia" w:eastAsiaTheme="minorEastAsia" w:hAnsiTheme="minorEastAsia"/>
          <w:sz w:val="18"/>
          <w:szCs w:val="18"/>
        </w:rPr>
        <w:t>1</w:t>
      </w:r>
      <w:r w:rsidRPr="00831C3C">
        <w:rPr>
          <w:rFonts w:asciiTheme="minorEastAsia" w:eastAsiaTheme="minorEastAsia" w:hAnsiTheme="minorEastAsia" w:hint="eastAsia"/>
          <w:sz w:val="18"/>
          <w:szCs w:val="18"/>
        </w:rPr>
        <w:t>月</w:t>
      </w:r>
      <w:r w:rsidRPr="00831C3C">
        <w:rPr>
          <w:rFonts w:asciiTheme="minorEastAsia" w:eastAsiaTheme="minorEastAsia" w:hAnsiTheme="minorEastAsia"/>
          <w:sz w:val="18"/>
          <w:szCs w:val="18"/>
        </w:rPr>
        <w:t>1</w:t>
      </w:r>
      <w:r w:rsidRPr="00831C3C">
        <w:rPr>
          <w:rFonts w:asciiTheme="minorEastAsia" w:eastAsiaTheme="minorEastAsia" w:hAnsiTheme="minorEastAsia" w:hint="eastAsia"/>
          <w:sz w:val="18"/>
          <w:szCs w:val="18"/>
        </w:rPr>
        <w:t>日起施行（“施行日”）解释</w:t>
      </w:r>
      <w:r w:rsidRPr="00831C3C">
        <w:rPr>
          <w:rFonts w:asciiTheme="minorEastAsia" w:eastAsiaTheme="minorEastAsia" w:hAnsiTheme="minorEastAsia"/>
          <w:sz w:val="18"/>
          <w:szCs w:val="18"/>
        </w:rPr>
        <w:t>17</w:t>
      </w:r>
      <w:r w:rsidRPr="00831C3C">
        <w:rPr>
          <w:rFonts w:asciiTheme="minorEastAsia" w:eastAsiaTheme="minorEastAsia" w:hAnsiTheme="minorEastAsia" w:hint="eastAsia"/>
          <w:sz w:val="18"/>
          <w:szCs w:val="18"/>
        </w:rPr>
        <w:t>号“关于流动负债与非流动负债的划分”和“关于供应商融资安排的披露”，执行解释</w:t>
      </w:r>
      <w:r w:rsidRPr="00831C3C">
        <w:rPr>
          <w:rFonts w:asciiTheme="minorEastAsia" w:eastAsiaTheme="minorEastAsia" w:hAnsiTheme="minorEastAsia"/>
          <w:sz w:val="18"/>
          <w:szCs w:val="18"/>
        </w:rPr>
        <w:t>17</w:t>
      </w:r>
      <w:r w:rsidRPr="00831C3C">
        <w:rPr>
          <w:rFonts w:asciiTheme="minorEastAsia" w:eastAsiaTheme="minorEastAsia" w:hAnsiTheme="minorEastAsia" w:hint="eastAsia"/>
          <w:sz w:val="18"/>
          <w:szCs w:val="18"/>
        </w:rPr>
        <w:t>号对本报告期内财务报表无重大影响。</w:t>
      </w:r>
    </w:p>
    <w:p w:rsidR="00C65FD5" w:rsidRPr="00831C3C" w:rsidRDefault="00C65FD5" w:rsidP="00CC7D91">
      <w:pPr>
        <w:widowControl/>
        <w:numPr>
          <w:ilvl w:val="0"/>
          <w:numId w:val="129"/>
        </w:numPr>
        <w:spacing w:before="100" w:beforeAutospacing="1" w:after="100" w:afterAutospacing="1"/>
        <w:divId w:val="1914241737"/>
        <w:rPr>
          <w:rFonts w:ascii="宋体" w:hAnsi="宋体" w:cs="宋体"/>
          <w:sz w:val="18"/>
          <w:szCs w:val="18"/>
        </w:rPr>
      </w:pPr>
      <w:r w:rsidRPr="00831C3C">
        <w:rPr>
          <w:rFonts w:hint="eastAsia"/>
          <w:sz w:val="18"/>
          <w:szCs w:val="18"/>
        </w:rPr>
        <w:t>执行企业数据资源相关会计处理暂行规定对本公司的影响</w:t>
      </w:r>
    </w:p>
    <w:p w:rsidR="00C65FD5" w:rsidRPr="00831C3C" w:rsidRDefault="00C65FD5" w:rsidP="00903F43">
      <w:pPr>
        <w:pStyle w:val="a3"/>
        <w:spacing w:before="0" w:beforeAutospacing="0" w:after="0" w:afterAutospacing="0"/>
        <w:ind w:firstLine="420"/>
        <w:jc w:val="both"/>
        <w:divId w:val="1914241737"/>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本公司自</w:t>
      </w:r>
      <w:r w:rsidRPr="00831C3C">
        <w:rPr>
          <w:rFonts w:asciiTheme="minorEastAsia" w:eastAsiaTheme="minorEastAsia" w:hAnsiTheme="minorEastAsia"/>
          <w:sz w:val="18"/>
          <w:szCs w:val="18"/>
        </w:rPr>
        <w:t>2024</w:t>
      </w:r>
      <w:r w:rsidRPr="00831C3C">
        <w:rPr>
          <w:rFonts w:asciiTheme="minorEastAsia" w:eastAsiaTheme="minorEastAsia" w:hAnsiTheme="minorEastAsia" w:hint="eastAsia"/>
          <w:sz w:val="18"/>
          <w:szCs w:val="18"/>
        </w:rPr>
        <w:t>年</w:t>
      </w:r>
      <w:r w:rsidRPr="00831C3C">
        <w:rPr>
          <w:rFonts w:asciiTheme="minorEastAsia" w:eastAsiaTheme="minorEastAsia" w:hAnsiTheme="minorEastAsia"/>
          <w:sz w:val="18"/>
          <w:szCs w:val="18"/>
        </w:rPr>
        <w:t>1</w:t>
      </w:r>
      <w:r w:rsidRPr="00831C3C">
        <w:rPr>
          <w:rFonts w:asciiTheme="minorEastAsia" w:eastAsiaTheme="minorEastAsia" w:hAnsiTheme="minorEastAsia" w:hint="eastAsia"/>
          <w:sz w:val="18"/>
          <w:szCs w:val="18"/>
        </w:rPr>
        <w:t>月</w:t>
      </w:r>
      <w:r w:rsidRPr="00831C3C">
        <w:rPr>
          <w:rFonts w:asciiTheme="minorEastAsia" w:eastAsiaTheme="minorEastAsia" w:hAnsiTheme="minorEastAsia"/>
          <w:sz w:val="18"/>
          <w:szCs w:val="18"/>
        </w:rPr>
        <w:t>1</w:t>
      </w:r>
      <w:r w:rsidRPr="00831C3C">
        <w:rPr>
          <w:rFonts w:asciiTheme="minorEastAsia" w:eastAsiaTheme="minorEastAsia" w:hAnsiTheme="minorEastAsia" w:hint="eastAsia"/>
          <w:sz w:val="18"/>
          <w:szCs w:val="18"/>
        </w:rPr>
        <w:t>日起执行企业数据资源相关会计处理暂行规定（以下简称“暂行规定”），执行暂行规定对本报告期内财务报表无重大影响。</w:t>
      </w:r>
    </w:p>
    <w:p w:rsidR="00C65FD5" w:rsidRPr="00831C3C" w:rsidRDefault="00C65FD5" w:rsidP="00CC7D91">
      <w:pPr>
        <w:widowControl/>
        <w:numPr>
          <w:ilvl w:val="0"/>
          <w:numId w:val="130"/>
        </w:numPr>
        <w:spacing w:before="100" w:beforeAutospacing="1" w:after="100" w:afterAutospacing="1"/>
        <w:divId w:val="1914241737"/>
        <w:rPr>
          <w:rFonts w:ascii="宋体" w:hAnsi="宋体" w:cs="宋体"/>
          <w:sz w:val="18"/>
          <w:szCs w:val="18"/>
        </w:rPr>
      </w:pPr>
      <w:r w:rsidRPr="00831C3C">
        <w:rPr>
          <w:rFonts w:hint="eastAsia"/>
          <w:sz w:val="18"/>
          <w:szCs w:val="18"/>
        </w:rPr>
        <w:t>执</w:t>
      </w:r>
      <w:bookmarkStart w:id="237" w:name="_Hlk186701927"/>
      <w:bookmarkEnd w:id="237"/>
      <w:r w:rsidRPr="00831C3C">
        <w:rPr>
          <w:rFonts w:hint="eastAsia"/>
          <w:sz w:val="18"/>
          <w:szCs w:val="18"/>
        </w:rPr>
        <w:t>行企业会计准则解释第</w:t>
      </w:r>
      <w:r w:rsidRPr="00831C3C">
        <w:rPr>
          <w:rFonts w:ascii="Arial" w:hAnsi="Arial" w:cs="Arial"/>
          <w:sz w:val="18"/>
          <w:szCs w:val="18"/>
        </w:rPr>
        <w:t>18</w:t>
      </w:r>
      <w:r w:rsidRPr="00831C3C">
        <w:rPr>
          <w:rFonts w:hint="eastAsia"/>
          <w:sz w:val="18"/>
          <w:szCs w:val="18"/>
        </w:rPr>
        <w:t>号对本公司的影响</w:t>
      </w:r>
    </w:p>
    <w:p w:rsidR="00C65FD5" w:rsidRPr="00831C3C" w:rsidRDefault="00C65FD5" w:rsidP="00903F43">
      <w:pPr>
        <w:pStyle w:val="a3"/>
        <w:spacing w:before="0" w:beforeAutospacing="0" w:after="0" w:afterAutospacing="0"/>
        <w:ind w:firstLine="420"/>
        <w:jc w:val="both"/>
        <w:divId w:val="1914241737"/>
        <w:rPr>
          <w:rFonts w:asciiTheme="minorEastAsia" w:eastAsiaTheme="minorEastAsia" w:hAnsiTheme="minorEastAsia"/>
          <w:sz w:val="18"/>
          <w:szCs w:val="18"/>
        </w:rPr>
      </w:pPr>
      <w:bookmarkStart w:id="238" w:name="_Hlk186701997"/>
      <w:bookmarkEnd w:id="238"/>
      <w:r w:rsidRPr="00831C3C">
        <w:rPr>
          <w:rFonts w:asciiTheme="minorEastAsia" w:eastAsiaTheme="minorEastAsia" w:hAnsiTheme="minorEastAsia"/>
          <w:sz w:val="18"/>
          <w:szCs w:val="18"/>
        </w:rPr>
        <w:t>2024</w:t>
      </w:r>
      <w:r w:rsidRPr="00831C3C">
        <w:rPr>
          <w:rFonts w:asciiTheme="minorEastAsia" w:eastAsiaTheme="minorEastAsia" w:hAnsiTheme="minorEastAsia" w:hint="eastAsia"/>
          <w:sz w:val="18"/>
          <w:szCs w:val="18"/>
        </w:rPr>
        <w:t>年</w:t>
      </w:r>
      <w:r w:rsidRPr="00831C3C">
        <w:rPr>
          <w:rFonts w:asciiTheme="minorEastAsia" w:eastAsiaTheme="minorEastAsia" w:hAnsiTheme="minorEastAsia"/>
          <w:sz w:val="18"/>
          <w:szCs w:val="18"/>
        </w:rPr>
        <w:t>12</w:t>
      </w:r>
      <w:r w:rsidRPr="00831C3C">
        <w:rPr>
          <w:rFonts w:asciiTheme="minorEastAsia" w:eastAsiaTheme="minorEastAsia" w:hAnsiTheme="minorEastAsia" w:hint="eastAsia"/>
          <w:sz w:val="18"/>
          <w:szCs w:val="18"/>
        </w:rPr>
        <w:t>月</w:t>
      </w:r>
      <w:r w:rsidRPr="00831C3C">
        <w:rPr>
          <w:rFonts w:asciiTheme="minorEastAsia" w:eastAsiaTheme="minorEastAsia" w:hAnsiTheme="minorEastAsia"/>
          <w:sz w:val="18"/>
          <w:szCs w:val="18"/>
        </w:rPr>
        <w:t>6</w:t>
      </w:r>
      <w:r w:rsidRPr="00831C3C">
        <w:rPr>
          <w:rFonts w:asciiTheme="minorEastAsia" w:eastAsiaTheme="minorEastAsia" w:hAnsiTheme="minorEastAsia" w:hint="eastAsia"/>
          <w:sz w:val="18"/>
          <w:szCs w:val="18"/>
        </w:rPr>
        <w:t>日，财政部印发了《企业会计准则解释第</w:t>
      </w:r>
      <w:r w:rsidRPr="00831C3C">
        <w:rPr>
          <w:rFonts w:asciiTheme="minorEastAsia" w:eastAsiaTheme="minorEastAsia" w:hAnsiTheme="minorEastAsia"/>
          <w:sz w:val="18"/>
          <w:szCs w:val="18"/>
        </w:rPr>
        <w:t>18</w:t>
      </w:r>
      <w:r w:rsidRPr="00831C3C">
        <w:rPr>
          <w:rFonts w:asciiTheme="minorEastAsia" w:eastAsiaTheme="minorEastAsia" w:hAnsiTheme="minorEastAsia" w:hint="eastAsia"/>
          <w:sz w:val="18"/>
          <w:szCs w:val="18"/>
        </w:rPr>
        <w:t>号》（财会〔</w:t>
      </w:r>
      <w:r w:rsidRPr="00831C3C">
        <w:rPr>
          <w:rFonts w:asciiTheme="minorEastAsia" w:eastAsiaTheme="minorEastAsia" w:hAnsiTheme="minorEastAsia"/>
          <w:sz w:val="18"/>
          <w:szCs w:val="18"/>
        </w:rPr>
        <w:t>2024</w:t>
      </w:r>
      <w:r w:rsidRPr="00831C3C">
        <w:rPr>
          <w:rFonts w:asciiTheme="minorEastAsia" w:eastAsiaTheme="minorEastAsia" w:hAnsiTheme="minorEastAsia" w:hint="eastAsia"/>
          <w:sz w:val="18"/>
          <w:szCs w:val="18"/>
        </w:rPr>
        <w:t>〕</w:t>
      </w:r>
      <w:r w:rsidRPr="00831C3C">
        <w:rPr>
          <w:rFonts w:asciiTheme="minorEastAsia" w:eastAsiaTheme="minorEastAsia" w:hAnsiTheme="minorEastAsia"/>
          <w:sz w:val="18"/>
          <w:szCs w:val="18"/>
        </w:rPr>
        <w:t>24</w:t>
      </w:r>
      <w:r w:rsidRPr="00831C3C">
        <w:rPr>
          <w:rFonts w:asciiTheme="minorEastAsia" w:eastAsiaTheme="minorEastAsia" w:hAnsiTheme="minorEastAsia" w:hint="eastAsia"/>
          <w:sz w:val="18"/>
          <w:szCs w:val="18"/>
        </w:rPr>
        <w:t>号，以下简称“解释</w:t>
      </w:r>
      <w:r w:rsidRPr="00831C3C">
        <w:rPr>
          <w:rFonts w:asciiTheme="minorEastAsia" w:eastAsiaTheme="minorEastAsia" w:hAnsiTheme="minorEastAsia"/>
          <w:sz w:val="18"/>
          <w:szCs w:val="18"/>
        </w:rPr>
        <w:t>18</w:t>
      </w:r>
      <w:r w:rsidRPr="00831C3C">
        <w:rPr>
          <w:rFonts w:asciiTheme="minorEastAsia" w:eastAsiaTheme="minorEastAsia" w:hAnsiTheme="minorEastAsia" w:hint="eastAsia"/>
          <w:sz w:val="18"/>
          <w:szCs w:val="18"/>
        </w:rPr>
        <w:t>号”），本公司自</w:t>
      </w:r>
      <w:r w:rsidRPr="00831C3C">
        <w:rPr>
          <w:rFonts w:asciiTheme="minorEastAsia" w:eastAsiaTheme="minorEastAsia" w:hAnsiTheme="minorEastAsia"/>
          <w:sz w:val="18"/>
          <w:szCs w:val="18"/>
        </w:rPr>
        <w:t>2024</w:t>
      </w:r>
      <w:r w:rsidRPr="00831C3C">
        <w:rPr>
          <w:rFonts w:asciiTheme="minorEastAsia" w:eastAsiaTheme="minorEastAsia" w:hAnsiTheme="minorEastAsia" w:hint="eastAsia"/>
          <w:sz w:val="18"/>
          <w:szCs w:val="18"/>
        </w:rPr>
        <w:t>年</w:t>
      </w:r>
      <w:r w:rsidRPr="00831C3C">
        <w:rPr>
          <w:rFonts w:asciiTheme="minorEastAsia" w:eastAsiaTheme="minorEastAsia" w:hAnsiTheme="minorEastAsia"/>
          <w:sz w:val="18"/>
          <w:szCs w:val="18"/>
        </w:rPr>
        <w:t>12</w:t>
      </w:r>
      <w:r w:rsidRPr="00831C3C">
        <w:rPr>
          <w:rFonts w:asciiTheme="minorEastAsia" w:eastAsiaTheme="minorEastAsia" w:hAnsiTheme="minorEastAsia" w:hint="eastAsia"/>
          <w:sz w:val="18"/>
          <w:szCs w:val="18"/>
        </w:rPr>
        <w:t>月</w:t>
      </w:r>
      <w:r w:rsidRPr="00831C3C">
        <w:rPr>
          <w:rFonts w:asciiTheme="minorEastAsia" w:eastAsiaTheme="minorEastAsia" w:hAnsiTheme="minorEastAsia"/>
          <w:sz w:val="18"/>
          <w:szCs w:val="18"/>
        </w:rPr>
        <w:t>6</w:t>
      </w:r>
      <w:r w:rsidRPr="00831C3C">
        <w:rPr>
          <w:rFonts w:asciiTheme="minorEastAsia" w:eastAsiaTheme="minorEastAsia" w:hAnsiTheme="minorEastAsia" w:hint="eastAsia"/>
          <w:sz w:val="18"/>
          <w:szCs w:val="18"/>
        </w:rPr>
        <w:t>日起施行。执行解释</w:t>
      </w:r>
      <w:r w:rsidRPr="00831C3C">
        <w:rPr>
          <w:rFonts w:asciiTheme="minorEastAsia" w:eastAsiaTheme="minorEastAsia" w:hAnsiTheme="minorEastAsia"/>
          <w:sz w:val="18"/>
          <w:szCs w:val="18"/>
        </w:rPr>
        <w:t>18</w:t>
      </w:r>
      <w:r w:rsidRPr="00831C3C">
        <w:rPr>
          <w:rFonts w:asciiTheme="minorEastAsia" w:eastAsiaTheme="minorEastAsia" w:hAnsiTheme="minorEastAsia" w:hint="eastAsia"/>
          <w:sz w:val="18"/>
          <w:szCs w:val="18"/>
        </w:rPr>
        <w:t>号对本报告期内财务报表无重大影响。</w:t>
      </w:r>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239" w:name="_Toc989120"/>
      <w:r w:rsidRPr="00831C3C">
        <w:rPr>
          <w:rFonts w:ascii="宋体" w:eastAsia="宋体" w:hAnsi="宋体" w:cs="宋体"/>
          <w:b/>
          <w:bCs/>
          <w:sz w:val="18"/>
          <w:szCs w:val="18"/>
        </w:rPr>
        <w:t>（2）重要会计估计变更</w:t>
      </w:r>
      <w:bookmarkEnd w:id="239"/>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适用□不适用</w:t>
      </w:r>
    </w:p>
    <w:p w:rsidR="00C65FD5" w:rsidRPr="00831C3C" w:rsidRDefault="00C65FD5">
      <w:pPr>
        <w:pStyle w:val="a3"/>
        <w:divId w:val="1429349855"/>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本期主要会计估计未发生变更。</w:t>
      </w:r>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240" w:name="_Toc989121"/>
      <w:r w:rsidRPr="00831C3C">
        <w:rPr>
          <w:rFonts w:ascii="宋体" w:eastAsia="宋体" w:hAnsi="宋体" w:cs="宋体"/>
          <w:b/>
          <w:bCs/>
          <w:sz w:val="18"/>
          <w:szCs w:val="18"/>
        </w:rPr>
        <w:t>（3）2024年起首次执行新会计准则调整首次执行当年年初财务报表相关项目情况</w:t>
      </w:r>
      <w:bookmarkEnd w:id="240"/>
    </w:p>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pStyle w:val="3"/>
        <w:spacing w:line="280" w:lineRule="exact"/>
        <w:jc w:val="left"/>
        <w:rPr>
          <w:rFonts w:ascii="宋体" w:hAnsi="宋体" w:cs="宋体"/>
          <w:b/>
          <w:bCs/>
        </w:rPr>
      </w:pPr>
      <w:bookmarkStart w:id="241" w:name="_Toc989122"/>
      <w:r w:rsidRPr="00831C3C">
        <w:rPr>
          <w:rFonts w:ascii="宋体" w:hAnsi="宋体" w:cs="宋体"/>
          <w:b/>
          <w:bCs/>
        </w:rPr>
        <w:t>44、其他</w:t>
      </w:r>
      <w:bookmarkEnd w:id="241"/>
    </w:p>
    <w:p w:rsidR="00E23A97" w:rsidRPr="00831C3C" w:rsidRDefault="00C65FD5">
      <w:pPr>
        <w:pStyle w:val="2"/>
        <w:spacing w:before="300" w:after="300" w:line="320" w:lineRule="exact"/>
        <w:rPr>
          <w:rFonts w:ascii="宋体" w:eastAsia="宋体" w:hAnsi="宋体" w:cs="宋体"/>
          <w:b/>
          <w:bCs/>
          <w:sz w:val="24"/>
          <w:szCs w:val="24"/>
        </w:rPr>
      </w:pPr>
      <w:bookmarkStart w:id="242" w:name="_Toc989123"/>
      <w:r w:rsidRPr="00831C3C">
        <w:rPr>
          <w:rFonts w:ascii="宋体" w:eastAsia="宋体" w:hAnsi="宋体" w:cs="宋体"/>
          <w:b/>
          <w:bCs/>
          <w:sz w:val="24"/>
          <w:szCs w:val="24"/>
        </w:rPr>
        <w:t>六、税项</w:t>
      </w:r>
      <w:bookmarkEnd w:id="242"/>
    </w:p>
    <w:p w:rsidR="00E23A97" w:rsidRPr="00831C3C" w:rsidRDefault="00C65FD5">
      <w:pPr>
        <w:pStyle w:val="3"/>
        <w:spacing w:line="280" w:lineRule="exact"/>
        <w:jc w:val="left"/>
        <w:rPr>
          <w:rFonts w:ascii="宋体" w:hAnsi="宋体" w:cs="宋体"/>
          <w:b/>
          <w:bCs/>
        </w:rPr>
      </w:pPr>
      <w:bookmarkStart w:id="243" w:name="_Toc989124"/>
      <w:r w:rsidRPr="00831C3C">
        <w:rPr>
          <w:rFonts w:ascii="宋体" w:hAnsi="宋体" w:cs="宋体"/>
          <w:b/>
          <w:bCs/>
        </w:rPr>
        <w:t>1、主要税种及税率</w:t>
      </w:r>
      <w:bookmarkEnd w:id="243"/>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376"/>
        <w:gridCol w:w="4395"/>
        <w:gridCol w:w="2868"/>
      </w:tblGrid>
      <w:tr w:rsidR="00831C3C" w:rsidRPr="00831C3C" w:rsidTr="00903F43">
        <w:trPr>
          <w:trHeight w:val="240"/>
        </w:trPr>
        <w:tc>
          <w:tcPr>
            <w:tcW w:w="23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税种</w:t>
            </w:r>
          </w:p>
        </w:tc>
        <w:tc>
          <w:tcPr>
            <w:tcW w:w="439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计税依据</w:t>
            </w:r>
          </w:p>
        </w:tc>
        <w:tc>
          <w:tcPr>
            <w:tcW w:w="286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税率</w:t>
            </w:r>
          </w:p>
        </w:tc>
      </w:tr>
      <w:tr w:rsidR="00831C3C" w:rsidRPr="00831C3C" w:rsidTr="00903F43">
        <w:trPr>
          <w:trHeight w:val="240"/>
        </w:trPr>
        <w:tc>
          <w:tcPr>
            <w:tcW w:w="23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增值税</w:t>
            </w:r>
          </w:p>
        </w:tc>
        <w:tc>
          <w:tcPr>
            <w:tcW w:w="439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销售货物、应税劳务收入和应税服务收入</w:t>
            </w:r>
          </w:p>
        </w:tc>
        <w:tc>
          <w:tcPr>
            <w:tcW w:w="286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13%、10%、9%、6%</w:t>
            </w:r>
          </w:p>
        </w:tc>
      </w:tr>
      <w:tr w:rsidR="00831C3C" w:rsidRPr="00831C3C" w:rsidTr="00903F43">
        <w:trPr>
          <w:trHeight w:val="240"/>
        </w:trPr>
        <w:tc>
          <w:tcPr>
            <w:tcW w:w="23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城市维护建设税</w:t>
            </w:r>
          </w:p>
        </w:tc>
        <w:tc>
          <w:tcPr>
            <w:tcW w:w="439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实缴流转税税额</w:t>
            </w:r>
          </w:p>
        </w:tc>
        <w:tc>
          <w:tcPr>
            <w:tcW w:w="286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7%、5%、3%</w:t>
            </w:r>
          </w:p>
        </w:tc>
      </w:tr>
      <w:tr w:rsidR="00831C3C" w:rsidRPr="00831C3C" w:rsidTr="00903F43">
        <w:trPr>
          <w:trHeight w:val="240"/>
        </w:trPr>
        <w:tc>
          <w:tcPr>
            <w:tcW w:w="23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企业所得税</w:t>
            </w:r>
          </w:p>
        </w:tc>
        <w:tc>
          <w:tcPr>
            <w:tcW w:w="439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应纳税所得额</w:t>
            </w:r>
          </w:p>
        </w:tc>
        <w:tc>
          <w:tcPr>
            <w:tcW w:w="286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15%、25%、16.5%、20%</w:t>
            </w:r>
          </w:p>
        </w:tc>
      </w:tr>
      <w:tr w:rsidR="00831C3C" w:rsidRPr="00831C3C" w:rsidTr="00903F43">
        <w:trPr>
          <w:trHeight w:val="240"/>
        </w:trPr>
        <w:tc>
          <w:tcPr>
            <w:tcW w:w="23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lastRenderedPageBreak/>
              <w:t>教育费附加</w:t>
            </w:r>
          </w:p>
        </w:tc>
        <w:tc>
          <w:tcPr>
            <w:tcW w:w="439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实缴流转税税额</w:t>
            </w:r>
          </w:p>
        </w:tc>
        <w:tc>
          <w:tcPr>
            <w:tcW w:w="286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3%</w:t>
            </w:r>
          </w:p>
        </w:tc>
      </w:tr>
      <w:tr w:rsidR="00831C3C" w:rsidRPr="00831C3C" w:rsidTr="00903F43">
        <w:trPr>
          <w:trHeight w:val="240"/>
        </w:trPr>
        <w:tc>
          <w:tcPr>
            <w:tcW w:w="23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地方教育费附加</w:t>
            </w:r>
          </w:p>
        </w:tc>
        <w:tc>
          <w:tcPr>
            <w:tcW w:w="439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实缴流转税税额</w:t>
            </w:r>
          </w:p>
        </w:tc>
        <w:tc>
          <w:tcPr>
            <w:tcW w:w="286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w:t>
            </w:r>
          </w:p>
        </w:tc>
      </w:tr>
      <w:tr w:rsidR="00831C3C" w:rsidRPr="00831C3C" w:rsidTr="00903F43">
        <w:trPr>
          <w:trHeight w:val="240"/>
        </w:trPr>
        <w:tc>
          <w:tcPr>
            <w:tcW w:w="23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房产税</w:t>
            </w:r>
          </w:p>
        </w:tc>
        <w:tc>
          <w:tcPr>
            <w:tcW w:w="439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房产税按照房产原值的70%为纳税基准，税率为1.2%，或以租金收入为纳税基准，税率为12%</w:t>
            </w:r>
          </w:p>
        </w:tc>
        <w:tc>
          <w:tcPr>
            <w:tcW w:w="286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1.2%、12%</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存在不同企业所得税税率纳税主体的，披露情况说明</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6771"/>
        <w:gridCol w:w="2868"/>
      </w:tblGrid>
      <w:tr w:rsidR="00831C3C" w:rsidRPr="00831C3C" w:rsidTr="00903F43">
        <w:trPr>
          <w:trHeight w:val="240"/>
        </w:trPr>
        <w:tc>
          <w:tcPr>
            <w:tcW w:w="67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纳税主体名称</w:t>
            </w:r>
          </w:p>
        </w:tc>
        <w:tc>
          <w:tcPr>
            <w:tcW w:w="286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所得税税率</w:t>
            </w:r>
          </w:p>
        </w:tc>
      </w:tr>
      <w:tr w:rsidR="00831C3C" w:rsidRPr="00831C3C" w:rsidTr="00903F43">
        <w:trPr>
          <w:trHeight w:val="240"/>
        </w:trPr>
        <w:tc>
          <w:tcPr>
            <w:tcW w:w="67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本公司</w:t>
            </w:r>
          </w:p>
        </w:tc>
        <w:tc>
          <w:tcPr>
            <w:tcW w:w="286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15%</w:t>
            </w:r>
          </w:p>
        </w:tc>
      </w:tr>
      <w:tr w:rsidR="00831C3C" w:rsidRPr="00831C3C" w:rsidTr="00903F43">
        <w:trPr>
          <w:trHeight w:val="240"/>
        </w:trPr>
        <w:tc>
          <w:tcPr>
            <w:tcW w:w="67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香港华孚贸易有限公司、香港华孚有限公司(1)、香港天成贸易有限公司</w:t>
            </w:r>
          </w:p>
        </w:tc>
        <w:tc>
          <w:tcPr>
            <w:tcW w:w="286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16.5%</w:t>
            </w:r>
          </w:p>
        </w:tc>
      </w:tr>
      <w:tr w:rsidR="00831C3C" w:rsidRPr="00831C3C" w:rsidTr="00903F43">
        <w:trPr>
          <w:trHeight w:val="240"/>
        </w:trPr>
        <w:tc>
          <w:tcPr>
            <w:tcW w:w="67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浙江华孚色纺有限公司</w:t>
            </w:r>
          </w:p>
        </w:tc>
        <w:tc>
          <w:tcPr>
            <w:tcW w:w="286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15%</w:t>
            </w:r>
          </w:p>
        </w:tc>
      </w:tr>
      <w:tr w:rsidR="00831C3C" w:rsidRPr="00831C3C" w:rsidTr="00903F43">
        <w:trPr>
          <w:trHeight w:val="240"/>
        </w:trPr>
        <w:tc>
          <w:tcPr>
            <w:tcW w:w="67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奎屯锦孚纺织有限公司、</w:t>
            </w:r>
            <w:proofErr w:type="gramStart"/>
            <w:r w:rsidRPr="00831C3C">
              <w:rPr>
                <w:rFonts w:ascii="宋体" w:eastAsia="宋体" w:hAnsi="宋体" w:cs="宋体"/>
                <w:sz w:val="18"/>
                <w:szCs w:val="18"/>
              </w:rPr>
              <w:t>新疆六孚纺织工业</w:t>
            </w:r>
            <w:proofErr w:type="gramEnd"/>
            <w:r w:rsidRPr="00831C3C">
              <w:rPr>
                <w:rFonts w:ascii="宋体" w:eastAsia="宋体" w:hAnsi="宋体" w:cs="宋体"/>
                <w:sz w:val="18"/>
                <w:szCs w:val="18"/>
              </w:rPr>
              <w:t>园有限公司</w:t>
            </w:r>
          </w:p>
        </w:tc>
        <w:tc>
          <w:tcPr>
            <w:tcW w:w="286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15%</w:t>
            </w:r>
          </w:p>
        </w:tc>
      </w:tr>
      <w:tr w:rsidR="00831C3C" w:rsidRPr="00831C3C" w:rsidTr="00903F43">
        <w:trPr>
          <w:trHeight w:val="240"/>
        </w:trPr>
        <w:tc>
          <w:tcPr>
            <w:tcW w:w="67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越南隆安英鸿投资股份有限公司</w:t>
            </w:r>
          </w:p>
        </w:tc>
        <w:tc>
          <w:tcPr>
            <w:tcW w:w="286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w:t>
            </w:r>
          </w:p>
        </w:tc>
      </w:tr>
      <w:tr w:rsidR="00831C3C" w:rsidRPr="00831C3C" w:rsidTr="00903F43">
        <w:trPr>
          <w:trHeight w:val="240"/>
        </w:trPr>
        <w:tc>
          <w:tcPr>
            <w:tcW w:w="67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新疆棉花产业集团伽师棉业有限公司、新疆棉花产业集团岳普湖棉业有限公司、新疆棉花产业集团泽普棉业有限公司、新疆棉花产业（集团）叶城棉业有限责任公司、奎屯锦孚棉业有限公司、</w:t>
            </w:r>
            <w:proofErr w:type="gramStart"/>
            <w:r w:rsidRPr="00831C3C">
              <w:rPr>
                <w:rFonts w:ascii="宋体" w:eastAsia="宋体" w:hAnsi="宋体" w:cs="宋体"/>
                <w:sz w:val="18"/>
                <w:szCs w:val="18"/>
              </w:rPr>
              <w:t>沙雅银花棉业</w:t>
            </w:r>
            <w:proofErr w:type="gramEnd"/>
            <w:r w:rsidRPr="00831C3C">
              <w:rPr>
                <w:rFonts w:ascii="宋体" w:eastAsia="宋体" w:hAnsi="宋体" w:cs="宋体"/>
                <w:sz w:val="18"/>
                <w:szCs w:val="18"/>
              </w:rPr>
              <w:t>有限责任公司、库车纵横棉业有限责任公司、库车</w:t>
            </w:r>
            <w:proofErr w:type="gramStart"/>
            <w:r w:rsidRPr="00831C3C">
              <w:rPr>
                <w:rFonts w:ascii="宋体" w:eastAsia="宋体" w:hAnsi="宋体" w:cs="宋体"/>
                <w:sz w:val="18"/>
                <w:szCs w:val="18"/>
              </w:rPr>
              <w:t>恒丰棉业</w:t>
            </w:r>
            <w:proofErr w:type="gramEnd"/>
            <w:r w:rsidRPr="00831C3C">
              <w:rPr>
                <w:rFonts w:ascii="宋体" w:eastAsia="宋体" w:hAnsi="宋体" w:cs="宋体"/>
                <w:sz w:val="18"/>
                <w:szCs w:val="18"/>
              </w:rPr>
              <w:t>有限责任公司、呼图壁县</w:t>
            </w:r>
            <w:proofErr w:type="gramStart"/>
            <w:r w:rsidRPr="00831C3C">
              <w:rPr>
                <w:rFonts w:ascii="宋体" w:eastAsia="宋体" w:hAnsi="宋体" w:cs="宋体"/>
                <w:sz w:val="18"/>
                <w:szCs w:val="18"/>
              </w:rPr>
              <w:t>宏盛棉业</w:t>
            </w:r>
            <w:proofErr w:type="gramEnd"/>
            <w:r w:rsidRPr="00831C3C">
              <w:rPr>
                <w:rFonts w:ascii="宋体" w:eastAsia="宋体" w:hAnsi="宋体" w:cs="宋体"/>
                <w:sz w:val="18"/>
                <w:szCs w:val="18"/>
              </w:rPr>
              <w:t>有限公司、新疆</w:t>
            </w:r>
            <w:proofErr w:type="gramStart"/>
            <w:r w:rsidRPr="00831C3C">
              <w:rPr>
                <w:rFonts w:ascii="宋体" w:eastAsia="宋体" w:hAnsi="宋体" w:cs="宋体"/>
                <w:sz w:val="18"/>
                <w:szCs w:val="18"/>
              </w:rPr>
              <w:t>华孚恒丰棉业</w:t>
            </w:r>
            <w:proofErr w:type="gramEnd"/>
            <w:r w:rsidRPr="00831C3C">
              <w:rPr>
                <w:rFonts w:ascii="宋体" w:eastAsia="宋体" w:hAnsi="宋体" w:cs="宋体"/>
                <w:sz w:val="18"/>
                <w:szCs w:val="18"/>
              </w:rPr>
              <w:t>有限公司、石河子华</w:t>
            </w:r>
            <w:proofErr w:type="gramStart"/>
            <w:r w:rsidRPr="00831C3C">
              <w:rPr>
                <w:rFonts w:ascii="宋体" w:eastAsia="宋体" w:hAnsi="宋体" w:cs="宋体"/>
                <w:sz w:val="18"/>
                <w:szCs w:val="18"/>
              </w:rPr>
              <w:t>孚宏盛棉</w:t>
            </w:r>
            <w:proofErr w:type="gramEnd"/>
            <w:r w:rsidRPr="00831C3C">
              <w:rPr>
                <w:rFonts w:ascii="宋体" w:eastAsia="宋体" w:hAnsi="宋体" w:cs="宋体"/>
                <w:sz w:val="18"/>
                <w:szCs w:val="18"/>
              </w:rPr>
              <w:t>业有限公司、</w:t>
            </w:r>
            <w:proofErr w:type="gramStart"/>
            <w:r w:rsidRPr="00831C3C">
              <w:rPr>
                <w:rFonts w:ascii="宋体" w:eastAsia="宋体" w:hAnsi="宋体" w:cs="宋体"/>
                <w:sz w:val="18"/>
                <w:szCs w:val="18"/>
              </w:rPr>
              <w:t>胡杨河华孚宏盛棉</w:t>
            </w:r>
            <w:proofErr w:type="gramEnd"/>
            <w:r w:rsidRPr="00831C3C">
              <w:rPr>
                <w:rFonts w:ascii="宋体" w:eastAsia="宋体" w:hAnsi="宋体" w:cs="宋体"/>
                <w:sz w:val="18"/>
                <w:szCs w:val="18"/>
              </w:rPr>
              <w:t>业有限公司、石河子市华</w:t>
            </w:r>
            <w:proofErr w:type="gramStart"/>
            <w:r w:rsidRPr="00831C3C">
              <w:rPr>
                <w:rFonts w:ascii="宋体" w:eastAsia="宋体" w:hAnsi="宋体" w:cs="宋体"/>
                <w:sz w:val="18"/>
                <w:szCs w:val="18"/>
              </w:rPr>
              <w:t>孚宏丰棉</w:t>
            </w:r>
            <w:proofErr w:type="gramEnd"/>
            <w:r w:rsidRPr="00831C3C">
              <w:rPr>
                <w:rFonts w:ascii="宋体" w:eastAsia="宋体" w:hAnsi="宋体" w:cs="宋体"/>
                <w:sz w:val="18"/>
                <w:szCs w:val="18"/>
              </w:rPr>
              <w:t>业有限公司、新疆科宁针纺科技有限公司、新疆泽孚棉花有限公司、新疆盛孚棉业有限公司</w:t>
            </w:r>
          </w:p>
        </w:tc>
        <w:tc>
          <w:tcPr>
            <w:tcW w:w="286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0%</w:t>
            </w:r>
          </w:p>
        </w:tc>
      </w:tr>
      <w:tr w:rsidR="00831C3C" w:rsidRPr="00831C3C" w:rsidTr="00903F43">
        <w:trPr>
          <w:trHeight w:val="240"/>
        </w:trPr>
        <w:tc>
          <w:tcPr>
            <w:tcW w:w="67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阿克苏华孚色纺有限公司</w:t>
            </w:r>
          </w:p>
        </w:tc>
        <w:tc>
          <w:tcPr>
            <w:tcW w:w="286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15%</w:t>
            </w:r>
          </w:p>
        </w:tc>
      </w:tr>
      <w:tr w:rsidR="00831C3C" w:rsidRPr="00831C3C" w:rsidTr="00903F43">
        <w:trPr>
          <w:trHeight w:val="240"/>
        </w:trPr>
        <w:tc>
          <w:tcPr>
            <w:tcW w:w="67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新加坡耀佳国际贸易有限公司</w:t>
            </w:r>
          </w:p>
        </w:tc>
        <w:tc>
          <w:tcPr>
            <w:tcW w:w="286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17%</w:t>
            </w:r>
          </w:p>
        </w:tc>
      </w:tr>
      <w:tr w:rsidR="00831C3C" w:rsidRPr="00831C3C" w:rsidTr="00903F43">
        <w:trPr>
          <w:trHeight w:val="240"/>
        </w:trPr>
        <w:tc>
          <w:tcPr>
            <w:tcW w:w="67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诸暨市卡拉美拉科技有限公司</w:t>
            </w:r>
          </w:p>
        </w:tc>
        <w:tc>
          <w:tcPr>
            <w:tcW w:w="286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15%</w:t>
            </w:r>
          </w:p>
        </w:tc>
      </w:tr>
      <w:tr w:rsidR="00831C3C" w:rsidRPr="00831C3C" w:rsidTr="00903F43">
        <w:trPr>
          <w:trHeight w:val="240"/>
        </w:trPr>
        <w:tc>
          <w:tcPr>
            <w:tcW w:w="67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上海清澄时尚生活用品有限公司、阿克苏华孚新能源有限公司、江苏</w:t>
            </w:r>
            <w:proofErr w:type="gramStart"/>
            <w:r w:rsidRPr="00831C3C">
              <w:rPr>
                <w:rFonts w:ascii="宋体" w:eastAsia="宋体" w:hAnsi="宋体" w:cs="宋体"/>
                <w:sz w:val="18"/>
                <w:szCs w:val="18"/>
              </w:rPr>
              <w:t>清澄家</w:t>
            </w:r>
            <w:proofErr w:type="gramEnd"/>
            <w:r w:rsidRPr="00831C3C">
              <w:rPr>
                <w:rFonts w:ascii="宋体" w:eastAsia="宋体" w:hAnsi="宋体" w:cs="宋体"/>
                <w:sz w:val="18"/>
                <w:szCs w:val="18"/>
              </w:rPr>
              <w:t>生活用品有限公司、上海华孚色纺贸易有限公司、浙江</w:t>
            </w:r>
            <w:proofErr w:type="gramStart"/>
            <w:r w:rsidRPr="00831C3C">
              <w:rPr>
                <w:rFonts w:ascii="宋体" w:eastAsia="宋体" w:hAnsi="宋体" w:cs="宋体"/>
                <w:sz w:val="18"/>
                <w:szCs w:val="18"/>
              </w:rPr>
              <w:t>菁英电商管理</w:t>
            </w:r>
            <w:proofErr w:type="gramEnd"/>
            <w:r w:rsidRPr="00831C3C">
              <w:rPr>
                <w:rFonts w:ascii="宋体" w:eastAsia="宋体" w:hAnsi="宋体" w:cs="宋体"/>
                <w:sz w:val="18"/>
                <w:szCs w:val="18"/>
              </w:rPr>
              <w:t>服务有限公司、浙江</w:t>
            </w:r>
            <w:proofErr w:type="gramStart"/>
            <w:r w:rsidRPr="00831C3C">
              <w:rPr>
                <w:rFonts w:ascii="宋体" w:eastAsia="宋体" w:hAnsi="宋体" w:cs="宋体"/>
                <w:sz w:val="18"/>
                <w:szCs w:val="18"/>
              </w:rPr>
              <w:t>菁英创业</w:t>
            </w:r>
            <w:proofErr w:type="gramEnd"/>
            <w:r w:rsidRPr="00831C3C">
              <w:rPr>
                <w:rFonts w:ascii="宋体" w:eastAsia="宋体" w:hAnsi="宋体" w:cs="宋体"/>
                <w:sz w:val="18"/>
                <w:szCs w:val="18"/>
              </w:rPr>
              <w:t>服务有限公司、杭州名</w:t>
            </w:r>
            <w:proofErr w:type="gramStart"/>
            <w:r w:rsidRPr="00831C3C">
              <w:rPr>
                <w:rFonts w:ascii="宋体" w:eastAsia="宋体" w:hAnsi="宋体" w:cs="宋体"/>
                <w:sz w:val="18"/>
                <w:szCs w:val="18"/>
              </w:rPr>
              <w:t>鲲</w:t>
            </w:r>
            <w:proofErr w:type="gramEnd"/>
            <w:r w:rsidRPr="00831C3C">
              <w:rPr>
                <w:rFonts w:ascii="宋体" w:eastAsia="宋体" w:hAnsi="宋体" w:cs="宋体"/>
                <w:sz w:val="18"/>
                <w:szCs w:val="18"/>
              </w:rPr>
              <w:t>科技有限公司等</w:t>
            </w:r>
          </w:p>
        </w:tc>
        <w:tc>
          <w:tcPr>
            <w:tcW w:w="286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w:t>
            </w:r>
          </w:p>
        </w:tc>
      </w:tr>
      <w:tr w:rsidR="00831C3C" w:rsidRPr="00831C3C" w:rsidTr="00903F43">
        <w:trPr>
          <w:trHeight w:val="240"/>
        </w:trPr>
        <w:tc>
          <w:tcPr>
            <w:tcW w:w="67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其他子公司</w:t>
            </w:r>
          </w:p>
        </w:tc>
        <w:tc>
          <w:tcPr>
            <w:tcW w:w="286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25%</w:t>
            </w:r>
          </w:p>
        </w:tc>
      </w:tr>
    </w:tbl>
    <w:p w:rsidR="00E23A97" w:rsidRPr="00831C3C" w:rsidRDefault="00C65FD5">
      <w:pPr>
        <w:pStyle w:val="3"/>
        <w:spacing w:line="280" w:lineRule="exact"/>
        <w:jc w:val="left"/>
        <w:rPr>
          <w:rFonts w:ascii="宋体" w:hAnsi="宋体" w:cs="宋体"/>
          <w:b/>
          <w:bCs/>
        </w:rPr>
      </w:pPr>
      <w:bookmarkStart w:id="244" w:name="_Toc989125"/>
      <w:r w:rsidRPr="00831C3C">
        <w:rPr>
          <w:rFonts w:ascii="宋体" w:hAnsi="宋体" w:cs="宋体"/>
          <w:b/>
          <w:bCs/>
        </w:rPr>
        <w:t>2、税收优惠</w:t>
      </w:r>
      <w:bookmarkEnd w:id="244"/>
    </w:p>
    <w:p w:rsidR="00C65FD5" w:rsidRPr="00831C3C" w:rsidRDefault="00C65FD5" w:rsidP="00CC7D91">
      <w:pPr>
        <w:widowControl/>
        <w:numPr>
          <w:ilvl w:val="0"/>
          <w:numId w:val="131"/>
        </w:numPr>
        <w:spacing w:before="100" w:beforeAutospacing="1" w:after="100" w:afterAutospacing="1"/>
        <w:divId w:val="2137478452"/>
        <w:rPr>
          <w:rFonts w:asciiTheme="minorEastAsia" w:hAnsiTheme="minorEastAsia"/>
          <w:sz w:val="18"/>
          <w:szCs w:val="18"/>
        </w:rPr>
      </w:pPr>
      <w:r w:rsidRPr="00831C3C">
        <w:rPr>
          <w:rFonts w:asciiTheme="minorEastAsia" w:hAnsiTheme="minorEastAsia" w:hint="eastAsia"/>
          <w:sz w:val="18"/>
          <w:szCs w:val="18"/>
        </w:rPr>
        <w:t>本公司取得了安徽省科学技术厅、安徽省财政厅、国家税务总局安徽省税务局于2024年11月28日联合颁发的证书编号GR202434005332的《高新技术企业证书》，有效期为3年。本公司自2024年度起享受高新技术企业税收优惠税率，即2024年享受15%的企业所得税优惠税率。</w:t>
      </w:r>
    </w:p>
    <w:p w:rsidR="00C65FD5" w:rsidRPr="00831C3C" w:rsidRDefault="00C65FD5" w:rsidP="00CC7D91">
      <w:pPr>
        <w:widowControl/>
        <w:numPr>
          <w:ilvl w:val="0"/>
          <w:numId w:val="131"/>
        </w:numPr>
        <w:spacing w:before="100" w:beforeAutospacing="1" w:after="100" w:afterAutospacing="1"/>
        <w:divId w:val="2137478452"/>
        <w:rPr>
          <w:rFonts w:asciiTheme="minorEastAsia" w:hAnsiTheme="minorEastAsia"/>
          <w:sz w:val="18"/>
          <w:szCs w:val="18"/>
        </w:rPr>
      </w:pPr>
      <w:r w:rsidRPr="00831C3C">
        <w:rPr>
          <w:rFonts w:asciiTheme="minorEastAsia" w:hAnsiTheme="minorEastAsia" w:hint="eastAsia"/>
          <w:sz w:val="18"/>
          <w:szCs w:val="18"/>
        </w:rPr>
        <w:t>根据2024年12月6日浙江省科学技术厅、浙江省财政厅、国家税务总局浙江省税务局联合颁发的证书编号GR202433003757的《高新技术企业证书》，有效期为3年。浙江色纺自2024年度起享受高新技术企业税收优惠税率，即2024年享受15%的企业所得税优惠税率。</w:t>
      </w:r>
    </w:p>
    <w:p w:rsidR="00C65FD5" w:rsidRPr="00831C3C" w:rsidRDefault="00C65FD5" w:rsidP="00CC7D91">
      <w:pPr>
        <w:widowControl/>
        <w:numPr>
          <w:ilvl w:val="0"/>
          <w:numId w:val="131"/>
        </w:numPr>
        <w:spacing w:before="100" w:beforeAutospacing="1" w:after="100" w:afterAutospacing="1"/>
        <w:divId w:val="2137478452"/>
        <w:rPr>
          <w:rFonts w:asciiTheme="minorEastAsia" w:hAnsiTheme="minorEastAsia"/>
          <w:sz w:val="18"/>
          <w:szCs w:val="18"/>
        </w:rPr>
      </w:pPr>
      <w:r w:rsidRPr="00831C3C">
        <w:rPr>
          <w:rFonts w:asciiTheme="minorEastAsia" w:hAnsiTheme="minorEastAsia" w:hint="eastAsia"/>
          <w:sz w:val="18"/>
          <w:szCs w:val="18"/>
        </w:rPr>
        <w:t>根据财政部公告2020年第23号文件《财政部税务总局国家发展改革委关于延续西部大开发企业所得税政策的公告》的规定，对符合[西部地区鼓励类产业目录]第二十大类中的第六项的新疆维吾尔自治区境内的纺织企业，自2020年至2030年，对设在西部地区的鼓励类产业企业减按15%的税率征收企业所得税。据此，本公司之子公司阿克苏华孚、</w:t>
      </w:r>
      <w:proofErr w:type="gramStart"/>
      <w:r w:rsidRPr="00831C3C">
        <w:rPr>
          <w:rFonts w:asciiTheme="minorEastAsia" w:hAnsiTheme="minorEastAsia" w:hint="eastAsia"/>
          <w:sz w:val="18"/>
          <w:szCs w:val="18"/>
        </w:rPr>
        <w:t>奎屯锦孚纺织</w:t>
      </w:r>
      <w:proofErr w:type="gramEnd"/>
      <w:r w:rsidRPr="00831C3C">
        <w:rPr>
          <w:rFonts w:asciiTheme="minorEastAsia" w:hAnsiTheme="minorEastAsia" w:hint="eastAsia"/>
          <w:sz w:val="18"/>
          <w:szCs w:val="18"/>
        </w:rPr>
        <w:t>、</w:t>
      </w:r>
      <w:proofErr w:type="gramStart"/>
      <w:r w:rsidRPr="00831C3C">
        <w:rPr>
          <w:rFonts w:asciiTheme="minorEastAsia" w:hAnsiTheme="minorEastAsia" w:hint="eastAsia"/>
          <w:sz w:val="18"/>
          <w:szCs w:val="18"/>
        </w:rPr>
        <w:t>新疆六孚纺织</w:t>
      </w:r>
      <w:proofErr w:type="gramEnd"/>
      <w:r w:rsidRPr="00831C3C">
        <w:rPr>
          <w:rFonts w:asciiTheme="minorEastAsia" w:hAnsiTheme="minorEastAsia" w:hint="eastAsia"/>
          <w:sz w:val="18"/>
          <w:szCs w:val="18"/>
        </w:rPr>
        <w:t>享受15%的企业所得税率。</w:t>
      </w:r>
    </w:p>
    <w:p w:rsidR="00C65FD5" w:rsidRPr="00831C3C" w:rsidRDefault="00C65FD5" w:rsidP="00CC7D91">
      <w:pPr>
        <w:widowControl/>
        <w:numPr>
          <w:ilvl w:val="0"/>
          <w:numId w:val="131"/>
        </w:numPr>
        <w:spacing w:before="100" w:beforeAutospacing="1" w:after="100" w:afterAutospacing="1"/>
        <w:divId w:val="2137478452"/>
        <w:rPr>
          <w:rFonts w:asciiTheme="minorEastAsia" w:hAnsiTheme="minorEastAsia"/>
          <w:sz w:val="18"/>
          <w:szCs w:val="18"/>
        </w:rPr>
      </w:pPr>
      <w:r w:rsidRPr="00831C3C">
        <w:rPr>
          <w:rFonts w:asciiTheme="minorEastAsia" w:hAnsiTheme="minorEastAsia" w:hint="eastAsia"/>
          <w:sz w:val="18"/>
          <w:szCs w:val="18"/>
        </w:rPr>
        <w:t>根据《中华人民共和国企业所得税法》第二十七条第（一）项及《中华人民共和国企业所得税法实施条例》第二十七条第八十六条第一款之规定，通过轧花、剥绒等脱绒工序简单加工处理，制成的产品（皮棉、短绒、棉籽）的收入免征企业所得税。据此，本公司之子公司伽师棉业、岳普湖棉业、沙雅银花、库车纵横、华孚恒丰、石河子</w:t>
      </w:r>
      <w:proofErr w:type="gramStart"/>
      <w:r w:rsidRPr="00831C3C">
        <w:rPr>
          <w:rFonts w:asciiTheme="minorEastAsia" w:hAnsiTheme="minorEastAsia" w:hint="eastAsia"/>
          <w:sz w:val="18"/>
          <w:szCs w:val="18"/>
        </w:rPr>
        <w:t>宏盛棉业</w:t>
      </w:r>
      <w:proofErr w:type="gramEnd"/>
      <w:r w:rsidRPr="00831C3C">
        <w:rPr>
          <w:rFonts w:asciiTheme="minorEastAsia" w:hAnsiTheme="minorEastAsia" w:hint="eastAsia"/>
          <w:sz w:val="18"/>
          <w:szCs w:val="18"/>
        </w:rPr>
        <w:t>、</w:t>
      </w:r>
      <w:proofErr w:type="gramStart"/>
      <w:r w:rsidRPr="00831C3C">
        <w:rPr>
          <w:rFonts w:asciiTheme="minorEastAsia" w:hAnsiTheme="minorEastAsia" w:hint="eastAsia"/>
          <w:sz w:val="18"/>
          <w:szCs w:val="18"/>
        </w:rPr>
        <w:t>胡杨河宏盛棉</w:t>
      </w:r>
      <w:proofErr w:type="gramEnd"/>
      <w:r w:rsidRPr="00831C3C">
        <w:rPr>
          <w:rFonts w:asciiTheme="minorEastAsia" w:hAnsiTheme="minorEastAsia" w:hint="eastAsia"/>
          <w:sz w:val="18"/>
          <w:szCs w:val="18"/>
        </w:rPr>
        <w:t>业、石河子</w:t>
      </w:r>
      <w:proofErr w:type="gramStart"/>
      <w:r w:rsidRPr="00831C3C">
        <w:rPr>
          <w:rFonts w:asciiTheme="minorEastAsia" w:hAnsiTheme="minorEastAsia" w:hint="eastAsia"/>
          <w:sz w:val="18"/>
          <w:szCs w:val="18"/>
        </w:rPr>
        <w:t>宏丰棉业</w:t>
      </w:r>
      <w:proofErr w:type="gramEnd"/>
      <w:r w:rsidRPr="00831C3C">
        <w:rPr>
          <w:rFonts w:asciiTheme="minorEastAsia" w:hAnsiTheme="minorEastAsia" w:hint="eastAsia"/>
          <w:sz w:val="18"/>
          <w:szCs w:val="18"/>
        </w:rPr>
        <w:t>、</w:t>
      </w:r>
      <w:proofErr w:type="gramStart"/>
      <w:r w:rsidRPr="00831C3C">
        <w:rPr>
          <w:rFonts w:asciiTheme="minorEastAsia" w:hAnsiTheme="minorEastAsia" w:hint="eastAsia"/>
          <w:sz w:val="18"/>
          <w:szCs w:val="18"/>
        </w:rPr>
        <w:t>泽孚棉花</w:t>
      </w:r>
      <w:proofErr w:type="gramEnd"/>
      <w:r w:rsidRPr="00831C3C">
        <w:rPr>
          <w:rFonts w:asciiTheme="minorEastAsia" w:hAnsiTheme="minorEastAsia" w:hint="eastAsia"/>
          <w:sz w:val="18"/>
          <w:szCs w:val="18"/>
        </w:rPr>
        <w:t>、盛孚棉业免征企业所得税。</w:t>
      </w:r>
    </w:p>
    <w:p w:rsidR="00C65FD5" w:rsidRPr="00831C3C" w:rsidRDefault="00C65FD5" w:rsidP="00CC7D91">
      <w:pPr>
        <w:widowControl/>
        <w:numPr>
          <w:ilvl w:val="0"/>
          <w:numId w:val="131"/>
        </w:numPr>
        <w:spacing w:before="100" w:beforeAutospacing="1" w:after="100" w:afterAutospacing="1"/>
        <w:divId w:val="2137478452"/>
        <w:rPr>
          <w:rFonts w:asciiTheme="minorEastAsia" w:hAnsiTheme="minorEastAsia"/>
          <w:sz w:val="18"/>
          <w:szCs w:val="18"/>
        </w:rPr>
      </w:pPr>
      <w:r w:rsidRPr="00831C3C">
        <w:rPr>
          <w:rFonts w:asciiTheme="minorEastAsia" w:hAnsiTheme="minorEastAsia" w:hint="eastAsia"/>
          <w:sz w:val="18"/>
          <w:szCs w:val="18"/>
        </w:rPr>
        <w:t>根据2024年12月4日新疆维吾尔自治区科学技术厅、新疆维吾尔自治区财政厅、国家税务总局新疆维吾尔自治区税务局联合颁发的证书编号GR202465000986的《高新技术企业证书》，有效期为3年。阿克苏</w:t>
      </w:r>
      <w:proofErr w:type="gramStart"/>
      <w:r w:rsidRPr="00831C3C">
        <w:rPr>
          <w:rFonts w:asciiTheme="minorEastAsia" w:hAnsiTheme="minorEastAsia" w:hint="eastAsia"/>
          <w:sz w:val="18"/>
          <w:szCs w:val="18"/>
        </w:rPr>
        <w:t>华孚自2024年度起</w:t>
      </w:r>
      <w:proofErr w:type="gramEnd"/>
      <w:r w:rsidRPr="00831C3C">
        <w:rPr>
          <w:rFonts w:asciiTheme="minorEastAsia" w:hAnsiTheme="minorEastAsia" w:hint="eastAsia"/>
          <w:sz w:val="18"/>
          <w:szCs w:val="18"/>
        </w:rPr>
        <w:t>享受高新技术企业税收优惠税率，即2024年享受15%的企业所得税优惠税率。</w:t>
      </w:r>
    </w:p>
    <w:p w:rsidR="00C65FD5" w:rsidRPr="00831C3C" w:rsidRDefault="00C65FD5" w:rsidP="00CC7D91">
      <w:pPr>
        <w:widowControl/>
        <w:numPr>
          <w:ilvl w:val="0"/>
          <w:numId w:val="131"/>
        </w:numPr>
        <w:spacing w:before="100" w:beforeAutospacing="1" w:after="100" w:afterAutospacing="1"/>
        <w:divId w:val="2137478452"/>
        <w:rPr>
          <w:rFonts w:asciiTheme="minorEastAsia" w:hAnsiTheme="minorEastAsia"/>
          <w:sz w:val="18"/>
          <w:szCs w:val="18"/>
        </w:rPr>
      </w:pPr>
      <w:r w:rsidRPr="00831C3C">
        <w:rPr>
          <w:rFonts w:asciiTheme="minorEastAsia" w:hAnsiTheme="minorEastAsia" w:hint="eastAsia"/>
          <w:sz w:val="18"/>
          <w:szCs w:val="18"/>
        </w:rPr>
        <w:t>新加坡注册企业首1万新币利润，减免税务75%，税率为4.25%；企业后续19万新币利润，享有减免税务50%；企业超出20万新币的利润部分，按照17%的税率正常征收。</w:t>
      </w:r>
    </w:p>
    <w:p w:rsidR="00C65FD5" w:rsidRPr="00831C3C" w:rsidRDefault="00C65FD5" w:rsidP="00CC7D91">
      <w:pPr>
        <w:widowControl/>
        <w:numPr>
          <w:ilvl w:val="0"/>
          <w:numId w:val="131"/>
        </w:numPr>
        <w:spacing w:before="100" w:beforeAutospacing="1" w:after="100" w:afterAutospacing="1"/>
        <w:divId w:val="2137478452"/>
        <w:rPr>
          <w:rFonts w:asciiTheme="minorEastAsia" w:hAnsiTheme="minorEastAsia"/>
          <w:sz w:val="18"/>
          <w:szCs w:val="18"/>
        </w:rPr>
      </w:pPr>
      <w:r w:rsidRPr="00831C3C">
        <w:rPr>
          <w:rFonts w:asciiTheme="minorEastAsia" w:hAnsiTheme="minorEastAsia" w:hint="eastAsia"/>
          <w:sz w:val="18"/>
          <w:szCs w:val="18"/>
        </w:rPr>
        <w:lastRenderedPageBreak/>
        <w:t>根据2022年12月24日浙江省科学技术厅、浙江省财政厅、国家税务总局浙江省税务局联合颁发的证书编号GR202233000592的《高新技术企业证书》，有效期为3年。卡拉美拉自2022年度起享受高新技术企业税收优惠税率，即2024年享受15%的企业所得税优惠税率。</w:t>
      </w:r>
    </w:p>
    <w:p w:rsidR="00C65FD5" w:rsidRPr="00831C3C" w:rsidRDefault="00C65FD5" w:rsidP="00CC7D91">
      <w:pPr>
        <w:widowControl/>
        <w:numPr>
          <w:ilvl w:val="0"/>
          <w:numId w:val="131"/>
        </w:numPr>
        <w:spacing w:before="100" w:beforeAutospacing="1" w:after="100" w:afterAutospacing="1"/>
        <w:divId w:val="2137478452"/>
        <w:rPr>
          <w:rFonts w:asciiTheme="minorEastAsia" w:hAnsiTheme="minorEastAsia"/>
          <w:sz w:val="18"/>
          <w:szCs w:val="18"/>
        </w:rPr>
      </w:pPr>
      <w:r w:rsidRPr="00831C3C">
        <w:rPr>
          <w:rFonts w:asciiTheme="minorEastAsia" w:hAnsiTheme="minorEastAsia" w:hint="eastAsia"/>
          <w:sz w:val="18"/>
          <w:szCs w:val="18"/>
        </w:rPr>
        <w:t>根据《财政部税务总局关于进一步实施小微企业所得税优惠政策的公告》（财政部税务总局公告2022年第13号）、《财政部税务总局关于小微企业和个体工商户所得税优惠政策的公告》（财政部税务总局公告2023年第6号）、《财政部税务总局关于进一步支持小微企业和个体工商户发展有关税费政策的公告》（财政部税务总局公告2023年第12号）的规定，自2022年1月1日至2024年12月31日，对小型微利企业年应纳税所得额超过100万元但不超过300万元的部分，减按25%计入应纳税所得额，按20%的税率缴纳企业所得税。自2023年1月1日至2024年12月31日，对小型微利企业年应纳税所得额不超过100万元的部分，减按25%计入应纳税所得额，按20%的税率缴纳企业所得税。对小型微利企业减按25%计算应纳税所得额，按20%的税率缴纳企业所得税政策，延续执行至2027年12月31日。阿克苏新能源、浙江阿大互联、上海华孚色纺、</w:t>
      </w:r>
      <w:proofErr w:type="gramStart"/>
      <w:r w:rsidRPr="00831C3C">
        <w:rPr>
          <w:rFonts w:asciiTheme="minorEastAsia" w:hAnsiTheme="minorEastAsia" w:hint="eastAsia"/>
          <w:sz w:val="18"/>
          <w:szCs w:val="18"/>
        </w:rPr>
        <w:t>菁英电</w:t>
      </w:r>
      <w:proofErr w:type="gramEnd"/>
      <w:r w:rsidRPr="00831C3C">
        <w:rPr>
          <w:rFonts w:asciiTheme="minorEastAsia" w:hAnsiTheme="minorEastAsia" w:hint="eastAsia"/>
          <w:sz w:val="18"/>
          <w:szCs w:val="18"/>
        </w:rPr>
        <w:t>商、</w:t>
      </w:r>
      <w:proofErr w:type="gramStart"/>
      <w:r w:rsidRPr="00831C3C">
        <w:rPr>
          <w:rFonts w:asciiTheme="minorEastAsia" w:hAnsiTheme="minorEastAsia" w:hint="eastAsia"/>
          <w:sz w:val="18"/>
          <w:szCs w:val="18"/>
        </w:rPr>
        <w:t>菁英创业</w:t>
      </w:r>
      <w:proofErr w:type="gramEnd"/>
      <w:r w:rsidRPr="00831C3C">
        <w:rPr>
          <w:rFonts w:asciiTheme="minorEastAsia" w:hAnsiTheme="minorEastAsia" w:hint="eastAsia"/>
          <w:sz w:val="18"/>
          <w:szCs w:val="18"/>
        </w:rPr>
        <w:t>等子公司按照政策适用该税收优惠政策。</w:t>
      </w:r>
    </w:p>
    <w:p w:rsidR="00E23A97" w:rsidRPr="00831C3C" w:rsidRDefault="00C65FD5">
      <w:pPr>
        <w:pStyle w:val="3"/>
        <w:spacing w:line="280" w:lineRule="exact"/>
        <w:jc w:val="left"/>
        <w:rPr>
          <w:rFonts w:ascii="宋体" w:hAnsi="宋体" w:cs="宋体"/>
          <w:b/>
          <w:bCs/>
        </w:rPr>
      </w:pPr>
      <w:bookmarkStart w:id="245" w:name="_Toc989126"/>
      <w:r w:rsidRPr="00831C3C">
        <w:rPr>
          <w:rFonts w:ascii="宋体" w:hAnsi="宋体" w:cs="宋体"/>
          <w:b/>
          <w:bCs/>
        </w:rPr>
        <w:t>3、其他</w:t>
      </w:r>
      <w:bookmarkEnd w:id="245"/>
    </w:p>
    <w:p w:rsidR="00C65FD5" w:rsidRPr="00831C3C" w:rsidRDefault="00C65FD5" w:rsidP="00903F43">
      <w:pPr>
        <w:pStyle w:val="a3"/>
        <w:spacing w:before="0" w:beforeAutospacing="0" w:after="0" w:afterAutospacing="0"/>
        <w:ind w:firstLine="420"/>
        <w:jc w:val="both"/>
        <w:divId w:val="998382208"/>
        <w:rPr>
          <w:rFonts w:asciiTheme="minorEastAsia" w:eastAsiaTheme="minorEastAsia" w:hAnsiTheme="minorEastAsia"/>
          <w:sz w:val="18"/>
          <w:szCs w:val="18"/>
        </w:rPr>
      </w:pPr>
      <w:r w:rsidRPr="00831C3C">
        <w:rPr>
          <w:rFonts w:asciiTheme="minorEastAsia" w:eastAsiaTheme="minorEastAsia" w:hAnsiTheme="minorEastAsia"/>
          <w:sz w:val="18"/>
          <w:szCs w:val="18"/>
        </w:rPr>
        <w:t>(1)</w:t>
      </w:r>
      <w:r w:rsidRPr="00831C3C">
        <w:rPr>
          <w:rFonts w:asciiTheme="minorEastAsia" w:eastAsiaTheme="minorEastAsia" w:hAnsiTheme="minorEastAsia" w:hint="eastAsia"/>
          <w:sz w:val="18"/>
          <w:szCs w:val="18"/>
        </w:rPr>
        <w:t>香港华孚有限自</w:t>
      </w:r>
      <w:r w:rsidRPr="00831C3C">
        <w:rPr>
          <w:rFonts w:asciiTheme="minorEastAsia" w:eastAsiaTheme="minorEastAsia" w:hAnsiTheme="minorEastAsia"/>
          <w:sz w:val="18"/>
          <w:szCs w:val="18"/>
        </w:rPr>
        <w:t>2012</w:t>
      </w:r>
      <w:r w:rsidRPr="00831C3C">
        <w:rPr>
          <w:rFonts w:asciiTheme="minorEastAsia" w:eastAsiaTheme="minorEastAsia" w:hAnsiTheme="minorEastAsia" w:hint="eastAsia"/>
          <w:sz w:val="18"/>
          <w:szCs w:val="18"/>
        </w:rPr>
        <w:t>年</w:t>
      </w:r>
      <w:r w:rsidRPr="00831C3C">
        <w:rPr>
          <w:rFonts w:asciiTheme="minorEastAsia" w:eastAsiaTheme="minorEastAsia" w:hAnsiTheme="minorEastAsia"/>
          <w:sz w:val="18"/>
          <w:szCs w:val="18"/>
        </w:rPr>
        <w:t>1</w:t>
      </w:r>
      <w:r w:rsidRPr="00831C3C">
        <w:rPr>
          <w:rFonts w:asciiTheme="minorEastAsia" w:eastAsiaTheme="minorEastAsia" w:hAnsiTheme="minorEastAsia" w:hint="eastAsia"/>
          <w:sz w:val="18"/>
          <w:szCs w:val="18"/>
        </w:rPr>
        <w:t>月</w:t>
      </w:r>
      <w:r w:rsidRPr="00831C3C">
        <w:rPr>
          <w:rFonts w:asciiTheme="minorEastAsia" w:eastAsiaTheme="minorEastAsia" w:hAnsiTheme="minorEastAsia"/>
          <w:sz w:val="18"/>
          <w:szCs w:val="18"/>
        </w:rPr>
        <w:t>1</w:t>
      </w:r>
      <w:r w:rsidRPr="00831C3C">
        <w:rPr>
          <w:rFonts w:asciiTheme="minorEastAsia" w:eastAsiaTheme="minorEastAsia" w:hAnsiTheme="minorEastAsia" w:hint="eastAsia"/>
          <w:sz w:val="18"/>
          <w:szCs w:val="18"/>
        </w:rPr>
        <w:t>日起被国家税务总局认定为居民企业，相关股利分红的税收制度享受居民企业待遇。</w:t>
      </w:r>
    </w:p>
    <w:p w:rsidR="00E23A97" w:rsidRPr="00831C3C" w:rsidRDefault="00C65FD5">
      <w:pPr>
        <w:pStyle w:val="2"/>
        <w:spacing w:before="300" w:after="300" w:line="320" w:lineRule="exact"/>
        <w:rPr>
          <w:rFonts w:ascii="宋体" w:eastAsia="宋体" w:hAnsi="宋体" w:cs="宋体"/>
          <w:b/>
          <w:bCs/>
          <w:sz w:val="24"/>
          <w:szCs w:val="24"/>
        </w:rPr>
      </w:pPr>
      <w:bookmarkStart w:id="246" w:name="_Toc989127"/>
      <w:r w:rsidRPr="00831C3C">
        <w:rPr>
          <w:rFonts w:ascii="宋体" w:eastAsia="宋体" w:hAnsi="宋体" w:cs="宋体"/>
          <w:b/>
          <w:bCs/>
          <w:sz w:val="24"/>
          <w:szCs w:val="24"/>
        </w:rPr>
        <w:t>七、合并财务报表项目注释</w:t>
      </w:r>
      <w:bookmarkEnd w:id="246"/>
    </w:p>
    <w:p w:rsidR="00E23A97" w:rsidRPr="00831C3C" w:rsidRDefault="00C65FD5">
      <w:pPr>
        <w:pStyle w:val="3"/>
        <w:spacing w:line="280" w:lineRule="exact"/>
        <w:jc w:val="left"/>
        <w:rPr>
          <w:rFonts w:ascii="宋体" w:hAnsi="宋体" w:cs="宋体"/>
          <w:b/>
          <w:bCs/>
        </w:rPr>
      </w:pPr>
      <w:bookmarkStart w:id="247" w:name="_Toc989128"/>
      <w:r w:rsidRPr="00831C3C">
        <w:rPr>
          <w:rFonts w:ascii="宋体" w:hAnsi="宋体" w:cs="宋体"/>
          <w:b/>
          <w:bCs/>
        </w:rPr>
        <w:t>1、货币资金</w:t>
      </w:r>
      <w:bookmarkEnd w:id="247"/>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库存现金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69,644.90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70,994.31</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银行存款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1,840,496,250.51</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1,837,036,749.85</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其他货币资金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654,984,950.17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798,572,889.44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存放财务公司款项</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942,416.67</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2,495,550,845.58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2,636,623,050.27</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其中：存放在境外的款项总额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221,425,649.33</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522,615,932.32</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p>
    <w:p w:rsidR="00C65FD5" w:rsidRPr="00831C3C" w:rsidRDefault="00C65FD5">
      <w:pPr>
        <w:pStyle w:val="a3"/>
        <w:spacing w:before="0" w:beforeAutospacing="0" w:after="0" w:afterAutospacing="0" w:line="360" w:lineRule="auto"/>
        <w:ind w:firstLine="420"/>
        <w:jc w:val="both"/>
        <w:divId w:val="1643652521"/>
        <w:rPr>
          <w:sz w:val="21"/>
          <w:szCs w:val="21"/>
        </w:rPr>
      </w:pPr>
      <w:r w:rsidRPr="00831C3C">
        <w:rPr>
          <w:rFonts w:hint="eastAsia"/>
          <w:sz w:val="21"/>
          <w:szCs w:val="21"/>
        </w:rPr>
        <w:t>其中受限制的货币资金明细如下：</w:t>
      </w:r>
    </w:p>
    <w:tbl>
      <w:tblPr>
        <w:tblW w:w="9747" w:type="dxa"/>
        <w:tblCellMar>
          <w:left w:w="0" w:type="dxa"/>
          <w:right w:w="0" w:type="dxa"/>
        </w:tblCellMar>
        <w:tblLook w:val="04A0" w:firstRow="1" w:lastRow="0" w:firstColumn="1" w:lastColumn="0" w:noHBand="0" w:noVBand="1"/>
        <w:tblCaption w:val="D:\大华\华孚\2024年度\TB|0-合并TB-华孚时尚股份有限公司-2024年度.xlsx|W附注模板|_jds29|0|desc|||0|1"/>
      </w:tblPr>
      <w:tblGrid>
        <w:gridCol w:w="3249"/>
        <w:gridCol w:w="3249"/>
        <w:gridCol w:w="3249"/>
      </w:tblGrid>
      <w:tr w:rsidR="00831C3C" w:rsidRPr="00831C3C" w:rsidTr="00903F43">
        <w:trPr>
          <w:divId w:val="1643652521"/>
          <w:trHeight w:val="340"/>
          <w:tblHeader/>
        </w:trPr>
        <w:tc>
          <w:tcPr>
            <w:tcW w:w="324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heme="minorEastAsia" w:eastAsiaTheme="minorEastAsia" w:hAnsiTheme="minorEastAsia" w:cs="Times New Roman"/>
                <w:sz w:val="21"/>
                <w:szCs w:val="21"/>
              </w:rPr>
            </w:pPr>
            <w:r w:rsidRPr="00831C3C">
              <w:rPr>
                <w:rFonts w:asciiTheme="minorEastAsia" w:eastAsiaTheme="minorEastAsia" w:hAnsiTheme="minorEastAsia" w:cs="Times New Roman" w:hint="eastAsia"/>
                <w:sz w:val="18"/>
                <w:szCs w:val="18"/>
              </w:rPr>
              <w:t>项目</w:t>
            </w:r>
          </w:p>
        </w:tc>
        <w:tc>
          <w:tcPr>
            <w:tcW w:w="32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heme="minorEastAsia" w:eastAsiaTheme="minorEastAsia" w:hAnsiTheme="minorEastAsia" w:cs="Times New Roman"/>
                <w:sz w:val="21"/>
                <w:szCs w:val="21"/>
              </w:rPr>
            </w:pPr>
            <w:r w:rsidRPr="00831C3C">
              <w:rPr>
                <w:rFonts w:asciiTheme="minorEastAsia" w:eastAsiaTheme="minorEastAsia" w:hAnsiTheme="minorEastAsia" w:cs="Times New Roman" w:hint="eastAsia"/>
                <w:sz w:val="18"/>
                <w:szCs w:val="18"/>
              </w:rPr>
              <w:t>期末余额</w:t>
            </w:r>
          </w:p>
        </w:tc>
        <w:tc>
          <w:tcPr>
            <w:tcW w:w="324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heme="minorEastAsia" w:eastAsiaTheme="minorEastAsia" w:hAnsiTheme="minorEastAsia" w:cs="Times New Roman"/>
                <w:sz w:val="21"/>
                <w:szCs w:val="21"/>
              </w:rPr>
            </w:pPr>
            <w:r w:rsidRPr="00831C3C">
              <w:rPr>
                <w:rFonts w:asciiTheme="minorEastAsia" w:eastAsiaTheme="minorEastAsia" w:hAnsiTheme="minorEastAsia" w:cs="Times New Roman" w:hint="eastAsia"/>
                <w:sz w:val="18"/>
                <w:szCs w:val="18"/>
              </w:rPr>
              <w:t>期初余额</w:t>
            </w:r>
          </w:p>
        </w:tc>
      </w:tr>
      <w:tr w:rsidR="00831C3C" w:rsidRPr="00831C3C" w:rsidTr="00903F43">
        <w:trPr>
          <w:divId w:val="1643652521"/>
          <w:trHeight w:val="340"/>
        </w:trPr>
        <w:tc>
          <w:tcPr>
            <w:tcW w:w="32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heme="minorEastAsia" w:eastAsiaTheme="minorEastAsia" w:hAnsiTheme="minorEastAsia" w:cs="Times New Roman"/>
                <w:sz w:val="21"/>
                <w:szCs w:val="21"/>
              </w:rPr>
            </w:pPr>
            <w:r w:rsidRPr="00831C3C">
              <w:rPr>
                <w:rFonts w:asciiTheme="minorEastAsia" w:eastAsiaTheme="minorEastAsia" w:hAnsiTheme="minorEastAsia" w:cs="Times New Roman" w:hint="eastAsia"/>
                <w:sz w:val="18"/>
                <w:szCs w:val="18"/>
              </w:rPr>
              <w:t>银行承兑汇票保证金</w:t>
            </w:r>
          </w:p>
        </w:tc>
        <w:tc>
          <w:tcPr>
            <w:tcW w:w="32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70,563,188.91</w:t>
            </w:r>
          </w:p>
        </w:tc>
        <w:tc>
          <w:tcPr>
            <w:tcW w:w="32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234,108,377.35</w:t>
            </w:r>
          </w:p>
        </w:tc>
      </w:tr>
      <w:tr w:rsidR="00831C3C" w:rsidRPr="00831C3C" w:rsidTr="00903F43">
        <w:trPr>
          <w:divId w:val="1643652521"/>
          <w:trHeight w:val="340"/>
        </w:trPr>
        <w:tc>
          <w:tcPr>
            <w:tcW w:w="32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heme="minorEastAsia" w:eastAsiaTheme="minorEastAsia" w:hAnsiTheme="minorEastAsia" w:cs="Times New Roman"/>
                <w:sz w:val="21"/>
                <w:szCs w:val="21"/>
              </w:rPr>
            </w:pPr>
            <w:r w:rsidRPr="00831C3C">
              <w:rPr>
                <w:rFonts w:asciiTheme="minorEastAsia" w:eastAsiaTheme="minorEastAsia" w:hAnsiTheme="minorEastAsia" w:cs="Times New Roman" w:hint="eastAsia"/>
                <w:sz w:val="18"/>
                <w:szCs w:val="18"/>
              </w:rPr>
              <w:t>信用证保证金</w:t>
            </w:r>
          </w:p>
        </w:tc>
        <w:tc>
          <w:tcPr>
            <w:tcW w:w="32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123,296,500.00</w:t>
            </w:r>
          </w:p>
        </w:tc>
        <w:tc>
          <w:tcPr>
            <w:tcW w:w="32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131,300,000.00</w:t>
            </w:r>
          </w:p>
        </w:tc>
      </w:tr>
      <w:tr w:rsidR="00831C3C" w:rsidRPr="00831C3C" w:rsidTr="00903F43">
        <w:trPr>
          <w:divId w:val="1643652521"/>
          <w:trHeight w:val="340"/>
        </w:trPr>
        <w:tc>
          <w:tcPr>
            <w:tcW w:w="32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heme="minorEastAsia" w:eastAsiaTheme="minorEastAsia" w:hAnsiTheme="minorEastAsia" w:cs="Times New Roman"/>
                <w:sz w:val="21"/>
                <w:szCs w:val="21"/>
              </w:rPr>
            </w:pPr>
            <w:r w:rsidRPr="00831C3C">
              <w:rPr>
                <w:rFonts w:asciiTheme="minorEastAsia" w:eastAsiaTheme="minorEastAsia" w:hAnsiTheme="minorEastAsia" w:cs="Times New Roman" w:hint="eastAsia"/>
                <w:sz w:val="18"/>
                <w:szCs w:val="18"/>
              </w:rPr>
              <w:t>质押保证金</w:t>
            </w:r>
          </w:p>
        </w:tc>
        <w:tc>
          <w:tcPr>
            <w:tcW w:w="32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141,921,880.32</w:t>
            </w:r>
          </w:p>
        </w:tc>
        <w:tc>
          <w:tcPr>
            <w:tcW w:w="32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83,667,307.73</w:t>
            </w:r>
          </w:p>
        </w:tc>
      </w:tr>
      <w:tr w:rsidR="00831C3C" w:rsidRPr="00831C3C" w:rsidTr="00903F43">
        <w:trPr>
          <w:divId w:val="1643652521"/>
          <w:trHeight w:val="340"/>
        </w:trPr>
        <w:tc>
          <w:tcPr>
            <w:tcW w:w="32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heme="minorEastAsia" w:eastAsiaTheme="minorEastAsia" w:hAnsiTheme="minorEastAsia" w:cs="Times New Roman"/>
                <w:sz w:val="21"/>
                <w:szCs w:val="21"/>
              </w:rPr>
            </w:pPr>
            <w:r w:rsidRPr="00831C3C">
              <w:rPr>
                <w:rFonts w:asciiTheme="minorEastAsia" w:eastAsiaTheme="minorEastAsia" w:hAnsiTheme="minorEastAsia" w:cs="Times New Roman" w:hint="eastAsia"/>
                <w:sz w:val="18"/>
                <w:szCs w:val="18"/>
              </w:rPr>
              <w:t>其他使用受限</w:t>
            </w:r>
          </w:p>
        </w:tc>
        <w:tc>
          <w:tcPr>
            <w:tcW w:w="32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81,009.83</w:t>
            </w:r>
          </w:p>
        </w:tc>
        <w:tc>
          <w:tcPr>
            <w:tcW w:w="32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244,070.59</w:t>
            </w:r>
          </w:p>
        </w:tc>
      </w:tr>
      <w:tr w:rsidR="00831C3C" w:rsidRPr="00831C3C" w:rsidTr="00903F43">
        <w:trPr>
          <w:divId w:val="1643652521"/>
          <w:trHeight w:val="340"/>
        </w:trPr>
        <w:tc>
          <w:tcPr>
            <w:tcW w:w="32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heme="minorEastAsia" w:eastAsiaTheme="minorEastAsia" w:hAnsiTheme="minorEastAsia" w:cs="Times New Roman"/>
                <w:sz w:val="21"/>
                <w:szCs w:val="21"/>
              </w:rPr>
            </w:pPr>
            <w:r w:rsidRPr="00831C3C">
              <w:rPr>
                <w:rFonts w:asciiTheme="minorEastAsia" w:eastAsiaTheme="minorEastAsia" w:hAnsiTheme="minorEastAsia" w:cs="Times New Roman" w:hint="eastAsia"/>
                <w:sz w:val="18"/>
                <w:szCs w:val="18"/>
              </w:rPr>
              <w:t>公积金中心托管维修基金账户</w:t>
            </w:r>
          </w:p>
        </w:tc>
        <w:tc>
          <w:tcPr>
            <w:tcW w:w="32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2,480,320.43</w:t>
            </w:r>
          </w:p>
        </w:tc>
        <w:tc>
          <w:tcPr>
            <w:tcW w:w="32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2,480,320.43</w:t>
            </w:r>
          </w:p>
        </w:tc>
      </w:tr>
      <w:tr w:rsidR="00831C3C" w:rsidRPr="00831C3C" w:rsidTr="00903F43">
        <w:trPr>
          <w:divId w:val="1643652521"/>
          <w:trHeight w:val="340"/>
        </w:trPr>
        <w:tc>
          <w:tcPr>
            <w:tcW w:w="32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heme="minorEastAsia" w:eastAsiaTheme="minorEastAsia" w:hAnsiTheme="minorEastAsia" w:cs="Times New Roman"/>
                <w:sz w:val="21"/>
                <w:szCs w:val="21"/>
              </w:rPr>
            </w:pPr>
            <w:r w:rsidRPr="00831C3C">
              <w:rPr>
                <w:rFonts w:asciiTheme="minorEastAsia" w:eastAsiaTheme="minorEastAsia" w:hAnsiTheme="minorEastAsia" w:cs="Times New Roman" w:hint="eastAsia"/>
                <w:sz w:val="18"/>
                <w:szCs w:val="18"/>
              </w:rPr>
              <w:t>合计</w:t>
            </w:r>
          </w:p>
        </w:tc>
        <w:tc>
          <w:tcPr>
            <w:tcW w:w="32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338,342,899.49</w:t>
            </w:r>
          </w:p>
        </w:tc>
        <w:tc>
          <w:tcPr>
            <w:tcW w:w="324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451,800,076.10</w:t>
            </w:r>
          </w:p>
        </w:tc>
      </w:tr>
    </w:tbl>
    <w:p w:rsidR="00C65FD5" w:rsidRPr="00831C3C" w:rsidRDefault="00C65FD5">
      <w:pPr>
        <w:divId w:val="1643652521"/>
        <w:rPr>
          <w:sz w:val="24"/>
          <w:szCs w:val="24"/>
        </w:rPr>
      </w:pPr>
    </w:p>
    <w:p w:rsidR="00E23A97" w:rsidRPr="00831C3C" w:rsidRDefault="00C65FD5">
      <w:pPr>
        <w:pStyle w:val="3"/>
        <w:spacing w:line="280" w:lineRule="exact"/>
        <w:jc w:val="left"/>
        <w:rPr>
          <w:rFonts w:ascii="宋体" w:hAnsi="宋体" w:cs="宋体"/>
          <w:b/>
          <w:bCs/>
        </w:rPr>
      </w:pPr>
      <w:bookmarkStart w:id="248" w:name="_Toc989129"/>
      <w:r w:rsidRPr="00831C3C">
        <w:rPr>
          <w:rFonts w:ascii="宋体" w:hAnsi="宋体" w:cs="宋体"/>
          <w:b/>
          <w:bCs/>
        </w:rPr>
        <w:lastRenderedPageBreak/>
        <w:t>2、交易性金融资产</w:t>
      </w:r>
      <w:bookmarkEnd w:id="248"/>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以公允价值计量且其变动计入当期损益的金融资产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231,193,994.30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231,633,768.94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其中：</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货币型基金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101,235,317.35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权益工具投资</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7,356,413.17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50,392,601.34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衍生金融资产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63,160,062.90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121,648,424.05</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理财产品</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59,442,200.88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59,592,743.55</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其中：</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231,193,994.30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231,633,768.94</w:t>
            </w:r>
          </w:p>
        </w:tc>
      </w:tr>
    </w:tbl>
    <w:p w:rsidR="00E23A97" w:rsidRPr="00831C3C" w:rsidRDefault="00C65FD5" w:rsidP="00903F43">
      <w:pPr>
        <w:pStyle w:val="a3"/>
        <w:spacing w:before="0" w:beforeAutospacing="0" w:after="0" w:afterAutospacing="0"/>
        <w:ind w:firstLine="420"/>
        <w:jc w:val="both"/>
        <w:rPr>
          <w:rFonts w:asciiTheme="minorEastAsia" w:eastAsiaTheme="minorEastAsia" w:hAnsiTheme="minorEastAsia"/>
          <w:sz w:val="18"/>
          <w:szCs w:val="18"/>
        </w:rPr>
      </w:pPr>
      <w:r w:rsidRPr="00831C3C">
        <w:rPr>
          <w:rFonts w:asciiTheme="minorEastAsia" w:eastAsiaTheme="minorEastAsia" w:hAnsiTheme="minorEastAsia"/>
          <w:sz w:val="18"/>
          <w:szCs w:val="18"/>
        </w:rPr>
        <w:t>其他说明：</w:t>
      </w:r>
    </w:p>
    <w:p w:rsidR="00C65FD5" w:rsidRPr="00831C3C" w:rsidRDefault="00C65FD5" w:rsidP="00903F43">
      <w:pPr>
        <w:pStyle w:val="a3"/>
        <w:spacing w:before="0" w:beforeAutospacing="0" w:after="0" w:afterAutospacing="0"/>
        <w:ind w:firstLine="420"/>
        <w:jc w:val="both"/>
        <w:divId w:val="517163754"/>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权益工具投资系子公司深圳华孚进出口于中信证券购买的股票。</w:t>
      </w:r>
    </w:p>
    <w:p w:rsidR="00C65FD5" w:rsidRPr="00831C3C" w:rsidRDefault="00C65FD5" w:rsidP="00903F43">
      <w:pPr>
        <w:pStyle w:val="a3"/>
        <w:spacing w:before="0" w:beforeAutospacing="0" w:after="0" w:afterAutospacing="0"/>
        <w:ind w:firstLine="420"/>
        <w:jc w:val="both"/>
        <w:divId w:val="517163754"/>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期末衍生金融资产系子公司宁波东</w:t>
      </w:r>
      <w:proofErr w:type="gramStart"/>
      <w:r w:rsidRPr="00831C3C">
        <w:rPr>
          <w:rFonts w:asciiTheme="minorEastAsia" w:eastAsiaTheme="minorEastAsia" w:hAnsiTheme="minorEastAsia" w:hint="eastAsia"/>
          <w:sz w:val="18"/>
          <w:szCs w:val="18"/>
        </w:rPr>
        <w:t>浩</w:t>
      </w:r>
      <w:proofErr w:type="gramEnd"/>
      <w:r w:rsidRPr="00831C3C">
        <w:rPr>
          <w:rFonts w:asciiTheme="minorEastAsia" w:eastAsiaTheme="minorEastAsia" w:hAnsiTheme="minorEastAsia" w:hint="eastAsia"/>
          <w:sz w:val="18"/>
          <w:szCs w:val="18"/>
        </w:rPr>
        <w:t>、浙江维新、浙江昇孚、香港天成、新疆棉花交易市场、新疆</w:t>
      </w:r>
      <w:proofErr w:type="gramStart"/>
      <w:r w:rsidRPr="00831C3C">
        <w:rPr>
          <w:rFonts w:asciiTheme="minorEastAsia" w:eastAsiaTheme="minorEastAsia" w:hAnsiTheme="minorEastAsia" w:hint="eastAsia"/>
          <w:sz w:val="18"/>
          <w:szCs w:val="18"/>
        </w:rPr>
        <w:t>华孚棉业</w:t>
      </w:r>
      <w:proofErr w:type="gramEnd"/>
      <w:r w:rsidRPr="00831C3C">
        <w:rPr>
          <w:rFonts w:asciiTheme="minorEastAsia" w:eastAsiaTheme="minorEastAsia" w:hAnsiTheme="minorEastAsia" w:hint="eastAsia"/>
          <w:sz w:val="18"/>
          <w:szCs w:val="18"/>
        </w:rPr>
        <w:t>、新加坡耀佳等公司购买棉花期货和期权、利率互换掉期业务。</w:t>
      </w:r>
    </w:p>
    <w:p w:rsidR="00C65FD5" w:rsidRPr="00831C3C" w:rsidRDefault="00C65FD5" w:rsidP="00903F43">
      <w:pPr>
        <w:pStyle w:val="a3"/>
        <w:spacing w:before="0" w:beforeAutospacing="0" w:after="0" w:afterAutospacing="0"/>
        <w:ind w:firstLine="420"/>
        <w:jc w:val="both"/>
        <w:divId w:val="517163754"/>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理财产品中有5,000万元人民币为华孚时尚向中国对外经济贸易信托有限公司认购的外贸信托-长阳1号集合资金信托计划基金份额，截止2024年12月31日持有份额的公允价值为44,350,000.00元。</w:t>
      </w:r>
    </w:p>
    <w:p w:rsidR="00E23A97" w:rsidRPr="00831C3C" w:rsidRDefault="00C65FD5">
      <w:pPr>
        <w:pStyle w:val="3"/>
        <w:spacing w:line="280" w:lineRule="exact"/>
        <w:jc w:val="left"/>
        <w:rPr>
          <w:rFonts w:ascii="宋体" w:hAnsi="宋体" w:cs="宋体"/>
          <w:b/>
          <w:bCs/>
        </w:rPr>
      </w:pPr>
      <w:bookmarkStart w:id="249" w:name="_Toc989130"/>
      <w:r w:rsidRPr="00831C3C">
        <w:rPr>
          <w:rFonts w:ascii="宋体" w:hAnsi="宋体" w:cs="宋体"/>
          <w:b/>
          <w:bCs/>
        </w:rPr>
        <w:t>3、衍生金融资产</w:t>
      </w:r>
      <w:bookmarkEnd w:id="249"/>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r w:rsidR="00903F43" w:rsidRPr="00831C3C">
        <w:rPr>
          <w:rFonts w:ascii="宋体" w:eastAsia="宋体" w:hAnsi="宋体" w:cs="宋体"/>
          <w:sz w:val="18"/>
          <w:szCs w:val="18"/>
        </w:rPr>
        <w:t>无</w:t>
      </w:r>
    </w:p>
    <w:p w:rsidR="00E23A97" w:rsidRPr="00831C3C" w:rsidRDefault="00C65FD5">
      <w:pPr>
        <w:pStyle w:val="3"/>
        <w:spacing w:line="280" w:lineRule="exact"/>
        <w:jc w:val="left"/>
        <w:rPr>
          <w:rFonts w:ascii="宋体" w:hAnsi="宋体" w:cs="宋体"/>
          <w:b/>
          <w:bCs/>
        </w:rPr>
      </w:pPr>
      <w:bookmarkStart w:id="250" w:name="_Toc989131"/>
      <w:r w:rsidRPr="00831C3C">
        <w:rPr>
          <w:rFonts w:ascii="宋体" w:hAnsi="宋体" w:cs="宋体"/>
          <w:b/>
          <w:bCs/>
        </w:rPr>
        <w:t>4、应收票据</w:t>
      </w:r>
      <w:bookmarkEnd w:id="250"/>
    </w:p>
    <w:p w:rsidR="00E23A97" w:rsidRPr="00831C3C" w:rsidRDefault="00C65FD5">
      <w:pPr>
        <w:keepNext/>
        <w:keepLines/>
        <w:spacing w:before="300" w:after="300" w:line="280" w:lineRule="exact"/>
        <w:outlineLvl w:val="3"/>
        <w:rPr>
          <w:rFonts w:ascii="宋体" w:eastAsia="宋体" w:hAnsi="宋体" w:cs="宋体"/>
          <w:b/>
          <w:bCs/>
          <w:szCs w:val="21"/>
        </w:rPr>
      </w:pPr>
      <w:bookmarkStart w:id="251" w:name="_Toc989132"/>
      <w:r w:rsidRPr="00831C3C">
        <w:rPr>
          <w:rFonts w:ascii="宋体" w:eastAsia="宋体" w:hAnsi="宋体" w:cs="宋体"/>
          <w:b/>
          <w:bCs/>
          <w:szCs w:val="21"/>
        </w:rPr>
        <w:t>（1）应收票据分类列示</w:t>
      </w:r>
      <w:bookmarkEnd w:id="251"/>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银行承兑票据</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47,793,560.14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55,925,038.92</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商业承兑票据</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8,377,444.36</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1,976,793.31</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56,171,004.50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57,901,832.23</w:t>
            </w:r>
          </w:p>
        </w:tc>
      </w:tr>
    </w:tbl>
    <w:p w:rsidR="00E23A97" w:rsidRPr="00831C3C" w:rsidRDefault="00C65FD5">
      <w:pPr>
        <w:keepNext/>
        <w:keepLines/>
        <w:spacing w:before="300" w:after="300" w:line="280" w:lineRule="exact"/>
        <w:outlineLvl w:val="3"/>
        <w:rPr>
          <w:rFonts w:ascii="宋体" w:eastAsia="宋体" w:hAnsi="宋体" w:cs="宋体"/>
          <w:b/>
          <w:bCs/>
          <w:szCs w:val="21"/>
        </w:rPr>
      </w:pPr>
      <w:bookmarkStart w:id="252" w:name="_Toc989133"/>
      <w:r w:rsidRPr="00831C3C">
        <w:rPr>
          <w:rFonts w:ascii="宋体" w:eastAsia="宋体" w:hAnsi="宋体" w:cs="宋体"/>
          <w:b/>
          <w:bCs/>
          <w:szCs w:val="21"/>
        </w:rPr>
        <w:t>（2）按坏账计提方法分类披露</w:t>
      </w:r>
      <w:bookmarkEnd w:id="252"/>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875"/>
        <w:gridCol w:w="876"/>
        <w:gridCol w:w="877"/>
        <w:gridCol w:w="876"/>
        <w:gridCol w:w="877"/>
        <w:gridCol w:w="876"/>
        <w:gridCol w:w="876"/>
        <w:gridCol w:w="877"/>
        <w:gridCol w:w="876"/>
        <w:gridCol w:w="877"/>
        <w:gridCol w:w="876"/>
      </w:tblGrid>
      <w:tr w:rsidR="00831C3C" w:rsidRPr="00831C3C">
        <w:trPr>
          <w:trHeight w:val="240"/>
        </w:trPr>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类别</w:t>
            </w:r>
          </w:p>
        </w:tc>
        <w:tc>
          <w:tcPr>
            <w:tcW w:w="4381"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4381"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r>
      <w:tr w:rsidR="00831C3C" w:rsidRPr="00831C3C">
        <w:trPr>
          <w:trHeight w:val="240"/>
        </w:trPr>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账面余额</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坏账准备</w:t>
            </w:r>
          </w:p>
        </w:tc>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账面价值</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账面余额</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坏账准备</w:t>
            </w:r>
          </w:p>
        </w:tc>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账面价值</w:t>
            </w:r>
          </w:p>
        </w:tc>
      </w:tr>
      <w:tr w:rsidR="00831C3C" w:rsidRPr="00831C3C">
        <w:trPr>
          <w:trHeight w:val="240"/>
        </w:trPr>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比例</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计提比例</w:t>
            </w:r>
          </w:p>
        </w:tc>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比例</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计提比例</w:t>
            </w:r>
          </w:p>
        </w:tc>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其中：</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按组合计提坏账准备的应收</w:t>
            </w:r>
            <w:r w:rsidRPr="00831C3C">
              <w:rPr>
                <w:rFonts w:ascii="宋体" w:eastAsia="宋体" w:hAnsi="宋体" w:cs="宋体"/>
                <w:sz w:val="18"/>
                <w:szCs w:val="18"/>
              </w:rPr>
              <w:lastRenderedPageBreak/>
              <w:t>票据</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lastRenderedPageBreak/>
              <w:t>56,611,922.62</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440,918.12</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0.78%</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56,171,004.50</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58,005,873.98</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104,041.75</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0.18%</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57,901,832.23</w:t>
            </w:r>
          </w:p>
        </w:tc>
      </w:tr>
      <w:tr w:rsidR="00831C3C" w:rsidRPr="00831C3C">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lastRenderedPageBreak/>
              <w:t>其中：</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银行承兑汇票组合</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47,793,560.14</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84.42%</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47,793,560.14</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55,925,038.92</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96.41%</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55,925,038.92</w:t>
            </w:r>
          </w:p>
        </w:tc>
      </w:tr>
      <w:tr w:rsidR="00831C3C" w:rsidRPr="00831C3C">
        <w:trPr>
          <w:trHeight w:val="240"/>
        </w:trPr>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商业承兑汇票组合</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8,818,362.48</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15.58%</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440,918.12</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5.00%</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8,377,444.36</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2,080,835.06</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3.59%</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104,041.75</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5.00%</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1,976,793.31</w:t>
            </w:r>
          </w:p>
        </w:tc>
      </w:tr>
      <w:tr w:rsidR="00831C3C" w:rsidRPr="00831C3C">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56,611,922.62</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440,918.12</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0.78%</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56,171,004.50</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58,005,873.98</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104,041.75</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0.18%</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57,901,832.23</w:t>
            </w:r>
          </w:p>
        </w:tc>
      </w:tr>
    </w:tbl>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按组合计提坏账准备：按组合计提坏账准备</w:t>
      </w:r>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31C3C" w:rsidRPr="00831C3C">
        <w:trPr>
          <w:trHeight w:val="240"/>
        </w:trPr>
        <w:tc>
          <w:tcPr>
            <w:tcW w:w="241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名称</w:t>
            </w:r>
          </w:p>
        </w:tc>
        <w:tc>
          <w:tcPr>
            <w:tcW w:w="7229"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r>
      <w:tr w:rsidR="00831C3C" w:rsidRPr="00831C3C">
        <w:trPr>
          <w:trHeight w:val="240"/>
        </w:trPr>
        <w:tc>
          <w:tcPr>
            <w:tcW w:w="241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坏账准备</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计提比例</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商业承兑汇票组合</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8,818,362.48</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440,918.12</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5.00%</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8,818,362.48</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440,918.12</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确定该组合依据的说明：</w:t>
      </w:r>
      <w:r w:rsidR="00903F43" w:rsidRPr="00831C3C">
        <w:rPr>
          <w:rFonts w:ascii="宋体" w:eastAsia="宋体" w:hAnsi="宋体" w:cs="宋体"/>
          <w:sz w:val="18"/>
          <w:szCs w:val="18"/>
        </w:rPr>
        <w:t>无</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如是按照预期信用损失一般模型计提应收票据坏账准备：</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keepNext/>
        <w:keepLines/>
        <w:spacing w:before="300" w:after="300" w:line="280" w:lineRule="exact"/>
        <w:outlineLvl w:val="3"/>
        <w:rPr>
          <w:rFonts w:ascii="宋体" w:eastAsia="宋体" w:hAnsi="宋体" w:cs="宋体"/>
          <w:b/>
          <w:bCs/>
          <w:szCs w:val="21"/>
        </w:rPr>
      </w:pPr>
      <w:bookmarkStart w:id="253" w:name="_Toc989134"/>
      <w:r w:rsidRPr="00831C3C">
        <w:rPr>
          <w:rFonts w:ascii="宋体" w:eastAsia="宋体" w:hAnsi="宋体" w:cs="宋体"/>
          <w:b/>
          <w:bCs/>
          <w:szCs w:val="21"/>
        </w:rPr>
        <w:t>（3）本期计提、收回或转回的坏账准备情况</w:t>
      </w:r>
      <w:bookmarkEnd w:id="253"/>
    </w:p>
    <w:p w:rsidR="00E23A97" w:rsidRPr="00831C3C" w:rsidRDefault="00C65FD5">
      <w:pPr>
        <w:spacing w:before="100" w:line="240" w:lineRule="exact"/>
        <w:rPr>
          <w:rFonts w:ascii="宋体" w:eastAsia="宋体" w:hAnsi="宋体" w:cs="宋体"/>
          <w:sz w:val="18"/>
          <w:szCs w:val="18"/>
        </w:rPr>
      </w:pPr>
      <w:r w:rsidRPr="00831C3C">
        <w:rPr>
          <w:rFonts w:ascii="宋体" w:eastAsia="宋体" w:hAnsi="宋体" w:cs="宋体"/>
          <w:sz w:val="18"/>
          <w:szCs w:val="18"/>
        </w:rPr>
        <w:t>本期计提坏账准备情况：</w:t>
      </w:r>
    </w:p>
    <w:p w:rsidR="00E23A97" w:rsidRPr="00831C3C" w:rsidRDefault="00C65FD5">
      <w:pPr>
        <w:spacing w:before="120" w:after="12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31C3C" w:rsidRPr="00831C3C">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类别</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c>
          <w:tcPr>
            <w:tcW w:w="5508"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本期变动金额</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r>
      <w:tr w:rsidR="00831C3C" w:rsidRPr="00831C3C">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计提</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收回或转回</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核销</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其他</w:t>
            </w:r>
          </w:p>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按单项计提坏账准备</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按组合计提坏账准备</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其中：银行承兑汇票组合</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商业承兑汇票组合</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104,041.75</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336,876.37</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440,918.12</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104,041.75</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336,876.37</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440,918.12</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其中本期坏账准备收回或转回金额重要的：</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keepNext/>
        <w:keepLines/>
        <w:spacing w:before="300" w:after="300" w:line="280" w:lineRule="exact"/>
        <w:outlineLvl w:val="3"/>
        <w:rPr>
          <w:rFonts w:ascii="宋体" w:eastAsia="宋体" w:hAnsi="宋体" w:cs="宋体"/>
          <w:b/>
          <w:bCs/>
          <w:szCs w:val="21"/>
        </w:rPr>
      </w:pPr>
      <w:bookmarkStart w:id="254" w:name="_Toc989135"/>
      <w:r w:rsidRPr="00831C3C">
        <w:rPr>
          <w:rFonts w:ascii="宋体" w:eastAsia="宋体" w:hAnsi="宋体" w:cs="宋体"/>
          <w:b/>
          <w:bCs/>
          <w:szCs w:val="21"/>
        </w:rPr>
        <w:t>（4）期末公司已质押的应收票据</w:t>
      </w:r>
      <w:bookmarkEnd w:id="254"/>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4820"/>
        <w:gridCol w:w="4819"/>
      </w:tblGrid>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proofErr w:type="gramStart"/>
            <w:r w:rsidRPr="00831C3C">
              <w:rPr>
                <w:rFonts w:ascii="宋体" w:eastAsia="宋体" w:hAnsi="宋体" w:cs="宋体"/>
                <w:sz w:val="18"/>
                <w:szCs w:val="18"/>
              </w:rPr>
              <w:t>期末已质</w:t>
            </w:r>
            <w:proofErr w:type="gramEnd"/>
            <w:r w:rsidRPr="00831C3C">
              <w:rPr>
                <w:rFonts w:ascii="宋体" w:eastAsia="宋体" w:hAnsi="宋体" w:cs="宋体"/>
                <w:sz w:val="18"/>
                <w:szCs w:val="18"/>
              </w:rPr>
              <w:t>押金额</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银行承兑票据</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17,303,319.98</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17,303,319.98</w:t>
            </w:r>
          </w:p>
        </w:tc>
      </w:tr>
    </w:tbl>
    <w:p w:rsidR="00E23A97" w:rsidRPr="00831C3C" w:rsidRDefault="00C65FD5">
      <w:pPr>
        <w:keepNext/>
        <w:keepLines/>
        <w:spacing w:before="300" w:after="300" w:line="280" w:lineRule="exact"/>
        <w:outlineLvl w:val="3"/>
        <w:rPr>
          <w:rFonts w:ascii="宋体" w:eastAsia="宋体" w:hAnsi="宋体" w:cs="宋体"/>
          <w:b/>
          <w:bCs/>
          <w:szCs w:val="21"/>
        </w:rPr>
      </w:pPr>
      <w:bookmarkStart w:id="255" w:name="_Toc989136"/>
      <w:r w:rsidRPr="00831C3C">
        <w:rPr>
          <w:rFonts w:ascii="宋体" w:eastAsia="宋体" w:hAnsi="宋体" w:cs="宋体"/>
          <w:b/>
          <w:bCs/>
          <w:szCs w:val="21"/>
        </w:rPr>
        <w:lastRenderedPageBreak/>
        <w:t>（5）期末公司已背书或贴现且在资产负债表日尚未到期的应收票据</w:t>
      </w:r>
      <w:bookmarkEnd w:id="255"/>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期末终止确认金额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期末未终止确认金额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银行承兑票据</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998,779,676.79</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998,779,676.79</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bl>
    <w:p w:rsidR="00E23A97" w:rsidRPr="00831C3C" w:rsidRDefault="00C65FD5">
      <w:pPr>
        <w:keepNext/>
        <w:keepLines/>
        <w:spacing w:before="300" w:after="300" w:line="280" w:lineRule="exact"/>
        <w:outlineLvl w:val="3"/>
        <w:rPr>
          <w:rFonts w:ascii="宋体" w:eastAsia="宋体" w:hAnsi="宋体" w:cs="宋体"/>
          <w:b/>
          <w:bCs/>
          <w:szCs w:val="21"/>
        </w:rPr>
      </w:pPr>
      <w:bookmarkStart w:id="256" w:name="_Toc989137"/>
      <w:r w:rsidRPr="00831C3C">
        <w:rPr>
          <w:rFonts w:ascii="宋体" w:eastAsia="宋体" w:hAnsi="宋体" w:cs="宋体"/>
          <w:b/>
          <w:bCs/>
          <w:szCs w:val="21"/>
        </w:rPr>
        <w:t>（6）本期实际核销的应收票据情况</w:t>
      </w:r>
      <w:bookmarkEnd w:id="256"/>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应收票据核销说明：</w:t>
      </w:r>
      <w:r w:rsidR="00903F43" w:rsidRPr="00831C3C">
        <w:rPr>
          <w:rFonts w:ascii="宋体" w:eastAsia="宋体" w:hAnsi="宋体" w:cs="宋体"/>
          <w:sz w:val="18"/>
          <w:szCs w:val="18"/>
        </w:rPr>
        <w:t>无</w:t>
      </w:r>
    </w:p>
    <w:p w:rsidR="00E23A97" w:rsidRPr="00831C3C" w:rsidRDefault="00C65FD5">
      <w:pPr>
        <w:pStyle w:val="3"/>
        <w:spacing w:line="280" w:lineRule="exact"/>
        <w:jc w:val="left"/>
        <w:rPr>
          <w:rFonts w:ascii="宋体" w:hAnsi="宋体" w:cs="宋体"/>
          <w:b/>
          <w:bCs/>
        </w:rPr>
      </w:pPr>
      <w:bookmarkStart w:id="257" w:name="_Toc989138"/>
      <w:r w:rsidRPr="00831C3C">
        <w:rPr>
          <w:rFonts w:ascii="宋体" w:hAnsi="宋体" w:cs="宋体"/>
          <w:b/>
          <w:bCs/>
        </w:rPr>
        <w:t>5、应收账款</w:t>
      </w:r>
      <w:bookmarkEnd w:id="257"/>
    </w:p>
    <w:p w:rsidR="00E23A97" w:rsidRPr="00831C3C" w:rsidRDefault="00C65FD5">
      <w:pPr>
        <w:keepNext/>
        <w:keepLines/>
        <w:spacing w:before="300" w:after="300" w:line="280" w:lineRule="exact"/>
        <w:outlineLvl w:val="3"/>
        <w:rPr>
          <w:rFonts w:ascii="宋体" w:eastAsia="宋体" w:hAnsi="宋体" w:cs="宋体"/>
          <w:b/>
          <w:bCs/>
          <w:szCs w:val="21"/>
        </w:rPr>
      </w:pPr>
      <w:bookmarkStart w:id="258" w:name="_Toc989139"/>
      <w:r w:rsidRPr="00831C3C">
        <w:rPr>
          <w:rFonts w:ascii="宋体" w:eastAsia="宋体" w:hAnsi="宋体" w:cs="宋体"/>
          <w:b/>
          <w:bCs/>
          <w:szCs w:val="21"/>
        </w:rPr>
        <w:t>（1）</w:t>
      </w:r>
      <w:proofErr w:type="gramStart"/>
      <w:r w:rsidRPr="00831C3C">
        <w:rPr>
          <w:rFonts w:ascii="宋体" w:eastAsia="宋体" w:hAnsi="宋体" w:cs="宋体"/>
          <w:b/>
          <w:bCs/>
          <w:szCs w:val="21"/>
        </w:rPr>
        <w:t>按账龄</w:t>
      </w:r>
      <w:proofErr w:type="gramEnd"/>
      <w:r w:rsidRPr="00831C3C">
        <w:rPr>
          <w:rFonts w:ascii="宋体" w:eastAsia="宋体" w:hAnsi="宋体" w:cs="宋体"/>
          <w:b/>
          <w:bCs/>
          <w:szCs w:val="21"/>
        </w:rPr>
        <w:t>披露</w:t>
      </w:r>
      <w:bookmarkEnd w:id="258"/>
    </w:p>
    <w:p w:rsidR="00E23A97" w:rsidRPr="00831C3C" w:rsidRDefault="00C65FD5">
      <w:pPr>
        <w:spacing w:before="120" w:after="12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账龄</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期末账面余额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期初账面余额</w:t>
            </w:r>
          </w:p>
        </w:tc>
      </w:tr>
      <w:tr w:rsidR="00831C3C" w:rsidRPr="00831C3C" w:rsidTr="00903F4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rsidP="00903F43">
            <w:pPr>
              <w:spacing w:before="40" w:after="40" w:line="240" w:lineRule="exact"/>
              <w:jc w:val="both"/>
              <w:rPr>
                <w:rFonts w:ascii="宋体" w:eastAsia="宋体" w:hAnsi="宋体" w:cs="宋体"/>
                <w:sz w:val="18"/>
                <w:szCs w:val="18"/>
              </w:rPr>
            </w:pPr>
            <w:r w:rsidRPr="00831C3C">
              <w:rPr>
                <w:rFonts w:ascii="宋体" w:eastAsia="宋体" w:hAnsi="宋体" w:cs="宋体"/>
                <w:sz w:val="18"/>
                <w:szCs w:val="18"/>
              </w:rPr>
              <w:t>1年以内（含1年）</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1,400,053,367.88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1,057,935,083.21</w:t>
            </w:r>
          </w:p>
        </w:tc>
      </w:tr>
      <w:tr w:rsidR="00831C3C" w:rsidRPr="00831C3C" w:rsidTr="00903F4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rsidP="00903F43">
            <w:pPr>
              <w:spacing w:before="40" w:after="40" w:line="240" w:lineRule="exact"/>
              <w:jc w:val="both"/>
              <w:rPr>
                <w:rFonts w:ascii="宋体" w:eastAsia="宋体" w:hAnsi="宋体" w:cs="宋体"/>
                <w:sz w:val="18"/>
                <w:szCs w:val="18"/>
              </w:rPr>
            </w:pPr>
            <w:r w:rsidRPr="00831C3C">
              <w:rPr>
                <w:rFonts w:ascii="宋体" w:eastAsia="宋体" w:hAnsi="宋体" w:cs="宋体"/>
                <w:sz w:val="18"/>
                <w:szCs w:val="18"/>
              </w:rPr>
              <w:t>1至2年</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139,107,251.38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27,924,185.34</w:t>
            </w:r>
          </w:p>
        </w:tc>
      </w:tr>
      <w:tr w:rsidR="00831C3C" w:rsidRPr="00831C3C" w:rsidTr="00903F4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rsidP="00903F43">
            <w:pPr>
              <w:spacing w:before="40" w:after="40" w:line="240" w:lineRule="exact"/>
              <w:jc w:val="both"/>
              <w:rPr>
                <w:rFonts w:ascii="宋体" w:eastAsia="宋体" w:hAnsi="宋体" w:cs="宋体"/>
                <w:sz w:val="18"/>
                <w:szCs w:val="18"/>
              </w:rPr>
            </w:pPr>
            <w:r w:rsidRPr="00831C3C">
              <w:rPr>
                <w:rFonts w:ascii="宋体" w:eastAsia="宋体" w:hAnsi="宋体" w:cs="宋体"/>
                <w:sz w:val="18"/>
                <w:szCs w:val="18"/>
              </w:rPr>
              <w:t>2至3年</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1,564,988.33</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6,402,719.93</w:t>
            </w:r>
          </w:p>
        </w:tc>
      </w:tr>
      <w:tr w:rsidR="00831C3C" w:rsidRPr="00831C3C" w:rsidTr="00903F4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rsidP="00903F43">
            <w:pPr>
              <w:spacing w:before="40" w:after="40" w:line="240" w:lineRule="exact"/>
              <w:jc w:val="both"/>
              <w:rPr>
                <w:rFonts w:ascii="宋体" w:eastAsia="宋体" w:hAnsi="宋体" w:cs="宋体"/>
                <w:sz w:val="18"/>
                <w:szCs w:val="18"/>
              </w:rPr>
            </w:pPr>
            <w:r w:rsidRPr="00831C3C">
              <w:rPr>
                <w:rFonts w:ascii="宋体" w:eastAsia="宋体" w:hAnsi="宋体" w:cs="宋体"/>
                <w:sz w:val="18"/>
                <w:szCs w:val="18"/>
              </w:rPr>
              <w:t>3年以上</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7,993,448.12</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6,610,979.20</w:t>
            </w:r>
          </w:p>
        </w:tc>
      </w:tr>
      <w:tr w:rsidR="00831C3C" w:rsidRPr="00831C3C" w:rsidTr="00903F4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rsidP="00903F43">
            <w:pPr>
              <w:spacing w:before="40" w:after="40" w:line="240" w:lineRule="exact"/>
              <w:jc w:val="both"/>
              <w:rPr>
                <w:rFonts w:ascii="宋体" w:eastAsia="宋体" w:hAnsi="宋体" w:cs="宋体"/>
                <w:sz w:val="18"/>
                <w:szCs w:val="18"/>
              </w:rPr>
            </w:pPr>
            <w:r w:rsidRPr="00831C3C">
              <w:rPr>
                <w:rFonts w:ascii="宋体" w:eastAsia="宋体" w:hAnsi="宋体" w:cs="宋体"/>
                <w:sz w:val="18"/>
                <w:szCs w:val="18"/>
              </w:rPr>
              <w:t>3至4年</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4,723,517.68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1,464,344.54</w:t>
            </w:r>
          </w:p>
        </w:tc>
      </w:tr>
      <w:tr w:rsidR="00831C3C" w:rsidRPr="00831C3C" w:rsidTr="00903F4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rsidP="00903F43">
            <w:pPr>
              <w:spacing w:before="40" w:after="40" w:line="240" w:lineRule="exact"/>
              <w:jc w:val="both"/>
              <w:rPr>
                <w:rFonts w:ascii="宋体" w:eastAsia="宋体" w:hAnsi="宋体" w:cs="宋体"/>
                <w:sz w:val="18"/>
                <w:szCs w:val="18"/>
              </w:rPr>
            </w:pPr>
            <w:r w:rsidRPr="00831C3C">
              <w:rPr>
                <w:rFonts w:ascii="宋体" w:eastAsia="宋体" w:hAnsi="宋体" w:cs="宋体"/>
                <w:sz w:val="18"/>
                <w:szCs w:val="18"/>
              </w:rPr>
              <w:t>4至5年</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252,653.42</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3,207,923.42</w:t>
            </w:r>
          </w:p>
        </w:tc>
      </w:tr>
      <w:tr w:rsidR="00831C3C" w:rsidRPr="00831C3C" w:rsidTr="00903F4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rsidP="00903F43">
            <w:pPr>
              <w:spacing w:before="40" w:after="40" w:line="240" w:lineRule="exact"/>
              <w:jc w:val="both"/>
              <w:rPr>
                <w:rFonts w:ascii="宋体" w:eastAsia="宋体" w:hAnsi="宋体" w:cs="宋体"/>
                <w:sz w:val="18"/>
                <w:szCs w:val="18"/>
              </w:rPr>
            </w:pPr>
            <w:r w:rsidRPr="00831C3C">
              <w:rPr>
                <w:rFonts w:ascii="宋体" w:eastAsia="宋体" w:hAnsi="宋体" w:cs="宋体"/>
                <w:sz w:val="18"/>
                <w:szCs w:val="18"/>
              </w:rPr>
              <w:t>5年以上</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3,017,277.02</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1,938,711.24</w:t>
            </w:r>
          </w:p>
        </w:tc>
      </w:tr>
      <w:tr w:rsidR="00831C3C" w:rsidRPr="00831C3C" w:rsidTr="00903F43">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rsidP="00903F43">
            <w:pPr>
              <w:spacing w:before="40" w:after="40" w:line="240" w:lineRule="exact"/>
              <w:jc w:val="both"/>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1,548,719,055.71</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1,098,872,967.68</w:t>
            </w:r>
          </w:p>
        </w:tc>
      </w:tr>
    </w:tbl>
    <w:p w:rsidR="00E23A97" w:rsidRPr="00831C3C" w:rsidRDefault="00C65FD5">
      <w:pPr>
        <w:keepNext/>
        <w:keepLines/>
        <w:spacing w:before="300" w:after="300" w:line="280" w:lineRule="exact"/>
        <w:outlineLvl w:val="3"/>
        <w:rPr>
          <w:rFonts w:ascii="宋体" w:eastAsia="宋体" w:hAnsi="宋体" w:cs="宋体"/>
          <w:b/>
          <w:bCs/>
          <w:szCs w:val="21"/>
        </w:rPr>
      </w:pPr>
      <w:bookmarkStart w:id="259" w:name="_Toc989140"/>
      <w:r w:rsidRPr="00831C3C">
        <w:rPr>
          <w:rFonts w:ascii="宋体" w:eastAsia="宋体" w:hAnsi="宋体" w:cs="宋体"/>
          <w:b/>
          <w:bCs/>
          <w:szCs w:val="21"/>
        </w:rPr>
        <w:t>（2）按坏账计提方法分类披露</w:t>
      </w:r>
      <w:bookmarkEnd w:id="259"/>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875"/>
        <w:gridCol w:w="876"/>
        <w:gridCol w:w="877"/>
        <w:gridCol w:w="876"/>
        <w:gridCol w:w="877"/>
        <w:gridCol w:w="876"/>
        <w:gridCol w:w="876"/>
        <w:gridCol w:w="877"/>
        <w:gridCol w:w="876"/>
        <w:gridCol w:w="877"/>
        <w:gridCol w:w="876"/>
      </w:tblGrid>
      <w:tr w:rsidR="00831C3C" w:rsidRPr="00831C3C">
        <w:trPr>
          <w:trHeight w:val="240"/>
        </w:trPr>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类别</w:t>
            </w:r>
          </w:p>
        </w:tc>
        <w:tc>
          <w:tcPr>
            <w:tcW w:w="4381"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4381"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r>
      <w:tr w:rsidR="00831C3C" w:rsidRPr="00831C3C">
        <w:trPr>
          <w:trHeight w:val="240"/>
        </w:trPr>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账面余额</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坏账准备</w:t>
            </w:r>
          </w:p>
        </w:tc>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账面价值</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账面余额</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坏账准备</w:t>
            </w:r>
          </w:p>
        </w:tc>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账面价值</w:t>
            </w:r>
          </w:p>
        </w:tc>
      </w:tr>
      <w:tr w:rsidR="00831C3C" w:rsidRPr="00831C3C">
        <w:trPr>
          <w:trHeight w:val="240"/>
        </w:trPr>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比例</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计提比例</w:t>
            </w:r>
          </w:p>
        </w:tc>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比例</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计提比例</w:t>
            </w:r>
          </w:p>
        </w:tc>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按单项计提坏账准备的应收账款</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2,570,858.86</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0.17%</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2,570,858.86</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35,570,858.86</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3.24%</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35,570,858.86</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其中：</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按组合计提坏账准备的应收账款</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1,546,148,196.85</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99.83%</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88,522,120.43</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5.73%</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1,457,626,076.42</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1,063,302,108.82</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96.76%</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59,243,643.18</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5.57%</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1,004,058,465.64</w:t>
            </w:r>
          </w:p>
        </w:tc>
      </w:tr>
      <w:tr w:rsidR="00831C3C" w:rsidRPr="00831C3C">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其中：</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lastRenderedPageBreak/>
              <w:t>预期信用风险组合</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1,546,148,196.85</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88,522,120.43</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5.73%</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1,457,626,076.42</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1,063,302,108.82</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59,243,643.18</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5.57%</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1,004,058,465.64</w:t>
            </w:r>
          </w:p>
        </w:tc>
      </w:tr>
      <w:tr w:rsidR="00831C3C" w:rsidRPr="00831C3C">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1,548,719,055.71</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91,092,979.29</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5.88%</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1,457,626,076.42</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1,098,872,967.68</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94,814,502.04</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8.63%</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1,004,058,465.64</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按单项计提坏账准备：</w:t>
      </w:r>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31C3C" w:rsidRPr="00831C3C">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名称</w:t>
            </w:r>
          </w:p>
        </w:tc>
        <w:tc>
          <w:tcPr>
            <w:tcW w:w="275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c>
          <w:tcPr>
            <w:tcW w:w="5508"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r>
      <w:tr w:rsidR="00831C3C" w:rsidRPr="00831C3C">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坏账准备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坏账准备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计提比例</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计提理由</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东莞德永佳纺织制衣有限公司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2,570,858.86</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2,570,858.86</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2,570,858.86</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2,570,858.86</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预计无法收回</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2,570,858.86</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2,570,858.86</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2,570,858.86</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2,570,858.86</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按组合计提坏账准备：预期信用风险组合</w:t>
      </w:r>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31C3C" w:rsidRPr="00831C3C">
        <w:trPr>
          <w:trHeight w:val="240"/>
        </w:trPr>
        <w:tc>
          <w:tcPr>
            <w:tcW w:w="241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名称</w:t>
            </w:r>
          </w:p>
        </w:tc>
        <w:tc>
          <w:tcPr>
            <w:tcW w:w="7229"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r>
      <w:tr w:rsidR="00831C3C" w:rsidRPr="00831C3C">
        <w:trPr>
          <w:trHeight w:val="240"/>
        </w:trPr>
        <w:tc>
          <w:tcPr>
            <w:tcW w:w="241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坏账准备</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计提比例</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1年以内</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1,400,053,367.88</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70,002,668.42</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5.00%</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1－2年</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139,107,251.38</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13,910,725.15</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2－3年</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1,564,988.33</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312,997.67</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20.00%</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3－4年</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2,152,658.82</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1,076,329.43</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50.00%</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4－5年</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252,653.42</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202,122.74</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80.00%</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5年以上</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3,017,277.02</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3,017,277.02</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1,546,148,196.85</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88,522,120.43</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确定该组合依据的说明：</w:t>
      </w:r>
      <w:r w:rsidR="00903F43" w:rsidRPr="00831C3C">
        <w:rPr>
          <w:rFonts w:ascii="宋体" w:eastAsia="宋体" w:hAnsi="宋体" w:cs="宋体"/>
          <w:sz w:val="18"/>
          <w:szCs w:val="18"/>
        </w:rPr>
        <w:t>无</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如是按照预期信用损失一般模型计提应收账款坏账准备：</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keepNext/>
        <w:keepLines/>
        <w:spacing w:before="300" w:after="300" w:line="280" w:lineRule="exact"/>
        <w:outlineLvl w:val="3"/>
        <w:rPr>
          <w:rFonts w:ascii="宋体" w:eastAsia="宋体" w:hAnsi="宋体" w:cs="宋体"/>
          <w:b/>
          <w:bCs/>
          <w:szCs w:val="21"/>
        </w:rPr>
      </w:pPr>
      <w:bookmarkStart w:id="260" w:name="_Toc989141"/>
      <w:r w:rsidRPr="00831C3C">
        <w:rPr>
          <w:rFonts w:ascii="宋体" w:eastAsia="宋体" w:hAnsi="宋体" w:cs="宋体"/>
          <w:b/>
          <w:bCs/>
          <w:szCs w:val="21"/>
        </w:rPr>
        <w:t>（3）本期计提、收回或转回的坏账准备情况</w:t>
      </w:r>
      <w:bookmarkEnd w:id="260"/>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本期计提坏账准备情况：</w:t>
      </w:r>
    </w:p>
    <w:p w:rsidR="00E23A97" w:rsidRPr="00831C3C" w:rsidRDefault="00C65FD5">
      <w:pPr>
        <w:spacing w:before="120" w:after="12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31C3C" w:rsidRPr="00831C3C">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类别</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c>
          <w:tcPr>
            <w:tcW w:w="5508"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本期变动金额</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r>
      <w:tr w:rsidR="00831C3C" w:rsidRPr="00831C3C">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计提</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收回或转回</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核销</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其他</w:t>
            </w:r>
          </w:p>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按单项计提坏账准备</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35,570,858.86</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33,000,000.00</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2,570,858.86</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按组合计提坏账准备</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其中：预期信用风险组合</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59,243,643.18</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29,565,347.86</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-286,870.61</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88,522,120.43</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性质组合</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94,814,502.04</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29,565,347.86</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33,000,000.00</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-286,870.61</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91,092,979.29</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其中本期坏账准备收回或转回金额重要的：</w:t>
      </w:r>
      <w:r w:rsidR="00903F43" w:rsidRPr="00831C3C">
        <w:rPr>
          <w:rFonts w:ascii="宋体" w:eastAsia="宋体" w:hAnsi="宋体" w:cs="宋体"/>
          <w:sz w:val="18"/>
          <w:szCs w:val="18"/>
        </w:rPr>
        <w:t>无</w:t>
      </w:r>
    </w:p>
    <w:p w:rsidR="00E23A97" w:rsidRPr="00831C3C" w:rsidRDefault="00C65FD5">
      <w:pPr>
        <w:keepNext/>
        <w:keepLines/>
        <w:spacing w:before="300" w:after="300" w:line="280" w:lineRule="exact"/>
        <w:outlineLvl w:val="3"/>
        <w:rPr>
          <w:rFonts w:ascii="宋体" w:eastAsia="宋体" w:hAnsi="宋体" w:cs="宋体"/>
          <w:b/>
          <w:bCs/>
          <w:szCs w:val="21"/>
        </w:rPr>
      </w:pPr>
      <w:bookmarkStart w:id="261" w:name="_Toc989142"/>
      <w:r w:rsidRPr="00831C3C">
        <w:rPr>
          <w:rFonts w:ascii="宋体" w:eastAsia="宋体" w:hAnsi="宋体" w:cs="宋体"/>
          <w:b/>
          <w:bCs/>
          <w:szCs w:val="21"/>
        </w:rPr>
        <w:lastRenderedPageBreak/>
        <w:t>（4）本期实际核销的应收账款情况</w:t>
      </w:r>
      <w:bookmarkEnd w:id="261"/>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4820"/>
        <w:gridCol w:w="4819"/>
      </w:tblGrid>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核销金额</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实际核销的应收账款</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33,000,000.00</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其中重要的应收账款核销情况：</w:t>
      </w:r>
    </w:p>
    <w:p w:rsidR="00E23A97" w:rsidRPr="00831C3C" w:rsidRDefault="00C65FD5">
      <w:pPr>
        <w:spacing w:before="120" w:after="12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06"/>
        <w:gridCol w:w="1606"/>
        <w:gridCol w:w="1606"/>
        <w:gridCol w:w="1607"/>
        <w:gridCol w:w="1607"/>
        <w:gridCol w:w="1607"/>
      </w:tblGrid>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单位名称</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应收账款性质</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核销金额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核销原因</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履行的核销程序</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款项是否由关联交易产生</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张家港</w:t>
            </w:r>
            <w:proofErr w:type="gramStart"/>
            <w:r w:rsidRPr="00831C3C">
              <w:rPr>
                <w:rFonts w:ascii="宋体" w:eastAsia="宋体" w:hAnsi="宋体" w:cs="宋体"/>
                <w:sz w:val="18"/>
                <w:szCs w:val="18"/>
              </w:rPr>
              <w:t>保税区汉木国际贸易</w:t>
            </w:r>
            <w:proofErr w:type="gramEnd"/>
            <w:r w:rsidRPr="00831C3C">
              <w:rPr>
                <w:rFonts w:ascii="宋体" w:eastAsia="宋体" w:hAnsi="宋体" w:cs="宋体"/>
                <w:sz w:val="18"/>
                <w:szCs w:val="18"/>
              </w:rPr>
              <w:t>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货款</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18,300,000.00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对方无偿还能力</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公司财经中心核实批准清理</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苏州柏孚纺织科技有限公司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货款</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8,100,000.00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对方无偿还能力</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公司财经中心核实批准清理</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吉安县新军安新型材料有限公司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货款</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6,600,000.00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对方无偿还能力</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公司财经中心核实批准清理</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33,000,000.00</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应收账款核销说明：</w:t>
      </w:r>
      <w:r w:rsidR="00903F43" w:rsidRPr="00831C3C">
        <w:rPr>
          <w:rFonts w:ascii="宋体" w:eastAsia="宋体" w:hAnsi="宋体" w:cs="宋体"/>
          <w:sz w:val="18"/>
          <w:szCs w:val="18"/>
        </w:rPr>
        <w:t>无</w:t>
      </w:r>
    </w:p>
    <w:p w:rsidR="00E23A97" w:rsidRPr="00831C3C" w:rsidRDefault="00C65FD5">
      <w:pPr>
        <w:keepNext/>
        <w:keepLines/>
        <w:spacing w:before="300" w:after="300" w:line="280" w:lineRule="exact"/>
        <w:outlineLvl w:val="3"/>
        <w:rPr>
          <w:rFonts w:ascii="宋体" w:eastAsia="宋体" w:hAnsi="宋体" w:cs="宋体"/>
          <w:b/>
          <w:bCs/>
          <w:szCs w:val="21"/>
        </w:rPr>
      </w:pPr>
      <w:bookmarkStart w:id="262" w:name="_Toc989143"/>
      <w:r w:rsidRPr="00831C3C">
        <w:rPr>
          <w:rFonts w:ascii="宋体" w:eastAsia="宋体" w:hAnsi="宋体" w:cs="宋体"/>
          <w:b/>
          <w:bCs/>
          <w:szCs w:val="21"/>
        </w:rPr>
        <w:t>（5）按欠款方归集的期末余额前五名的应收账款和合同资产情况</w:t>
      </w:r>
      <w:bookmarkEnd w:id="262"/>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06"/>
        <w:gridCol w:w="1606"/>
        <w:gridCol w:w="1606"/>
        <w:gridCol w:w="1607"/>
        <w:gridCol w:w="1607"/>
        <w:gridCol w:w="1607"/>
      </w:tblGrid>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单位名称</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应收账款期末余额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合同资产期末余额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应收账款和合同资产期末余额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占应收账款和合同资产期末余额合计数的比例</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应收账款坏账准备和合同资产减值准备期末余额</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第一名</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283,672,832.39</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283,672,832.39</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18.32%</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14,183,641.62</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第三名</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224,663,905.35</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224,663,905.35</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14.51%</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11,233,195.27</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第二名</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271,909,105.33</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271,909,105.33</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17.56%</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13,595,455.27</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第四名</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171,890,017.08</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171,890,017.08</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11.10%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14,511,379.78</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第五名</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82,911,253.12</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82,911,253.12</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5.35%</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4,145,562.66</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1,035,047,113.27</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1,035,047,113.27</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66.84%</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57,669,234.60</w:t>
            </w:r>
          </w:p>
        </w:tc>
      </w:tr>
    </w:tbl>
    <w:p w:rsidR="00E23A97" w:rsidRPr="00831C3C" w:rsidRDefault="00C65FD5">
      <w:pPr>
        <w:pStyle w:val="3"/>
        <w:spacing w:line="280" w:lineRule="exact"/>
        <w:jc w:val="left"/>
        <w:rPr>
          <w:rFonts w:ascii="宋体" w:hAnsi="宋体" w:cs="宋体"/>
          <w:b/>
          <w:bCs/>
        </w:rPr>
      </w:pPr>
      <w:bookmarkStart w:id="263" w:name="_Toc989144"/>
      <w:r w:rsidRPr="00831C3C">
        <w:rPr>
          <w:rFonts w:ascii="宋体" w:hAnsi="宋体" w:cs="宋体"/>
          <w:b/>
          <w:bCs/>
        </w:rPr>
        <w:t>6、合同资产</w:t>
      </w:r>
      <w:bookmarkEnd w:id="263"/>
    </w:p>
    <w:p w:rsidR="00E23A97" w:rsidRPr="00831C3C" w:rsidRDefault="00C65FD5">
      <w:pPr>
        <w:keepNext/>
        <w:keepLines/>
        <w:spacing w:before="300" w:after="300" w:line="280" w:lineRule="exact"/>
        <w:outlineLvl w:val="3"/>
        <w:rPr>
          <w:rFonts w:ascii="宋体" w:eastAsia="宋体" w:hAnsi="宋体" w:cs="宋体"/>
          <w:b/>
          <w:bCs/>
          <w:szCs w:val="21"/>
        </w:rPr>
      </w:pPr>
      <w:bookmarkStart w:id="264" w:name="_Toc989145"/>
      <w:r w:rsidRPr="00831C3C">
        <w:rPr>
          <w:rFonts w:ascii="宋体" w:eastAsia="宋体" w:hAnsi="宋体" w:cs="宋体"/>
          <w:b/>
          <w:bCs/>
          <w:szCs w:val="21"/>
        </w:rPr>
        <w:t>（1）合同资产情况</w:t>
      </w:r>
      <w:bookmarkEnd w:id="264"/>
    </w:p>
    <w:p w:rsidR="00903F43" w:rsidRPr="00831C3C" w:rsidRDefault="00903F43">
      <w:pPr>
        <w:keepNext/>
        <w:keepLines/>
        <w:spacing w:before="300" w:after="300" w:line="280" w:lineRule="exact"/>
        <w:outlineLvl w:val="3"/>
        <w:rPr>
          <w:rFonts w:ascii="宋体" w:eastAsia="宋体" w:hAnsi="宋体" w:cs="宋体"/>
          <w:sz w:val="18"/>
          <w:szCs w:val="18"/>
        </w:rPr>
      </w:pPr>
      <w:bookmarkStart w:id="265" w:name="_Toc989146"/>
      <w:r w:rsidRPr="00831C3C">
        <w:rPr>
          <w:rFonts w:ascii="宋体" w:eastAsia="宋体" w:hAnsi="宋体" w:cs="宋体" w:hint="eastAsia"/>
          <w:sz w:val="18"/>
          <w:szCs w:val="18"/>
        </w:rPr>
        <w:t>无</w:t>
      </w:r>
    </w:p>
    <w:p w:rsidR="00E23A97" w:rsidRPr="00831C3C" w:rsidRDefault="00903F43">
      <w:pPr>
        <w:keepNext/>
        <w:keepLines/>
        <w:spacing w:before="300" w:after="300" w:line="280" w:lineRule="exact"/>
        <w:outlineLvl w:val="3"/>
        <w:rPr>
          <w:rFonts w:ascii="宋体" w:eastAsia="宋体" w:hAnsi="宋体" w:cs="宋体"/>
          <w:b/>
          <w:bCs/>
          <w:szCs w:val="21"/>
        </w:rPr>
      </w:pPr>
      <w:r w:rsidRPr="00831C3C">
        <w:rPr>
          <w:rFonts w:ascii="宋体" w:eastAsia="宋体" w:hAnsi="宋体" w:cs="宋体"/>
          <w:b/>
          <w:bCs/>
          <w:szCs w:val="21"/>
        </w:rPr>
        <w:t>（2）报告期内账面价值发生的重大变动金额和原因</w:t>
      </w:r>
      <w:bookmarkEnd w:id="265"/>
    </w:p>
    <w:p w:rsidR="00E23A97" w:rsidRPr="00831C3C" w:rsidRDefault="00C65FD5">
      <w:pPr>
        <w:keepNext/>
        <w:keepLines/>
        <w:spacing w:before="300" w:after="300" w:line="280" w:lineRule="exact"/>
        <w:outlineLvl w:val="3"/>
        <w:rPr>
          <w:rFonts w:ascii="宋体" w:eastAsia="宋体" w:hAnsi="宋体" w:cs="宋体"/>
          <w:b/>
          <w:bCs/>
          <w:szCs w:val="21"/>
        </w:rPr>
      </w:pPr>
      <w:bookmarkStart w:id="266" w:name="_Toc989147"/>
      <w:r w:rsidRPr="00831C3C">
        <w:rPr>
          <w:rFonts w:ascii="宋体" w:eastAsia="宋体" w:hAnsi="宋体" w:cs="宋体"/>
          <w:b/>
          <w:bCs/>
          <w:szCs w:val="21"/>
        </w:rPr>
        <w:t>（3）按坏账计提方法分类披露</w:t>
      </w:r>
      <w:bookmarkEnd w:id="266"/>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按预期信用损失一般模型计提坏账准备</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keepNext/>
        <w:keepLines/>
        <w:spacing w:before="300" w:after="300" w:line="280" w:lineRule="exact"/>
        <w:outlineLvl w:val="3"/>
        <w:rPr>
          <w:rFonts w:ascii="宋体" w:eastAsia="宋体" w:hAnsi="宋体" w:cs="宋体"/>
          <w:b/>
          <w:bCs/>
          <w:szCs w:val="21"/>
        </w:rPr>
      </w:pPr>
      <w:bookmarkStart w:id="267" w:name="_Toc989148"/>
      <w:r w:rsidRPr="00831C3C">
        <w:rPr>
          <w:rFonts w:ascii="宋体" w:eastAsia="宋体" w:hAnsi="宋体" w:cs="宋体"/>
          <w:b/>
          <w:bCs/>
          <w:szCs w:val="21"/>
        </w:rPr>
        <w:t>（4）本期计提、收回或转回的坏账准备情况</w:t>
      </w:r>
      <w:bookmarkEnd w:id="267"/>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其中本期坏账准备收回或转回金额重要的：</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lastRenderedPageBreak/>
        <w:t>其他说明：</w:t>
      </w:r>
      <w:r w:rsidR="00903F43" w:rsidRPr="00831C3C">
        <w:rPr>
          <w:rFonts w:ascii="宋体" w:eastAsia="宋体" w:hAnsi="宋体" w:cs="宋体"/>
          <w:sz w:val="18"/>
          <w:szCs w:val="18"/>
        </w:rPr>
        <w:t>无</w:t>
      </w:r>
    </w:p>
    <w:p w:rsidR="00E23A97" w:rsidRPr="00831C3C" w:rsidRDefault="00C65FD5">
      <w:pPr>
        <w:keepNext/>
        <w:keepLines/>
        <w:spacing w:before="300" w:after="300" w:line="280" w:lineRule="exact"/>
        <w:outlineLvl w:val="3"/>
        <w:rPr>
          <w:rFonts w:ascii="宋体" w:eastAsia="宋体" w:hAnsi="宋体" w:cs="宋体"/>
          <w:b/>
          <w:bCs/>
          <w:szCs w:val="21"/>
        </w:rPr>
      </w:pPr>
      <w:bookmarkStart w:id="268" w:name="_Toc989149"/>
      <w:r w:rsidRPr="00831C3C">
        <w:rPr>
          <w:rFonts w:ascii="宋体" w:eastAsia="宋体" w:hAnsi="宋体" w:cs="宋体"/>
          <w:b/>
          <w:bCs/>
          <w:szCs w:val="21"/>
        </w:rPr>
        <w:t>（5）本期实际核销的合同资产情况</w:t>
      </w:r>
      <w:bookmarkEnd w:id="268"/>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其他说明：</w:t>
      </w:r>
      <w:r w:rsidR="00903F43" w:rsidRPr="00831C3C">
        <w:rPr>
          <w:rFonts w:ascii="宋体" w:eastAsia="宋体" w:hAnsi="宋体" w:cs="宋体"/>
          <w:sz w:val="18"/>
          <w:szCs w:val="18"/>
        </w:rPr>
        <w:t>无</w:t>
      </w:r>
    </w:p>
    <w:p w:rsidR="00E23A97" w:rsidRPr="00831C3C" w:rsidRDefault="00C65FD5">
      <w:pPr>
        <w:pStyle w:val="3"/>
        <w:spacing w:line="280" w:lineRule="exact"/>
        <w:jc w:val="left"/>
        <w:rPr>
          <w:rFonts w:ascii="宋体" w:hAnsi="宋体" w:cs="宋体"/>
          <w:b/>
          <w:bCs/>
        </w:rPr>
      </w:pPr>
      <w:bookmarkStart w:id="269" w:name="_Toc989150"/>
      <w:r w:rsidRPr="00831C3C">
        <w:rPr>
          <w:rFonts w:ascii="宋体" w:hAnsi="宋体" w:cs="宋体"/>
          <w:b/>
          <w:bCs/>
        </w:rPr>
        <w:t>7、应收款项融资</w:t>
      </w:r>
      <w:bookmarkEnd w:id="269"/>
    </w:p>
    <w:p w:rsidR="00E23A97" w:rsidRPr="00831C3C" w:rsidRDefault="00C65FD5">
      <w:pPr>
        <w:keepNext/>
        <w:keepLines/>
        <w:spacing w:before="300" w:after="300" w:line="280" w:lineRule="exact"/>
        <w:outlineLvl w:val="3"/>
        <w:rPr>
          <w:rFonts w:ascii="宋体" w:eastAsia="宋体" w:hAnsi="宋体" w:cs="宋体"/>
          <w:b/>
          <w:bCs/>
          <w:szCs w:val="21"/>
        </w:rPr>
      </w:pPr>
      <w:bookmarkStart w:id="270" w:name="_Toc989151"/>
      <w:r w:rsidRPr="00831C3C">
        <w:rPr>
          <w:rFonts w:ascii="宋体" w:eastAsia="宋体" w:hAnsi="宋体" w:cs="宋体"/>
          <w:b/>
          <w:bCs/>
          <w:szCs w:val="21"/>
        </w:rPr>
        <w:t>（1）应收款项融资分类列示</w:t>
      </w:r>
      <w:bookmarkEnd w:id="270"/>
    </w:p>
    <w:p w:rsidR="00E23A97" w:rsidRPr="00831C3C" w:rsidRDefault="00C65FD5">
      <w:pPr>
        <w:keepNext/>
        <w:keepLines/>
        <w:spacing w:before="300" w:after="300" w:line="280" w:lineRule="exact"/>
        <w:outlineLvl w:val="3"/>
        <w:rPr>
          <w:rFonts w:ascii="宋体" w:eastAsia="宋体" w:hAnsi="宋体" w:cs="宋体"/>
          <w:b/>
          <w:bCs/>
          <w:szCs w:val="21"/>
        </w:rPr>
      </w:pPr>
      <w:bookmarkStart w:id="271" w:name="_Toc989152"/>
      <w:r w:rsidRPr="00831C3C">
        <w:rPr>
          <w:rFonts w:ascii="宋体" w:eastAsia="宋体" w:hAnsi="宋体" w:cs="宋体"/>
          <w:b/>
          <w:bCs/>
          <w:szCs w:val="21"/>
        </w:rPr>
        <w:t>（2）按坏账计提方法分类披露</w:t>
      </w:r>
      <w:bookmarkEnd w:id="271"/>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对本期发生损失准备变动的应收款项融资账面余额显著变动的情况说明：</w:t>
      </w:r>
      <w:r w:rsidR="00903F43" w:rsidRPr="00831C3C">
        <w:rPr>
          <w:rFonts w:ascii="宋体" w:eastAsia="宋体" w:hAnsi="宋体" w:cs="宋体"/>
          <w:sz w:val="18"/>
          <w:szCs w:val="18"/>
        </w:rPr>
        <w:t>无</w:t>
      </w:r>
    </w:p>
    <w:p w:rsidR="00E23A97" w:rsidRPr="00831C3C" w:rsidRDefault="00C65FD5">
      <w:pPr>
        <w:keepNext/>
        <w:keepLines/>
        <w:spacing w:before="300" w:after="300" w:line="280" w:lineRule="exact"/>
        <w:outlineLvl w:val="3"/>
        <w:rPr>
          <w:rFonts w:ascii="宋体" w:eastAsia="宋体" w:hAnsi="宋体" w:cs="宋体"/>
          <w:b/>
          <w:bCs/>
          <w:szCs w:val="21"/>
        </w:rPr>
      </w:pPr>
      <w:bookmarkStart w:id="272" w:name="_Toc989153"/>
      <w:r w:rsidRPr="00831C3C">
        <w:rPr>
          <w:rFonts w:ascii="宋体" w:eastAsia="宋体" w:hAnsi="宋体" w:cs="宋体"/>
          <w:b/>
          <w:bCs/>
          <w:szCs w:val="21"/>
        </w:rPr>
        <w:t>（3）本期计提、收回或转回的坏账准备的情况</w:t>
      </w:r>
      <w:bookmarkEnd w:id="272"/>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r w:rsidR="00903F43" w:rsidRPr="00831C3C">
        <w:rPr>
          <w:rFonts w:ascii="宋体" w:eastAsia="宋体" w:hAnsi="宋体" w:cs="宋体"/>
          <w:sz w:val="18"/>
          <w:szCs w:val="18"/>
        </w:rPr>
        <w:t>无</w:t>
      </w:r>
    </w:p>
    <w:p w:rsidR="00E23A97" w:rsidRPr="00831C3C" w:rsidRDefault="00C65FD5">
      <w:pPr>
        <w:keepNext/>
        <w:keepLines/>
        <w:spacing w:before="300" w:after="300" w:line="280" w:lineRule="exact"/>
        <w:outlineLvl w:val="3"/>
        <w:rPr>
          <w:rFonts w:ascii="宋体" w:eastAsia="宋体" w:hAnsi="宋体" w:cs="宋体"/>
          <w:b/>
          <w:bCs/>
          <w:szCs w:val="21"/>
        </w:rPr>
      </w:pPr>
      <w:bookmarkStart w:id="273" w:name="_Toc989154"/>
      <w:r w:rsidRPr="00831C3C">
        <w:rPr>
          <w:rFonts w:ascii="宋体" w:eastAsia="宋体" w:hAnsi="宋体" w:cs="宋体"/>
          <w:b/>
          <w:bCs/>
          <w:szCs w:val="21"/>
        </w:rPr>
        <w:t>（4）期末公司已质押的应收款项融资</w:t>
      </w:r>
      <w:bookmarkEnd w:id="273"/>
    </w:p>
    <w:p w:rsidR="00903F43" w:rsidRPr="00831C3C" w:rsidRDefault="00C65FD5" w:rsidP="00903F43">
      <w:pPr>
        <w:keepNext/>
        <w:keepLines/>
        <w:spacing w:before="300" w:after="300" w:line="280" w:lineRule="exact"/>
        <w:outlineLvl w:val="3"/>
        <w:rPr>
          <w:rFonts w:ascii="宋体" w:eastAsia="宋体" w:hAnsi="宋体" w:cs="宋体"/>
          <w:b/>
          <w:bCs/>
          <w:szCs w:val="21"/>
        </w:rPr>
      </w:pPr>
      <w:bookmarkStart w:id="274" w:name="_Toc989155"/>
      <w:r w:rsidRPr="00831C3C">
        <w:rPr>
          <w:rFonts w:ascii="宋体" w:eastAsia="宋体" w:hAnsi="宋体" w:cs="宋体"/>
          <w:b/>
          <w:bCs/>
          <w:szCs w:val="21"/>
        </w:rPr>
        <w:t>（5）期末公司已背书或贴现且在资产负债表日尚未到期的应收款项融资</w:t>
      </w:r>
      <w:bookmarkStart w:id="275" w:name="_Toc989156"/>
      <w:bookmarkEnd w:id="274"/>
    </w:p>
    <w:p w:rsidR="00E23A97" w:rsidRPr="00831C3C" w:rsidRDefault="00C65FD5" w:rsidP="00903F43">
      <w:pPr>
        <w:keepNext/>
        <w:keepLines/>
        <w:spacing w:before="300" w:after="300" w:line="280" w:lineRule="exact"/>
        <w:outlineLvl w:val="3"/>
        <w:rPr>
          <w:rFonts w:ascii="宋体" w:eastAsia="宋体" w:hAnsi="宋体" w:cs="宋体"/>
          <w:b/>
          <w:bCs/>
          <w:szCs w:val="21"/>
        </w:rPr>
      </w:pPr>
      <w:r w:rsidRPr="00831C3C">
        <w:rPr>
          <w:rFonts w:ascii="宋体" w:eastAsia="宋体" w:hAnsi="宋体" w:cs="宋体"/>
          <w:b/>
          <w:bCs/>
          <w:szCs w:val="21"/>
        </w:rPr>
        <w:t>（6）本期实际核销的应收款项融资情况</w:t>
      </w:r>
      <w:bookmarkEnd w:id="275"/>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核销说明：</w:t>
      </w:r>
      <w:r w:rsidR="00903F43" w:rsidRPr="00831C3C">
        <w:rPr>
          <w:rFonts w:ascii="宋体" w:eastAsia="宋体" w:hAnsi="宋体" w:cs="宋体"/>
          <w:sz w:val="18"/>
          <w:szCs w:val="18"/>
        </w:rPr>
        <w:t>无</w:t>
      </w:r>
    </w:p>
    <w:p w:rsidR="00E23A97" w:rsidRPr="00831C3C" w:rsidRDefault="00C65FD5">
      <w:pPr>
        <w:keepNext/>
        <w:keepLines/>
        <w:spacing w:before="300" w:after="300" w:line="280" w:lineRule="exact"/>
        <w:outlineLvl w:val="3"/>
        <w:rPr>
          <w:rFonts w:ascii="宋体" w:eastAsia="宋体" w:hAnsi="宋体" w:cs="宋体"/>
          <w:b/>
          <w:bCs/>
          <w:szCs w:val="21"/>
        </w:rPr>
      </w:pPr>
      <w:bookmarkStart w:id="276" w:name="_Toc989157"/>
      <w:r w:rsidRPr="00831C3C">
        <w:rPr>
          <w:rFonts w:ascii="宋体" w:eastAsia="宋体" w:hAnsi="宋体" w:cs="宋体"/>
          <w:b/>
          <w:bCs/>
          <w:szCs w:val="21"/>
        </w:rPr>
        <w:t>（7）应收款项融资本期增减变动及公允价值变动情况</w:t>
      </w:r>
      <w:bookmarkEnd w:id="276"/>
    </w:p>
    <w:p w:rsidR="00E23A97" w:rsidRPr="00831C3C" w:rsidRDefault="00C65FD5">
      <w:pPr>
        <w:keepNext/>
        <w:keepLines/>
        <w:spacing w:before="300" w:after="300" w:line="280" w:lineRule="exact"/>
        <w:outlineLvl w:val="3"/>
        <w:rPr>
          <w:rFonts w:ascii="宋体" w:eastAsia="宋体" w:hAnsi="宋体" w:cs="宋体"/>
          <w:b/>
          <w:bCs/>
          <w:szCs w:val="21"/>
        </w:rPr>
      </w:pPr>
      <w:bookmarkStart w:id="277" w:name="_Toc989158"/>
      <w:r w:rsidRPr="00831C3C">
        <w:rPr>
          <w:rFonts w:ascii="宋体" w:eastAsia="宋体" w:hAnsi="宋体" w:cs="宋体"/>
          <w:b/>
          <w:bCs/>
          <w:szCs w:val="21"/>
        </w:rPr>
        <w:t>（8）其他说明</w:t>
      </w:r>
      <w:bookmarkEnd w:id="277"/>
    </w:p>
    <w:p w:rsidR="00E23A97" w:rsidRPr="00831C3C" w:rsidRDefault="00C65FD5">
      <w:pPr>
        <w:pStyle w:val="3"/>
        <w:spacing w:line="280" w:lineRule="exact"/>
        <w:jc w:val="left"/>
        <w:rPr>
          <w:rFonts w:ascii="宋体" w:hAnsi="宋体" w:cs="宋体"/>
          <w:b/>
          <w:bCs/>
        </w:rPr>
      </w:pPr>
      <w:bookmarkStart w:id="278" w:name="_Toc989159"/>
      <w:r w:rsidRPr="00831C3C">
        <w:rPr>
          <w:rFonts w:ascii="宋体" w:hAnsi="宋体" w:cs="宋体"/>
          <w:b/>
          <w:bCs/>
        </w:rPr>
        <w:t>8、其他应收款</w:t>
      </w:r>
      <w:bookmarkEnd w:id="278"/>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其他应收款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175,446,399.19</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231,214,898.67</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175,446,399.19</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231,214,898.67</w:t>
            </w:r>
          </w:p>
        </w:tc>
      </w:tr>
    </w:tbl>
    <w:p w:rsidR="00E23A97" w:rsidRPr="00831C3C" w:rsidRDefault="00C65FD5">
      <w:pPr>
        <w:keepNext/>
        <w:keepLines/>
        <w:spacing w:before="300" w:after="300" w:line="280" w:lineRule="exact"/>
        <w:outlineLvl w:val="3"/>
        <w:rPr>
          <w:rFonts w:ascii="宋体" w:eastAsia="宋体" w:hAnsi="宋体" w:cs="宋体"/>
          <w:b/>
          <w:bCs/>
          <w:szCs w:val="21"/>
        </w:rPr>
      </w:pPr>
      <w:bookmarkStart w:id="279" w:name="_Toc989160"/>
      <w:r w:rsidRPr="00831C3C">
        <w:rPr>
          <w:rFonts w:ascii="宋体" w:eastAsia="宋体" w:hAnsi="宋体" w:cs="宋体"/>
          <w:b/>
          <w:bCs/>
          <w:szCs w:val="21"/>
        </w:rPr>
        <w:t>（1）应收利息</w:t>
      </w:r>
      <w:bookmarkEnd w:id="279"/>
    </w:p>
    <w:p w:rsidR="00E23A97" w:rsidRPr="00831C3C" w:rsidRDefault="00C65FD5">
      <w:pPr>
        <w:keepNext/>
        <w:keepLines/>
        <w:spacing w:before="300" w:after="300" w:line="280" w:lineRule="exact"/>
        <w:outlineLvl w:val="4"/>
        <w:rPr>
          <w:rFonts w:ascii="宋体" w:eastAsia="宋体" w:hAnsi="宋体" w:cs="宋体"/>
          <w:b/>
          <w:bCs/>
          <w:szCs w:val="21"/>
        </w:rPr>
      </w:pPr>
      <w:bookmarkStart w:id="280" w:name="_Toc989161"/>
      <w:r w:rsidRPr="00831C3C">
        <w:rPr>
          <w:rFonts w:ascii="宋体" w:eastAsia="宋体" w:hAnsi="宋体" w:cs="宋体"/>
          <w:b/>
          <w:bCs/>
          <w:szCs w:val="21"/>
        </w:rPr>
        <w:t>1）应收利息分类</w:t>
      </w:r>
      <w:bookmarkEnd w:id="280"/>
    </w:p>
    <w:p w:rsidR="00E23A97" w:rsidRPr="00831C3C" w:rsidRDefault="00C65FD5">
      <w:pPr>
        <w:keepNext/>
        <w:keepLines/>
        <w:spacing w:before="300" w:after="300" w:line="280" w:lineRule="exact"/>
        <w:outlineLvl w:val="4"/>
        <w:rPr>
          <w:rFonts w:ascii="宋体" w:eastAsia="宋体" w:hAnsi="宋体" w:cs="宋体"/>
          <w:b/>
          <w:bCs/>
          <w:szCs w:val="21"/>
        </w:rPr>
      </w:pPr>
      <w:bookmarkStart w:id="281" w:name="_Toc989162"/>
      <w:r w:rsidRPr="00831C3C">
        <w:rPr>
          <w:rFonts w:ascii="宋体" w:eastAsia="宋体" w:hAnsi="宋体" w:cs="宋体"/>
          <w:b/>
          <w:bCs/>
          <w:szCs w:val="21"/>
        </w:rPr>
        <w:t>2）重要逾期利息</w:t>
      </w:r>
      <w:bookmarkEnd w:id="281"/>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r w:rsidR="00903F43" w:rsidRPr="00831C3C">
        <w:rPr>
          <w:rFonts w:ascii="宋体" w:eastAsia="宋体" w:hAnsi="宋体" w:cs="宋体"/>
          <w:sz w:val="18"/>
          <w:szCs w:val="18"/>
        </w:rPr>
        <w:t>无</w:t>
      </w:r>
    </w:p>
    <w:p w:rsidR="00C65FD5" w:rsidRPr="00831C3C" w:rsidRDefault="00C65FD5">
      <w:pPr>
        <w:divId w:val="904995944"/>
        <w:rPr>
          <w:sz w:val="18"/>
          <w:szCs w:val="18"/>
        </w:rPr>
      </w:pPr>
    </w:p>
    <w:p w:rsidR="00E23A97" w:rsidRPr="00831C3C" w:rsidRDefault="00C65FD5">
      <w:pPr>
        <w:keepNext/>
        <w:keepLines/>
        <w:spacing w:before="300" w:after="300" w:line="280" w:lineRule="exact"/>
        <w:outlineLvl w:val="4"/>
        <w:rPr>
          <w:rFonts w:ascii="宋体" w:eastAsia="宋体" w:hAnsi="宋体" w:cs="宋体"/>
          <w:b/>
          <w:bCs/>
          <w:szCs w:val="21"/>
        </w:rPr>
      </w:pPr>
      <w:bookmarkStart w:id="282" w:name="_Toc989163"/>
      <w:r w:rsidRPr="00831C3C">
        <w:rPr>
          <w:rFonts w:ascii="宋体" w:eastAsia="宋体" w:hAnsi="宋体" w:cs="宋体"/>
          <w:b/>
          <w:bCs/>
          <w:szCs w:val="21"/>
        </w:rPr>
        <w:lastRenderedPageBreak/>
        <w:t>3）按坏账计提方法分类披露</w:t>
      </w:r>
      <w:bookmarkEnd w:id="282"/>
    </w:p>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适用□不适用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损失准备本期变动金额重大的账面余额变动情况</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keepNext/>
        <w:keepLines/>
        <w:spacing w:before="300" w:after="300" w:line="280" w:lineRule="exact"/>
        <w:outlineLvl w:val="4"/>
        <w:rPr>
          <w:rFonts w:ascii="宋体" w:eastAsia="宋体" w:hAnsi="宋体" w:cs="宋体"/>
          <w:b/>
          <w:bCs/>
          <w:sz w:val="18"/>
          <w:szCs w:val="18"/>
        </w:rPr>
      </w:pPr>
      <w:bookmarkStart w:id="283" w:name="_Toc989164"/>
      <w:r w:rsidRPr="00831C3C">
        <w:rPr>
          <w:rFonts w:ascii="宋体" w:eastAsia="宋体" w:hAnsi="宋体" w:cs="宋体"/>
          <w:b/>
          <w:bCs/>
          <w:sz w:val="18"/>
          <w:szCs w:val="18"/>
        </w:rPr>
        <w:t>4）本期计提、收回或转回的坏账准备的情况</w:t>
      </w:r>
      <w:bookmarkEnd w:id="283"/>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r w:rsidR="00903F43" w:rsidRPr="00831C3C">
        <w:rPr>
          <w:rFonts w:ascii="宋体" w:eastAsia="宋体" w:hAnsi="宋体" w:cs="宋体"/>
          <w:sz w:val="18"/>
          <w:szCs w:val="18"/>
        </w:rPr>
        <w:t>无</w:t>
      </w:r>
    </w:p>
    <w:p w:rsidR="00E23A97" w:rsidRPr="00831C3C" w:rsidRDefault="00C65FD5">
      <w:pPr>
        <w:keepNext/>
        <w:keepLines/>
        <w:spacing w:before="300" w:after="300" w:line="280" w:lineRule="exact"/>
        <w:outlineLvl w:val="4"/>
        <w:rPr>
          <w:rFonts w:ascii="宋体" w:eastAsia="宋体" w:hAnsi="宋体" w:cs="宋体"/>
          <w:b/>
          <w:bCs/>
          <w:sz w:val="18"/>
          <w:szCs w:val="18"/>
        </w:rPr>
      </w:pPr>
      <w:bookmarkStart w:id="284" w:name="_Toc989165"/>
      <w:r w:rsidRPr="00831C3C">
        <w:rPr>
          <w:rFonts w:ascii="宋体" w:eastAsia="宋体" w:hAnsi="宋体" w:cs="宋体"/>
          <w:b/>
          <w:bCs/>
          <w:sz w:val="18"/>
          <w:szCs w:val="18"/>
        </w:rPr>
        <w:t>5）本期实际核销的应收利息情况</w:t>
      </w:r>
      <w:bookmarkEnd w:id="284"/>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核销说明：</w:t>
      </w:r>
      <w:r w:rsidR="00903F43" w:rsidRPr="00831C3C">
        <w:rPr>
          <w:rFonts w:ascii="宋体" w:eastAsia="宋体" w:hAnsi="宋体" w:cs="宋体"/>
          <w:sz w:val="18"/>
          <w:szCs w:val="18"/>
        </w:rPr>
        <w:t>无</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r w:rsidR="00903F43" w:rsidRPr="00831C3C">
        <w:rPr>
          <w:rFonts w:ascii="宋体" w:eastAsia="宋体" w:hAnsi="宋体" w:cs="宋体"/>
          <w:sz w:val="18"/>
          <w:szCs w:val="18"/>
        </w:rPr>
        <w:t>无</w:t>
      </w:r>
    </w:p>
    <w:p w:rsidR="00E23A97" w:rsidRPr="00831C3C" w:rsidRDefault="00C65FD5">
      <w:pPr>
        <w:keepNext/>
        <w:keepLines/>
        <w:spacing w:before="300" w:after="300" w:line="280" w:lineRule="exact"/>
        <w:outlineLvl w:val="3"/>
        <w:rPr>
          <w:rFonts w:ascii="宋体" w:eastAsia="宋体" w:hAnsi="宋体" w:cs="宋体"/>
          <w:b/>
          <w:bCs/>
          <w:szCs w:val="21"/>
        </w:rPr>
      </w:pPr>
      <w:bookmarkStart w:id="285" w:name="_Toc989166"/>
      <w:r w:rsidRPr="00831C3C">
        <w:rPr>
          <w:rFonts w:ascii="宋体" w:eastAsia="宋体" w:hAnsi="宋体" w:cs="宋体"/>
          <w:b/>
          <w:bCs/>
          <w:szCs w:val="21"/>
        </w:rPr>
        <w:t>（2）应收股利</w:t>
      </w:r>
      <w:bookmarkEnd w:id="285"/>
    </w:p>
    <w:p w:rsidR="00E23A97" w:rsidRPr="00831C3C" w:rsidRDefault="00C65FD5">
      <w:pPr>
        <w:keepNext/>
        <w:keepLines/>
        <w:spacing w:before="300" w:after="300" w:line="280" w:lineRule="exact"/>
        <w:outlineLvl w:val="4"/>
        <w:rPr>
          <w:rFonts w:ascii="宋体" w:eastAsia="宋体" w:hAnsi="宋体" w:cs="宋体"/>
          <w:b/>
          <w:bCs/>
          <w:szCs w:val="21"/>
        </w:rPr>
      </w:pPr>
      <w:bookmarkStart w:id="286" w:name="_Toc989167"/>
      <w:r w:rsidRPr="00831C3C">
        <w:rPr>
          <w:rFonts w:ascii="宋体" w:eastAsia="宋体" w:hAnsi="宋体" w:cs="宋体"/>
          <w:b/>
          <w:bCs/>
          <w:szCs w:val="21"/>
        </w:rPr>
        <w:t>1）应收股利分类</w:t>
      </w:r>
      <w:bookmarkEnd w:id="286"/>
    </w:p>
    <w:p w:rsidR="00E23A97" w:rsidRPr="00831C3C" w:rsidRDefault="00C65FD5">
      <w:pPr>
        <w:keepNext/>
        <w:keepLines/>
        <w:spacing w:before="300" w:after="300" w:line="280" w:lineRule="exact"/>
        <w:outlineLvl w:val="4"/>
        <w:rPr>
          <w:rFonts w:ascii="宋体" w:eastAsia="宋体" w:hAnsi="宋体" w:cs="宋体"/>
          <w:b/>
          <w:bCs/>
          <w:szCs w:val="21"/>
        </w:rPr>
      </w:pPr>
      <w:bookmarkStart w:id="287" w:name="_Toc989168"/>
      <w:r w:rsidRPr="00831C3C">
        <w:rPr>
          <w:rFonts w:ascii="宋体" w:eastAsia="宋体" w:hAnsi="宋体" w:cs="宋体"/>
          <w:b/>
          <w:bCs/>
          <w:szCs w:val="21"/>
        </w:rPr>
        <w:t>2）重要的账龄超过1年的应收股利</w:t>
      </w:r>
      <w:bookmarkEnd w:id="287"/>
    </w:p>
    <w:p w:rsidR="00E23A97" w:rsidRPr="00831C3C" w:rsidRDefault="00C65FD5">
      <w:pPr>
        <w:keepNext/>
        <w:keepLines/>
        <w:spacing w:before="300" w:after="300" w:line="280" w:lineRule="exact"/>
        <w:outlineLvl w:val="4"/>
        <w:rPr>
          <w:rFonts w:ascii="宋体" w:eastAsia="宋体" w:hAnsi="宋体" w:cs="宋体"/>
          <w:b/>
          <w:bCs/>
          <w:szCs w:val="21"/>
        </w:rPr>
      </w:pPr>
      <w:bookmarkStart w:id="288" w:name="_Toc989169"/>
      <w:r w:rsidRPr="00831C3C">
        <w:rPr>
          <w:rFonts w:ascii="宋体" w:eastAsia="宋体" w:hAnsi="宋体" w:cs="宋体"/>
          <w:b/>
          <w:bCs/>
          <w:szCs w:val="21"/>
        </w:rPr>
        <w:t>3）按坏账计提方法分类披露</w:t>
      </w:r>
      <w:bookmarkEnd w:id="288"/>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keepNext/>
        <w:keepLines/>
        <w:spacing w:before="300" w:after="300" w:line="280" w:lineRule="exact"/>
        <w:outlineLvl w:val="4"/>
        <w:rPr>
          <w:rFonts w:ascii="宋体" w:eastAsia="宋体" w:hAnsi="宋体" w:cs="宋体"/>
          <w:b/>
          <w:bCs/>
          <w:szCs w:val="21"/>
        </w:rPr>
      </w:pPr>
      <w:bookmarkStart w:id="289" w:name="_Toc989170"/>
      <w:r w:rsidRPr="00831C3C">
        <w:rPr>
          <w:rFonts w:ascii="宋体" w:eastAsia="宋体" w:hAnsi="宋体" w:cs="宋体"/>
          <w:b/>
          <w:bCs/>
          <w:szCs w:val="21"/>
        </w:rPr>
        <w:t>4）本期计提、收回或转回的坏账准备的情况</w:t>
      </w:r>
      <w:bookmarkEnd w:id="289"/>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r w:rsidR="00903F43" w:rsidRPr="00831C3C">
        <w:rPr>
          <w:rFonts w:ascii="宋体" w:eastAsia="宋体" w:hAnsi="宋体" w:cs="宋体"/>
          <w:sz w:val="18"/>
          <w:szCs w:val="18"/>
        </w:rPr>
        <w:t>无</w:t>
      </w:r>
    </w:p>
    <w:p w:rsidR="00E23A97" w:rsidRPr="00831C3C" w:rsidRDefault="00C65FD5">
      <w:pPr>
        <w:keepNext/>
        <w:keepLines/>
        <w:spacing w:before="300" w:after="300" w:line="280" w:lineRule="exact"/>
        <w:outlineLvl w:val="4"/>
        <w:rPr>
          <w:rFonts w:ascii="宋体" w:eastAsia="宋体" w:hAnsi="宋体" w:cs="宋体"/>
          <w:b/>
          <w:bCs/>
          <w:szCs w:val="21"/>
        </w:rPr>
      </w:pPr>
      <w:bookmarkStart w:id="290" w:name="_Toc989171"/>
      <w:r w:rsidRPr="00831C3C">
        <w:rPr>
          <w:rFonts w:ascii="宋体" w:eastAsia="宋体" w:hAnsi="宋体" w:cs="宋体"/>
          <w:b/>
          <w:bCs/>
          <w:szCs w:val="21"/>
        </w:rPr>
        <w:t>5）本期实际核销的应收股利情况</w:t>
      </w:r>
      <w:bookmarkEnd w:id="290"/>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r w:rsidR="00903F43" w:rsidRPr="00831C3C">
        <w:rPr>
          <w:rFonts w:ascii="宋体" w:eastAsia="宋体" w:hAnsi="宋体" w:cs="宋体"/>
          <w:sz w:val="18"/>
          <w:szCs w:val="18"/>
        </w:rPr>
        <w:t>无</w:t>
      </w:r>
    </w:p>
    <w:p w:rsidR="00E23A97" w:rsidRPr="00831C3C" w:rsidRDefault="00C65FD5">
      <w:pPr>
        <w:keepNext/>
        <w:keepLines/>
        <w:spacing w:before="300" w:after="300" w:line="280" w:lineRule="exact"/>
        <w:outlineLvl w:val="3"/>
        <w:rPr>
          <w:rFonts w:ascii="宋体" w:eastAsia="宋体" w:hAnsi="宋体" w:cs="宋体"/>
          <w:b/>
          <w:bCs/>
          <w:szCs w:val="21"/>
        </w:rPr>
      </w:pPr>
      <w:bookmarkStart w:id="291" w:name="_Toc989172"/>
      <w:r w:rsidRPr="00831C3C">
        <w:rPr>
          <w:rFonts w:ascii="宋体" w:eastAsia="宋体" w:hAnsi="宋体" w:cs="宋体"/>
          <w:b/>
          <w:bCs/>
          <w:szCs w:val="21"/>
        </w:rPr>
        <w:t>（3）其他应收款</w:t>
      </w:r>
      <w:bookmarkEnd w:id="291"/>
    </w:p>
    <w:p w:rsidR="00E23A97" w:rsidRPr="00831C3C" w:rsidRDefault="00C65FD5">
      <w:pPr>
        <w:keepNext/>
        <w:keepLines/>
        <w:spacing w:before="300" w:after="300" w:line="280" w:lineRule="exact"/>
        <w:outlineLvl w:val="4"/>
        <w:rPr>
          <w:rFonts w:ascii="宋体" w:eastAsia="宋体" w:hAnsi="宋体" w:cs="宋体"/>
          <w:b/>
          <w:bCs/>
          <w:szCs w:val="21"/>
        </w:rPr>
      </w:pPr>
      <w:bookmarkStart w:id="292" w:name="_Toc989173"/>
      <w:r w:rsidRPr="00831C3C">
        <w:rPr>
          <w:rFonts w:ascii="宋体" w:eastAsia="宋体" w:hAnsi="宋体" w:cs="宋体"/>
          <w:b/>
          <w:bCs/>
          <w:szCs w:val="21"/>
        </w:rPr>
        <w:t>1）其他应收款按款项性质分类情况</w:t>
      </w:r>
      <w:bookmarkEnd w:id="292"/>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款项性质</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期末账面余额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期初账面余额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关联方往来</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23,380,253.38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22,485,247.08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保证金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14,041,045.16</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15,937,495.49</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押金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1,757,631.27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1,589,318.94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备用金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55,210.49</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27,131.00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员工借款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1,702,097.93</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3,035,731.00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政府补助</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151,241,364.94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205,694,481.34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应收出口退税款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788,619.95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906,223.77</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代付款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11,905,956.67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8,384,586.34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其他单位往来款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62,529,912.20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54,371,345.02</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固定资产转让款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40,690,000.00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股权转让款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30,070,000.00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35,886,000.00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lastRenderedPageBreak/>
              <w:t>其他</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19,890,780.15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6,511,563.64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坏账准备</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-141,916,472.95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-164,304,224.95</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175,446,399.19</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231,214,898.67</w:t>
            </w:r>
          </w:p>
        </w:tc>
      </w:tr>
    </w:tbl>
    <w:p w:rsidR="00E23A97" w:rsidRPr="00831C3C" w:rsidRDefault="00C65FD5">
      <w:pPr>
        <w:keepNext/>
        <w:keepLines/>
        <w:spacing w:before="300" w:after="300" w:line="280" w:lineRule="exact"/>
        <w:outlineLvl w:val="4"/>
        <w:rPr>
          <w:rFonts w:ascii="宋体" w:eastAsia="宋体" w:hAnsi="宋体" w:cs="宋体"/>
          <w:b/>
          <w:bCs/>
          <w:szCs w:val="21"/>
        </w:rPr>
      </w:pPr>
      <w:bookmarkStart w:id="293" w:name="_Toc989174"/>
      <w:r w:rsidRPr="00831C3C">
        <w:rPr>
          <w:rFonts w:ascii="宋体" w:eastAsia="宋体" w:hAnsi="宋体" w:cs="宋体"/>
          <w:b/>
          <w:bCs/>
          <w:szCs w:val="21"/>
        </w:rPr>
        <w:t>2）</w:t>
      </w:r>
      <w:proofErr w:type="gramStart"/>
      <w:r w:rsidRPr="00831C3C">
        <w:rPr>
          <w:rFonts w:ascii="宋体" w:eastAsia="宋体" w:hAnsi="宋体" w:cs="宋体"/>
          <w:b/>
          <w:bCs/>
          <w:szCs w:val="21"/>
        </w:rPr>
        <w:t>按账龄</w:t>
      </w:r>
      <w:proofErr w:type="gramEnd"/>
      <w:r w:rsidRPr="00831C3C">
        <w:rPr>
          <w:rFonts w:ascii="宋体" w:eastAsia="宋体" w:hAnsi="宋体" w:cs="宋体"/>
          <w:b/>
          <w:bCs/>
          <w:szCs w:val="21"/>
        </w:rPr>
        <w:t>披露</w:t>
      </w:r>
      <w:bookmarkEnd w:id="293"/>
    </w:p>
    <w:p w:rsidR="00E23A97" w:rsidRPr="00831C3C" w:rsidRDefault="00C65FD5">
      <w:pPr>
        <w:spacing w:before="120" w:after="12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账龄</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期末账面余额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期初账面余额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1年以内（含1年）</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111,357,145.75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215,157,253.73</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1至2年</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48,769,192.97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51,412,638.68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2至3年</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36,553,216.50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12,618,290.37</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3年以上</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120,683,316.92</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116,330,940.84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3至4年</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11,453,643.13</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13,572,163.43</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4至5年</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12,240,258.51</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83,000.00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5年以上</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96,989,415.28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102,675,777.41</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317,362,872.14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395,519,123.62</w:t>
            </w:r>
          </w:p>
        </w:tc>
      </w:tr>
    </w:tbl>
    <w:p w:rsidR="00E23A97" w:rsidRPr="00831C3C" w:rsidRDefault="00C65FD5">
      <w:pPr>
        <w:keepNext/>
        <w:keepLines/>
        <w:spacing w:before="300" w:after="300" w:line="280" w:lineRule="exact"/>
        <w:outlineLvl w:val="4"/>
        <w:rPr>
          <w:rFonts w:ascii="宋体" w:eastAsia="宋体" w:hAnsi="宋体" w:cs="宋体"/>
          <w:b/>
          <w:bCs/>
          <w:szCs w:val="21"/>
        </w:rPr>
      </w:pPr>
      <w:bookmarkStart w:id="294" w:name="_Toc989175"/>
      <w:r w:rsidRPr="00831C3C">
        <w:rPr>
          <w:rFonts w:ascii="宋体" w:eastAsia="宋体" w:hAnsi="宋体" w:cs="宋体"/>
          <w:b/>
          <w:bCs/>
          <w:szCs w:val="21"/>
        </w:rPr>
        <w:t>3）按坏账计提方法分类披露</w:t>
      </w:r>
      <w:bookmarkEnd w:id="294"/>
    </w:p>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适用□不适用</w:t>
      </w:r>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875"/>
        <w:gridCol w:w="876"/>
        <w:gridCol w:w="877"/>
        <w:gridCol w:w="876"/>
        <w:gridCol w:w="877"/>
        <w:gridCol w:w="876"/>
        <w:gridCol w:w="876"/>
        <w:gridCol w:w="877"/>
        <w:gridCol w:w="876"/>
        <w:gridCol w:w="877"/>
        <w:gridCol w:w="876"/>
      </w:tblGrid>
      <w:tr w:rsidR="00831C3C" w:rsidRPr="00831C3C">
        <w:trPr>
          <w:trHeight w:val="240"/>
        </w:trPr>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类别</w:t>
            </w:r>
          </w:p>
        </w:tc>
        <w:tc>
          <w:tcPr>
            <w:tcW w:w="4381"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4381"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r>
      <w:tr w:rsidR="00831C3C" w:rsidRPr="00831C3C">
        <w:trPr>
          <w:trHeight w:val="240"/>
        </w:trPr>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账面余额</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坏账准备</w:t>
            </w:r>
          </w:p>
        </w:tc>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账面价值</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账面余额</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坏账准备</w:t>
            </w:r>
          </w:p>
        </w:tc>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账面价值</w:t>
            </w:r>
          </w:p>
        </w:tc>
      </w:tr>
      <w:tr w:rsidR="00831C3C" w:rsidRPr="00831C3C">
        <w:trPr>
          <w:trHeight w:val="240"/>
        </w:trPr>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比例</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计提比例</w:t>
            </w:r>
          </w:p>
        </w:tc>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比例</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计提比例</w:t>
            </w:r>
          </w:p>
        </w:tc>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按单项计提坏账准备</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26,202,606.73</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8.26%</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26,202,606.73</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0.00</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23,028,606.73</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5.82%</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23,028,606.73</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其中：</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按组合计提坏账准备</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291,160,265.41</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91.74%</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115,713,866.22</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39.74%</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175,446,399.19</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372,490,516.89</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94.18%</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141,275,618.22</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37.93%</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231,214,898.67</w:t>
            </w:r>
          </w:p>
        </w:tc>
      </w:tr>
      <w:tr w:rsidR="00831C3C" w:rsidRPr="00831C3C">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其中：</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预期信用风险组合</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118,060,280.52</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40.55%</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32,733,760.29</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27.73%</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85,326,520.23</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143,003,811.78</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38.39%</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25,866,123.26</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18.09%</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117,137,688.52</w:t>
            </w:r>
          </w:p>
        </w:tc>
      </w:tr>
      <w:tr w:rsidR="00831C3C" w:rsidRPr="00831C3C">
        <w:trPr>
          <w:trHeight w:val="240"/>
        </w:trPr>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应收财政款组合</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151,241,364.94</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51.94%</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82,980,105.93</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54.87%</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68,261,259.01</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205,694,481.34</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55.22%</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115,409,494.96</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56.11%</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90,284,986.38</w:t>
            </w:r>
          </w:p>
        </w:tc>
      </w:tr>
      <w:tr w:rsidR="00831C3C" w:rsidRPr="00831C3C">
        <w:trPr>
          <w:trHeight w:val="240"/>
        </w:trPr>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性质组合</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21,858,619.95</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7.51%</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21,858,619.95</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23,792,223.77</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6.39%</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23,792,223.77</w:t>
            </w:r>
          </w:p>
        </w:tc>
      </w:tr>
      <w:tr w:rsidR="00831C3C" w:rsidRPr="00831C3C">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317,362,872.14</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141,916,472.95</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44.72%</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175,446,399.19</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395,519,123.62</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164,304,224.95</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41.54%</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231,214,898.67</w:t>
            </w:r>
          </w:p>
        </w:tc>
      </w:tr>
    </w:tbl>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按单项计提坏账准备：</w:t>
      </w:r>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31C3C" w:rsidRPr="00831C3C">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名称</w:t>
            </w:r>
          </w:p>
        </w:tc>
        <w:tc>
          <w:tcPr>
            <w:tcW w:w="275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c>
          <w:tcPr>
            <w:tcW w:w="5508"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r>
      <w:tr w:rsidR="00831C3C" w:rsidRPr="00831C3C">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坏账准备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坏账准备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计提比例</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计提理由</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宁波欧励实业有限公司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21,420,807.07</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21,420,807.07</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21,420,807.07</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21,420,807.07</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预计无法收回</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新疆福润盈贸易有限公司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3,800,000.00</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3,800,000.00</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预计无法收回</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青岛锦晟棉业有限公司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762,314.41</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762,314.41</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762,314.41</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762,314.41</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预计无法收回</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光通天</w:t>
            </w:r>
            <w:proofErr w:type="gramStart"/>
            <w:r w:rsidRPr="00831C3C">
              <w:rPr>
                <w:rFonts w:ascii="宋体" w:eastAsia="宋体" w:hAnsi="宋体" w:cs="宋体"/>
                <w:sz w:val="18"/>
                <w:szCs w:val="18"/>
              </w:rPr>
              <w:t>下网络</w:t>
            </w:r>
            <w:proofErr w:type="gramEnd"/>
            <w:r w:rsidRPr="00831C3C">
              <w:rPr>
                <w:rFonts w:ascii="宋体" w:eastAsia="宋体" w:hAnsi="宋体" w:cs="宋体"/>
                <w:sz w:val="18"/>
                <w:szCs w:val="18"/>
              </w:rPr>
              <w:t>科技有限公司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795,485.25</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795,485.25</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169,485.25</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169,485.25</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预计无法收回</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沙雅县雅</w:t>
            </w:r>
            <w:proofErr w:type="gramStart"/>
            <w:r w:rsidRPr="00831C3C">
              <w:rPr>
                <w:rFonts w:ascii="宋体" w:eastAsia="宋体" w:hAnsi="宋体" w:cs="宋体"/>
                <w:sz w:val="18"/>
                <w:szCs w:val="18"/>
              </w:rPr>
              <w:t>鑫</w:t>
            </w:r>
            <w:proofErr w:type="gramEnd"/>
            <w:r w:rsidRPr="00831C3C">
              <w:rPr>
                <w:rFonts w:ascii="宋体" w:eastAsia="宋体" w:hAnsi="宋体" w:cs="宋体"/>
                <w:sz w:val="18"/>
                <w:szCs w:val="18"/>
              </w:rPr>
              <w:t>农业综合开发有限公司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50,000.00</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50,000.00</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50,000.00</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50,000.00</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预计无法收回</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23,028,606.73</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23,028,606.73</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26,202,606.73</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26,202,606.73</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bl>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按组合计提坏账准备：预期信用风险组合</w:t>
      </w:r>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31C3C" w:rsidRPr="00831C3C">
        <w:trPr>
          <w:trHeight w:val="240"/>
        </w:trPr>
        <w:tc>
          <w:tcPr>
            <w:tcW w:w="241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名称</w:t>
            </w:r>
          </w:p>
        </w:tc>
        <w:tc>
          <w:tcPr>
            <w:tcW w:w="7229"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r>
      <w:tr w:rsidR="00831C3C" w:rsidRPr="00831C3C">
        <w:trPr>
          <w:trHeight w:val="240"/>
        </w:trPr>
        <w:tc>
          <w:tcPr>
            <w:tcW w:w="241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坏账准备</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计提比例</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1年以内</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51,686,901.59</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2,584,345.11</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5.00%</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1－2年</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20,241,956.12</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2,024,195.61</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2－3年</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12,289,162.49</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2,457,832.50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20.00%</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3－4年</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11,453,643.13</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5,726,821.58</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50.00%</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4－5年</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12,240,258.51</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9,792,206.80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80.00%</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5年以上</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10,148,358.68</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10,148,358.69</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118,060,280.52</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32,733,760.29</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确定该组合依据的说明：</w:t>
      </w:r>
      <w:r w:rsidR="00903F43" w:rsidRPr="00831C3C">
        <w:rPr>
          <w:rFonts w:ascii="宋体" w:eastAsia="宋体" w:hAnsi="宋体" w:cs="宋体"/>
          <w:sz w:val="18"/>
          <w:szCs w:val="18"/>
        </w:rPr>
        <w:t>无</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按组合计提坏账准备：应收财政款组合</w:t>
      </w:r>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31C3C" w:rsidRPr="00831C3C">
        <w:trPr>
          <w:trHeight w:val="240"/>
        </w:trPr>
        <w:tc>
          <w:tcPr>
            <w:tcW w:w="241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名称</w:t>
            </w:r>
          </w:p>
        </w:tc>
        <w:tc>
          <w:tcPr>
            <w:tcW w:w="7229"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r>
      <w:tr w:rsidR="00831C3C" w:rsidRPr="00831C3C">
        <w:trPr>
          <w:trHeight w:val="240"/>
        </w:trPr>
        <w:tc>
          <w:tcPr>
            <w:tcW w:w="241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坏账准备</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计提比例</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1年以内</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58,881,624.21</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2,944,081.20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5.00%</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1－2年,</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3,487,751.60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348,775.16</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2－3年</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2,080,932.53</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416,186.51</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20.00%</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3－4年</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4－5年</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37,599,967.71</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30,079,974.17</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80.00%</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5年以上</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49,191,088.89</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49,191,088.89</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151,241,364.94</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82,980,105.93</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确定该组合依据的说明：</w:t>
      </w:r>
      <w:r w:rsidR="00903F43" w:rsidRPr="00831C3C">
        <w:rPr>
          <w:rFonts w:ascii="宋体" w:eastAsia="宋体" w:hAnsi="宋体" w:cs="宋体"/>
          <w:sz w:val="18"/>
          <w:szCs w:val="18"/>
        </w:rPr>
        <w:t>无</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按组合计提坏账准备：性质组合</w:t>
      </w:r>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31C3C" w:rsidRPr="00831C3C">
        <w:trPr>
          <w:trHeight w:val="240"/>
        </w:trPr>
        <w:tc>
          <w:tcPr>
            <w:tcW w:w="241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名称</w:t>
            </w:r>
          </w:p>
        </w:tc>
        <w:tc>
          <w:tcPr>
            <w:tcW w:w="7229"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r>
      <w:tr w:rsidR="00831C3C" w:rsidRPr="00831C3C">
        <w:trPr>
          <w:trHeight w:val="240"/>
        </w:trPr>
        <w:tc>
          <w:tcPr>
            <w:tcW w:w="241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坏账准备</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计提比例</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转让博忆股权</w:t>
            </w:r>
            <w:proofErr w:type="gramEnd"/>
            <w:r w:rsidRPr="00831C3C">
              <w:rPr>
                <w:rFonts w:ascii="宋体" w:eastAsia="宋体" w:hAnsi="宋体" w:cs="宋体"/>
                <w:sz w:val="18"/>
                <w:szCs w:val="18"/>
              </w:rPr>
              <w:t>款（说明1）</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21,070,000.00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出口退税</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788,619.95</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21,858,619.95</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确定该组合依据的说明：</w:t>
      </w:r>
    </w:p>
    <w:p w:rsidR="00C65FD5" w:rsidRPr="00831C3C" w:rsidRDefault="00C65FD5" w:rsidP="00903F43">
      <w:pPr>
        <w:pStyle w:val="a3"/>
        <w:spacing w:before="120" w:beforeAutospacing="0" w:after="0" w:afterAutospacing="0"/>
        <w:ind w:firstLine="420"/>
        <w:jc w:val="both"/>
        <w:divId w:val="1561554032"/>
        <w:rPr>
          <w:rFonts w:asciiTheme="minorEastAsia" w:eastAsiaTheme="minorEastAsia" w:hAnsiTheme="minorEastAsia"/>
          <w:bCs/>
          <w:sz w:val="18"/>
          <w:szCs w:val="18"/>
        </w:rPr>
      </w:pPr>
      <w:r w:rsidRPr="00831C3C">
        <w:rPr>
          <w:rFonts w:asciiTheme="minorEastAsia" w:eastAsiaTheme="minorEastAsia" w:hAnsiTheme="minorEastAsia" w:hint="eastAsia"/>
          <w:bCs/>
          <w:sz w:val="18"/>
          <w:szCs w:val="18"/>
        </w:rPr>
        <w:t>说明</w:t>
      </w:r>
      <w:r w:rsidRPr="00831C3C">
        <w:rPr>
          <w:rFonts w:asciiTheme="minorEastAsia" w:eastAsiaTheme="minorEastAsia" w:hAnsiTheme="minorEastAsia" w:cs="Times New Roman"/>
          <w:bCs/>
          <w:sz w:val="18"/>
          <w:szCs w:val="18"/>
        </w:rPr>
        <w:t>1</w:t>
      </w:r>
      <w:r w:rsidRPr="00831C3C">
        <w:rPr>
          <w:rFonts w:asciiTheme="minorEastAsia" w:eastAsiaTheme="minorEastAsia" w:hAnsiTheme="minorEastAsia" w:hint="eastAsia"/>
          <w:bCs/>
          <w:sz w:val="18"/>
          <w:szCs w:val="18"/>
        </w:rPr>
        <w:t>：</w:t>
      </w:r>
      <w:r w:rsidRPr="00831C3C">
        <w:rPr>
          <w:rFonts w:asciiTheme="minorEastAsia" w:eastAsiaTheme="minorEastAsia" w:hAnsiTheme="minorEastAsia" w:cs="Times New Roman"/>
          <w:bCs/>
          <w:sz w:val="18"/>
          <w:szCs w:val="18"/>
        </w:rPr>
        <w:t>2023</w:t>
      </w:r>
      <w:r w:rsidRPr="00831C3C">
        <w:rPr>
          <w:rFonts w:asciiTheme="minorEastAsia" w:eastAsiaTheme="minorEastAsia" w:hAnsiTheme="minorEastAsia" w:hint="eastAsia"/>
          <w:bCs/>
          <w:sz w:val="18"/>
          <w:szCs w:val="18"/>
        </w:rPr>
        <w:t>年</w:t>
      </w:r>
      <w:r w:rsidRPr="00831C3C">
        <w:rPr>
          <w:rFonts w:asciiTheme="minorEastAsia" w:eastAsiaTheme="minorEastAsia" w:hAnsiTheme="minorEastAsia" w:cs="Times New Roman"/>
          <w:bCs/>
          <w:sz w:val="18"/>
          <w:szCs w:val="18"/>
        </w:rPr>
        <w:t>10</w:t>
      </w:r>
      <w:r w:rsidRPr="00831C3C">
        <w:rPr>
          <w:rFonts w:asciiTheme="minorEastAsia" w:eastAsiaTheme="minorEastAsia" w:hAnsiTheme="minorEastAsia" w:hint="eastAsia"/>
          <w:bCs/>
          <w:sz w:val="18"/>
          <w:szCs w:val="18"/>
        </w:rPr>
        <w:t>月</w:t>
      </w:r>
      <w:r w:rsidRPr="00831C3C">
        <w:rPr>
          <w:rFonts w:asciiTheme="minorEastAsia" w:eastAsiaTheme="minorEastAsia" w:hAnsiTheme="minorEastAsia" w:cs="Times New Roman"/>
          <w:bCs/>
          <w:sz w:val="18"/>
          <w:szCs w:val="18"/>
        </w:rPr>
        <w:t>24</w:t>
      </w:r>
      <w:r w:rsidRPr="00831C3C">
        <w:rPr>
          <w:rFonts w:asciiTheme="minorEastAsia" w:eastAsiaTheme="minorEastAsia" w:hAnsiTheme="minorEastAsia" w:hint="eastAsia"/>
          <w:bCs/>
          <w:sz w:val="18"/>
          <w:szCs w:val="18"/>
        </w:rPr>
        <w:t>日，子公司浙江鲲驰互联科技有限公司与许栩光、张晚霞签订股权转让协议，浙江鲲驰互联科技有限公司以</w:t>
      </w:r>
      <w:r w:rsidRPr="00831C3C">
        <w:rPr>
          <w:rFonts w:asciiTheme="minorEastAsia" w:eastAsiaTheme="minorEastAsia" w:hAnsiTheme="minorEastAsia" w:cs="Times New Roman"/>
          <w:bCs/>
          <w:sz w:val="18"/>
          <w:szCs w:val="18"/>
        </w:rPr>
        <w:t>4,578.60</w:t>
      </w:r>
      <w:r w:rsidRPr="00831C3C">
        <w:rPr>
          <w:rFonts w:asciiTheme="minorEastAsia" w:eastAsiaTheme="minorEastAsia" w:hAnsiTheme="minorEastAsia" w:hint="eastAsia"/>
          <w:bCs/>
          <w:sz w:val="18"/>
          <w:szCs w:val="18"/>
        </w:rPr>
        <w:t>万元将持有的浙江博忆纺织科技有限公司</w:t>
      </w:r>
      <w:r w:rsidRPr="00831C3C">
        <w:rPr>
          <w:rFonts w:asciiTheme="minorEastAsia" w:eastAsiaTheme="minorEastAsia" w:hAnsiTheme="minorEastAsia" w:cs="Times New Roman"/>
          <w:bCs/>
          <w:sz w:val="18"/>
          <w:szCs w:val="18"/>
        </w:rPr>
        <w:t>51.002%</w:t>
      </w:r>
      <w:r w:rsidRPr="00831C3C">
        <w:rPr>
          <w:rFonts w:asciiTheme="minorEastAsia" w:eastAsiaTheme="minorEastAsia" w:hAnsiTheme="minorEastAsia" w:hint="eastAsia"/>
          <w:bCs/>
          <w:sz w:val="18"/>
          <w:szCs w:val="18"/>
        </w:rPr>
        <w:t>股权转让给许栩光、张晚霞，约定许栩光、</w:t>
      </w:r>
      <w:r w:rsidRPr="00831C3C">
        <w:rPr>
          <w:rFonts w:asciiTheme="minorEastAsia" w:eastAsiaTheme="minorEastAsia" w:hAnsiTheme="minorEastAsia" w:hint="eastAsia"/>
          <w:bCs/>
          <w:sz w:val="18"/>
          <w:szCs w:val="18"/>
        </w:rPr>
        <w:lastRenderedPageBreak/>
        <w:t>张晚霞分两期支付，首期</w:t>
      </w:r>
      <w:r w:rsidRPr="00831C3C">
        <w:rPr>
          <w:rFonts w:asciiTheme="minorEastAsia" w:eastAsiaTheme="minorEastAsia" w:hAnsiTheme="minorEastAsia" w:cs="Times New Roman"/>
          <w:bCs/>
          <w:sz w:val="18"/>
          <w:szCs w:val="18"/>
        </w:rPr>
        <w:t>2,290</w:t>
      </w:r>
      <w:r w:rsidRPr="00831C3C">
        <w:rPr>
          <w:rFonts w:asciiTheme="minorEastAsia" w:eastAsiaTheme="minorEastAsia" w:hAnsiTheme="minorEastAsia" w:hint="eastAsia"/>
          <w:bCs/>
          <w:sz w:val="18"/>
          <w:szCs w:val="18"/>
        </w:rPr>
        <w:t>万元于</w:t>
      </w:r>
      <w:r w:rsidRPr="00831C3C">
        <w:rPr>
          <w:rFonts w:asciiTheme="minorEastAsia" w:eastAsiaTheme="minorEastAsia" w:hAnsiTheme="minorEastAsia" w:cs="Times New Roman"/>
          <w:bCs/>
          <w:sz w:val="18"/>
          <w:szCs w:val="18"/>
        </w:rPr>
        <w:t>2023</w:t>
      </w:r>
      <w:r w:rsidRPr="00831C3C">
        <w:rPr>
          <w:rFonts w:asciiTheme="minorEastAsia" w:eastAsiaTheme="minorEastAsia" w:hAnsiTheme="minorEastAsia" w:hint="eastAsia"/>
          <w:bCs/>
          <w:sz w:val="18"/>
          <w:szCs w:val="18"/>
        </w:rPr>
        <w:t>年支付，剩余</w:t>
      </w:r>
      <w:r w:rsidRPr="00831C3C">
        <w:rPr>
          <w:rFonts w:asciiTheme="minorEastAsia" w:eastAsiaTheme="minorEastAsia" w:hAnsiTheme="minorEastAsia" w:cs="Times New Roman"/>
          <w:bCs/>
          <w:sz w:val="18"/>
          <w:szCs w:val="18"/>
        </w:rPr>
        <w:t>2,288.60</w:t>
      </w:r>
      <w:r w:rsidRPr="00831C3C">
        <w:rPr>
          <w:rFonts w:asciiTheme="minorEastAsia" w:eastAsiaTheme="minorEastAsia" w:hAnsiTheme="minorEastAsia" w:hint="eastAsia"/>
          <w:bCs/>
          <w:sz w:val="18"/>
          <w:szCs w:val="18"/>
        </w:rPr>
        <w:t>万元应于</w:t>
      </w:r>
      <w:r w:rsidRPr="00831C3C">
        <w:rPr>
          <w:rFonts w:asciiTheme="minorEastAsia" w:eastAsiaTheme="minorEastAsia" w:hAnsiTheme="minorEastAsia" w:cs="Times New Roman"/>
          <w:bCs/>
          <w:sz w:val="18"/>
          <w:szCs w:val="18"/>
        </w:rPr>
        <w:t>2024</w:t>
      </w:r>
      <w:r w:rsidRPr="00831C3C">
        <w:rPr>
          <w:rFonts w:asciiTheme="minorEastAsia" w:eastAsiaTheme="minorEastAsia" w:hAnsiTheme="minorEastAsia" w:hint="eastAsia"/>
          <w:bCs/>
          <w:sz w:val="18"/>
          <w:szCs w:val="18"/>
        </w:rPr>
        <w:t>年</w:t>
      </w:r>
      <w:r w:rsidRPr="00831C3C">
        <w:rPr>
          <w:rFonts w:asciiTheme="minorEastAsia" w:eastAsiaTheme="minorEastAsia" w:hAnsiTheme="minorEastAsia" w:cs="Times New Roman"/>
          <w:bCs/>
          <w:sz w:val="18"/>
          <w:szCs w:val="18"/>
        </w:rPr>
        <w:t>-2029</w:t>
      </w:r>
      <w:r w:rsidRPr="00831C3C">
        <w:rPr>
          <w:rFonts w:asciiTheme="minorEastAsia" w:eastAsiaTheme="minorEastAsia" w:hAnsiTheme="minorEastAsia" w:hint="eastAsia"/>
          <w:bCs/>
          <w:sz w:val="18"/>
          <w:szCs w:val="18"/>
        </w:rPr>
        <w:t>年的</w:t>
      </w:r>
      <w:r w:rsidRPr="00831C3C">
        <w:rPr>
          <w:rFonts w:asciiTheme="minorEastAsia" w:eastAsiaTheme="minorEastAsia" w:hAnsiTheme="minorEastAsia" w:cs="Times New Roman"/>
          <w:bCs/>
          <w:sz w:val="18"/>
          <w:szCs w:val="18"/>
        </w:rPr>
        <w:t>6</w:t>
      </w:r>
      <w:r w:rsidRPr="00831C3C">
        <w:rPr>
          <w:rFonts w:asciiTheme="minorEastAsia" w:eastAsiaTheme="minorEastAsia" w:hAnsiTheme="minorEastAsia" w:hint="eastAsia"/>
          <w:bCs/>
          <w:sz w:val="18"/>
          <w:szCs w:val="18"/>
        </w:rPr>
        <w:t>年内支付，同时许栩光、张晚霞以其持有的房产作抵押，截止</w:t>
      </w:r>
      <w:r w:rsidRPr="00831C3C">
        <w:rPr>
          <w:rFonts w:asciiTheme="minorEastAsia" w:eastAsiaTheme="minorEastAsia" w:hAnsiTheme="minorEastAsia" w:cs="Times New Roman"/>
          <w:bCs/>
          <w:sz w:val="18"/>
          <w:szCs w:val="18"/>
        </w:rPr>
        <w:t>2024</w:t>
      </w:r>
      <w:r w:rsidRPr="00831C3C">
        <w:rPr>
          <w:rFonts w:asciiTheme="minorEastAsia" w:eastAsiaTheme="minorEastAsia" w:hAnsiTheme="minorEastAsia" w:hint="eastAsia"/>
          <w:bCs/>
          <w:sz w:val="18"/>
          <w:szCs w:val="18"/>
        </w:rPr>
        <w:t>年</w:t>
      </w:r>
      <w:r w:rsidRPr="00831C3C">
        <w:rPr>
          <w:rFonts w:asciiTheme="minorEastAsia" w:eastAsiaTheme="minorEastAsia" w:hAnsiTheme="minorEastAsia" w:cs="Times New Roman"/>
          <w:bCs/>
          <w:sz w:val="18"/>
          <w:szCs w:val="18"/>
        </w:rPr>
        <w:t>12</w:t>
      </w:r>
      <w:r w:rsidRPr="00831C3C">
        <w:rPr>
          <w:rFonts w:asciiTheme="minorEastAsia" w:eastAsiaTheme="minorEastAsia" w:hAnsiTheme="minorEastAsia" w:hint="eastAsia"/>
          <w:bCs/>
          <w:sz w:val="18"/>
          <w:szCs w:val="18"/>
        </w:rPr>
        <w:t>月</w:t>
      </w:r>
      <w:r w:rsidRPr="00831C3C">
        <w:rPr>
          <w:rFonts w:asciiTheme="minorEastAsia" w:eastAsiaTheme="minorEastAsia" w:hAnsiTheme="minorEastAsia" w:cs="Times New Roman"/>
          <w:bCs/>
          <w:sz w:val="18"/>
          <w:szCs w:val="18"/>
        </w:rPr>
        <w:t>31</w:t>
      </w:r>
      <w:r w:rsidRPr="00831C3C">
        <w:rPr>
          <w:rFonts w:asciiTheme="minorEastAsia" w:eastAsiaTheme="minorEastAsia" w:hAnsiTheme="minorEastAsia" w:hint="eastAsia"/>
          <w:bCs/>
          <w:sz w:val="18"/>
          <w:szCs w:val="18"/>
        </w:rPr>
        <w:t>日，公司应收股权转让款</w:t>
      </w:r>
      <w:r w:rsidRPr="00831C3C">
        <w:rPr>
          <w:rFonts w:asciiTheme="minorEastAsia" w:eastAsiaTheme="minorEastAsia" w:hAnsiTheme="minorEastAsia" w:cs="Times New Roman"/>
          <w:bCs/>
          <w:sz w:val="18"/>
          <w:szCs w:val="18"/>
        </w:rPr>
        <w:t>21,070,000.00</w:t>
      </w:r>
      <w:r w:rsidRPr="00831C3C">
        <w:rPr>
          <w:rFonts w:asciiTheme="minorEastAsia" w:eastAsiaTheme="minorEastAsia" w:hAnsiTheme="minorEastAsia" w:hint="eastAsia"/>
          <w:bCs/>
          <w:sz w:val="18"/>
          <w:szCs w:val="18"/>
        </w:rPr>
        <w:t>元。</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按预期信用损失一般模型计提坏账准备：</w:t>
      </w:r>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31C3C" w:rsidRPr="00831C3C">
        <w:trPr>
          <w:trHeight w:val="240"/>
        </w:trPr>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坏账准备</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第一阶段</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第二阶段</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第三阶段</w:t>
            </w:r>
          </w:p>
        </w:tc>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合计</w:t>
            </w:r>
          </w:p>
        </w:tc>
      </w:tr>
      <w:tr w:rsidR="00831C3C" w:rsidRPr="00831C3C">
        <w:trPr>
          <w:trHeight w:val="240"/>
        </w:trPr>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未来12个月预期信用损失</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整个存续期预期信用损失（未发生信用减值）</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整个存续期预期信用损失（已发生信用减值）</w:t>
            </w:r>
          </w:p>
        </w:tc>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2024年1月1日余额</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164,304,224.95</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164,304,224.95</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2024年1月1日余额在本期</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——转入第三阶段</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-23,028,606.73</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23,028,606.73</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本期计提</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17,589,493.75</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3,800,000.00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21,389,493.75</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本期转回</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626,000.00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626,000.00</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本期核销</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43,158,191.59</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43,158,191.59</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其他变动</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6,945.84</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6,945.84</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2024年12月31日余额</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115,713,866.22</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26,202,606.73</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141,916,472.95</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各阶段划分依据和坏账准备计提比例</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损失准备本期变动金额重大的账面余额变动情况</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keepNext/>
        <w:keepLines/>
        <w:spacing w:before="300" w:after="300" w:line="280" w:lineRule="exact"/>
        <w:outlineLvl w:val="4"/>
        <w:rPr>
          <w:rFonts w:ascii="宋体" w:eastAsia="宋体" w:hAnsi="宋体" w:cs="宋体"/>
          <w:b/>
          <w:bCs/>
          <w:szCs w:val="21"/>
        </w:rPr>
      </w:pPr>
      <w:bookmarkStart w:id="295" w:name="_Toc989176"/>
      <w:r w:rsidRPr="00831C3C">
        <w:rPr>
          <w:rFonts w:ascii="宋体" w:eastAsia="宋体" w:hAnsi="宋体" w:cs="宋体"/>
          <w:b/>
          <w:bCs/>
          <w:szCs w:val="21"/>
        </w:rPr>
        <w:t>4）本期计提、收回或转回的坏账准备情况</w:t>
      </w:r>
      <w:bookmarkEnd w:id="295"/>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本期计提坏账准备情况：</w:t>
      </w:r>
    </w:p>
    <w:p w:rsidR="00E23A97" w:rsidRPr="00831C3C" w:rsidRDefault="00C65FD5">
      <w:pPr>
        <w:spacing w:before="120" w:after="12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31C3C" w:rsidRPr="00831C3C">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类别</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c>
          <w:tcPr>
            <w:tcW w:w="5508"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本期变动金额</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r>
      <w:tr w:rsidR="00831C3C" w:rsidRPr="00831C3C">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计提</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收回或转回</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转销或核销</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其他</w:t>
            </w:r>
          </w:p>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按单项计提坏账准备</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23,028,606.73</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3,174,000.00</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26,202,606.73</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按组合计提坏账准备</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其中：预期信用风险组合</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25,866,123.26</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6,860,691.19</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6,945.84</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32,733,760.29</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应收财政款组合</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115,409,494.96</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10,728,802.56</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43,158,191.59</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82,980,105.93</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164,304,224.95</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20,763,493.75</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43,158,191.59</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6,945.84</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141,916,472.95</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其中本期坏账准备转回或收回金额重要的：</w:t>
      </w:r>
      <w:r w:rsidR="00903F43" w:rsidRPr="00831C3C">
        <w:rPr>
          <w:rFonts w:ascii="宋体" w:eastAsia="宋体" w:hAnsi="宋体" w:cs="宋体"/>
          <w:sz w:val="18"/>
          <w:szCs w:val="18"/>
        </w:rPr>
        <w:t>无</w:t>
      </w:r>
    </w:p>
    <w:p w:rsidR="00E23A97" w:rsidRPr="00831C3C" w:rsidRDefault="00C65FD5">
      <w:pPr>
        <w:keepNext/>
        <w:keepLines/>
        <w:spacing w:before="300" w:after="300" w:line="280" w:lineRule="exact"/>
        <w:outlineLvl w:val="4"/>
        <w:rPr>
          <w:rFonts w:ascii="宋体" w:eastAsia="宋体" w:hAnsi="宋体" w:cs="宋体"/>
          <w:b/>
          <w:bCs/>
          <w:szCs w:val="21"/>
        </w:rPr>
      </w:pPr>
      <w:bookmarkStart w:id="296" w:name="_Toc989177"/>
      <w:r w:rsidRPr="00831C3C">
        <w:rPr>
          <w:rFonts w:ascii="宋体" w:eastAsia="宋体" w:hAnsi="宋体" w:cs="宋体"/>
          <w:b/>
          <w:bCs/>
          <w:szCs w:val="21"/>
        </w:rPr>
        <w:t>5）本期实际核销的其他应收款情况</w:t>
      </w:r>
      <w:bookmarkEnd w:id="296"/>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其他应收款核销说明：</w:t>
      </w:r>
      <w:r w:rsidR="00903F43" w:rsidRPr="00831C3C">
        <w:rPr>
          <w:rFonts w:ascii="宋体" w:eastAsia="宋体" w:hAnsi="宋体" w:cs="宋体"/>
          <w:sz w:val="18"/>
          <w:szCs w:val="18"/>
        </w:rPr>
        <w:t>无</w:t>
      </w:r>
    </w:p>
    <w:p w:rsidR="00E23A97" w:rsidRPr="00831C3C" w:rsidRDefault="00C65FD5">
      <w:pPr>
        <w:keepNext/>
        <w:keepLines/>
        <w:spacing w:before="300" w:after="300" w:line="280" w:lineRule="exact"/>
        <w:outlineLvl w:val="4"/>
        <w:rPr>
          <w:rFonts w:ascii="宋体" w:eastAsia="宋体" w:hAnsi="宋体" w:cs="宋体"/>
          <w:b/>
          <w:bCs/>
          <w:szCs w:val="21"/>
        </w:rPr>
      </w:pPr>
      <w:bookmarkStart w:id="297" w:name="_Toc989178"/>
      <w:r w:rsidRPr="00831C3C">
        <w:rPr>
          <w:rFonts w:ascii="宋体" w:eastAsia="宋体" w:hAnsi="宋体" w:cs="宋体"/>
          <w:b/>
          <w:bCs/>
          <w:szCs w:val="21"/>
        </w:rPr>
        <w:t>6）按欠款方归集的期末余额前五名的其他应收款情况</w:t>
      </w:r>
      <w:bookmarkEnd w:id="297"/>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06"/>
        <w:gridCol w:w="1606"/>
        <w:gridCol w:w="1606"/>
        <w:gridCol w:w="1607"/>
        <w:gridCol w:w="1607"/>
        <w:gridCol w:w="1607"/>
      </w:tblGrid>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lastRenderedPageBreak/>
              <w:t>单位名称</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款项的性质</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账龄</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占其他应收款期末余额合计数的比例</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坏账准备期末余额</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第一名</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出疆棉纱运费补贴</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36,974,784.49</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1年以内</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11.65%</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1,848,739.22</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税收奖补</w:t>
            </w:r>
            <w:proofErr w:type="gramEnd"/>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37,360,604.62</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4-5年</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11.77%</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29,888,483.70</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增值税返还</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4,592,600.00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5年以上</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1.45%</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4,592,600.00</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出疆棉纱运费补贴</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2,080,932.53</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2-3年</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0.66%</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416,186.51</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第二名</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出疆棉纱运费补贴</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3,146,067.89</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1年以内</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0.99%</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157,303.39</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贷款贴息、专项补贴-使用新疆棉、出疆棉纱运费补贴</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25,208,133.79</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5年以上</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7.94%</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25,208,133.79</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第三名</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第三方往来款</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21,420,807.07</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2-3年</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6.75%</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21,420,807.07</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第四名</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股权转让款</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21,070,000.00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1-2年</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6.64%</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第五名</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补助款</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19,390,355.10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5年以上</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6.11%</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19,390,355.10</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171,244,285.49</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53.96%</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102,922,608.78</w:t>
            </w:r>
          </w:p>
        </w:tc>
      </w:tr>
    </w:tbl>
    <w:p w:rsidR="00E23A97" w:rsidRPr="00831C3C" w:rsidRDefault="00C65FD5">
      <w:pPr>
        <w:keepNext/>
        <w:keepLines/>
        <w:spacing w:before="300" w:after="300" w:line="280" w:lineRule="exact"/>
        <w:outlineLvl w:val="4"/>
        <w:rPr>
          <w:rFonts w:ascii="宋体" w:eastAsia="宋体" w:hAnsi="宋体" w:cs="宋体"/>
          <w:b/>
          <w:bCs/>
          <w:szCs w:val="21"/>
        </w:rPr>
      </w:pPr>
      <w:bookmarkStart w:id="298" w:name="_Toc989179"/>
      <w:r w:rsidRPr="00831C3C">
        <w:rPr>
          <w:rFonts w:ascii="宋体" w:eastAsia="宋体" w:hAnsi="宋体" w:cs="宋体"/>
          <w:b/>
          <w:bCs/>
          <w:szCs w:val="21"/>
        </w:rPr>
        <w:t>7）因资金集中管理而列报于其他应收款</w:t>
      </w:r>
      <w:bookmarkEnd w:id="298"/>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r w:rsidR="00903F43" w:rsidRPr="00831C3C">
        <w:rPr>
          <w:rFonts w:ascii="宋体" w:eastAsia="宋体" w:hAnsi="宋体" w:cs="宋体"/>
          <w:sz w:val="18"/>
          <w:szCs w:val="18"/>
        </w:rPr>
        <w:t>无</w:t>
      </w:r>
    </w:p>
    <w:p w:rsidR="00E23A97" w:rsidRPr="00831C3C" w:rsidRDefault="00C65FD5">
      <w:pPr>
        <w:pStyle w:val="3"/>
        <w:spacing w:line="280" w:lineRule="exact"/>
        <w:jc w:val="left"/>
        <w:rPr>
          <w:rFonts w:ascii="宋体" w:hAnsi="宋体" w:cs="宋体"/>
          <w:b/>
          <w:bCs/>
        </w:rPr>
      </w:pPr>
      <w:bookmarkStart w:id="299" w:name="_Toc989180"/>
      <w:r w:rsidRPr="00831C3C">
        <w:rPr>
          <w:rFonts w:ascii="宋体" w:hAnsi="宋体" w:cs="宋体"/>
          <w:b/>
          <w:bCs/>
        </w:rPr>
        <w:t>9、预付款项</w:t>
      </w:r>
      <w:bookmarkEnd w:id="299"/>
    </w:p>
    <w:p w:rsidR="00E23A97" w:rsidRPr="00831C3C" w:rsidRDefault="00C65FD5">
      <w:pPr>
        <w:keepNext/>
        <w:keepLines/>
        <w:spacing w:before="300" w:after="300" w:line="280" w:lineRule="exact"/>
        <w:outlineLvl w:val="3"/>
        <w:rPr>
          <w:rFonts w:ascii="宋体" w:eastAsia="宋体" w:hAnsi="宋体" w:cs="宋体"/>
          <w:b/>
          <w:bCs/>
          <w:szCs w:val="21"/>
        </w:rPr>
      </w:pPr>
      <w:bookmarkStart w:id="300" w:name="_Toc989181"/>
      <w:r w:rsidRPr="00831C3C">
        <w:rPr>
          <w:rFonts w:ascii="宋体" w:eastAsia="宋体" w:hAnsi="宋体" w:cs="宋体"/>
          <w:b/>
          <w:bCs/>
          <w:szCs w:val="21"/>
        </w:rPr>
        <w:t>（1）预付</w:t>
      </w:r>
      <w:proofErr w:type="gramStart"/>
      <w:r w:rsidRPr="00831C3C">
        <w:rPr>
          <w:rFonts w:ascii="宋体" w:eastAsia="宋体" w:hAnsi="宋体" w:cs="宋体"/>
          <w:b/>
          <w:bCs/>
          <w:szCs w:val="21"/>
        </w:rPr>
        <w:t>款项按账龄</w:t>
      </w:r>
      <w:proofErr w:type="gramEnd"/>
      <w:r w:rsidRPr="00831C3C">
        <w:rPr>
          <w:rFonts w:ascii="宋体" w:eastAsia="宋体" w:hAnsi="宋体" w:cs="宋体"/>
          <w:b/>
          <w:bCs/>
          <w:szCs w:val="21"/>
        </w:rPr>
        <w:t>列示</w:t>
      </w:r>
      <w:bookmarkEnd w:id="300"/>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31C3C" w:rsidRPr="00831C3C">
        <w:trPr>
          <w:trHeight w:val="240"/>
        </w:trPr>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账龄</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r>
      <w:tr w:rsidR="00831C3C" w:rsidRPr="00831C3C">
        <w:trPr>
          <w:trHeight w:val="240"/>
        </w:trPr>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金额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比例</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金额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比例</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1年以内</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786,963,582.97</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98.82%</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608,806,681.75</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99.26%</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1至2年</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6,934,112.74</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0.87%</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3,748,080.54</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0.61%</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2至3年</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2,193,999.96</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0.28%</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756,516.88</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0.12%</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3年以上</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271,483.80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0.03%</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50,964.83</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0.01%</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796,363,179.47</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613,362,244.00</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bl>
    <w:p w:rsidR="00E23A97" w:rsidRPr="00831C3C" w:rsidRDefault="00C65FD5">
      <w:pPr>
        <w:keepNext/>
        <w:keepLines/>
        <w:spacing w:before="300" w:after="300" w:line="280" w:lineRule="exact"/>
        <w:outlineLvl w:val="3"/>
        <w:rPr>
          <w:rFonts w:ascii="宋体" w:eastAsia="宋体" w:hAnsi="宋体" w:cs="宋体"/>
          <w:b/>
          <w:bCs/>
          <w:szCs w:val="21"/>
        </w:rPr>
      </w:pPr>
      <w:bookmarkStart w:id="301" w:name="_Toc989182"/>
      <w:r w:rsidRPr="00831C3C">
        <w:rPr>
          <w:rFonts w:ascii="宋体" w:eastAsia="宋体" w:hAnsi="宋体" w:cs="宋体"/>
          <w:b/>
          <w:bCs/>
          <w:szCs w:val="21"/>
        </w:rPr>
        <w:t>（2）按预付对象归集的期末余额前五名的预付款情况</w:t>
      </w:r>
      <w:bookmarkEnd w:id="301"/>
    </w:p>
    <w:tbl>
      <w:tblPr>
        <w:tblW w:w="8535" w:type="dxa"/>
        <w:tblCellMar>
          <w:left w:w="0" w:type="dxa"/>
          <w:right w:w="0" w:type="dxa"/>
        </w:tblCellMar>
        <w:tblLook w:val="04A0" w:firstRow="1" w:lastRow="0" w:firstColumn="1" w:lastColumn="0" w:noHBand="0" w:noVBand="1"/>
      </w:tblPr>
      <w:tblGrid>
        <w:gridCol w:w="2646"/>
        <w:gridCol w:w="1576"/>
        <w:gridCol w:w="993"/>
        <w:gridCol w:w="1277"/>
        <w:gridCol w:w="2043"/>
      </w:tblGrid>
      <w:tr w:rsidR="00831C3C" w:rsidRPr="00831C3C">
        <w:trPr>
          <w:divId w:val="1145391564"/>
          <w:trHeight w:val="340"/>
          <w:tblHeader/>
        </w:trPr>
        <w:tc>
          <w:tcPr>
            <w:tcW w:w="26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单位名称</w:t>
            </w:r>
          </w:p>
        </w:tc>
        <w:tc>
          <w:tcPr>
            <w:tcW w:w="15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期末余额</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ind w:left="-53" w:right="-53"/>
              <w:jc w:val="center"/>
              <w:rPr>
                <w:rFonts w:ascii="Times New Roman" w:hAnsi="Times New Roman" w:cs="Times New Roman"/>
                <w:sz w:val="21"/>
                <w:szCs w:val="21"/>
              </w:rPr>
            </w:pPr>
            <w:r w:rsidRPr="00831C3C">
              <w:rPr>
                <w:rFonts w:cs="Times New Roman" w:hint="eastAsia"/>
                <w:sz w:val="18"/>
                <w:szCs w:val="18"/>
              </w:rPr>
              <w:t>占预付款项总额的比例</w:t>
            </w:r>
            <w:r w:rsidRPr="00831C3C">
              <w:rPr>
                <w:rFonts w:ascii="Arial Narrow" w:hAnsi="Arial Narrow" w:cs="Times New Roman"/>
                <w:sz w:val="18"/>
                <w:szCs w:val="18"/>
              </w:rPr>
              <w:t>(%)</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预付款时间</w:t>
            </w:r>
          </w:p>
        </w:tc>
        <w:tc>
          <w:tcPr>
            <w:tcW w:w="20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未结算原因</w:t>
            </w:r>
          </w:p>
        </w:tc>
      </w:tr>
      <w:tr w:rsidR="00831C3C" w:rsidRPr="00831C3C">
        <w:trPr>
          <w:divId w:val="1145391564"/>
          <w:trHeight w:val="340"/>
        </w:trPr>
        <w:tc>
          <w:tcPr>
            <w:tcW w:w="26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第一名</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imes New Roman" w:hAnsi="Times New Roman" w:cs="Times New Roman"/>
                <w:sz w:val="21"/>
                <w:szCs w:val="21"/>
              </w:rPr>
            </w:pPr>
            <w:r w:rsidRPr="00831C3C">
              <w:rPr>
                <w:rFonts w:ascii="Arial Narrow" w:hAnsi="Arial Narrow" w:cs="Times New Roman"/>
                <w:sz w:val="18"/>
                <w:szCs w:val="18"/>
              </w:rPr>
              <w:t>65,297,630.38</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ascii="Arial Narrow" w:hAnsi="Arial Narrow" w:cs="Times New Roman"/>
                <w:sz w:val="18"/>
                <w:szCs w:val="18"/>
              </w:rPr>
              <w:t>8.20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ascii="Arial Narrow" w:hAnsi="Arial Narrow" w:cs="Times New Roman"/>
                <w:sz w:val="18"/>
                <w:szCs w:val="18"/>
              </w:rPr>
              <w:t>1</w:t>
            </w:r>
            <w:r w:rsidRPr="00831C3C">
              <w:rPr>
                <w:rFonts w:cs="Times New Roman" w:hint="eastAsia"/>
                <w:sz w:val="18"/>
                <w:szCs w:val="18"/>
              </w:rPr>
              <w:t>年以内</w:t>
            </w:r>
          </w:p>
        </w:tc>
        <w:tc>
          <w:tcPr>
            <w:tcW w:w="20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合同未执行完毕</w:t>
            </w:r>
          </w:p>
        </w:tc>
      </w:tr>
      <w:tr w:rsidR="00831C3C" w:rsidRPr="00831C3C">
        <w:trPr>
          <w:divId w:val="1145391564"/>
          <w:trHeight w:val="340"/>
        </w:trPr>
        <w:tc>
          <w:tcPr>
            <w:tcW w:w="26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第二名</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imes New Roman" w:hAnsi="Times New Roman" w:cs="Times New Roman"/>
                <w:sz w:val="21"/>
                <w:szCs w:val="21"/>
              </w:rPr>
            </w:pPr>
            <w:r w:rsidRPr="00831C3C">
              <w:rPr>
                <w:rFonts w:ascii="Arial Narrow" w:hAnsi="Arial Narrow" w:cs="Times New Roman"/>
                <w:sz w:val="18"/>
                <w:szCs w:val="18"/>
              </w:rPr>
              <w:t>64,519,000.00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ascii="Arial Narrow" w:hAnsi="Arial Narrow" w:cs="Times New Roman"/>
                <w:sz w:val="18"/>
                <w:szCs w:val="18"/>
              </w:rPr>
              <w:t>8.10</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ascii="Arial Narrow" w:hAnsi="Arial Narrow" w:cs="Times New Roman"/>
                <w:sz w:val="18"/>
                <w:szCs w:val="18"/>
              </w:rPr>
              <w:t>1</w:t>
            </w:r>
            <w:r w:rsidRPr="00831C3C">
              <w:rPr>
                <w:rFonts w:cs="Times New Roman" w:hint="eastAsia"/>
                <w:sz w:val="18"/>
                <w:szCs w:val="18"/>
              </w:rPr>
              <w:t>年以内</w:t>
            </w:r>
          </w:p>
        </w:tc>
        <w:tc>
          <w:tcPr>
            <w:tcW w:w="20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合同未执行完毕</w:t>
            </w:r>
          </w:p>
        </w:tc>
      </w:tr>
      <w:tr w:rsidR="00831C3C" w:rsidRPr="00831C3C">
        <w:trPr>
          <w:divId w:val="1145391564"/>
          <w:trHeight w:val="340"/>
        </w:trPr>
        <w:tc>
          <w:tcPr>
            <w:tcW w:w="26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第三名</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imes New Roman" w:hAnsi="Times New Roman" w:cs="Times New Roman"/>
                <w:sz w:val="21"/>
                <w:szCs w:val="21"/>
              </w:rPr>
            </w:pPr>
            <w:r w:rsidRPr="00831C3C">
              <w:rPr>
                <w:rFonts w:ascii="Arial Narrow" w:hAnsi="Arial Narrow" w:cs="Times New Roman"/>
                <w:sz w:val="18"/>
                <w:szCs w:val="18"/>
              </w:rPr>
              <w:t>60,144,000.00</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ascii="Arial Narrow" w:hAnsi="Arial Narrow" w:cs="Times New Roman"/>
                <w:sz w:val="18"/>
                <w:szCs w:val="18"/>
              </w:rPr>
              <w:t>7.55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ascii="Arial Narrow" w:hAnsi="Arial Narrow" w:cs="Times New Roman"/>
                <w:sz w:val="18"/>
                <w:szCs w:val="18"/>
              </w:rPr>
              <w:t>1</w:t>
            </w:r>
            <w:r w:rsidRPr="00831C3C">
              <w:rPr>
                <w:rFonts w:cs="Times New Roman" w:hint="eastAsia"/>
                <w:sz w:val="18"/>
                <w:szCs w:val="18"/>
              </w:rPr>
              <w:t>年以内</w:t>
            </w:r>
          </w:p>
        </w:tc>
        <w:tc>
          <w:tcPr>
            <w:tcW w:w="20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合同未执行完毕</w:t>
            </w:r>
          </w:p>
        </w:tc>
      </w:tr>
      <w:tr w:rsidR="00831C3C" w:rsidRPr="00831C3C">
        <w:trPr>
          <w:divId w:val="1145391564"/>
          <w:trHeight w:val="340"/>
        </w:trPr>
        <w:tc>
          <w:tcPr>
            <w:tcW w:w="26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第四名</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imes New Roman" w:hAnsi="Times New Roman" w:cs="Times New Roman"/>
                <w:sz w:val="21"/>
                <w:szCs w:val="21"/>
              </w:rPr>
            </w:pPr>
            <w:r w:rsidRPr="00831C3C">
              <w:rPr>
                <w:rFonts w:ascii="Arial Narrow" w:hAnsi="Arial Narrow" w:cs="Times New Roman"/>
                <w:sz w:val="18"/>
                <w:szCs w:val="18"/>
              </w:rPr>
              <w:t>55,612,569.26</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ascii="Arial Narrow" w:hAnsi="Arial Narrow" w:cs="Times New Roman"/>
                <w:sz w:val="18"/>
                <w:szCs w:val="18"/>
              </w:rPr>
              <w:t>6.98</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ascii="Arial Narrow" w:hAnsi="Arial Narrow" w:cs="Times New Roman"/>
                <w:sz w:val="18"/>
                <w:szCs w:val="18"/>
              </w:rPr>
              <w:t>1</w:t>
            </w:r>
            <w:r w:rsidRPr="00831C3C">
              <w:rPr>
                <w:rFonts w:cs="Times New Roman" w:hint="eastAsia"/>
                <w:sz w:val="18"/>
                <w:szCs w:val="18"/>
              </w:rPr>
              <w:t>年以内</w:t>
            </w:r>
          </w:p>
        </w:tc>
        <w:tc>
          <w:tcPr>
            <w:tcW w:w="20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合同未执行完毕</w:t>
            </w:r>
          </w:p>
        </w:tc>
      </w:tr>
      <w:tr w:rsidR="00831C3C" w:rsidRPr="00831C3C">
        <w:trPr>
          <w:divId w:val="1145391564"/>
          <w:trHeight w:val="340"/>
        </w:trPr>
        <w:tc>
          <w:tcPr>
            <w:tcW w:w="26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第五名</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imes New Roman" w:hAnsi="Times New Roman" w:cs="Times New Roman"/>
                <w:sz w:val="21"/>
                <w:szCs w:val="21"/>
              </w:rPr>
            </w:pPr>
            <w:r w:rsidRPr="00831C3C">
              <w:rPr>
                <w:rFonts w:ascii="Arial Narrow" w:hAnsi="Arial Narrow" w:cs="Times New Roman"/>
                <w:sz w:val="18"/>
                <w:szCs w:val="18"/>
              </w:rPr>
              <w:t>48,760,421.12</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ascii="Arial Narrow" w:hAnsi="Arial Narrow" w:cs="Times New Roman"/>
                <w:sz w:val="18"/>
                <w:szCs w:val="18"/>
              </w:rPr>
              <w:t>6.12</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ascii="Arial Narrow" w:hAnsi="Arial Narrow" w:cs="Times New Roman"/>
                <w:sz w:val="18"/>
                <w:szCs w:val="18"/>
              </w:rPr>
              <w:t>1</w:t>
            </w:r>
            <w:r w:rsidRPr="00831C3C">
              <w:rPr>
                <w:rFonts w:cs="Times New Roman" w:hint="eastAsia"/>
                <w:sz w:val="18"/>
                <w:szCs w:val="18"/>
              </w:rPr>
              <w:t>年以内</w:t>
            </w:r>
          </w:p>
        </w:tc>
        <w:tc>
          <w:tcPr>
            <w:tcW w:w="20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合同未执行完毕</w:t>
            </w:r>
          </w:p>
        </w:tc>
      </w:tr>
      <w:tr w:rsidR="00831C3C" w:rsidRPr="00831C3C">
        <w:trPr>
          <w:divId w:val="1145391564"/>
          <w:trHeight w:val="340"/>
        </w:trPr>
        <w:tc>
          <w:tcPr>
            <w:tcW w:w="264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合计</w:t>
            </w:r>
          </w:p>
        </w:tc>
        <w:tc>
          <w:tcPr>
            <w:tcW w:w="15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imes New Roman" w:hAnsi="Times New Roman" w:cs="Times New Roman"/>
                <w:sz w:val="21"/>
                <w:szCs w:val="21"/>
              </w:rPr>
            </w:pPr>
            <w:r w:rsidRPr="00831C3C">
              <w:rPr>
                <w:rFonts w:ascii="Arial Narrow" w:hAnsi="Arial Narrow" w:cs="Times New Roman"/>
                <w:sz w:val="18"/>
                <w:szCs w:val="18"/>
              </w:rPr>
              <w:t>294,333,620.76</w:t>
            </w:r>
          </w:p>
        </w:tc>
        <w:tc>
          <w:tcPr>
            <w:tcW w:w="9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ascii="Arial Narrow" w:hAnsi="Arial Narrow" w:cs="Times New Roman"/>
                <w:sz w:val="18"/>
                <w:szCs w:val="18"/>
              </w:rPr>
              <w:t>36.95</w:t>
            </w:r>
          </w:p>
        </w:tc>
        <w:tc>
          <w:tcPr>
            <w:tcW w:w="1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p>
        </w:tc>
        <w:tc>
          <w:tcPr>
            <w:tcW w:w="20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p>
        </w:tc>
      </w:tr>
    </w:tbl>
    <w:p w:rsidR="00E23A97" w:rsidRPr="00831C3C" w:rsidRDefault="00C65FD5">
      <w:pPr>
        <w:pStyle w:val="3"/>
        <w:spacing w:line="280" w:lineRule="exact"/>
        <w:jc w:val="left"/>
        <w:rPr>
          <w:rFonts w:ascii="宋体" w:hAnsi="宋体" w:cs="宋体"/>
          <w:b/>
          <w:bCs/>
        </w:rPr>
      </w:pPr>
      <w:bookmarkStart w:id="302" w:name="_Toc989183"/>
      <w:r w:rsidRPr="00831C3C">
        <w:rPr>
          <w:rFonts w:ascii="宋体" w:hAnsi="宋体" w:cs="宋体"/>
          <w:b/>
          <w:bCs/>
        </w:rPr>
        <w:lastRenderedPageBreak/>
        <w:t>10、存货</w:t>
      </w:r>
      <w:bookmarkEnd w:id="302"/>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公司是否需要遵守房地产行业的披露要求</w:t>
      </w:r>
    </w:p>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否</w:t>
      </w:r>
      <w:proofErr w:type="gramEnd"/>
    </w:p>
    <w:p w:rsidR="00E23A97" w:rsidRPr="00831C3C" w:rsidRDefault="00C65FD5">
      <w:pPr>
        <w:keepNext/>
        <w:keepLines/>
        <w:spacing w:before="300" w:after="300" w:line="280" w:lineRule="exact"/>
        <w:outlineLvl w:val="3"/>
        <w:rPr>
          <w:rFonts w:ascii="宋体" w:eastAsia="宋体" w:hAnsi="宋体" w:cs="宋体"/>
          <w:b/>
          <w:bCs/>
          <w:szCs w:val="21"/>
        </w:rPr>
      </w:pPr>
      <w:bookmarkStart w:id="303" w:name="_Toc989184"/>
      <w:r w:rsidRPr="00831C3C">
        <w:rPr>
          <w:rFonts w:ascii="宋体" w:eastAsia="宋体" w:hAnsi="宋体" w:cs="宋体"/>
          <w:b/>
          <w:bCs/>
          <w:szCs w:val="21"/>
        </w:rPr>
        <w:t>（1）存货分类</w:t>
      </w:r>
      <w:bookmarkEnd w:id="303"/>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31C3C" w:rsidRPr="00831C3C">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r>
      <w:tr w:rsidR="00831C3C" w:rsidRPr="00831C3C">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存货跌价准备或合同履约成本减值准备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账面价值</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存货跌价准备或合同履约成本减值准备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账面价值</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原材料</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2,705,612,661.75</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5,738,451.24</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2,699,874,210.51</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2,492,733,151.22</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3,556,409.24</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2,489,176,741.98</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在产品</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146,343,834.95</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4,868,046.91</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141,475,788.04</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163,932,330.28</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3,233,890.46</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160,698,439.82</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库存商品</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1,488,174,468.49</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75,380,632.68</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1,412,793,835.81</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2,253,552,128.04</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66,423,579.54</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2,187,128,548.50</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周转材料</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6,686,765.80</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6,686,765.80</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5,045,546.96</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5,045,546.96</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发出商品</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305,675,692.91</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305,675,692.91</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10,705,222.84</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10,705,222.84</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委托加工物资</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430,190.78</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430,190.78</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1,412,778.27</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1,412,778.27</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自制半成品</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195,038,238.31</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195,038,238.31</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153,299,308.76</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153,299,308.76</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4,847,961,852.99</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85,987,130.83</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4,761,974,722.16</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5,080,680,466.37</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73,213,879.24</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5,007,466,587.13</w:t>
            </w:r>
          </w:p>
        </w:tc>
      </w:tr>
    </w:tbl>
    <w:p w:rsidR="00E23A97" w:rsidRPr="00831C3C" w:rsidRDefault="00C65FD5">
      <w:pPr>
        <w:keepNext/>
        <w:keepLines/>
        <w:spacing w:before="300" w:after="300" w:line="280" w:lineRule="exact"/>
        <w:outlineLvl w:val="3"/>
        <w:rPr>
          <w:rFonts w:ascii="宋体" w:eastAsia="宋体" w:hAnsi="宋体" w:cs="宋体"/>
          <w:b/>
          <w:bCs/>
          <w:szCs w:val="21"/>
        </w:rPr>
      </w:pPr>
      <w:bookmarkStart w:id="304" w:name="_Toc989185"/>
      <w:r w:rsidRPr="00831C3C">
        <w:rPr>
          <w:rFonts w:ascii="宋体" w:eastAsia="宋体" w:hAnsi="宋体" w:cs="宋体"/>
          <w:b/>
          <w:bCs/>
          <w:szCs w:val="21"/>
        </w:rPr>
        <w:t>（2）确认为存货的数据资源</w:t>
      </w:r>
      <w:bookmarkEnd w:id="304"/>
    </w:p>
    <w:p w:rsidR="00E23A97" w:rsidRPr="00831C3C" w:rsidRDefault="00C65FD5">
      <w:pPr>
        <w:keepNext/>
        <w:keepLines/>
        <w:spacing w:before="300" w:after="300" w:line="280" w:lineRule="exact"/>
        <w:outlineLvl w:val="3"/>
        <w:rPr>
          <w:rFonts w:ascii="宋体" w:eastAsia="宋体" w:hAnsi="宋体" w:cs="宋体"/>
          <w:b/>
          <w:bCs/>
          <w:szCs w:val="21"/>
        </w:rPr>
      </w:pPr>
      <w:bookmarkStart w:id="305" w:name="_Toc989186"/>
      <w:r w:rsidRPr="00831C3C">
        <w:rPr>
          <w:rFonts w:ascii="宋体" w:eastAsia="宋体" w:hAnsi="宋体" w:cs="宋体"/>
          <w:b/>
          <w:bCs/>
          <w:szCs w:val="21"/>
        </w:rPr>
        <w:t>（3）存货跌价准备和合同履约成本减值准备</w:t>
      </w:r>
      <w:bookmarkEnd w:id="305"/>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31C3C" w:rsidRPr="00831C3C">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c>
          <w:tcPr>
            <w:tcW w:w="275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本期增加金额</w:t>
            </w:r>
          </w:p>
        </w:tc>
        <w:tc>
          <w:tcPr>
            <w:tcW w:w="275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本期减少金额</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r>
      <w:tr w:rsidR="00831C3C" w:rsidRPr="00831C3C">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计提</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其他</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转回或转销</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其他</w:t>
            </w:r>
          </w:p>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原材料</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3,556,409.24</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2,210,656.05</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28,614.05</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5,738,451.24</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在产品</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3,233,890.46</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2,042,437.07</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408,280.62</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4,868,046.91</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库存商品</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66,423,579.54</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62,038,268.73</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52,791,711.31</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289,504.28</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75,380,632.68</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73,213,879.24</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66,291,361.85</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53,199,991.93</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318,118.33</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85,987,130.83</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按组合计提存货跌价准备</w:t>
      </w:r>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31C3C" w:rsidRPr="00831C3C">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组合名称</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w:t>
            </w:r>
          </w:p>
        </w:tc>
      </w:tr>
      <w:tr w:rsidR="00831C3C" w:rsidRPr="00831C3C">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跌价准备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跌价准备计提比例</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跌价准备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跌价准备计提比例</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按组合计提存货跌价准备的计提标准</w:t>
      </w:r>
    </w:p>
    <w:p w:rsidR="00C65FD5" w:rsidRPr="00831C3C" w:rsidRDefault="00C65FD5">
      <w:pPr>
        <w:divId w:val="655454200"/>
        <w:rPr>
          <w:sz w:val="18"/>
          <w:szCs w:val="18"/>
        </w:rPr>
      </w:pPr>
    </w:p>
    <w:p w:rsidR="00E23A97" w:rsidRPr="00831C3C" w:rsidRDefault="00C65FD5">
      <w:pPr>
        <w:keepNext/>
        <w:keepLines/>
        <w:spacing w:before="300" w:after="300" w:line="280" w:lineRule="exact"/>
        <w:outlineLvl w:val="3"/>
        <w:rPr>
          <w:rFonts w:ascii="宋体" w:eastAsia="宋体" w:hAnsi="宋体" w:cs="宋体"/>
          <w:b/>
          <w:bCs/>
          <w:szCs w:val="21"/>
        </w:rPr>
      </w:pPr>
      <w:bookmarkStart w:id="306" w:name="_Toc989187"/>
      <w:r w:rsidRPr="00831C3C">
        <w:rPr>
          <w:rFonts w:ascii="宋体" w:eastAsia="宋体" w:hAnsi="宋体" w:cs="宋体"/>
          <w:b/>
          <w:bCs/>
          <w:szCs w:val="21"/>
        </w:rPr>
        <w:lastRenderedPageBreak/>
        <w:t>（4）存货期末余额含有借款费用资本</w:t>
      </w:r>
      <w:proofErr w:type="gramStart"/>
      <w:r w:rsidRPr="00831C3C">
        <w:rPr>
          <w:rFonts w:ascii="宋体" w:eastAsia="宋体" w:hAnsi="宋体" w:cs="宋体"/>
          <w:b/>
          <w:bCs/>
          <w:szCs w:val="21"/>
        </w:rPr>
        <w:t>化金额</w:t>
      </w:r>
      <w:proofErr w:type="gramEnd"/>
      <w:r w:rsidRPr="00831C3C">
        <w:rPr>
          <w:rFonts w:ascii="宋体" w:eastAsia="宋体" w:hAnsi="宋体" w:cs="宋体"/>
          <w:b/>
          <w:bCs/>
          <w:szCs w:val="21"/>
        </w:rPr>
        <w:t>的说明</w:t>
      </w:r>
      <w:bookmarkEnd w:id="306"/>
    </w:p>
    <w:p w:rsidR="00E23A97" w:rsidRPr="00831C3C" w:rsidRDefault="00C65FD5">
      <w:pPr>
        <w:keepNext/>
        <w:keepLines/>
        <w:spacing w:before="300" w:after="300" w:line="280" w:lineRule="exact"/>
        <w:outlineLvl w:val="3"/>
        <w:rPr>
          <w:rFonts w:ascii="宋体" w:eastAsia="宋体" w:hAnsi="宋体" w:cs="宋体"/>
          <w:b/>
          <w:bCs/>
          <w:szCs w:val="21"/>
        </w:rPr>
      </w:pPr>
      <w:bookmarkStart w:id="307" w:name="_Toc989188"/>
      <w:r w:rsidRPr="00831C3C">
        <w:rPr>
          <w:rFonts w:ascii="宋体" w:eastAsia="宋体" w:hAnsi="宋体" w:cs="宋体"/>
          <w:b/>
          <w:bCs/>
          <w:szCs w:val="21"/>
        </w:rPr>
        <w:t>（5）合同履约成本本期摊销金额的说明</w:t>
      </w:r>
      <w:bookmarkEnd w:id="307"/>
    </w:p>
    <w:p w:rsidR="00E23A97" w:rsidRPr="00831C3C" w:rsidRDefault="00C65FD5">
      <w:pPr>
        <w:pStyle w:val="3"/>
        <w:spacing w:line="280" w:lineRule="exact"/>
        <w:jc w:val="left"/>
        <w:rPr>
          <w:rFonts w:ascii="宋体" w:hAnsi="宋体" w:cs="宋体"/>
          <w:b/>
          <w:bCs/>
        </w:rPr>
      </w:pPr>
      <w:bookmarkStart w:id="308" w:name="_Toc989189"/>
      <w:r w:rsidRPr="00831C3C">
        <w:rPr>
          <w:rFonts w:ascii="宋体" w:hAnsi="宋体" w:cs="宋体"/>
          <w:b/>
          <w:bCs/>
        </w:rPr>
        <w:t>11、持有待售资产</w:t>
      </w:r>
      <w:bookmarkEnd w:id="308"/>
    </w:p>
    <w:p w:rsidR="00E23A97" w:rsidRPr="00831C3C" w:rsidRDefault="00C65FD5">
      <w:pPr>
        <w:pStyle w:val="3"/>
        <w:spacing w:line="280" w:lineRule="exact"/>
        <w:jc w:val="left"/>
        <w:rPr>
          <w:rFonts w:ascii="宋体" w:hAnsi="宋体" w:cs="宋体"/>
          <w:b/>
          <w:bCs/>
        </w:rPr>
      </w:pPr>
      <w:bookmarkStart w:id="309" w:name="_Toc989190"/>
      <w:r w:rsidRPr="00831C3C">
        <w:rPr>
          <w:rFonts w:ascii="宋体" w:hAnsi="宋体" w:cs="宋体"/>
          <w:b/>
          <w:bCs/>
        </w:rPr>
        <w:t>12、一年内到期的非流动资产</w:t>
      </w:r>
      <w:bookmarkEnd w:id="309"/>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一年内到期的长期应收款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3,042,054.56</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2,931,142.48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3,042,054.56</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2,931,142.48</w:t>
            </w:r>
          </w:p>
        </w:tc>
      </w:tr>
    </w:tbl>
    <w:p w:rsidR="00E23A97" w:rsidRPr="00831C3C" w:rsidRDefault="00C65FD5">
      <w:pPr>
        <w:keepNext/>
        <w:keepLines/>
        <w:spacing w:before="300" w:after="300" w:line="280" w:lineRule="exact"/>
        <w:outlineLvl w:val="3"/>
        <w:rPr>
          <w:rFonts w:ascii="宋体" w:eastAsia="宋体" w:hAnsi="宋体" w:cs="宋体"/>
          <w:b/>
          <w:bCs/>
          <w:szCs w:val="21"/>
        </w:rPr>
      </w:pPr>
      <w:bookmarkStart w:id="310" w:name="_Toc989191"/>
      <w:r w:rsidRPr="00831C3C">
        <w:rPr>
          <w:rFonts w:ascii="宋体" w:eastAsia="宋体" w:hAnsi="宋体" w:cs="宋体"/>
          <w:b/>
          <w:bCs/>
          <w:szCs w:val="21"/>
        </w:rPr>
        <w:t>（1）一年内到期的债权投资</w:t>
      </w:r>
      <w:bookmarkEnd w:id="310"/>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keepNext/>
        <w:keepLines/>
        <w:spacing w:before="300" w:after="300" w:line="280" w:lineRule="exact"/>
        <w:outlineLvl w:val="3"/>
        <w:rPr>
          <w:rFonts w:ascii="宋体" w:eastAsia="宋体" w:hAnsi="宋体" w:cs="宋体"/>
          <w:b/>
          <w:bCs/>
          <w:szCs w:val="21"/>
        </w:rPr>
      </w:pPr>
      <w:bookmarkStart w:id="311" w:name="_Toc989192"/>
      <w:r w:rsidRPr="00831C3C">
        <w:rPr>
          <w:rFonts w:ascii="宋体" w:eastAsia="宋体" w:hAnsi="宋体" w:cs="宋体"/>
          <w:b/>
          <w:bCs/>
          <w:szCs w:val="21"/>
        </w:rPr>
        <w:t>（2）一年内到期的其他债权投资</w:t>
      </w:r>
      <w:bookmarkEnd w:id="311"/>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pStyle w:val="3"/>
        <w:spacing w:line="280" w:lineRule="exact"/>
        <w:jc w:val="left"/>
        <w:rPr>
          <w:rFonts w:ascii="宋体" w:hAnsi="宋体" w:cs="宋体"/>
          <w:b/>
          <w:bCs/>
        </w:rPr>
      </w:pPr>
      <w:bookmarkStart w:id="312" w:name="_Toc989193"/>
      <w:r w:rsidRPr="00831C3C">
        <w:rPr>
          <w:rFonts w:ascii="宋体" w:hAnsi="宋体" w:cs="宋体"/>
          <w:b/>
          <w:bCs/>
        </w:rPr>
        <w:t>13、其他流动资产</w:t>
      </w:r>
      <w:bookmarkEnd w:id="312"/>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增值税留抵扣额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185,034,897.34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118,468,377.90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以</w:t>
            </w:r>
            <w:proofErr w:type="gramStart"/>
            <w:r w:rsidRPr="00831C3C">
              <w:rPr>
                <w:rFonts w:ascii="宋体" w:eastAsia="宋体" w:hAnsi="宋体" w:cs="宋体"/>
                <w:sz w:val="18"/>
                <w:szCs w:val="18"/>
              </w:rPr>
              <w:t>抵销</w:t>
            </w:r>
            <w:proofErr w:type="gramEnd"/>
            <w:r w:rsidRPr="00831C3C">
              <w:rPr>
                <w:rFonts w:ascii="宋体" w:eastAsia="宋体" w:hAnsi="宋体" w:cs="宋体"/>
                <w:sz w:val="18"/>
                <w:szCs w:val="18"/>
              </w:rPr>
              <w:t>后净额列示的所得税预缴税额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8,491,460.74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6,622,702.65</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193,526,358.08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125,091,080.55</w:t>
            </w:r>
          </w:p>
        </w:tc>
      </w:tr>
    </w:tbl>
    <w:p w:rsidR="00E23A97" w:rsidRPr="00831C3C" w:rsidRDefault="00C65FD5">
      <w:pPr>
        <w:pStyle w:val="3"/>
        <w:spacing w:line="280" w:lineRule="exact"/>
        <w:jc w:val="left"/>
        <w:rPr>
          <w:rFonts w:ascii="宋体" w:hAnsi="宋体" w:cs="宋体"/>
          <w:b/>
          <w:bCs/>
        </w:rPr>
      </w:pPr>
      <w:bookmarkStart w:id="313" w:name="_Toc989194"/>
      <w:r w:rsidRPr="00831C3C">
        <w:rPr>
          <w:rFonts w:ascii="宋体" w:hAnsi="宋体" w:cs="宋体"/>
          <w:b/>
          <w:bCs/>
        </w:rPr>
        <w:t>14、债权投资</w:t>
      </w:r>
      <w:bookmarkEnd w:id="313"/>
    </w:p>
    <w:p w:rsidR="00E23A97" w:rsidRPr="00831C3C" w:rsidRDefault="00C65FD5">
      <w:pPr>
        <w:keepNext/>
        <w:keepLines/>
        <w:spacing w:before="300" w:after="300" w:line="280" w:lineRule="exact"/>
        <w:outlineLvl w:val="3"/>
        <w:rPr>
          <w:rFonts w:ascii="宋体" w:eastAsia="宋体" w:hAnsi="宋体" w:cs="宋体"/>
          <w:b/>
          <w:bCs/>
          <w:szCs w:val="21"/>
        </w:rPr>
      </w:pPr>
      <w:bookmarkStart w:id="314" w:name="_Toc989195"/>
      <w:r w:rsidRPr="00831C3C">
        <w:rPr>
          <w:rFonts w:ascii="宋体" w:eastAsia="宋体" w:hAnsi="宋体" w:cs="宋体"/>
          <w:b/>
          <w:bCs/>
          <w:szCs w:val="21"/>
        </w:rPr>
        <w:t>（1）债权投资的情况</w:t>
      </w:r>
      <w:bookmarkEnd w:id="314"/>
    </w:p>
    <w:p w:rsidR="00E23A97" w:rsidRPr="00831C3C" w:rsidRDefault="00C65FD5">
      <w:pPr>
        <w:keepNext/>
        <w:keepLines/>
        <w:spacing w:before="300" w:after="300" w:line="280" w:lineRule="exact"/>
        <w:outlineLvl w:val="3"/>
        <w:rPr>
          <w:rFonts w:ascii="宋体" w:eastAsia="宋体" w:hAnsi="宋体" w:cs="宋体"/>
          <w:b/>
          <w:bCs/>
          <w:szCs w:val="21"/>
        </w:rPr>
      </w:pPr>
      <w:bookmarkStart w:id="315" w:name="_Toc989196"/>
      <w:r w:rsidRPr="00831C3C">
        <w:rPr>
          <w:rFonts w:ascii="宋体" w:eastAsia="宋体" w:hAnsi="宋体" w:cs="宋体"/>
          <w:b/>
          <w:bCs/>
          <w:szCs w:val="21"/>
        </w:rPr>
        <w:t>（2）期末重要的债权投资</w:t>
      </w:r>
      <w:bookmarkEnd w:id="315"/>
    </w:p>
    <w:p w:rsidR="00E23A97" w:rsidRPr="00831C3C" w:rsidRDefault="00C65FD5">
      <w:pPr>
        <w:keepNext/>
        <w:keepLines/>
        <w:spacing w:before="300" w:after="300" w:line="280" w:lineRule="exact"/>
        <w:outlineLvl w:val="3"/>
        <w:rPr>
          <w:rFonts w:ascii="宋体" w:eastAsia="宋体" w:hAnsi="宋体" w:cs="宋体"/>
          <w:b/>
          <w:bCs/>
          <w:szCs w:val="21"/>
        </w:rPr>
      </w:pPr>
      <w:bookmarkStart w:id="316" w:name="_Toc989197"/>
      <w:r w:rsidRPr="00831C3C">
        <w:rPr>
          <w:rFonts w:ascii="宋体" w:eastAsia="宋体" w:hAnsi="宋体" w:cs="宋体"/>
          <w:b/>
          <w:bCs/>
          <w:szCs w:val="21"/>
        </w:rPr>
        <w:t>（3）减值准备计提情况</w:t>
      </w:r>
      <w:bookmarkEnd w:id="316"/>
    </w:p>
    <w:p w:rsidR="00E23A97" w:rsidRPr="00831C3C" w:rsidRDefault="00C65FD5">
      <w:pPr>
        <w:keepNext/>
        <w:keepLines/>
        <w:spacing w:before="300" w:after="300" w:line="280" w:lineRule="exact"/>
        <w:outlineLvl w:val="3"/>
        <w:rPr>
          <w:rFonts w:ascii="宋体" w:eastAsia="宋体" w:hAnsi="宋体" w:cs="宋体"/>
          <w:b/>
          <w:bCs/>
          <w:szCs w:val="21"/>
        </w:rPr>
      </w:pPr>
      <w:bookmarkStart w:id="317" w:name="_Toc989198"/>
      <w:r w:rsidRPr="00831C3C">
        <w:rPr>
          <w:rFonts w:ascii="宋体" w:eastAsia="宋体" w:hAnsi="宋体" w:cs="宋体"/>
          <w:b/>
          <w:bCs/>
          <w:szCs w:val="21"/>
        </w:rPr>
        <w:t>（4）本期实际核销的债权投资情况</w:t>
      </w:r>
      <w:bookmarkEnd w:id="317"/>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其中重要的债权投资核销情况</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债权投资核销说明：</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损失准备本期变动金额重大的账面余额变动情况</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p>
    <w:p w:rsidR="00C65FD5" w:rsidRPr="00831C3C" w:rsidRDefault="00C65FD5">
      <w:pPr>
        <w:divId w:val="12272247"/>
        <w:rPr>
          <w:sz w:val="18"/>
          <w:szCs w:val="18"/>
        </w:rPr>
      </w:pPr>
    </w:p>
    <w:p w:rsidR="00E23A97" w:rsidRPr="00831C3C" w:rsidRDefault="00C65FD5">
      <w:pPr>
        <w:pStyle w:val="3"/>
        <w:spacing w:line="280" w:lineRule="exact"/>
        <w:jc w:val="left"/>
        <w:rPr>
          <w:rFonts w:ascii="宋体" w:hAnsi="宋体" w:cs="宋体"/>
          <w:b/>
          <w:bCs/>
        </w:rPr>
      </w:pPr>
      <w:bookmarkStart w:id="318" w:name="_Toc989199"/>
      <w:r w:rsidRPr="00831C3C">
        <w:rPr>
          <w:rFonts w:ascii="宋体" w:hAnsi="宋体" w:cs="宋体"/>
          <w:b/>
          <w:bCs/>
        </w:rPr>
        <w:lastRenderedPageBreak/>
        <w:t>15、其他债权投资</w:t>
      </w:r>
      <w:bookmarkEnd w:id="318"/>
    </w:p>
    <w:p w:rsidR="00E23A97" w:rsidRPr="00831C3C" w:rsidRDefault="00C65FD5">
      <w:pPr>
        <w:keepNext/>
        <w:keepLines/>
        <w:spacing w:before="300" w:after="300" w:line="280" w:lineRule="exact"/>
        <w:outlineLvl w:val="3"/>
        <w:rPr>
          <w:rFonts w:ascii="宋体" w:eastAsia="宋体" w:hAnsi="宋体" w:cs="宋体"/>
          <w:b/>
          <w:bCs/>
          <w:szCs w:val="21"/>
        </w:rPr>
      </w:pPr>
      <w:bookmarkStart w:id="319" w:name="_Toc989200"/>
      <w:r w:rsidRPr="00831C3C">
        <w:rPr>
          <w:rFonts w:ascii="宋体" w:eastAsia="宋体" w:hAnsi="宋体" w:cs="宋体"/>
          <w:b/>
          <w:bCs/>
          <w:szCs w:val="21"/>
        </w:rPr>
        <w:t>（1）其他债权投资的情况</w:t>
      </w:r>
      <w:bookmarkEnd w:id="319"/>
    </w:p>
    <w:p w:rsidR="00E23A97" w:rsidRPr="00831C3C" w:rsidRDefault="00C65FD5">
      <w:pPr>
        <w:keepNext/>
        <w:keepLines/>
        <w:spacing w:before="300" w:after="300" w:line="280" w:lineRule="exact"/>
        <w:outlineLvl w:val="3"/>
        <w:rPr>
          <w:rFonts w:ascii="宋体" w:eastAsia="宋体" w:hAnsi="宋体" w:cs="宋体"/>
          <w:b/>
          <w:bCs/>
          <w:szCs w:val="21"/>
        </w:rPr>
      </w:pPr>
      <w:bookmarkStart w:id="320" w:name="_Toc989201"/>
      <w:r w:rsidRPr="00831C3C">
        <w:rPr>
          <w:rFonts w:ascii="宋体" w:eastAsia="宋体" w:hAnsi="宋体" w:cs="宋体"/>
          <w:b/>
          <w:bCs/>
          <w:szCs w:val="21"/>
        </w:rPr>
        <w:t>（2）期末重要的其他债权投资</w:t>
      </w:r>
      <w:bookmarkEnd w:id="320"/>
    </w:p>
    <w:p w:rsidR="00E23A97" w:rsidRPr="00831C3C" w:rsidRDefault="00C65FD5">
      <w:pPr>
        <w:keepNext/>
        <w:keepLines/>
        <w:spacing w:before="300" w:after="300" w:line="280" w:lineRule="exact"/>
        <w:outlineLvl w:val="3"/>
        <w:rPr>
          <w:rFonts w:ascii="宋体" w:eastAsia="宋体" w:hAnsi="宋体" w:cs="宋体"/>
          <w:b/>
          <w:bCs/>
          <w:szCs w:val="21"/>
        </w:rPr>
      </w:pPr>
      <w:bookmarkStart w:id="321" w:name="_Toc989202"/>
      <w:r w:rsidRPr="00831C3C">
        <w:rPr>
          <w:rFonts w:ascii="宋体" w:eastAsia="宋体" w:hAnsi="宋体" w:cs="宋体"/>
          <w:b/>
          <w:bCs/>
          <w:szCs w:val="21"/>
        </w:rPr>
        <w:t>（3）减值准备计提情况</w:t>
      </w:r>
      <w:bookmarkEnd w:id="321"/>
    </w:p>
    <w:p w:rsidR="00E23A97" w:rsidRPr="00831C3C" w:rsidRDefault="00C65FD5">
      <w:pPr>
        <w:keepNext/>
        <w:keepLines/>
        <w:spacing w:before="300" w:after="300" w:line="280" w:lineRule="exact"/>
        <w:outlineLvl w:val="3"/>
        <w:rPr>
          <w:rFonts w:ascii="宋体" w:eastAsia="宋体" w:hAnsi="宋体" w:cs="宋体"/>
          <w:b/>
          <w:bCs/>
          <w:szCs w:val="21"/>
        </w:rPr>
      </w:pPr>
      <w:bookmarkStart w:id="322" w:name="_Toc989203"/>
      <w:r w:rsidRPr="00831C3C">
        <w:rPr>
          <w:rFonts w:ascii="宋体" w:eastAsia="宋体" w:hAnsi="宋体" w:cs="宋体"/>
          <w:b/>
          <w:bCs/>
          <w:szCs w:val="21"/>
        </w:rPr>
        <w:t>（4）本期实际核销的其他债权投资情况</w:t>
      </w:r>
      <w:bookmarkEnd w:id="322"/>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损失准备本期变动金额重大的账面余额变动情况</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r w:rsidR="006B0D17" w:rsidRPr="00831C3C">
        <w:rPr>
          <w:rFonts w:ascii="宋体" w:eastAsia="宋体" w:hAnsi="宋体" w:cs="宋体"/>
          <w:sz w:val="18"/>
          <w:szCs w:val="18"/>
        </w:rPr>
        <w:t>无</w:t>
      </w:r>
    </w:p>
    <w:p w:rsidR="00E23A97" w:rsidRPr="00831C3C" w:rsidRDefault="00C65FD5">
      <w:pPr>
        <w:pStyle w:val="3"/>
        <w:spacing w:line="280" w:lineRule="exact"/>
        <w:jc w:val="left"/>
        <w:rPr>
          <w:rFonts w:ascii="宋体" w:hAnsi="宋体" w:cs="宋体"/>
          <w:b/>
          <w:bCs/>
        </w:rPr>
      </w:pPr>
      <w:bookmarkStart w:id="323" w:name="_Toc989204"/>
      <w:r w:rsidRPr="00831C3C">
        <w:rPr>
          <w:rFonts w:ascii="宋体" w:hAnsi="宋体" w:cs="宋体"/>
          <w:b/>
          <w:bCs/>
        </w:rPr>
        <w:t>16、其他权益工具投资</w:t>
      </w:r>
      <w:bookmarkEnd w:id="323"/>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071"/>
        <w:gridCol w:w="1071"/>
        <w:gridCol w:w="1071"/>
        <w:gridCol w:w="1071"/>
        <w:gridCol w:w="1071"/>
        <w:gridCol w:w="1071"/>
        <w:gridCol w:w="1071"/>
        <w:gridCol w:w="1071"/>
        <w:gridCol w:w="1071"/>
      </w:tblGrid>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项目名称</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本期计入其他综合收益的利得</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本期计入其他综合收益的损失</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本期末累计计入其他综合收益的利得</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本期末累计计入其他综合收益的损失</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本期确认的股利收入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指定为以公允价值计量且其变动计入其他综合收益的原因</w:t>
            </w: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浙江八达股份有限公司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66,000.00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66,000.00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浙江凯旋股份有限公司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65,945.90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65,945.90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石河子国民村镇银行有限责任公司</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5,000,000.00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5,000,000.00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892,500.00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杭州英涉时装</w:t>
            </w:r>
            <w:proofErr w:type="gramEnd"/>
            <w:r w:rsidRPr="00831C3C">
              <w:rPr>
                <w:rFonts w:ascii="宋体" w:eastAsia="宋体" w:hAnsi="宋体" w:cs="宋体"/>
                <w:sz w:val="18"/>
                <w:szCs w:val="18"/>
              </w:rPr>
              <w:t>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7,830,000.00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7,830,000.00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徽商银行股份有限公司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58,313,147.94</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54,754,746.91</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3,558,401.03</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3,722,139.48</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广州思立德供应链管理有限公司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500,000.00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共青城</w:t>
            </w:r>
            <w:proofErr w:type="gramStart"/>
            <w:r w:rsidRPr="00831C3C">
              <w:rPr>
                <w:rFonts w:ascii="宋体" w:eastAsia="宋体" w:hAnsi="宋体" w:cs="宋体"/>
                <w:sz w:val="18"/>
                <w:szCs w:val="18"/>
              </w:rPr>
              <w:t>龙芯创零创业</w:t>
            </w:r>
            <w:proofErr w:type="gramEnd"/>
            <w:r w:rsidRPr="00831C3C">
              <w:rPr>
                <w:rFonts w:ascii="宋体" w:eastAsia="宋体" w:hAnsi="宋体" w:cs="宋体"/>
                <w:sz w:val="18"/>
                <w:szCs w:val="18"/>
              </w:rPr>
              <w:t>投资基金合伙企业（有限合伙）</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10,000,000.00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10,000,000.00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81,709,147.94</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77,716,692.81</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3,558,401.03</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65,945.90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4,614,639.48</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分项披露</w:t>
      </w:r>
      <w:proofErr w:type="gramStart"/>
      <w:r w:rsidRPr="00831C3C">
        <w:rPr>
          <w:rFonts w:ascii="宋体" w:eastAsia="宋体" w:hAnsi="宋体" w:cs="宋体"/>
          <w:sz w:val="18"/>
          <w:szCs w:val="18"/>
        </w:rPr>
        <w:t>本期非交易</w:t>
      </w:r>
      <w:proofErr w:type="gramEnd"/>
      <w:r w:rsidRPr="00831C3C">
        <w:rPr>
          <w:rFonts w:ascii="宋体" w:eastAsia="宋体" w:hAnsi="宋体" w:cs="宋体"/>
          <w:sz w:val="18"/>
          <w:szCs w:val="18"/>
        </w:rPr>
        <w:t>性权益工具投资</w:t>
      </w:r>
    </w:p>
    <w:p w:rsidR="00E23A97" w:rsidRPr="00831C3C" w:rsidRDefault="00C65FD5">
      <w:pPr>
        <w:spacing w:before="120" w:after="120" w:line="240" w:lineRule="exact"/>
        <w:jc w:val="right"/>
        <w:rPr>
          <w:rFonts w:ascii="宋体" w:eastAsia="宋体" w:hAnsi="宋体" w:cs="宋体"/>
          <w:sz w:val="18"/>
          <w:szCs w:val="18"/>
        </w:rPr>
      </w:pPr>
      <w:r w:rsidRPr="00831C3C">
        <w:rPr>
          <w:rFonts w:ascii="宋体" w:eastAsia="宋体" w:hAnsi="宋体" w:cs="宋体"/>
          <w:sz w:val="18"/>
          <w:szCs w:val="18"/>
        </w:rPr>
        <w:lastRenderedPageBreak/>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项目名称</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确认的股利收入</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累计利得</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累计损失</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其他综合收益转入留存收益的金额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指定为以公允价值计量且其变动计入其他综合收益的原因</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其他综合收益转入留存收益的原因</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徽商银行股份有限公司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3,722,139.48</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12,441,123.73</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“三无”投资</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r w:rsidR="006B0D17" w:rsidRPr="00831C3C">
        <w:rPr>
          <w:rFonts w:ascii="宋体" w:eastAsia="宋体" w:hAnsi="宋体" w:cs="宋体"/>
          <w:sz w:val="18"/>
          <w:szCs w:val="18"/>
        </w:rPr>
        <w:t>无</w:t>
      </w:r>
    </w:p>
    <w:p w:rsidR="00E23A97" w:rsidRPr="00831C3C" w:rsidRDefault="00C65FD5">
      <w:pPr>
        <w:pStyle w:val="3"/>
        <w:spacing w:line="280" w:lineRule="exact"/>
        <w:jc w:val="left"/>
        <w:rPr>
          <w:rFonts w:ascii="宋体" w:hAnsi="宋体" w:cs="宋体"/>
          <w:b/>
          <w:bCs/>
        </w:rPr>
      </w:pPr>
      <w:bookmarkStart w:id="324" w:name="_Toc989205"/>
      <w:r w:rsidRPr="00831C3C">
        <w:rPr>
          <w:rFonts w:ascii="宋体" w:hAnsi="宋体" w:cs="宋体"/>
          <w:b/>
          <w:bCs/>
        </w:rPr>
        <w:t>17、长期应收款</w:t>
      </w:r>
      <w:bookmarkEnd w:id="324"/>
    </w:p>
    <w:p w:rsidR="00E23A97" w:rsidRPr="00831C3C" w:rsidRDefault="00C65FD5">
      <w:pPr>
        <w:keepNext/>
        <w:keepLines/>
        <w:spacing w:before="300" w:after="300" w:line="280" w:lineRule="exact"/>
        <w:outlineLvl w:val="3"/>
        <w:rPr>
          <w:rFonts w:ascii="宋体" w:eastAsia="宋体" w:hAnsi="宋体" w:cs="宋体"/>
          <w:b/>
          <w:bCs/>
          <w:szCs w:val="21"/>
        </w:rPr>
      </w:pPr>
      <w:bookmarkStart w:id="325" w:name="_Toc989206"/>
      <w:r w:rsidRPr="00831C3C">
        <w:rPr>
          <w:rFonts w:ascii="宋体" w:eastAsia="宋体" w:hAnsi="宋体" w:cs="宋体"/>
          <w:b/>
          <w:bCs/>
          <w:szCs w:val="21"/>
        </w:rPr>
        <w:t>（1）长期应收款情况</w:t>
      </w:r>
      <w:bookmarkEnd w:id="325"/>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204"/>
        <w:gridCol w:w="1205"/>
        <w:gridCol w:w="1205"/>
        <w:gridCol w:w="1205"/>
        <w:gridCol w:w="1205"/>
        <w:gridCol w:w="1205"/>
        <w:gridCol w:w="1205"/>
        <w:gridCol w:w="1205"/>
      </w:tblGrid>
      <w:tr w:rsidR="00831C3C" w:rsidRPr="00831C3C">
        <w:trPr>
          <w:trHeight w:val="240"/>
        </w:trPr>
        <w:tc>
          <w:tcPr>
            <w:tcW w:w="120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615"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3615"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c>
          <w:tcPr>
            <w:tcW w:w="120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折现率区间</w:t>
            </w:r>
          </w:p>
        </w:tc>
      </w:tr>
      <w:tr w:rsidR="00831C3C" w:rsidRPr="00831C3C">
        <w:trPr>
          <w:trHeight w:val="240"/>
        </w:trPr>
        <w:tc>
          <w:tcPr>
            <w:tcW w:w="1205"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账面余额</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坏账准备</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账面价值</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账面余额</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坏账准备</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账面价值</w:t>
            </w:r>
          </w:p>
        </w:tc>
        <w:tc>
          <w:tcPr>
            <w:tcW w:w="1205"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融资租赁款</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3,580,581.72</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309,217.37</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3,271,364.35</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3,085,751.16</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154,608.68</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2,931,142.48</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其中：未实现融资收益</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15,720.40</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15,720.40</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6,422.53</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6,422.53</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trPr>
          <w:trHeight w:val="240"/>
        </w:trPr>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减：一年内到期的长期应收款</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-3,351,271.93</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-309,217.37</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-3,042,054.56</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-3,085,751.16</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-154,608.68</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-2,931,142.48</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229,309.79</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0.00</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229,309.79</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0.00</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0.00</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bl>
    <w:p w:rsidR="00E23A97" w:rsidRPr="00831C3C" w:rsidRDefault="00C65FD5">
      <w:pPr>
        <w:keepNext/>
        <w:keepLines/>
        <w:spacing w:before="300" w:after="300" w:line="280" w:lineRule="exact"/>
        <w:outlineLvl w:val="3"/>
        <w:rPr>
          <w:rFonts w:ascii="宋体" w:eastAsia="宋体" w:hAnsi="宋体" w:cs="宋体"/>
          <w:b/>
          <w:bCs/>
          <w:szCs w:val="21"/>
        </w:rPr>
      </w:pPr>
      <w:bookmarkStart w:id="326" w:name="_Toc989207"/>
      <w:r w:rsidRPr="00831C3C">
        <w:rPr>
          <w:rFonts w:ascii="宋体" w:eastAsia="宋体" w:hAnsi="宋体" w:cs="宋体"/>
          <w:b/>
          <w:bCs/>
          <w:szCs w:val="21"/>
        </w:rPr>
        <w:t>（2）按坏账计提方法分类披露</w:t>
      </w:r>
      <w:bookmarkEnd w:id="326"/>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按预期信用损失一般模型计提坏账准备</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各阶段划分依据和坏账准备计提比例</w:t>
      </w:r>
    </w:p>
    <w:p w:rsidR="00E23A97" w:rsidRPr="00831C3C" w:rsidRDefault="00C65FD5">
      <w:pPr>
        <w:keepNext/>
        <w:keepLines/>
        <w:spacing w:before="300" w:after="300" w:line="280" w:lineRule="exact"/>
        <w:outlineLvl w:val="3"/>
        <w:rPr>
          <w:rFonts w:ascii="宋体" w:eastAsia="宋体" w:hAnsi="宋体" w:cs="宋体"/>
          <w:b/>
          <w:bCs/>
          <w:szCs w:val="21"/>
        </w:rPr>
      </w:pPr>
      <w:bookmarkStart w:id="327" w:name="_Toc989208"/>
      <w:r w:rsidRPr="00831C3C">
        <w:rPr>
          <w:rFonts w:ascii="宋体" w:eastAsia="宋体" w:hAnsi="宋体" w:cs="宋体"/>
          <w:b/>
          <w:bCs/>
          <w:szCs w:val="21"/>
        </w:rPr>
        <w:t>（3）本期计提、收回或转回的坏账准备的情况</w:t>
      </w:r>
      <w:bookmarkEnd w:id="327"/>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r w:rsidR="006B0D17" w:rsidRPr="00831C3C">
        <w:rPr>
          <w:rFonts w:ascii="宋体" w:eastAsia="宋体" w:hAnsi="宋体" w:cs="宋体"/>
          <w:sz w:val="18"/>
          <w:szCs w:val="18"/>
        </w:rPr>
        <w:t>无</w:t>
      </w:r>
    </w:p>
    <w:p w:rsidR="00E23A97" w:rsidRPr="00831C3C" w:rsidRDefault="00C65FD5">
      <w:pPr>
        <w:keepNext/>
        <w:keepLines/>
        <w:spacing w:before="300" w:after="300" w:line="280" w:lineRule="exact"/>
        <w:outlineLvl w:val="3"/>
        <w:rPr>
          <w:rFonts w:ascii="宋体" w:eastAsia="宋体" w:hAnsi="宋体" w:cs="宋体"/>
          <w:b/>
          <w:bCs/>
          <w:szCs w:val="21"/>
        </w:rPr>
      </w:pPr>
      <w:bookmarkStart w:id="328" w:name="_Toc989209"/>
      <w:r w:rsidRPr="00831C3C">
        <w:rPr>
          <w:rFonts w:ascii="宋体" w:eastAsia="宋体" w:hAnsi="宋体" w:cs="宋体"/>
          <w:b/>
          <w:bCs/>
          <w:szCs w:val="21"/>
        </w:rPr>
        <w:t>（4）本期实际核销的长期应收款情况</w:t>
      </w:r>
      <w:bookmarkEnd w:id="328"/>
    </w:p>
    <w:p w:rsidR="00E23A97" w:rsidRPr="00831C3C" w:rsidRDefault="00C65FD5">
      <w:pPr>
        <w:pStyle w:val="3"/>
        <w:spacing w:line="280" w:lineRule="exact"/>
        <w:jc w:val="left"/>
        <w:rPr>
          <w:rFonts w:ascii="宋体" w:hAnsi="宋体" w:cs="宋体"/>
          <w:b/>
          <w:bCs/>
        </w:rPr>
      </w:pPr>
      <w:bookmarkStart w:id="329" w:name="_Toc989210"/>
      <w:r w:rsidRPr="00831C3C">
        <w:rPr>
          <w:rFonts w:ascii="宋体" w:hAnsi="宋体" w:cs="宋体"/>
          <w:b/>
          <w:bCs/>
        </w:rPr>
        <w:t>18、长期股权投资</w:t>
      </w:r>
      <w:bookmarkEnd w:id="329"/>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741"/>
        <w:gridCol w:w="741"/>
        <w:gridCol w:w="741"/>
        <w:gridCol w:w="741"/>
        <w:gridCol w:w="741"/>
        <w:gridCol w:w="741"/>
        <w:gridCol w:w="741"/>
        <w:gridCol w:w="741"/>
        <w:gridCol w:w="741"/>
        <w:gridCol w:w="741"/>
        <w:gridCol w:w="745"/>
        <w:gridCol w:w="741"/>
        <w:gridCol w:w="743"/>
      </w:tblGrid>
      <w:tr w:rsidR="00831C3C" w:rsidRPr="00831C3C">
        <w:trPr>
          <w:trHeight w:val="240"/>
        </w:trPr>
        <w:tc>
          <w:tcPr>
            <w:tcW w:w="74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被投资单位</w:t>
            </w:r>
          </w:p>
        </w:tc>
        <w:tc>
          <w:tcPr>
            <w:tcW w:w="74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期初余额（账面价值）</w:t>
            </w:r>
          </w:p>
        </w:tc>
        <w:tc>
          <w:tcPr>
            <w:tcW w:w="74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减值准备期初余额</w:t>
            </w:r>
          </w:p>
        </w:tc>
        <w:tc>
          <w:tcPr>
            <w:tcW w:w="5932" w:type="dxa"/>
            <w:gridSpan w:val="8"/>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本期增减变动</w:t>
            </w:r>
          </w:p>
        </w:tc>
        <w:tc>
          <w:tcPr>
            <w:tcW w:w="74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期末余额（账面价值）</w:t>
            </w:r>
          </w:p>
        </w:tc>
        <w:tc>
          <w:tcPr>
            <w:tcW w:w="74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减值准备期末余额</w:t>
            </w:r>
          </w:p>
        </w:tc>
      </w:tr>
      <w:tr w:rsidR="00831C3C" w:rsidRPr="00831C3C">
        <w:trPr>
          <w:trHeight w:val="240"/>
        </w:trPr>
        <w:tc>
          <w:tcPr>
            <w:tcW w:w="74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74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74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追加投资</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减少投资</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权益法下确认的投资损益</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其他综合收益调整</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其他权益变动</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宣告发放现金股利或利润</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计提减值准备</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其他</w:t>
            </w:r>
          </w:p>
        </w:tc>
        <w:tc>
          <w:tcPr>
            <w:tcW w:w="74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74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9639" w:type="dxa"/>
            <w:gridSpan w:val="13"/>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一、合营企业</w:t>
            </w:r>
          </w:p>
        </w:tc>
      </w:tr>
      <w:tr w:rsidR="00831C3C" w:rsidRPr="00831C3C">
        <w:trPr>
          <w:trHeight w:val="240"/>
        </w:trPr>
        <w:tc>
          <w:tcPr>
            <w:tcW w:w="9639" w:type="dxa"/>
            <w:gridSpan w:val="13"/>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lastRenderedPageBreak/>
              <w:t>二、联营企业</w:t>
            </w: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江苏科孚纺织品贸易有限公司</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45,040,232.91</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6,408.56</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45,046,641.47</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福田实业（集团）有限公司</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241,048,989.08</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8,852,252.19</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-1,324,574.28</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-579,520.73</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247,997,146.26</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浙江华尚产业运营有限公司</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39,994,950.46</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-1,406,202.48</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38,588,747.98</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小计</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326,084,172.45</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7,452,458.27</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-1,324,574.28</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-579,520.73</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331,632,535.71</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326,084,172.45</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7,452,458.27</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-1,324,574.28</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-579,520.73</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331,632,535.71</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可收回金额按公允价值减去处置费用后的净额确定</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可收回金额按预计未来现金流量的现值确定</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前述信息与以前年度减值测试采用的信息或外部信息明显不一致的差异原因</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公司以前年度减值测试采用信息与当年实际情况明显不一致的差异原因</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p>
    <w:p w:rsidR="00C65FD5" w:rsidRPr="00831C3C" w:rsidRDefault="00C65FD5" w:rsidP="006B0D17">
      <w:pPr>
        <w:spacing w:before="100" w:after="100" w:line="240" w:lineRule="exact"/>
        <w:ind w:firstLineChars="200" w:firstLine="360"/>
        <w:divId w:val="543568260"/>
        <w:rPr>
          <w:rFonts w:ascii="宋体" w:eastAsia="宋体" w:hAnsi="宋体" w:cs="宋体"/>
          <w:sz w:val="18"/>
          <w:szCs w:val="18"/>
        </w:rPr>
      </w:pPr>
      <w:r w:rsidRPr="00831C3C">
        <w:rPr>
          <w:rFonts w:ascii="宋体" w:eastAsia="宋体" w:hAnsi="宋体" w:cs="宋体" w:hint="eastAsia"/>
          <w:sz w:val="18"/>
          <w:szCs w:val="18"/>
        </w:rPr>
        <w:t>本公司子公司香港天成持有福田实业（集团）有限公司（以下简称福田实业，股票代码：</w:t>
      </w:r>
      <w:r w:rsidRPr="00831C3C">
        <w:rPr>
          <w:rFonts w:ascii="宋体" w:eastAsia="宋体" w:hAnsi="宋体" w:cs="宋体"/>
          <w:sz w:val="18"/>
          <w:szCs w:val="18"/>
        </w:rPr>
        <w:t>HK0420</w:t>
      </w:r>
      <w:r w:rsidRPr="00831C3C">
        <w:rPr>
          <w:rFonts w:ascii="宋体" w:eastAsia="宋体" w:hAnsi="宋体" w:cs="宋体" w:hint="eastAsia"/>
          <w:sz w:val="18"/>
          <w:szCs w:val="18"/>
        </w:rPr>
        <w:t>）</w:t>
      </w:r>
      <w:r w:rsidRPr="00831C3C">
        <w:rPr>
          <w:rFonts w:ascii="宋体" w:eastAsia="宋体" w:hAnsi="宋体" w:cs="宋体"/>
          <w:sz w:val="18"/>
          <w:szCs w:val="18"/>
        </w:rPr>
        <w:t>17.30%</w:t>
      </w:r>
      <w:r w:rsidRPr="00831C3C">
        <w:rPr>
          <w:rFonts w:ascii="宋体" w:eastAsia="宋体" w:hAnsi="宋体" w:cs="宋体" w:hint="eastAsia"/>
          <w:sz w:val="18"/>
          <w:szCs w:val="18"/>
        </w:rPr>
        <w:t>的股权及表决权。虽然该比例低于</w:t>
      </w:r>
      <w:r w:rsidRPr="00831C3C">
        <w:rPr>
          <w:rFonts w:ascii="宋体" w:eastAsia="宋体" w:hAnsi="宋体" w:cs="宋体"/>
          <w:sz w:val="18"/>
          <w:szCs w:val="18"/>
        </w:rPr>
        <w:t>20%</w:t>
      </w:r>
      <w:r w:rsidRPr="00831C3C">
        <w:rPr>
          <w:rFonts w:ascii="宋体" w:eastAsia="宋体" w:hAnsi="宋体" w:cs="宋体" w:hint="eastAsia"/>
          <w:sz w:val="18"/>
          <w:szCs w:val="18"/>
        </w:rPr>
        <w:t>，但由于本公司在福田实业董事会中派有代表并参与财务和经营政策的决策，所以本公司能够对福田实业施加重大影响。</w:t>
      </w:r>
    </w:p>
    <w:p w:rsidR="00E23A97" w:rsidRPr="00831C3C" w:rsidRDefault="00C65FD5">
      <w:pPr>
        <w:pStyle w:val="3"/>
        <w:spacing w:line="280" w:lineRule="exact"/>
        <w:jc w:val="left"/>
        <w:rPr>
          <w:rFonts w:ascii="宋体" w:hAnsi="宋体" w:cs="宋体"/>
          <w:b/>
          <w:bCs/>
        </w:rPr>
      </w:pPr>
      <w:bookmarkStart w:id="330" w:name="_Toc989211"/>
      <w:r w:rsidRPr="00831C3C">
        <w:rPr>
          <w:rFonts w:ascii="宋体" w:hAnsi="宋体" w:cs="宋体"/>
          <w:b/>
          <w:bCs/>
        </w:rPr>
        <w:t>19、其他非流动金融资产</w:t>
      </w:r>
      <w:bookmarkEnd w:id="330"/>
    </w:p>
    <w:p w:rsidR="00E23A97" w:rsidRPr="00831C3C" w:rsidRDefault="00C65FD5">
      <w:pPr>
        <w:pStyle w:val="3"/>
        <w:spacing w:line="280" w:lineRule="exact"/>
        <w:jc w:val="left"/>
        <w:rPr>
          <w:rFonts w:ascii="宋体" w:hAnsi="宋体" w:cs="宋体"/>
          <w:b/>
          <w:bCs/>
        </w:rPr>
      </w:pPr>
      <w:bookmarkStart w:id="331" w:name="_Toc989212"/>
      <w:r w:rsidRPr="00831C3C">
        <w:rPr>
          <w:rFonts w:ascii="宋体" w:hAnsi="宋体" w:cs="宋体"/>
          <w:b/>
          <w:bCs/>
        </w:rPr>
        <w:t>20、投资性房地产</w:t>
      </w:r>
      <w:bookmarkEnd w:id="331"/>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332" w:name="_Toc989213"/>
      <w:r w:rsidRPr="00831C3C">
        <w:rPr>
          <w:rFonts w:ascii="宋体" w:eastAsia="宋体" w:hAnsi="宋体" w:cs="宋体"/>
          <w:b/>
          <w:bCs/>
          <w:sz w:val="18"/>
          <w:szCs w:val="18"/>
        </w:rPr>
        <w:t>（1）采用成本计量模式的投资性房地产</w:t>
      </w:r>
      <w:bookmarkEnd w:id="332"/>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适用□不适用</w:t>
      </w:r>
    </w:p>
    <w:p w:rsidR="00E23A97" w:rsidRPr="00831C3C" w:rsidRDefault="00C65FD5">
      <w:pPr>
        <w:spacing w:before="120" w:after="12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房屋、建筑物</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土地使用权</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在建工程</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合计</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一、账面原值</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1.期初余额</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183,173,513.25</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183,173,513.25</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lastRenderedPageBreak/>
              <w:t>2.本期增加金额</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21,791,827.42</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21,791,827.42</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（1）外购</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738,209.12</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738,209.12</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（2）存货\固定资产\在建工程转入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21,053,618.30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21,053,618.30</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（3）企业合并增加</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3.本期减少金额</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3,303,204.15</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3,303,204.15</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（1）处置</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1,375,200.36</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1,375,200.36</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（2）其他转出</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转自用房地产</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1,928,003.79</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1,928,003.79</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4.期末余额</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201,662,136.52</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201,662,136.52</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二、累计折旧和累计摊销</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1.期初余额</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50,470,684.23</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50,470,684.23</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2.本期增加金额</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17,472,824.47</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17,472,824.47</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（1）计提或摊销</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13,036,032.53</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13,036,032.53</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固定资产转入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4,436,791.94</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4,436,791.94</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3.本期减少金额</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491,208.90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491,208.90</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（1）处置</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49,507.20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49,507.20</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（2）其他转出</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转自用房地产</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441,701.70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441,701.70</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4.期末余额</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67,452,299.80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67,452,299.80</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三、减值准备</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1.期初余额</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2.本期增加金额</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（1）计提</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3.本期减少金额</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（1）处置</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（2）其他转出</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4.期末余额</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四、账面价值</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1.期末账面价值</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134,209,836.72</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134,209,836.72</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2.期初账面价值</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132,702,829.02</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132,702,829.02</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可收回金额按公允价值减去处置费用后的净额确定</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可收回金额按预计未来现金流量的现值确定</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前述信息与以前年度减值测试采用的信息或外部信息明显不一致的差异原因</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lastRenderedPageBreak/>
        <w:t>公司以前年度减值测试采用信息与当年实际情况明显不一致的差异原因</w:t>
      </w:r>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333" w:name="_Toc989214"/>
      <w:r w:rsidRPr="00831C3C">
        <w:rPr>
          <w:rFonts w:ascii="宋体" w:eastAsia="宋体" w:hAnsi="宋体" w:cs="宋体"/>
          <w:b/>
          <w:bCs/>
          <w:sz w:val="18"/>
          <w:szCs w:val="18"/>
        </w:rPr>
        <w:t>（2）采用公允价值计量模式的投资性房地产</w:t>
      </w:r>
      <w:bookmarkEnd w:id="333"/>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334" w:name="_Toc989215"/>
      <w:r w:rsidRPr="00831C3C">
        <w:rPr>
          <w:rFonts w:ascii="宋体" w:eastAsia="宋体" w:hAnsi="宋体" w:cs="宋体"/>
          <w:b/>
          <w:bCs/>
          <w:sz w:val="18"/>
          <w:szCs w:val="18"/>
        </w:rPr>
        <w:t>（3）转换为投资性房地产并采用公允价值计量</w:t>
      </w:r>
      <w:bookmarkEnd w:id="334"/>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335" w:name="_Toc989216"/>
      <w:r w:rsidRPr="00831C3C">
        <w:rPr>
          <w:rFonts w:ascii="宋体" w:eastAsia="宋体" w:hAnsi="宋体" w:cs="宋体"/>
          <w:b/>
          <w:bCs/>
          <w:sz w:val="18"/>
          <w:szCs w:val="18"/>
        </w:rPr>
        <w:t>（4）未办妥产权证书的投资性房地产情况</w:t>
      </w:r>
      <w:bookmarkEnd w:id="335"/>
    </w:p>
    <w:p w:rsidR="00E23A97" w:rsidRPr="00831C3C" w:rsidRDefault="00C65FD5">
      <w:pPr>
        <w:pStyle w:val="3"/>
        <w:spacing w:line="280" w:lineRule="exact"/>
        <w:jc w:val="left"/>
        <w:rPr>
          <w:rFonts w:ascii="宋体" w:hAnsi="宋体" w:cs="宋体"/>
          <w:b/>
          <w:bCs/>
        </w:rPr>
      </w:pPr>
      <w:bookmarkStart w:id="336" w:name="_Toc989217"/>
      <w:r w:rsidRPr="00831C3C">
        <w:rPr>
          <w:rFonts w:ascii="宋体" w:hAnsi="宋体" w:cs="宋体"/>
          <w:b/>
          <w:bCs/>
        </w:rPr>
        <w:t>21、固定资产</w:t>
      </w:r>
      <w:bookmarkEnd w:id="336"/>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固定资产</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4,700,798,389.13</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4,675,330,489.40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固定资产清理</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505,206.74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4,700,798,389.13</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4,675,835,696.14</w:t>
            </w:r>
          </w:p>
        </w:tc>
      </w:tr>
    </w:tbl>
    <w:p w:rsidR="00E23A97" w:rsidRPr="00831C3C" w:rsidRDefault="00C65FD5">
      <w:pPr>
        <w:keepNext/>
        <w:keepLines/>
        <w:spacing w:before="300" w:after="300" w:line="280" w:lineRule="exact"/>
        <w:outlineLvl w:val="3"/>
        <w:rPr>
          <w:rFonts w:ascii="宋体" w:eastAsia="宋体" w:hAnsi="宋体" w:cs="宋体"/>
          <w:b/>
          <w:bCs/>
          <w:szCs w:val="21"/>
        </w:rPr>
      </w:pPr>
      <w:bookmarkStart w:id="337" w:name="_Toc989218"/>
      <w:r w:rsidRPr="00831C3C">
        <w:rPr>
          <w:rFonts w:ascii="宋体" w:eastAsia="宋体" w:hAnsi="宋体" w:cs="宋体"/>
          <w:b/>
          <w:bCs/>
          <w:szCs w:val="21"/>
        </w:rPr>
        <w:t>（1）固定资产情况</w:t>
      </w:r>
      <w:bookmarkEnd w:id="337"/>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06"/>
        <w:gridCol w:w="1606"/>
        <w:gridCol w:w="1606"/>
        <w:gridCol w:w="1607"/>
        <w:gridCol w:w="1607"/>
        <w:gridCol w:w="1607"/>
      </w:tblGrid>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center"/>
              <w:rPr>
                <w:rFonts w:ascii="宋体" w:eastAsia="宋体" w:hAnsi="宋体" w:cs="宋体"/>
                <w:sz w:val="18"/>
                <w:szCs w:val="18"/>
              </w:rPr>
            </w:pPr>
            <w:r w:rsidRPr="00831C3C">
              <w:rPr>
                <w:rFonts w:ascii="宋体" w:eastAsia="宋体" w:hAnsi="宋体" w:cs="宋体"/>
                <w:sz w:val="18"/>
                <w:szCs w:val="18"/>
              </w:rPr>
              <w:t>房屋及建筑物</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center"/>
              <w:rPr>
                <w:rFonts w:ascii="宋体" w:eastAsia="宋体" w:hAnsi="宋体" w:cs="宋体"/>
                <w:sz w:val="18"/>
                <w:szCs w:val="18"/>
              </w:rPr>
            </w:pPr>
            <w:r w:rsidRPr="00831C3C">
              <w:rPr>
                <w:rFonts w:ascii="宋体" w:eastAsia="宋体" w:hAnsi="宋体" w:cs="宋体"/>
                <w:sz w:val="18"/>
                <w:szCs w:val="18"/>
              </w:rPr>
              <w:t>机器设备</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center"/>
              <w:rPr>
                <w:rFonts w:ascii="宋体" w:eastAsia="宋体" w:hAnsi="宋体" w:cs="宋体"/>
                <w:sz w:val="18"/>
                <w:szCs w:val="18"/>
              </w:rPr>
            </w:pPr>
            <w:r w:rsidRPr="00831C3C">
              <w:rPr>
                <w:rFonts w:ascii="宋体" w:eastAsia="宋体" w:hAnsi="宋体" w:cs="宋体"/>
                <w:sz w:val="18"/>
                <w:szCs w:val="18"/>
              </w:rPr>
              <w:t>运输工具</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center"/>
              <w:rPr>
                <w:rFonts w:ascii="宋体" w:eastAsia="宋体" w:hAnsi="宋体" w:cs="宋体"/>
                <w:sz w:val="18"/>
                <w:szCs w:val="18"/>
              </w:rPr>
            </w:pPr>
            <w:r w:rsidRPr="00831C3C">
              <w:rPr>
                <w:rFonts w:ascii="宋体" w:eastAsia="宋体" w:hAnsi="宋体" w:cs="宋体"/>
                <w:sz w:val="18"/>
                <w:szCs w:val="18"/>
              </w:rPr>
              <w:t>电子及其他设备</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合计</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一、账面原值：</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1.期初余额</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3,404,881,727.25</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5,004,502,756.96</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54,135,296.47</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208,470,648.28</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8,671,990,428.96</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2.本期增加金额</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314,951,633.69</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242,217,819.81</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2,594,718.98</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17,074,384.66</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576,838,557.14</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（1）购置</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290,878,325.37</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228,436,789.14</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2,663,619.87</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13,986,797.21</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535,965,531.59</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（2）在建工程转入</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29,246,437.88</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19,046,179.12</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3,732,631.31</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52,025,248.31</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（3）企业合并增加</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投资性房地产转入</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1,928,003.79</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1,928,003.79</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外币报表折算差额</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-7,101,133.35</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-5,265,148.45</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-68,900.89</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-645,043.86</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-13,080,226.55</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3.本期减少金额</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22,424,146.32</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95,473,959.95</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2,836,280.25</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4,177,085.25</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124,911,471.77</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（1）处置或报废</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5,981,398.56</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94,046,638.53</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2,752,916.25</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4,119,393.08</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106,900,346.42</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转入投资性房地产</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14,953,184.76</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14,953,184.76</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处置子公司</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1,489,563.00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1,427,321.42</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83,364.00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57,692.17</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3,057,940.59</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4.期末余额</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3,697,409,214.62</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5,151,246,616.82</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53,893,735.20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221,367,947.69</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9,123,917,514.33</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二、累计折旧</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1.期初余额</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1,078,953,226.88</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2,636,151,263.47</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41,579,191.34</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203,284,511.43</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3,959,968,193.12</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2.本期增加</w:t>
            </w:r>
            <w:r w:rsidRPr="00831C3C">
              <w:rPr>
                <w:rFonts w:ascii="宋体" w:eastAsia="宋体" w:hAnsi="宋体" w:cs="宋体"/>
                <w:sz w:val="18"/>
                <w:szCs w:val="18"/>
              </w:rPr>
              <w:lastRenderedPageBreak/>
              <w:t>金额</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lastRenderedPageBreak/>
              <w:t>122,928,671.36</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376,209,489.25</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2,667,509.67</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1,992,327.89</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503,797,998.17</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lastRenderedPageBreak/>
              <w:t>（1）计提</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123,978,435.13</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381,229,619.27</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2,696,395.28</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2,512,617.06</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510,417,066.74</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投资性房地产转入</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441,701.70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441,701.70</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外币报表折算差额</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-1,491,465.47</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-5,020,130.02</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-28,885.61</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-520,289.17</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-7,060,770.27</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3.本期减少金额</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10,042,831.70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58,588,759.28</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2,661,141.95</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3,272,682.95</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74,565,415.88</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（1）处置或报废</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4,655,337.91</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57,301,862.20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2,578,632.06</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3,216,590.33</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67,752,422.50</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转入投资性房地产</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4,436,791.94</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4,436,791.94</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处置子公司</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950,701.85</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1,286,897.08</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82,509.89</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56,092.62</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2,376,201.44</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4.期末余额</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1,191,839,066.54</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2,953,771,993.44</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41,585,559.06</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202,004,156.37</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4,389,200,775.41</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三、减值准备</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1.期初余额</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27,855,790.59</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8,627,892.74</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38,569.60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169,493.51</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36,691,746.44</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2.本期增加金额</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（1）计提</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3.本期减少金额</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2,699,249.10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74,147.55</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2,773,396.65</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（1）处置或报废</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2,699,249.10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74,147.55</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2,773,396.65</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4.期末余额</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27,855,790.59</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5,928,643.64</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38,569.60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95,345.96</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33,918,349.79</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四、账面价值</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1.期末账面价值</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2,477,714,357.49</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2,191,545,979.74</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12,269,606.54</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19,268,445.36</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4,700,798,389.13</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2.期初账面价值</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2,298,072,709.78</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2,359,723,600.75</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12,517,535.53</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5,016,643.34</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4,675,330,489.40</w:t>
            </w:r>
          </w:p>
        </w:tc>
      </w:tr>
    </w:tbl>
    <w:p w:rsidR="00E23A97" w:rsidRPr="00831C3C" w:rsidRDefault="00C65FD5">
      <w:pPr>
        <w:keepNext/>
        <w:keepLines/>
        <w:spacing w:before="300" w:after="300" w:line="280" w:lineRule="exact"/>
        <w:outlineLvl w:val="3"/>
        <w:rPr>
          <w:rFonts w:ascii="宋体" w:eastAsia="宋体" w:hAnsi="宋体" w:cs="宋体"/>
          <w:b/>
          <w:bCs/>
          <w:szCs w:val="21"/>
        </w:rPr>
      </w:pPr>
      <w:bookmarkStart w:id="338" w:name="_Toc989219"/>
      <w:r w:rsidRPr="00831C3C">
        <w:rPr>
          <w:rFonts w:ascii="宋体" w:eastAsia="宋体" w:hAnsi="宋体" w:cs="宋体"/>
          <w:b/>
          <w:bCs/>
          <w:szCs w:val="21"/>
        </w:rPr>
        <w:t>（2）暂时闲置的固定资产情况</w:t>
      </w:r>
      <w:bookmarkEnd w:id="338"/>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06"/>
        <w:gridCol w:w="1606"/>
        <w:gridCol w:w="1606"/>
        <w:gridCol w:w="1607"/>
        <w:gridCol w:w="1607"/>
        <w:gridCol w:w="1607"/>
      </w:tblGrid>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账面原值</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累计折旧</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减值准备</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账面价值</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备注</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房屋及建筑物</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207,213,028.34</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103,495,227.74</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15,823,169.01</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87,894,631.59</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机器设备</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143,635,126.31</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121,483,208.78</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4,464,017.46</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17,687,900.07</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运输设备</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5,238,122.80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4,603,149.02</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634,973.78</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电子及其他设备</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13,998,424.43</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11,159,249.31</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1,836.51</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2,837,338.61</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合计</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370,084,701.88</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240,740,834.85</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20,289,022.98</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109,054,844.05</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bl>
    <w:p w:rsidR="00E23A97" w:rsidRPr="00831C3C" w:rsidRDefault="00C65FD5">
      <w:pPr>
        <w:keepNext/>
        <w:keepLines/>
        <w:spacing w:before="300" w:after="300" w:line="280" w:lineRule="exact"/>
        <w:outlineLvl w:val="3"/>
        <w:rPr>
          <w:rFonts w:ascii="宋体" w:eastAsia="宋体" w:hAnsi="宋体" w:cs="宋体"/>
          <w:b/>
          <w:bCs/>
          <w:szCs w:val="21"/>
        </w:rPr>
      </w:pPr>
      <w:bookmarkStart w:id="339" w:name="_Toc989220"/>
      <w:r w:rsidRPr="00831C3C">
        <w:rPr>
          <w:rFonts w:ascii="宋体" w:eastAsia="宋体" w:hAnsi="宋体" w:cs="宋体"/>
          <w:b/>
          <w:bCs/>
          <w:szCs w:val="21"/>
        </w:rPr>
        <w:t>（3）通过经营租赁租出的固定资产</w:t>
      </w:r>
      <w:bookmarkEnd w:id="339"/>
    </w:p>
    <w:p w:rsidR="00E23A97" w:rsidRPr="00831C3C" w:rsidRDefault="00C65FD5">
      <w:pPr>
        <w:keepNext/>
        <w:keepLines/>
        <w:spacing w:before="300" w:after="300" w:line="280" w:lineRule="exact"/>
        <w:outlineLvl w:val="3"/>
        <w:rPr>
          <w:rFonts w:ascii="宋体" w:eastAsia="宋体" w:hAnsi="宋体" w:cs="宋体"/>
          <w:b/>
          <w:bCs/>
          <w:szCs w:val="21"/>
        </w:rPr>
      </w:pPr>
      <w:bookmarkStart w:id="340" w:name="_Toc989221"/>
      <w:r w:rsidRPr="00831C3C">
        <w:rPr>
          <w:rFonts w:ascii="宋体" w:eastAsia="宋体" w:hAnsi="宋体" w:cs="宋体"/>
          <w:b/>
          <w:bCs/>
          <w:szCs w:val="21"/>
        </w:rPr>
        <w:t>（4）未办妥产权证书的固定资产情况</w:t>
      </w:r>
      <w:bookmarkEnd w:id="340"/>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lastRenderedPageBreak/>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账面价值</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未办妥产权证书的原因</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房屋及建筑物</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157,853,066.44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正在办理中</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r w:rsidR="006B0D17" w:rsidRPr="00831C3C">
        <w:rPr>
          <w:rFonts w:ascii="宋体" w:eastAsia="宋体" w:hAnsi="宋体" w:cs="宋体"/>
          <w:sz w:val="18"/>
          <w:szCs w:val="18"/>
        </w:rPr>
        <w:t>无</w:t>
      </w:r>
    </w:p>
    <w:p w:rsidR="00E23A97" w:rsidRPr="00831C3C" w:rsidRDefault="00C65FD5">
      <w:pPr>
        <w:keepNext/>
        <w:keepLines/>
        <w:spacing w:before="300" w:after="300" w:line="280" w:lineRule="exact"/>
        <w:outlineLvl w:val="3"/>
        <w:rPr>
          <w:rFonts w:ascii="宋体" w:eastAsia="宋体" w:hAnsi="宋体" w:cs="宋体"/>
          <w:b/>
          <w:bCs/>
          <w:szCs w:val="21"/>
        </w:rPr>
      </w:pPr>
      <w:bookmarkStart w:id="341" w:name="_Toc989222"/>
      <w:r w:rsidRPr="00831C3C">
        <w:rPr>
          <w:rFonts w:ascii="宋体" w:eastAsia="宋体" w:hAnsi="宋体" w:cs="宋体"/>
          <w:b/>
          <w:bCs/>
          <w:szCs w:val="21"/>
        </w:rPr>
        <w:t>（5）固定资产的减值测试情况</w:t>
      </w:r>
      <w:bookmarkEnd w:id="341"/>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keepNext/>
        <w:keepLines/>
        <w:spacing w:before="300" w:after="300" w:line="280" w:lineRule="exact"/>
        <w:outlineLvl w:val="3"/>
        <w:rPr>
          <w:rFonts w:ascii="宋体" w:eastAsia="宋体" w:hAnsi="宋体" w:cs="宋体"/>
          <w:b/>
          <w:bCs/>
          <w:szCs w:val="21"/>
        </w:rPr>
      </w:pPr>
      <w:bookmarkStart w:id="342" w:name="_Toc989223"/>
      <w:r w:rsidRPr="00831C3C">
        <w:rPr>
          <w:rFonts w:ascii="宋体" w:eastAsia="宋体" w:hAnsi="宋体" w:cs="宋体"/>
          <w:b/>
          <w:bCs/>
          <w:szCs w:val="21"/>
        </w:rPr>
        <w:t>（6）固定资产清理</w:t>
      </w:r>
      <w:bookmarkEnd w:id="342"/>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待处理设备</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505,206.74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505,206.74</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r w:rsidR="006B0D17" w:rsidRPr="00831C3C">
        <w:rPr>
          <w:rFonts w:ascii="宋体" w:eastAsia="宋体" w:hAnsi="宋体" w:cs="宋体"/>
          <w:sz w:val="18"/>
          <w:szCs w:val="18"/>
        </w:rPr>
        <w:t>无</w:t>
      </w:r>
    </w:p>
    <w:p w:rsidR="00E23A97" w:rsidRPr="00831C3C" w:rsidRDefault="00C65FD5">
      <w:pPr>
        <w:pStyle w:val="3"/>
        <w:spacing w:line="280" w:lineRule="exact"/>
        <w:jc w:val="left"/>
        <w:rPr>
          <w:rFonts w:ascii="宋体" w:hAnsi="宋体" w:cs="宋体"/>
          <w:b/>
          <w:bCs/>
        </w:rPr>
      </w:pPr>
      <w:bookmarkStart w:id="343" w:name="_Toc989224"/>
      <w:r w:rsidRPr="00831C3C">
        <w:rPr>
          <w:rFonts w:ascii="宋体" w:hAnsi="宋体" w:cs="宋体"/>
          <w:b/>
          <w:bCs/>
        </w:rPr>
        <w:t>22、在建工程</w:t>
      </w:r>
      <w:bookmarkEnd w:id="343"/>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在建工程</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324,546,393.57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475,059,478.07</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324,546,393.57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475,059,478.07</w:t>
            </w:r>
          </w:p>
        </w:tc>
      </w:tr>
    </w:tbl>
    <w:p w:rsidR="00E23A97" w:rsidRPr="00831C3C" w:rsidRDefault="00C65FD5">
      <w:pPr>
        <w:keepNext/>
        <w:keepLines/>
        <w:spacing w:before="300" w:after="300" w:line="280" w:lineRule="exact"/>
        <w:outlineLvl w:val="3"/>
        <w:rPr>
          <w:rFonts w:ascii="宋体" w:eastAsia="宋体" w:hAnsi="宋体" w:cs="宋体"/>
          <w:b/>
          <w:bCs/>
          <w:szCs w:val="21"/>
        </w:rPr>
      </w:pPr>
      <w:bookmarkStart w:id="344" w:name="_Toc989225"/>
      <w:r w:rsidRPr="00831C3C">
        <w:rPr>
          <w:rFonts w:ascii="宋体" w:eastAsia="宋体" w:hAnsi="宋体" w:cs="宋体"/>
          <w:b/>
          <w:bCs/>
          <w:szCs w:val="21"/>
        </w:rPr>
        <w:t>（1）在建工程情况</w:t>
      </w:r>
      <w:bookmarkEnd w:id="344"/>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31C3C" w:rsidRPr="00831C3C">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r>
      <w:tr w:rsidR="00831C3C" w:rsidRPr="00831C3C">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减值准备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账面价值</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减值准备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账面价值</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浙江色纺二期项目</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4,725,973.72</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4,725,973.72</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500,273.98</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500,273.98</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阿克苏华孚在建工程</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4,450,471.69</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4,450,471.69</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6,157,463.51</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6,157,463.51</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越南华孚在建工程</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0.00</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9,400,926.15</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9,400,926.15</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阿克苏</w:t>
            </w:r>
            <w:proofErr w:type="gramStart"/>
            <w:r w:rsidRPr="00831C3C">
              <w:rPr>
                <w:rFonts w:ascii="宋体" w:eastAsia="宋体" w:hAnsi="宋体" w:cs="宋体"/>
                <w:sz w:val="18"/>
                <w:szCs w:val="18"/>
              </w:rPr>
              <w:t>标信在建</w:t>
            </w:r>
            <w:proofErr w:type="gramEnd"/>
            <w:r w:rsidRPr="00831C3C">
              <w:rPr>
                <w:rFonts w:ascii="宋体" w:eastAsia="宋体" w:hAnsi="宋体" w:cs="宋体"/>
                <w:sz w:val="18"/>
                <w:szCs w:val="18"/>
              </w:rPr>
              <w:t>工程</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63,983.02</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63,983.02</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1,708,115.28</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1,708,115.28</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其他项目</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7,838,313.36</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7,838,313.36</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2,176,237.12</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2,176,237.12</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越南</w:t>
            </w:r>
            <w:proofErr w:type="gramStart"/>
            <w:r w:rsidRPr="00831C3C">
              <w:rPr>
                <w:rFonts w:ascii="宋体" w:eastAsia="宋体" w:hAnsi="宋体" w:cs="宋体"/>
                <w:sz w:val="18"/>
                <w:szCs w:val="18"/>
              </w:rPr>
              <w:t>英鸿工业</w:t>
            </w:r>
            <w:proofErr w:type="gramEnd"/>
            <w:r w:rsidRPr="00831C3C">
              <w:rPr>
                <w:rFonts w:ascii="宋体" w:eastAsia="宋体" w:hAnsi="宋体" w:cs="宋体"/>
                <w:sz w:val="18"/>
                <w:szCs w:val="18"/>
              </w:rPr>
              <w:t>园建设项目</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0.00</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225,741,886.91</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225,741,886.91</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阿大数字</w:t>
            </w:r>
            <w:proofErr w:type="gramStart"/>
            <w:r w:rsidRPr="00831C3C">
              <w:rPr>
                <w:rFonts w:ascii="宋体" w:eastAsia="宋体" w:hAnsi="宋体" w:cs="宋体"/>
                <w:sz w:val="18"/>
                <w:szCs w:val="18"/>
              </w:rPr>
              <w:t>袜</w:t>
            </w:r>
            <w:proofErr w:type="gramEnd"/>
            <w:r w:rsidRPr="00831C3C">
              <w:rPr>
                <w:rFonts w:ascii="宋体" w:eastAsia="宋体" w:hAnsi="宋体" w:cs="宋体"/>
                <w:sz w:val="18"/>
                <w:szCs w:val="18"/>
              </w:rPr>
              <w:t>制品生产车间</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88,249,424.28</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88,249,424.28</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87,636,583.39</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87,636,583.39</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30万锭智能产业园项目</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219,218,227.50</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219,218,227.50</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141,737,991.73</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141,737,991.73</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324,546,393.57</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0.00</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324,546,393.57</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475,059,478.07</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0.00</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475,059,478.07</w:t>
            </w:r>
          </w:p>
        </w:tc>
      </w:tr>
    </w:tbl>
    <w:p w:rsidR="00E23A97" w:rsidRPr="00831C3C" w:rsidRDefault="00C65FD5">
      <w:pPr>
        <w:keepNext/>
        <w:keepLines/>
        <w:spacing w:before="300" w:after="300" w:line="280" w:lineRule="exact"/>
        <w:outlineLvl w:val="3"/>
        <w:rPr>
          <w:rFonts w:ascii="宋体" w:eastAsia="宋体" w:hAnsi="宋体" w:cs="宋体"/>
          <w:b/>
          <w:bCs/>
          <w:szCs w:val="21"/>
        </w:rPr>
      </w:pPr>
      <w:bookmarkStart w:id="345" w:name="_Toc989226"/>
      <w:r w:rsidRPr="00831C3C">
        <w:rPr>
          <w:rFonts w:ascii="宋体" w:eastAsia="宋体" w:hAnsi="宋体" w:cs="宋体"/>
          <w:b/>
          <w:bCs/>
          <w:szCs w:val="21"/>
        </w:rPr>
        <w:t>（2）重要在建工程项目本期变动情况</w:t>
      </w:r>
      <w:bookmarkEnd w:id="345"/>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742"/>
        <w:gridCol w:w="742"/>
        <w:gridCol w:w="742"/>
        <w:gridCol w:w="742"/>
        <w:gridCol w:w="742"/>
        <w:gridCol w:w="742"/>
        <w:gridCol w:w="741"/>
        <w:gridCol w:w="741"/>
        <w:gridCol w:w="741"/>
        <w:gridCol w:w="741"/>
        <w:gridCol w:w="741"/>
        <w:gridCol w:w="741"/>
        <w:gridCol w:w="741"/>
      </w:tblGrid>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lastRenderedPageBreak/>
              <w:t>项目名称</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预算数</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本期增加金额</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本期转入固定资产金额</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本期其他减少金额</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工程累计投入占预算比例</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工程进度</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利息资本化累计金额</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其中：本期利息资本</w:t>
            </w:r>
            <w:proofErr w:type="gramStart"/>
            <w:r w:rsidRPr="00831C3C">
              <w:rPr>
                <w:rFonts w:ascii="宋体" w:eastAsia="宋体" w:hAnsi="宋体" w:cs="宋体"/>
                <w:sz w:val="18"/>
                <w:szCs w:val="18"/>
              </w:rPr>
              <w:t>化金额</w:t>
            </w:r>
            <w:proofErr w:type="gramEnd"/>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本期利息资本化率</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资金来源</w:t>
            </w: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越南</w:t>
            </w:r>
            <w:proofErr w:type="gramStart"/>
            <w:r w:rsidRPr="00831C3C">
              <w:rPr>
                <w:rFonts w:ascii="宋体" w:eastAsia="宋体" w:hAnsi="宋体" w:cs="宋体"/>
                <w:sz w:val="18"/>
                <w:szCs w:val="18"/>
              </w:rPr>
              <w:t>英鸿工业</w:t>
            </w:r>
            <w:proofErr w:type="gramEnd"/>
            <w:r w:rsidRPr="00831C3C">
              <w:rPr>
                <w:rFonts w:ascii="宋体" w:eastAsia="宋体" w:hAnsi="宋体" w:cs="宋体"/>
                <w:sz w:val="18"/>
                <w:szCs w:val="18"/>
              </w:rPr>
              <w:t>园建设项目</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225,741,886.91</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5,406,842.91</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60,940,462.40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170,208,267.42</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30万锭智能产业园项目</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120,264.52</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141,737,991.73</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89,354,502.00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11,874,266.23</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219,218,227.50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69.02%</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69.02</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1,690.17</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1,690.17</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3.95%</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785C45">
            <w:pPr>
              <w:spacing w:line="240" w:lineRule="exact"/>
              <w:rPr>
                <w:rFonts w:ascii="宋体" w:eastAsia="宋体" w:hAnsi="宋体" w:cs="宋体"/>
                <w:sz w:val="18"/>
                <w:szCs w:val="18"/>
              </w:rPr>
            </w:pPr>
            <w:r w:rsidRPr="00831C3C">
              <w:rPr>
                <w:rFonts w:ascii="宋体" w:eastAsia="宋体" w:hAnsi="宋体" w:cs="宋体" w:hint="eastAsia"/>
                <w:sz w:val="18"/>
                <w:szCs w:val="18"/>
              </w:rPr>
              <w:t>募集资金</w:t>
            </w: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阿大数字</w:t>
            </w:r>
            <w:proofErr w:type="gramStart"/>
            <w:r w:rsidRPr="00831C3C">
              <w:rPr>
                <w:rFonts w:ascii="宋体" w:eastAsia="宋体" w:hAnsi="宋体" w:cs="宋体"/>
                <w:sz w:val="18"/>
                <w:szCs w:val="18"/>
              </w:rPr>
              <w:t>袜</w:t>
            </w:r>
            <w:proofErr w:type="gramEnd"/>
            <w:r w:rsidRPr="00831C3C">
              <w:rPr>
                <w:rFonts w:ascii="宋体" w:eastAsia="宋体" w:hAnsi="宋体" w:cs="宋体"/>
                <w:sz w:val="18"/>
                <w:szCs w:val="18"/>
              </w:rPr>
              <w:t>制品生产车间</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13,462.08</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87,636,583.39</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12,916,036.36</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12,303,195.47</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88,249,424.28</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89.07%</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89.07</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其他</w:t>
            </w: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133,726.60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455,116,462.03</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107,677,381.27</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85,117,924.10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170,208,267.42</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307,467,651.78</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1,690.17</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1,690.17</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bl>
    <w:p w:rsidR="00E23A97" w:rsidRPr="00831C3C" w:rsidRDefault="00C65FD5">
      <w:pPr>
        <w:keepNext/>
        <w:keepLines/>
        <w:spacing w:before="300" w:after="300" w:line="280" w:lineRule="exact"/>
        <w:outlineLvl w:val="3"/>
        <w:rPr>
          <w:rFonts w:ascii="宋体" w:eastAsia="宋体" w:hAnsi="宋体" w:cs="宋体"/>
          <w:b/>
          <w:bCs/>
          <w:szCs w:val="21"/>
        </w:rPr>
      </w:pPr>
      <w:bookmarkStart w:id="346" w:name="_Toc989227"/>
      <w:r w:rsidRPr="00831C3C">
        <w:rPr>
          <w:rFonts w:ascii="宋体" w:eastAsia="宋体" w:hAnsi="宋体" w:cs="宋体"/>
          <w:b/>
          <w:bCs/>
          <w:szCs w:val="21"/>
        </w:rPr>
        <w:t>（3）本期计提在建工程减值准备情况</w:t>
      </w:r>
      <w:bookmarkEnd w:id="346"/>
    </w:p>
    <w:p w:rsidR="00E23A97" w:rsidRPr="00831C3C" w:rsidRDefault="00C65FD5">
      <w:pPr>
        <w:keepNext/>
        <w:keepLines/>
        <w:spacing w:before="300" w:after="300" w:line="280" w:lineRule="exact"/>
        <w:outlineLvl w:val="3"/>
        <w:rPr>
          <w:rFonts w:ascii="宋体" w:eastAsia="宋体" w:hAnsi="宋体" w:cs="宋体"/>
          <w:b/>
          <w:bCs/>
          <w:szCs w:val="21"/>
        </w:rPr>
      </w:pPr>
      <w:bookmarkStart w:id="347" w:name="_Toc989228"/>
      <w:r w:rsidRPr="00831C3C">
        <w:rPr>
          <w:rFonts w:ascii="宋体" w:eastAsia="宋体" w:hAnsi="宋体" w:cs="宋体"/>
          <w:b/>
          <w:bCs/>
          <w:szCs w:val="21"/>
        </w:rPr>
        <w:t>（4）在建工程的减值测试情况</w:t>
      </w:r>
      <w:bookmarkEnd w:id="347"/>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keepNext/>
        <w:keepLines/>
        <w:spacing w:before="300" w:after="300" w:line="280" w:lineRule="exact"/>
        <w:outlineLvl w:val="3"/>
        <w:rPr>
          <w:rFonts w:ascii="宋体" w:eastAsia="宋体" w:hAnsi="宋体" w:cs="宋体"/>
          <w:b/>
          <w:bCs/>
          <w:szCs w:val="21"/>
        </w:rPr>
      </w:pPr>
      <w:bookmarkStart w:id="348" w:name="_Toc989229"/>
      <w:r w:rsidRPr="00831C3C">
        <w:rPr>
          <w:rFonts w:ascii="宋体" w:eastAsia="宋体" w:hAnsi="宋体" w:cs="宋体"/>
          <w:b/>
          <w:bCs/>
          <w:szCs w:val="21"/>
        </w:rPr>
        <w:t>（5）工程物资</w:t>
      </w:r>
      <w:bookmarkEnd w:id="348"/>
    </w:p>
    <w:p w:rsidR="00E23A97" w:rsidRPr="00831C3C" w:rsidRDefault="00C65FD5">
      <w:pPr>
        <w:pStyle w:val="3"/>
        <w:spacing w:line="280" w:lineRule="exact"/>
        <w:jc w:val="left"/>
        <w:rPr>
          <w:rFonts w:ascii="宋体" w:hAnsi="宋体" w:cs="宋体"/>
          <w:b/>
          <w:bCs/>
        </w:rPr>
      </w:pPr>
      <w:bookmarkStart w:id="349" w:name="_Toc989230"/>
      <w:r w:rsidRPr="00831C3C">
        <w:rPr>
          <w:rFonts w:ascii="宋体" w:hAnsi="宋体" w:cs="宋体"/>
          <w:b/>
          <w:bCs/>
        </w:rPr>
        <w:t>23、生产性生物资产</w:t>
      </w:r>
      <w:bookmarkEnd w:id="349"/>
    </w:p>
    <w:p w:rsidR="00E23A97" w:rsidRPr="00831C3C" w:rsidRDefault="00C65FD5">
      <w:pPr>
        <w:keepNext/>
        <w:keepLines/>
        <w:spacing w:before="300" w:after="300" w:line="280" w:lineRule="exact"/>
        <w:outlineLvl w:val="3"/>
        <w:rPr>
          <w:rFonts w:ascii="宋体" w:eastAsia="宋体" w:hAnsi="宋体" w:cs="宋体"/>
          <w:b/>
          <w:bCs/>
          <w:szCs w:val="21"/>
        </w:rPr>
      </w:pPr>
      <w:bookmarkStart w:id="350" w:name="_Toc989231"/>
      <w:r w:rsidRPr="00831C3C">
        <w:rPr>
          <w:rFonts w:ascii="宋体" w:eastAsia="宋体" w:hAnsi="宋体" w:cs="宋体"/>
          <w:b/>
          <w:bCs/>
          <w:szCs w:val="21"/>
        </w:rPr>
        <w:t>（1）采用成本计量模式的生产性生物资产</w:t>
      </w:r>
      <w:bookmarkEnd w:id="350"/>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keepNext/>
        <w:keepLines/>
        <w:spacing w:before="300" w:after="300" w:line="280" w:lineRule="exact"/>
        <w:outlineLvl w:val="3"/>
        <w:rPr>
          <w:rFonts w:ascii="宋体" w:eastAsia="宋体" w:hAnsi="宋体" w:cs="宋体"/>
          <w:b/>
          <w:bCs/>
          <w:szCs w:val="21"/>
        </w:rPr>
      </w:pPr>
      <w:bookmarkStart w:id="351" w:name="_Toc989232"/>
      <w:r w:rsidRPr="00831C3C">
        <w:rPr>
          <w:rFonts w:ascii="宋体" w:eastAsia="宋体" w:hAnsi="宋体" w:cs="宋体"/>
          <w:b/>
          <w:bCs/>
          <w:szCs w:val="21"/>
        </w:rPr>
        <w:t>（2）采用成本计量模式的生产性生物资产的减值测试情况</w:t>
      </w:r>
      <w:bookmarkEnd w:id="351"/>
    </w:p>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keepNext/>
        <w:keepLines/>
        <w:spacing w:before="300" w:after="300" w:line="280" w:lineRule="exact"/>
        <w:outlineLvl w:val="3"/>
        <w:rPr>
          <w:rFonts w:ascii="宋体" w:eastAsia="宋体" w:hAnsi="宋体" w:cs="宋体"/>
          <w:b/>
          <w:bCs/>
          <w:szCs w:val="21"/>
        </w:rPr>
      </w:pPr>
      <w:bookmarkStart w:id="352" w:name="_Toc989233"/>
      <w:r w:rsidRPr="00831C3C">
        <w:rPr>
          <w:rFonts w:ascii="宋体" w:eastAsia="宋体" w:hAnsi="宋体" w:cs="宋体"/>
          <w:b/>
          <w:bCs/>
          <w:szCs w:val="21"/>
        </w:rPr>
        <w:t>（3）采用公允价值计量模式的生产性生物资产</w:t>
      </w:r>
      <w:bookmarkEnd w:id="352"/>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pStyle w:val="3"/>
        <w:spacing w:line="280" w:lineRule="exact"/>
        <w:jc w:val="left"/>
        <w:rPr>
          <w:rFonts w:ascii="宋体" w:hAnsi="宋体" w:cs="宋体"/>
          <w:b/>
          <w:bCs/>
        </w:rPr>
      </w:pPr>
      <w:bookmarkStart w:id="353" w:name="_Toc989234"/>
      <w:r w:rsidRPr="00831C3C">
        <w:rPr>
          <w:rFonts w:ascii="宋体" w:hAnsi="宋体" w:cs="宋体"/>
          <w:b/>
          <w:bCs/>
        </w:rPr>
        <w:t>24、油气资产</w:t>
      </w:r>
      <w:bookmarkEnd w:id="353"/>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pStyle w:val="3"/>
        <w:spacing w:line="280" w:lineRule="exact"/>
        <w:jc w:val="left"/>
        <w:rPr>
          <w:rFonts w:ascii="宋体" w:hAnsi="宋体" w:cs="宋体"/>
          <w:b/>
          <w:bCs/>
        </w:rPr>
      </w:pPr>
      <w:bookmarkStart w:id="354" w:name="_Toc989235"/>
      <w:r w:rsidRPr="00831C3C">
        <w:rPr>
          <w:rFonts w:ascii="宋体" w:hAnsi="宋体" w:cs="宋体"/>
          <w:b/>
          <w:bCs/>
        </w:rPr>
        <w:lastRenderedPageBreak/>
        <w:t>25、使用权资产</w:t>
      </w:r>
      <w:bookmarkEnd w:id="354"/>
    </w:p>
    <w:p w:rsidR="00E23A97" w:rsidRPr="00831C3C" w:rsidRDefault="00C65FD5">
      <w:pPr>
        <w:keepNext/>
        <w:keepLines/>
        <w:spacing w:before="300" w:after="300" w:line="280" w:lineRule="exact"/>
        <w:outlineLvl w:val="3"/>
        <w:rPr>
          <w:rFonts w:ascii="宋体" w:eastAsia="宋体" w:hAnsi="宋体" w:cs="宋体"/>
          <w:b/>
          <w:bCs/>
          <w:szCs w:val="21"/>
        </w:rPr>
      </w:pPr>
      <w:bookmarkStart w:id="355" w:name="_Toc989236"/>
      <w:r w:rsidRPr="00831C3C">
        <w:rPr>
          <w:rFonts w:ascii="宋体" w:eastAsia="宋体" w:hAnsi="宋体" w:cs="宋体"/>
          <w:b/>
          <w:bCs/>
          <w:szCs w:val="21"/>
        </w:rPr>
        <w:t>（1）使用权资产情况</w:t>
      </w:r>
      <w:bookmarkEnd w:id="355"/>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center"/>
              <w:rPr>
                <w:rFonts w:ascii="宋体" w:eastAsia="宋体" w:hAnsi="宋体" w:cs="宋体"/>
                <w:sz w:val="18"/>
                <w:szCs w:val="18"/>
              </w:rPr>
            </w:pPr>
            <w:r w:rsidRPr="00831C3C">
              <w:rPr>
                <w:rFonts w:ascii="宋体" w:eastAsia="宋体" w:hAnsi="宋体" w:cs="宋体"/>
                <w:sz w:val="18"/>
                <w:szCs w:val="18"/>
              </w:rPr>
              <w:t>房屋及建筑物</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center"/>
              <w:rPr>
                <w:rFonts w:ascii="宋体" w:eastAsia="宋体" w:hAnsi="宋体" w:cs="宋体"/>
                <w:sz w:val="18"/>
                <w:szCs w:val="18"/>
              </w:rPr>
            </w:pPr>
            <w:r w:rsidRPr="00831C3C">
              <w:rPr>
                <w:rFonts w:ascii="宋体" w:eastAsia="宋体" w:hAnsi="宋体" w:cs="宋体"/>
                <w:sz w:val="18"/>
                <w:szCs w:val="18"/>
              </w:rPr>
              <w:t>机器设备</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合计</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一、账面原值</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1.期初余额</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43,803,123.35</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715,358.08</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44,518,481.43</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2.本期增加金额</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20,029,445.26</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20,029,445.26</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租赁</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20,029,445.26</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20,029,445.26</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3.本期减少金额</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27,131,974.41</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27,131,974.41</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租赁到期</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27,131,974.41</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27,131,974.41</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4.期末余额</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36,700,594.20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715,358.08</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37,415,952.28</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二、累计折旧</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1.期初余额</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17,034,000.92</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240,681.24</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17,274,682.16</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2.本期增加金额</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9,146,828.55</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80,227.08</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9,227,055.63</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（1）计提</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9,146,828.55</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80,227.08</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9,227,055.63</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3.本期减少金额</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18,246,211.88</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18,246,211.88</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（1）处置</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租赁到期</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18,246,211.88</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18,246,211.88</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4.期末余额</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7,934,617.59</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320,908.32</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8,255,525.91</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三、减值准备</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1.期初余额</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2.本期增加金额</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（1）计提</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3.本期减少金额</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（1）处置</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4.期末余额</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四、账面价值</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1.期末账面价值</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28,765,976.61</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394,449.76</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29,160,426.37</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2.期初账面价值</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26,769,122.43</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474,676.84</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27,243,799.27</w:t>
            </w:r>
          </w:p>
        </w:tc>
      </w:tr>
    </w:tbl>
    <w:p w:rsidR="00E23A97" w:rsidRPr="00831C3C" w:rsidRDefault="00C65FD5">
      <w:pPr>
        <w:keepNext/>
        <w:keepLines/>
        <w:spacing w:before="300" w:after="300" w:line="280" w:lineRule="exact"/>
        <w:outlineLvl w:val="3"/>
        <w:rPr>
          <w:rFonts w:ascii="宋体" w:eastAsia="宋体" w:hAnsi="宋体" w:cs="宋体"/>
          <w:b/>
          <w:bCs/>
          <w:szCs w:val="21"/>
        </w:rPr>
      </w:pPr>
      <w:bookmarkStart w:id="356" w:name="_Toc989237"/>
      <w:r w:rsidRPr="00831C3C">
        <w:rPr>
          <w:rFonts w:ascii="宋体" w:eastAsia="宋体" w:hAnsi="宋体" w:cs="宋体"/>
          <w:b/>
          <w:bCs/>
          <w:szCs w:val="21"/>
        </w:rPr>
        <w:t>（2）使用权资产的减值测试情况</w:t>
      </w:r>
      <w:bookmarkEnd w:id="356"/>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p>
    <w:p w:rsidR="00C65FD5" w:rsidRPr="00831C3C" w:rsidRDefault="00C65FD5">
      <w:pPr>
        <w:divId w:val="1173298197"/>
        <w:rPr>
          <w:sz w:val="18"/>
          <w:szCs w:val="18"/>
        </w:rPr>
      </w:pPr>
    </w:p>
    <w:p w:rsidR="00E23A97" w:rsidRPr="00831C3C" w:rsidRDefault="00C65FD5">
      <w:pPr>
        <w:pStyle w:val="3"/>
        <w:spacing w:line="280" w:lineRule="exact"/>
        <w:jc w:val="left"/>
        <w:rPr>
          <w:rFonts w:ascii="宋体" w:hAnsi="宋体" w:cs="宋体"/>
          <w:b/>
          <w:bCs/>
        </w:rPr>
      </w:pPr>
      <w:bookmarkStart w:id="357" w:name="_Toc989238"/>
      <w:r w:rsidRPr="00831C3C">
        <w:rPr>
          <w:rFonts w:ascii="宋体" w:hAnsi="宋体" w:cs="宋体"/>
          <w:b/>
          <w:bCs/>
        </w:rPr>
        <w:lastRenderedPageBreak/>
        <w:t>26、无形资产</w:t>
      </w:r>
      <w:bookmarkEnd w:id="357"/>
    </w:p>
    <w:p w:rsidR="00E23A97" w:rsidRPr="00831C3C" w:rsidRDefault="00C65FD5">
      <w:pPr>
        <w:keepNext/>
        <w:keepLines/>
        <w:spacing w:before="300" w:after="300" w:line="280" w:lineRule="exact"/>
        <w:outlineLvl w:val="3"/>
        <w:rPr>
          <w:rFonts w:ascii="宋体" w:eastAsia="宋体" w:hAnsi="宋体" w:cs="宋体"/>
          <w:b/>
          <w:bCs/>
          <w:szCs w:val="21"/>
        </w:rPr>
      </w:pPr>
      <w:bookmarkStart w:id="358" w:name="_Toc989239"/>
      <w:r w:rsidRPr="00831C3C">
        <w:rPr>
          <w:rFonts w:ascii="宋体" w:eastAsia="宋体" w:hAnsi="宋体" w:cs="宋体"/>
          <w:b/>
          <w:bCs/>
          <w:szCs w:val="21"/>
        </w:rPr>
        <w:t>（1）无形资产情况</w:t>
      </w:r>
      <w:bookmarkEnd w:id="358"/>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06"/>
        <w:gridCol w:w="1606"/>
        <w:gridCol w:w="1606"/>
        <w:gridCol w:w="1607"/>
        <w:gridCol w:w="1607"/>
        <w:gridCol w:w="1607"/>
      </w:tblGrid>
      <w:tr w:rsidR="00831C3C" w:rsidRPr="00831C3C" w:rsidTr="0066454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土地使用权</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专利权</w:t>
            </w:r>
          </w:p>
        </w:tc>
        <w:tc>
          <w:tcPr>
            <w:tcW w:w="160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非专利技术</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center"/>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合计</w:t>
            </w:r>
          </w:p>
        </w:tc>
      </w:tr>
      <w:tr w:rsidR="00831C3C" w:rsidRPr="00831C3C" w:rsidTr="0066454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一、账面原值</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rsidTr="0066454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1.期初余额</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1,032,894,933.14</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30,443,903.20</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9,065,464.49</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1,072,404,300.83</w:t>
            </w:r>
          </w:p>
        </w:tc>
      </w:tr>
      <w:tr w:rsidR="00831C3C" w:rsidRPr="00831C3C" w:rsidTr="0066454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2.本期增加金额</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58,518,700.50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3,081,301.25</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256,764.16</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61,856,765.91</w:t>
            </w:r>
          </w:p>
        </w:tc>
      </w:tr>
      <w:tr w:rsidR="00831C3C" w:rsidRPr="00831C3C" w:rsidTr="0066454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（1）购置</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3,081,301.25</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256,764.16</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3,338,065.41</w:t>
            </w:r>
          </w:p>
        </w:tc>
      </w:tr>
      <w:tr w:rsidR="00831C3C" w:rsidRPr="00831C3C" w:rsidTr="0066454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（2）内部研发</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rsidTr="0066454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（3）企业合并增加</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rsidTr="00664544">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在建工程转入</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60,940,462.40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60,940,462.40</w:t>
            </w:r>
          </w:p>
        </w:tc>
      </w:tr>
      <w:tr w:rsidR="00831C3C" w:rsidRPr="00831C3C" w:rsidTr="00664544">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外币报表折算差额</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-2,421,761.90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-2,421,761.90</w:t>
            </w:r>
          </w:p>
        </w:tc>
      </w:tr>
      <w:tr w:rsidR="00831C3C" w:rsidRPr="00831C3C" w:rsidTr="0066454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3.本期减少金额</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8,509,480.44</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19,716.98</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2,393,589.22</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10,922,786.64</w:t>
            </w:r>
          </w:p>
        </w:tc>
      </w:tr>
      <w:tr w:rsidR="00831C3C" w:rsidRPr="00831C3C" w:rsidTr="0066454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（1）处置</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3,403,726.44</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19,716.98</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2,393,589.22</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5,817,032.64</w:t>
            </w:r>
          </w:p>
        </w:tc>
      </w:tr>
      <w:tr w:rsidR="00831C3C" w:rsidRPr="00831C3C" w:rsidTr="00664544">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处置子公司</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5,105,754.00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5,105,754.00</w:t>
            </w:r>
          </w:p>
        </w:tc>
      </w:tr>
      <w:tr w:rsidR="00831C3C" w:rsidRPr="00831C3C" w:rsidTr="0066454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4.期末余额</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1,082,904,153.20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33,505,487.47</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6,928,639.43</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1,123,338,280.10</w:t>
            </w:r>
          </w:p>
        </w:tc>
      </w:tr>
      <w:tr w:rsidR="00831C3C" w:rsidRPr="00831C3C" w:rsidTr="0066454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二、累计摊销</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rsidTr="0066454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1.期初余额</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192,710,749.02</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24,141,287.22</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6,900,731.46</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223,752,767.70</w:t>
            </w:r>
          </w:p>
        </w:tc>
      </w:tr>
      <w:tr w:rsidR="00831C3C" w:rsidRPr="00831C3C" w:rsidTr="0066454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2.本期增加金额</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20,955,309.72</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1,936,276.82</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1,376,729.47</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24,268,316.01</w:t>
            </w:r>
          </w:p>
        </w:tc>
      </w:tr>
      <w:tr w:rsidR="00831C3C" w:rsidRPr="00831C3C" w:rsidTr="0066454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（1）计提</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21,352,195.56</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1,936,276.82</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1,376,729.47</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24,665,201.85</w:t>
            </w:r>
          </w:p>
        </w:tc>
      </w:tr>
      <w:tr w:rsidR="00831C3C" w:rsidRPr="00831C3C" w:rsidTr="00664544">
        <w:trPr>
          <w:trHeight w:val="240"/>
        </w:trPr>
        <w:tc>
          <w:tcPr>
            <w:tcW w:w="1606" w:type="dxa"/>
            <w:tcBorders>
              <w:top w:val="single" w:sz="2" w:space="0" w:color="auto"/>
              <w:left w:val="single" w:sz="2" w:space="0" w:color="auto"/>
              <w:bottom w:val="single" w:sz="2" w:space="0" w:color="auto"/>
              <w:right w:val="single" w:sz="2" w:space="0" w:color="auto"/>
            </w:tcBorders>
          </w:tcPr>
          <w:p w:rsidR="00664544" w:rsidRPr="00831C3C" w:rsidRDefault="00664544" w:rsidP="00664544">
            <w:pPr>
              <w:spacing w:line="240" w:lineRule="exact"/>
            </w:pPr>
            <w:r w:rsidRPr="00831C3C">
              <w:rPr>
                <w:rFonts w:ascii="宋体" w:eastAsia="宋体" w:hAnsi="宋体" w:cs="宋体"/>
                <w:sz w:val="18"/>
                <w:szCs w:val="18"/>
              </w:rPr>
              <w:t>外币报表折算差额</w:t>
            </w:r>
          </w:p>
        </w:tc>
        <w:tc>
          <w:tcPr>
            <w:tcW w:w="1606" w:type="dxa"/>
            <w:tcBorders>
              <w:top w:val="single" w:sz="2" w:space="0" w:color="auto"/>
              <w:left w:val="single" w:sz="2" w:space="0" w:color="auto"/>
              <w:bottom w:val="single" w:sz="2" w:space="0" w:color="auto"/>
              <w:right w:val="single" w:sz="2" w:space="0" w:color="auto"/>
            </w:tcBorders>
          </w:tcPr>
          <w:p w:rsidR="00664544" w:rsidRPr="00831C3C" w:rsidRDefault="00664544" w:rsidP="00664544">
            <w:pPr>
              <w:spacing w:line="240" w:lineRule="exact"/>
              <w:jc w:val="right"/>
              <w:rPr>
                <w:rFonts w:ascii="宋体" w:eastAsia="宋体" w:hAnsi="宋体" w:cs="宋体"/>
                <w:sz w:val="18"/>
                <w:szCs w:val="18"/>
              </w:rPr>
            </w:pPr>
            <w:r w:rsidRPr="00831C3C">
              <w:rPr>
                <w:rFonts w:ascii="宋体" w:eastAsia="宋体" w:hAnsi="宋体" w:cs="宋体" w:hint="eastAsia"/>
                <w:sz w:val="18"/>
                <w:szCs w:val="18"/>
              </w:rPr>
              <w:t>-396,885.84</w:t>
            </w:r>
          </w:p>
        </w:tc>
        <w:tc>
          <w:tcPr>
            <w:tcW w:w="1606" w:type="dxa"/>
            <w:tcBorders>
              <w:top w:val="single" w:sz="2" w:space="0" w:color="auto"/>
              <w:left w:val="single" w:sz="2" w:space="0" w:color="auto"/>
              <w:bottom w:val="single" w:sz="2" w:space="0" w:color="auto"/>
              <w:right w:val="single" w:sz="2" w:space="0" w:color="auto"/>
            </w:tcBorders>
          </w:tcPr>
          <w:p w:rsidR="00664544" w:rsidRPr="00831C3C" w:rsidRDefault="00664544" w:rsidP="00664544">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tcPr>
          <w:p w:rsidR="00664544" w:rsidRPr="00831C3C" w:rsidRDefault="00664544" w:rsidP="00664544">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tcPr>
          <w:p w:rsidR="00664544" w:rsidRPr="00831C3C" w:rsidRDefault="00664544" w:rsidP="00664544">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664544" w:rsidRPr="00831C3C" w:rsidRDefault="00664544">
            <w:pPr>
              <w:spacing w:line="240" w:lineRule="exact"/>
              <w:jc w:val="right"/>
              <w:rPr>
                <w:rFonts w:ascii="宋体" w:eastAsia="宋体" w:hAnsi="宋体" w:cs="宋体"/>
                <w:sz w:val="18"/>
                <w:szCs w:val="18"/>
              </w:rPr>
            </w:pPr>
            <w:r w:rsidRPr="00831C3C">
              <w:rPr>
                <w:rFonts w:ascii="宋体" w:eastAsia="宋体" w:hAnsi="宋体" w:cs="宋体"/>
                <w:sz w:val="18"/>
                <w:szCs w:val="18"/>
              </w:rPr>
              <w:t>-396,885.84</w:t>
            </w:r>
          </w:p>
        </w:tc>
      </w:tr>
      <w:tr w:rsidR="00831C3C" w:rsidRPr="00831C3C" w:rsidTr="0066454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3.本期减少金额</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944,087.70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19,716.98</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2,362,972.28</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3,326,776.96</w:t>
            </w:r>
          </w:p>
        </w:tc>
      </w:tr>
      <w:tr w:rsidR="00831C3C" w:rsidRPr="00831C3C" w:rsidTr="0066454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（1）处置</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19,122.06</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19,716.98</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2,362,972.28</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2,401,811.32</w:t>
            </w:r>
          </w:p>
        </w:tc>
      </w:tr>
      <w:tr w:rsidR="00831C3C" w:rsidRPr="00831C3C" w:rsidTr="00664544">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处置子公司</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924,965.64</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924,965.64</w:t>
            </w:r>
          </w:p>
        </w:tc>
      </w:tr>
      <w:tr w:rsidR="00831C3C" w:rsidRPr="00831C3C" w:rsidTr="0066454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4.期末余额</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212,721,971.04</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26,057,847.06</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5,914,488.65</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244,694,306.75</w:t>
            </w:r>
          </w:p>
        </w:tc>
      </w:tr>
      <w:tr w:rsidR="00831C3C" w:rsidRPr="00831C3C" w:rsidTr="0066454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三、减值准备</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rsidTr="0066454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1.期初余额</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rsidTr="0066454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2.本期增加金额</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rsidTr="0066454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t>（1）计提</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rsidTr="00664544">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rsidTr="0066454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3.本期减少</w:t>
            </w:r>
            <w:r w:rsidRPr="00831C3C">
              <w:rPr>
                <w:rFonts w:ascii="宋体" w:eastAsia="宋体" w:hAnsi="宋体" w:cs="宋体"/>
                <w:sz w:val="18"/>
                <w:szCs w:val="18"/>
              </w:rPr>
              <w:lastRenderedPageBreak/>
              <w:t>金额</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rsidTr="0066454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400" w:firstLine="720"/>
              <w:rPr>
                <w:rFonts w:ascii="宋体" w:eastAsia="宋体" w:hAnsi="宋体" w:cs="宋体"/>
                <w:sz w:val="18"/>
                <w:szCs w:val="18"/>
              </w:rPr>
            </w:pPr>
            <w:r w:rsidRPr="00831C3C">
              <w:rPr>
                <w:rFonts w:ascii="宋体" w:eastAsia="宋体" w:hAnsi="宋体" w:cs="宋体"/>
                <w:sz w:val="18"/>
                <w:szCs w:val="18"/>
              </w:rPr>
              <w:lastRenderedPageBreak/>
              <w:t>（1）处置</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rsidTr="00664544">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rsidTr="0066454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4.期末余额</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rsidTr="0066454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四、账面价值</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rsidTr="0066454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1.期末账面价值</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870,182,182.16</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7,447,640.41</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1,014,150.78</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878,643,973.35</w:t>
            </w:r>
          </w:p>
        </w:tc>
      </w:tr>
      <w:tr w:rsidR="00831C3C" w:rsidRPr="00831C3C" w:rsidTr="00664544">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2.期初账面价值</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840,184,184.12</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6,302,615.98</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2,164,733.03</w:t>
            </w: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848,651,533.13</w:t>
            </w:r>
          </w:p>
        </w:tc>
      </w:tr>
    </w:tbl>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本期末通过公司内部研发形成的无形资产占无形资产余额的比例。</w:t>
      </w:r>
    </w:p>
    <w:p w:rsidR="00E23A97" w:rsidRPr="00831C3C" w:rsidRDefault="00C65FD5">
      <w:pPr>
        <w:keepNext/>
        <w:keepLines/>
        <w:spacing w:before="300" w:after="300" w:line="280" w:lineRule="exact"/>
        <w:outlineLvl w:val="3"/>
        <w:rPr>
          <w:rFonts w:ascii="宋体" w:eastAsia="宋体" w:hAnsi="宋体" w:cs="宋体"/>
          <w:b/>
          <w:bCs/>
          <w:szCs w:val="21"/>
        </w:rPr>
      </w:pPr>
      <w:bookmarkStart w:id="359" w:name="_Toc989240"/>
      <w:r w:rsidRPr="00831C3C">
        <w:rPr>
          <w:rFonts w:ascii="宋体" w:eastAsia="宋体" w:hAnsi="宋体" w:cs="宋体"/>
          <w:b/>
          <w:bCs/>
          <w:szCs w:val="21"/>
        </w:rPr>
        <w:t>（2）确认为无形资产的数据资源</w:t>
      </w:r>
      <w:bookmarkEnd w:id="359"/>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keepNext/>
        <w:keepLines/>
        <w:spacing w:before="300" w:after="300" w:line="280" w:lineRule="exact"/>
        <w:outlineLvl w:val="3"/>
        <w:rPr>
          <w:rFonts w:ascii="宋体" w:eastAsia="宋体" w:hAnsi="宋体" w:cs="宋体"/>
          <w:b/>
          <w:bCs/>
          <w:szCs w:val="21"/>
        </w:rPr>
      </w:pPr>
      <w:bookmarkStart w:id="360" w:name="_Toc989241"/>
      <w:r w:rsidRPr="00831C3C">
        <w:rPr>
          <w:rFonts w:ascii="宋体" w:eastAsia="宋体" w:hAnsi="宋体" w:cs="宋体"/>
          <w:b/>
          <w:bCs/>
          <w:szCs w:val="21"/>
        </w:rPr>
        <w:t>（3）未办妥产权证书的土地使用权情况</w:t>
      </w:r>
      <w:bookmarkEnd w:id="360"/>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账面价值</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未办妥产权证书的原因</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土地使用权</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39,595,573.72</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正在办理中</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39,595,573.72</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bl>
    <w:p w:rsidR="00E23A97" w:rsidRPr="00831C3C" w:rsidRDefault="00C65FD5">
      <w:pPr>
        <w:keepNext/>
        <w:keepLines/>
        <w:spacing w:before="300" w:after="300" w:line="280" w:lineRule="exact"/>
        <w:outlineLvl w:val="3"/>
        <w:rPr>
          <w:rFonts w:ascii="宋体" w:eastAsia="宋体" w:hAnsi="宋体" w:cs="宋体"/>
          <w:b/>
          <w:bCs/>
          <w:szCs w:val="21"/>
        </w:rPr>
      </w:pPr>
      <w:bookmarkStart w:id="361" w:name="_Toc989242"/>
      <w:r w:rsidRPr="00831C3C">
        <w:rPr>
          <w:rFonts w:ascii="宋体" w:eastAsia="宋体" w:hAnsi="宋体" w:cs="宋体"/>
          <w:b/>
          <w:bCs/>
          <w:szCs w:val="21"/>
        </w:rPr>
        <w:t>（4）无形资产的减值测试情况</w:t>
      </w:r>
      <w:bookmarkEnd w:id="361"/>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pStyle w:val="3"/>
        <w:spacing w:line="280" w:lineRule="exact"/>
        <w:jc w:val="left"/>
        <w:rPr>
          <w:rFonts w:ascii="宋体" w:hAnsi="宋体" w:cs="宋体"/>
          <w:b/>
          <w:bCs/>
        </w:rPr>
      </w:pPr>
      <w:bookmarkStart w:id="362" w:name="_Toc989243"/>
      <w:r w:rsidRPr="00831C3C">
        <w:rPr>
          <w:rFonts w:ascii="宋体" w:hAnsi="宋体" w:cs="宋体"/>
          <w:b/>
          <w:bCs/>
        </w:rPr>
        <w:t>27、商誉</w:t>
      </w:r>
      <w:bookmarkEnd w:id="362"/>
    </w:p>
    <w:p w:rsidR="00E23A97" w:rsidRPr="00831C3C" w:rsidRDefault="00C65FD5">
      <w:pPr>
        <w:keepNext/>
        <w:keepLines/>
        <w:spacing w:before="300" w:after="300" w:line="280" w:lineRule="exact"/>
        <w:outlineLvl w:val="3"/>
        <w:rPr>
          <w:rFonts w:ascii="宋体" w:eastAsia="宋体" w:hAnsi="宋体" w:cs="宋体"/>
          <w:b/>
          <w:bCs/>
          <w:szCs w:val="21"/>
        </w:rPr>
      </w:pPr>
      <w:bookmarkStart w:id="363" w:name="_Toc989244"/>
      <w:r w:rsidRPr="00831C3C">
        <w:rPr>
          <w:rFonts w:ascii="宋体" w:eastAsia="宋体" w:hAnsi="宋体" w:cs="宋体"/>
          <w:b/>
          <w:bCs/>
          <w:szCs w:val="21"/>
        </w:rPr>
        <w:t>（1）商誉账面原值</w:t>
      </w:r>
      <w:bookmarkEnd w:id="363"/>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31C3C" w:rsidRPr="00831C3C">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被投资单位名称或形成商誉的事项</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c>
          <w:tcPr>
            <w:tcW w:w="275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本期增加</w:t>
            </w:r>
          </w:p>
        </w:tc>
        <w:tc>
          <w:tcPr>
            <w:tcW w:w="275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本期减少</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r>
      <w:tr w:rsidR="00831C3C" w:rsidRPr="00831C3C">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企业合并形成的</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center"/>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处置</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center"/>
              <w:rPr>
                <w:rFonts w:ascii="宋体" w:eastAsia="宋体" w:hAnsi="宋体" w:cs="宋体"/>
                <w:sz w:val="18"/>
                <w:szCs w:val="18"/>
              </w:rPr>
            </w:pPr>
          </w:p>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新疆棉花交易市场有限责任公司</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3,861,366.21</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3,861,366.21</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浙江阿大互联科技有限公司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147,900,475.26</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147,900,475.26</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151,761,841.47</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151,761,841.47</w:t>
            </w:r>
          </w:p>
        </w:tc>
      </w:tr>
    </w:tbl>
    <w:p w:rsidR="00E23A97" w:rsidRPr="00831C3C" w:rsidRDefault="00C65FD5">
      <w:pPr>
        <w:keepNext/>
        <w:keepLines/>
        <w:spacing w:before="300" w:after="300" w:line="280" w:lineRule="exact"/>
        <w:outlineLvl w:val="3"/>
        <w:rPr>
          <w:rFonts w:ascii="宋体" w:eastAsia="宋体" w:hAnsi="宋体" w:cs="宋体"/>
          <w:b/>
          <w:bCs/>
          <w:szCs w:val="21"/>
        </w:rPr>
      </w:pPr>
      <w:bookmarkStart w:id="364" w:name="_Toc989245"/>
      <w:r w:rsidRPr="00831C3C">
        <w:rPr>
          <w:rFonts w:ascii="宋体" w:eastAsia="宋体" w:hAnsi="宋体" w:cs="宋体"/>
          <w:b/>
          <w:bCs/>
          <w:szCs w:val="21"/>
        </w:rPr>
        <w:t>（2）商誉减值准备</w:t>
      </w:r>
      <w:bookmarkEnd w:id="364"/>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31C3C" w:rsidRPr="00831C3C">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被投资单位名称或形成商誉的事项</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c>
          <w:tcPr>
            <w:tcW w:w="275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本期增加</w:t>
            </w:r>
          </w:p>
        </w:tc>
        <w:tc>
          <w:tcPr>
            <w:tcW w:w="275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本期减少</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r>
      <w:tr w:rsidR="00831C3C" w:rsidRPr="00831C3C">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计提</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center"/>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处置</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center"/>
              <w:rPr>
                <w:rFonts w:ascii="宋体" w:eastAsia="宋体" w:hAnsi="宋体" w:cs="宋体"/>
                <w:sz w:val="18"/>
                <w:szCs w:val="18"/>
              </w:rPr>
            </w:pPr>
          </w:p>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新疆棉花交易</w:t>
            </w:r>
            <w:r w:rsidRPr="00831C3C">
              <w:rPr>
                <w:rFonts w:ascii="宋体" w:eastAsia="宋体" w:hAnsi="宋体" w:cs="宋体"/>
                <w:sz w:val="18"/>
                <w:szCs w:val="18"/>
              </w:rPr>
              <w:lastRenderedPageBreak/>
              <w:t>市场有限责任公司</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lastRenderedPageBreak/>
              <w:t>浙江阿大互联科技有限公司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19,831,313.14</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19,831,313.14</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19,831,313.14</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19,831,313.14</w:t>
            </w:r>
          </w:p>
        </w:tc>
      </w:tr>
    </w:tbl>
    <w:p w:rsidR="00E23A97" w:rsidRPr="00831C3C" w:rsidRDefault="00C65FD5">
      <w:pPr>
        <w:keepNext/>
        <w:keepLines/>
        <w:spacing w:before="300" w:after="300" w:line="280" w:lineRule="exact"/>
        <w:outlineLvl w:val="3"/>
        <w:rPr>
          <w:rFonts w:ascii="宋体" w:eastAsia="宋体" w:hAnsi="宋体" w:cs="宋体"/>
          <w:b/>
          <w:bCs/>
          <w:szCs w:val="21"/>
        </w:rPr>
      </w:pPr>
      <w:bookmarkStart w:id="365" w:name="_Toc989246"/>
      <w:r w:rsidRPr="00831C3C">
        <w:rPr>
          <w:rFonts w:ascii="宋体" w:eastAsia="宋体" w:hAnsi="宋体" w:cs="宋体"/>
          <w:b/>
          <w:bCs/>
          <w:szCs w:val="21"/>
        </w:rPr>
        <w:t>（3）商誉所在资产组或资产组组合的相关信息</w:t>
      </w:r>
      <w:bookmarkEnd w:id="365"/>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名称</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所属资产组或组合的构成及依据</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所属经营分部及依据</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是否与以前年度保持一致</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资产组或资产组组合发生变化</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名称</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变化前的构成</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变化后的构成</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导致变化的客观事实及依据</w:t>
            </w:r>
          </w:p>
        </w:tc>
      </w:tr>
    </w:tbl>
    <w:p w:rsidR="00E23A97" w:rsidRPr="00831C3C" w:rsidRDefault="00C65FD5" w:rsidP="006B0D17">
      <w:pPr>
        <w:spacing w:before="100" w:after="100"/>
        <w:rPr>
          <w:rFonts w:ascii="宋体" w:eastAsia="宋体" w:hAnsi="宋体" w:cs="宋体"/>
          <w:sz w:val="18"/>
          <w:szCs w:val="18"/>
        </w:rPr>
      </w:pPr>
      <w:r w:rsidRPr="00831C3C">
        <w:rPr>
          <w:rFonts w:ascii="宋体" w:eastAsia="宋体" w:hAnsi="宋体" w:cs="宋体"/>
          <w:sz w:val="18"/>
          <w:szCs w:val="18"/>
        </w:rPr>
        <w:t>其他说明</w:t>
      </w:r>
    </w:p>
    <w:p w:rsidR="00C65FD5" w:rsidRPr="00831C3C" w:rsidRDefault="00C65FD5" w:rsidP="006B0D17">
      <w:pPr>
        <w:pStyle w:val="a3"/>
        <w:spacing w:before="0" w:beforeAutospacing="0" w:after="0" w:afterAutospacing="0"/>
        <w:ind w:firstLine="420"/>
        <w:divId w:val="539053921"/>
        <w:rPr>
          <w:sz w:val="18"/>
          <w:szCs w:val="18"/>
        </w:rPr>
      </w:pPr>
      <w:r w:rsidRPr="00831C3C">
        <w:rPr>
          <w:rFonts w:hint="eastAsia"/>
          <w:sz w:val="18"/>
          <w:szCs w:val="18"/>
        </w:rPr>
        <w:t>本公司之子公司新疆</w:t>
      </w:r>
      <w:proofErr w:type="gramStart"/>
      <w:r w:rsidRPr="00831C3C">
        <w:rPr>
          <w:rFonts w:hint="eastAsia"/>
          <w:sz w:val="18"/>
          <w:szCs w:val="18"/>
        </w:rPr>
        <w:t>华孚棉业</w:t>
      </w:r>
      <w:proofErr w:type="gramEnd"/>
      <w:r w:rsidRPr="00831C3C">
        <w:rPr>
          <w:rFonts w:hint="eastAsia"/>
          <w:sz w:val="18"/>
          <w:szCs w:val="18"/>
        </w:rPr>
        <w:t>于2018年1月对新疆棉花交易市场进行增资；注入增资款3,520.00万元，占总价款的100%；合并日，取得的被投资单位可辨认净资产公允价值份额为3,233.86万元，从而形成商誉386.14万元；</w:t>
      </w:r>
    </w:p>
    <w:p w:rsidR="00C65FD5" w:rsidRPr="00831C3C" w:rsidRDefault="00C65FD5" w:rsidP="006B0D17">
      <w:pPr>
        <w:pStyle w:val="a3"/>
        <w:spacing w:before="120" w:beforeAutospacing="0" w:after="0" w:afterAutospacing="0"/>
        <w:ind w:firstLine="420"/>
        <w:divId w:val="539053921"/>
        <w:rPr>
          <w:sz w:val="18"/>
          <w:szCs w:val="18"/>
        </w:rPr>
      </w:pPr>
      <w:r w:rsidRPr="00831C3C">
        <w:rPr>
          <w:rFonts w:hint="eastAsia"/>
          <w:sz w:val="18"/>
          <w:szCs w:val="18"/>
        </w:rPr>
        <w:t>本公司子公司深圳</w:t>
      </w:r>
      <w:proofErr w:type="gramStart"/>
      <w:r w:rsidRPr="00831C3C">
        <w:rPr>
          <w:rFonts w:hint="eastAsia"/>
          <w:sz w:val="18"/>
          <w:szCs w:val="18"/>
        </w:rPr>
        <w:t>网链于</w:t>
      </w:r>
      <w:proofErr w:type="gramEnd"/>
      <w:r w:rsidRPr="00831C3C">
        <w:rPr>
          <w:rFonts w:hint="eastAsia"/>
          <w:sz w:val="18"/>
          <w:szCs w:val="18"/>
        </w:rPr>
        <w:t>2021年8月以现金27,083.00万元和持有的阿克苏纺织小商品产业园有限公司100%股权、浙江博忆纺织科技有限公司51%股权、浙江易孚贸易有限公司70%股权向目标公司浙江鲲驰互联科技有限公司进行增资，投资成本合计为39,161.60万元，取得的被投资单位可辨认净资产公允价值份额为24,371.55万元，从而形成商誉14,790.05万元。</w:t>
      </w:r>
    </w:p>
    <w:p w:rsidR="00C65FD5" w:rsidRPr="00831C3C" w:rsidRDefault="00C65FD5" w:rsidP="006B0D17">
      <w:pPr>
        <w:pStyle w:val="a3"/>
        <w:spacing w:before="0" w:beforeAutospacing="0" w:after="0" w:afterAutospacing="0"/>
        <w:ind w:firstLine="420"/>
        <w:divId w:val="539053921"/>
        <w:rPr>
          <w:rFonts w:ascii="Times New Roman" w:hAnsi="Times New Roman" w:cs="Times New Roman"/>
          <w:sz w:val="18"/>
          <w:szCs w:val="18"/>
        </w:rPr>
      </w:pPr>
      <w:r w:rsidRPr="00831C3C">
        <w:rPr>
          <w:rFonts w:cs="Times New Roman" w:hint="eastAsia"/>
          <w:sz w:val="18"/>
          <w:szCs w:val="18"/>
        </w:rPr>
        <w:t>上述资产组与购买日所确认的资产组一致。</w:t>
      </w:r>
    </w:p>
    <w:p w:rsidR="00E23A97" w:rsidRPr="00831C3C" w:rsidRDefault="00C65FD5">
      <w:pPr>
        <w:keepNext/>
        <w:keepLines/>
        <w:spacing w:before="300" w:after="300" w:line="280" w:lineRule="exact"/>
        <w:outlineLvl w:val="3"/>
        <w:rPr>
          <w:rFonts w:ascii="宋体" w:eastAsia="宋体" w:hAnsi="宋体" w:cs="宋体"/>
          <w:b/>
          <w:bCs/>
          <w:szCs w:val="21"/>
        </w:rPr>
      </w:pPr>
      <w:bookmarkStart w:id="366" w:name="_Toc989247"/>
      <w:r w:rsidRPr="00831C3C">
        <w:rPr>
          <w:rFonts w:ascii="宋体" w:eastAsia="宋体" w:hAnsi="宋体" w:cs="宋体"/>
          <w:b/>
          <w:bCs/>
          <w:szCs w:val="21"/>
        </w:rPr>
        <w:t>（4）可收回金额的具体确定方法</w:t>
      </w:r>
      <w:bookmarkEnd w:id="366"/>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可收回金额按公允价值减去处置费用后的净额确定</w:t>
      </w:r>
    </w:p>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可收回金额按预计未来现金流量的现值确定</w:t>
      </w:r>
    </w:p>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前述信息与以前年度减值测试采用的信息或外部信息明显不一致的差异原因</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公司以前年度减值测试采用信息与当年实际情况明显不一致的差异原因</w:t>
      </w:r>
    </w:p>
    <w:p w:rsidR="00E23A97" w:rsidRPr="00831C3C" w:rsidRDefault="00C65FD5">
      <w:pPr>
        <w:keepNext/>
        <w:keepLines/>
        <w:spacing w:before="300" w:after="300" w:line="280" w:lineRule="exact"/>
        <w:outlineLvl w:val="3"/>
        <w:rPr>
          <w:rFonts w:ascii="宋体" w:eastAsia="宋体" w:hAnsi="宋体" w:cs="宋体"/>
          <w:b/>
          <w:bCs/>
          <w:szCs w:val="21"/>
        </w:rPr>
      </w:pPr>
      <w:bookmarkStart w:id="367" w:name="_Toc989248"/>
      <w:r w:rsidRPr="00831C3C">
        <w:rPr>
          <w:rFonts w:ascii="宋体" w:eastAsia="宋体" w:hAnsi="宋体" w:cs="宋体"/>
          <w:b/>
          <w:bCs/>
          <w:szCs w:val="21"/>
        </w:rPr>
        <w:t>（5）业绩承诺完成及对应商誉减值情况</w:t>
      </w:r>
      <w:bookmarkEnd w:id="367"/>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形成商誉时存在业绩承诺</w:t>
      </w:r>
      <w:proofErr w:type="gramStart"/>
      <w:r w:rsidRPr="00831C3C">
        <w:rPr>
          <w:rFonts w:ascii="宋体" w:eastAsia="宋体" w:hAnsi="宋体" w:cs="宋体"/>
          <w:sz w:val="18"/>
          <w:szCs w:val="18"/>
        </w:rPr>
        <w:t>且报告</w:t>
      </w:r>
      <w:proofErr w:type="gramEnd"/>
      <w:r w:rsidRPr="00831C3C">
        <w:rPr>
          <w:rFonts w:ascii="宋体" w:eastAsia="宋体" w:hAnsi="宋体" w:cs="宋体"/>
          <w:sz w:val="18"/>
          <w:szCs w:val="18"/>
        </w:rPr>
        <w:t>期或报告期上一期间处于业绩承诺期内</w:t>
      </w:r>
    </w:p>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p>
    <w:p w:rsidR="00C65FD5" w:rsidRPr="00831C3C" w:rsidRDefault="00C65FD5" w:rsidP="00CC7D91">
      <w:pPr>
        <w:widowControl/>
        <w:numPr>
          <w:ilvl w:val="0"/>
          <w:numId w:val="132"/>
        </w:numPr>
        <w:spacing w:before="100" w:beforeAutospacing="1" w:after="100" w:afterAutospacing="1"/>
        <w:divId w:val="1855146595"/>
        <w:rPr>
          <w:sz w:val="18"/>
          <w:szCs w:val="18"/>
        </w:rPr>
      </w:pPr>
      <w:r w:rsidRPr="00831C3C">
        <w:rPr>
          <w:rFonts w:hint="eastAsia"/>
          <w:sz w:val="18"/>
          <w:szCs w:val="18"/>
        </w:rPr>
        <w:t>．商誉减值测试过程、关键参数及商誉减值损失的确认方法</w:t>
      </w:r>
    </w:p>
    <w:p w:rsidR="00C65FD5" w:rsidRPr="00831C3C" w:rsidRDefault="00C65FD5" w:rsidP="00406352">
      <w:pPr>
        <w:pStyle w:val="a3"/>
        <w:spacing w:before="50" w:beforeAutospacing="0" w:after="50" w:afterAutospacing="0"/>
        <w:ind w:firstLine="420"/>
        <w:jc w:val="both"/>
        <w:divId w:val="1855146595"/>
        <w:rPr>
          <w:sz w:val="18"/>
          <w:szCs w:val="18"/>
        </w:rPr>
      </w:pPr>
      <w:r w:rsidRPr="00831C3C">
        <w:rPr>
          <w:rFonts w:hint="eastAsia"/>
          <w:sz w:val="18"/>
          <w:szCs w:val="18"/>
        </w:rPr>
        <w:t>（</w:t>
      </w:r>
      <w:r w:rsidRPr="00831C3C">
        <w:rPr>
          <w:sz w:val="18"/>
          <w:szCs w:val="18"/>
        </w:rPr>
        <w:t>1</w:t>
      </w:r>
      <w:r w:rsidRPr="00831C3C">
        <w:rPr>
          <w:rFonts w:hint="eastAsia"/>
          <w:sz w:val="18"/>
          <w:szCs w:val="18"/>
        </w:rPr>
        <w:t>）新疆棉花交易市场有限责任公司</w:t>
      </w:r>
    </w:p>
    <w:p w:rsidR="00C65FD5" w:rsidRPr="00831C3C" w:rsidRDefault="00C65FD5" w:rsidP="00406352">
      <w:pPr>
        <w:pStyle w:val="a3"/>
        <w:spacing w:before="50" w:beforeAutospacing="0" w:after="50" w:afterAutospacing="0"/>
        <w:ind w:firstLine="420"/>
        <w:jc w:val="both"/>
        <w:divId w:val="1855146595"/>
        <w:rPr>
          <w:sz w:val="18"/>
          <w:szCs w:val="18"/>
        </w:rPr>
      </w:pPr>
      <w:r w:rsidRPr="00831C3C">
        <w:rPr>
          <w:rFonts w:hint="eastAsia"/>
          <w:sz w:val="18"/>
          <w:szCs w:val="18"/>
        </w:rPr>
        <w:t>新疆棉花交易市场相关资产组的可收回金额是基于以前年度的经营情况、行业发展水平及管理层对市场发展的预期等因素，采用</w:t>
      </w:r>
      <w:r w:rsidRPr="00831C3C">
        <w:rPr>
          <w:sz w:val="18"/>
          <w:szCs w:val="18"/>
        </w:rPr>
        <w:t>13.98%</w:t>
      </w:r>
      <w:r w:rsidRPr="00831C3C">
        <w:rPr>
          <w:rFonts w:hint="eastAsia"/>
          <w:sz w:val="18"/>
          <w:szCs w:val="18"/>
        </w:rPr>
        <w:t>的折现率，测算预计未来现金流量现值确定得出。报告期内新疆棉花交易市场收入和利润都较收购前有了较大幅度增长，经公司管理层测算、评估，资产组可收回金额大于账面价值，确认商誉不存在减值的迹象，故未计提减值准备。</w:t>
      </w:r>
    </w:p>
    <w:p w:rsidR="00C65FD5" w:rsidRPr="00831C3C" w:rsidRDefault="00C65FD5" w:rsidP="00406352">
      <w:pPr>
        <w:pStyle w:val="a3"/>
        <w:spacing w:before="50" w:beforeAutospacing="0" w:after="50" w:afterAutospacing="0"/>
        <w:ind w:firstLine="420"/>
        <w:jc w:val="both"/>
        <w:divId w:val="1855146595"/>
        <w:rPr>
          <w:sz w:val="18"/>
          <w:szCs w:val="18"/>
        </w:rPr>
      </w:pPr>
      <w:r w:rsidRPr="00831C3C">
        <w:rPr>
          <w:rFonts w:hint="eastAsia"/>
          <w:sz w:val="18"/>
          <w:szCs w:val="18"/>
        </w:rPr>
        <w:t>（</w:t>
      </w:r>
      <w:r w:rsidRPr="00831C3C">
        <w:rPr>
          <w:sz w:val="18"/>
          <w:szCs w:val="18"/>
        </w:rPr>
        <w:t>2</w:t>
      </w:r>
      <w:r w:rsidRPr="00831C3C">
        <w:rPr>
          <w:rFonts w:hint="eastAsia"/>
          <w:sz w:val="18"/>
          <w:szCs w:val="18"/>
        </w:rPr>
        <w:t>）浙江阿大互联科技有限公司</w:t>
      </w:r>
    </w:p>
    <w:p w:rsidR="00C65FD5" w:rsidRPr="00831C3C" w:rsidRDefault="00C65FD5" w:rsidP="00406352">
      <w:pPr>
        <w:pStyle w:val="a3"/>
        <w:spacing w:before="0" w:beforeAutospacing="0" w:after="120" w:afterAutospacing="0"/>
        <w:ind w:firstLine="420"/>
        <w:jc w:val="both"/>
        <w:divId w:val="1855146595"/>
        <w:rPr>
          <w:sz w:val="18"/>
          <w:szCs w:val="18"/>
        </w:rPr>
      </w:pPr>
      <w:r w:rsidRPr="00831C3C">
        <w:rPr>
          <w:rFonts w:hint="eastAsia"/>
          <w:sz w:val="18"/>
          <w:szCs w:val="18"/>
        </w:rPr>
        <w:lastRenderedPageBreak/>
        <w:t>公司依据北方</w:t>
      </w:r>
      <w:proofErr w:type="gramStart"/>
      <w:r w:rsidRPr="00831C3C">
        <w:rPr>
          <w:rFonts w:hint="eastAsia"/>
          <w:sz w:val="18"/>
          <w:szCs w:val="18"/>
        </w:rPr>
        <w:t>亚事资产</w:t>
      </w:r>
      <w:proofErr w:type="gramEnd"/>
      <w:r w:rsidRPr="00831C3C">
        <w:rPr>
          <w:rFonts w:hint="eastAsia"/>
          <w:sz w:val="18"/>
          <w:szCs w:val="18"/>
        </w:rPr>
        <w:t>评估有限责任公司出具的编号为：</w:t>
      </w:r>
      <w:proofErr w:type="gramStart"/>
      <w:r w:rsidRPr="00831C3C">
        <w:rPr>
          <w:rFonts w:hint="eastAsia"/>
          <w:sz w:val="18"/>
          <w:szCs w:val="18"/>
        </w:rPr>
        <w:t>北方亚事评报</w:t>
      </w:r>
      <w:proofErr w:type="gramEnd"/>
      <w:r w:rsidRPr="00831C3C">
        <w:rPr>
          <w:rFonts w:hint="eastAsia"/>
          <w:sz w:val="18"/>
          <w:szCs w:val="18"/>
        </w:rPr>
        <w:t>字</w:t>
      </w:r>
      <w:r w:rsidRPr="00831C3C">
        <w:rPr>
          <w:sz w:val="18"/>
          <w:szCs w:val="18"/>
        </w:rPr>
        <w:t>[2025]</w:t>
      </w:r>
      <w:r w:rsidRPr="00831C3C">
        <w:rPr>
          <w:rFonts w:hint="eastAsia"/>
          <w:sz w:val="18"/>
          <w:szCs w:val="18"/>
        </w:rPr>
        <w:t>第</w:t>
      </w:r>
      <w:r w:rsidRPr="00831C3C">
        <w:rPr>
          <w:sz w:val="18"/>
          <w:szCs w:val="18"/>
        </w:rPr>
        <w:t>01-0532</w:t>
      </w:r>
      <w:r w:rsidRPr="00831C3C">
        <w:rPr>
          <w:rFonts w:hint="eastAsia"/>
          <w:sz w:val="18"/>
          <w:szCs w:val="18"/>
        </w:rPr>
        <w:t>号评估报告信息，经测试，浙江阿大互联科技有限公司的相关资产组在</w:t>
      </w:r>
      <w:r w:rsidRPr="00831C3C">
        <w:rPr>
          <w:sz w:val="18"/>
          <w:szCs w:val="18"/>
        </w:rPr>
        <w:t>2024</w:t>
      </w:r>
      <w:r w:rsidRPr="00831C3C">
        <w:rPr>
          <w:rFonts w:hint="eastAsia"/>
          <w:sz w:val="18"/>
          <w:szCs w:val="18"/>
        </w:rPr>
        <w:t>年</w:t>
      </w:r>
      <w:r w:rsidRPr="00831C3C">
        <w:rPr>
          <w:sz w:val="18"/>
          <w:szCs w:val="18"/>
        </w:rPr>
        <w:t>12</w:t>
      </w:r>
      <w:r w:rsidRPr="00831C3C">
        <w:rPr>
          <w:rFonts w:hint="eastAsia"/>
          <w:sz w:val="18"/>
          <w:szCs w:val="18"/>
        </w:rPr>
        <w:t>月</w:t>
      </w:r>
      <w:r w:rsidRPr="00831C3C">
        <w:rPr>
          <w:sz w:val="18"/>
          <w:szCs w:val="18"/>
        </w:rPr>
        <w:t>31</w:t>
      </w:r>
      <w:r w:rsidRPr="00831C3C">
        <w:rPr>
          <w:rFonts w:hint="eastAsia"/>
          <w:sz w:val="18"/>
          <w:szCs w:val="18"/>
        </w:rPr>
        <w:t>日的账面价值为</w:t>
      </w:r>
      <w:r w:rsidRPr="00831C3C">
        <w:rPr>
          <w:sz w:val="18"/>
          <w:szCs w:val="18"/>
        </w:rPr>
        <w:t>154,795,826.97</w:t>
      </w:r>
      <w:r w:rsidRPr="00831C3C">
        <w:rPr>
          <w:rFonts w:hint="eastAsia"/>
          <w:sz w:val="18"/>
          <w:szCs w:val="18"/>
        </w:rPr>
        <w:t>元，资产可回收金额是</w:t>
      </w:r>
      <w:r w:rsidRPr="00831C3C">
        <w:rPr>
          <w:sz w:val="18"/>
          <w:szCs w:val="18"/>
        </w:rPr>
        <w:t>134,964,513.83</w:t>
      </w:r>
      <w:r w:rsidRPr="00831C3C">
        <w:rPr>
          <w:rFonts w:hint="eastAsia"/>
          <w:sz w:val="18"/>
          <w:szCs w:val="18"/>
        </w:rPr>
        <w:t>元，包含相关资产组或者资产组组合的可收回金额小于账面价值，商誉发生减值。</w:t>
      </w:r>
    </w:p>
    <w:p w:rsidR="00E23A97" w:rsidRPr="00831C3C" w:rsidRDefault="00C65FD5">
      <w:pPr>
        <w:pStyle w:val="3"/>
        <w:spacing w:line="280" w:lineRule="exact"/>
        <w:jc w:val="left"/>
        <w:rPr>
          <w:rFonts w:ascii="宋体" w:hAnsi="宋体" w:cs="宋体"/>
          <w:b/>
          <w:bCs/>
        </w:rPr>
      </w:pPr>
      <w:bookmarkStart w:id="368" w:name="_Toc989249"/>
      <w:r w:rsidRPr="00831C3C">
        <w:rPr>
          <w:rFonts w:ascii="宋体" w:hAnsi="宋体" w:cs="宋体"/>
          <w:b/>
          <w:bCs/>
        </w:rPr>
        <w:t>28、长期待摊费用</w:t>
      </w:r>
      <w:bookmarkEnd w:id="368"/>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06"/>
        <w:gridCol w:w="1606"/>
        <w:gridCol w:w="1606"/>
        <w:gridCol w:w="1607"/>
        <w:gridCol w:w="1607"/>
        <w:gridCol w:w="1607"/>
      </w:tblGrid>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本期增加金额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本期摊销金额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其他减少金额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装修费</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5,778,613.87</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8,353,212.92</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7,099,226.79</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-4,844.04</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7,037,444.04</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机物料</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3,481,678.08</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1,212,732.04</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2,268,946.04</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其他</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8,948,799.36</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450,570.60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7,084,721.58</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2,314,648.38</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18,209,091.31</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8,803,783.52</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15,396,680.41</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-4,844.04</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11,621,038.46</w:t>
            </w:r>
          </w:p>
        </w:tc>
      </w:tr>
    </w:tbl>
    <w:p w:rsidR="00E23A97" w:rsidRPr="00831C3C" w:rsidRDefault="00C65FD5">
      <w:pPr>
        <w:pStyle w:val="3"/>
        <w:spacing w:line="280" w:lineRule="exact"/>
        <w:jc w:val="left"/>
        <w:rPr>
          <w:rFonts w:ascii="宋体" w:hAnsi="宋体" w:cs="宋体"/>
          <w:b/>
          <w:bCs/>
        </w:rPr>
      </w:pPr>
      <w:bookmarkStart w:id="369" w:name="_Toc989250"/>
      <w:r w:rsidRPr="00831C3C">
        <w:rPr>
          <w:rFonts w:ascii="宋体" w:hAnsi="宋体" w:cs="宋体"/>
          <w:b/>
          <w:bCs/>
        </w:rPr>
        <w:t>29、递延所得税资产/递延所得税负债</w:t>
      </w:r>
      <w:bookmarkEnd w:id="369"/>
    </w:p>
    <w:p w:rsidR="00E23A97" w:rsidRPr="00831C3C" w:rsidRDefault="00C65FD5">
      <w:pPr>
        <w:keepNext/>
        <w:keepLines/>
        <w:spacing w:before="300" w:after="300" w:line="280" w:lineRule="exact"/>
        <w:outlineLvl w:val="3"/>
        <w:rPr>
          <w:rFonts w:ascii="宋体" w:eastAsia="宋体" w:hAnsi="宋体" w:cs="宋体"/>
          <w:b/>
          <w:bCs/>
          <w:szCs w:val="21"/>
        </w:rPr>
      </w:pPr>
      <w:bookmarkStart w:id="370" w:name="_Toc989251"/>
      <w:r w:rsidRPr="00831C3C">
        <w:rPr>
          <w:rFonts w:ascii="宋体" w:eastAsia="宋体" w:hAnsi="宋体" w:cs="宋体"/>
          <w:b/>
          <w:bCs/>
          <w:szCs w:val="21"/>
        </w:rPr>
        <w:t>（1）未经</w:t>
      </w:r>
      <w:proofErr w:type="gramStart"/>
      <w:r w:rsidRPr="00831C3C">
        <w:rPr>
          <w:rFonts w:ascii="宋体" w:eastAsia="宋体" w:hAnsi="宋体" w:cs="宋体"/>
          <w:b/>
          <w:bCs/>
          <w:szCs w:val="21"/>
        </w:rPr>
        <w:t>抵销</w:t>
      </w:r>
      <w:proofErr w:type="gramEnd"/>
      <w:r w:rsidRPr="00831C3C">
        <w:rPr>
          <w:rFonts w:ascii="宋体" w:eastAsia="宋体" w:hAnsi="宋体" w:cs="宋体"/>
          <w:b/>
          <w:bCs/>
          <w:szCs w:val="21"/>
        </w:rPr>
        <w:t>的递延所得税资产</w:t>
      </w:r>
      <w:bookmarkEnd w:id="370"/>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31C3C" w:rsidRPr="00831C3C">
        <w:trPr>
          <w:trHeight w:val="240"/>
        </w:trPr>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r>
      <w:tr w:rsidR="00831C3C" w:rsidRPr="00831C3C">
        <w:trPr>
          <w:trHeight w:val="240"/>
        </w:trPr>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可抵扣暂时性差异</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递延所得税资产</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可抵扣暂时性差异</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递延所得税资产</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坏账准备</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119,121,866.71</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24,803,394.71</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120,769,281.68</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20,653,246.73</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存货跌价准备</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34,736,020.55</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7,185,546.71</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66,432,663.41</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6,735,482.49</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固定资产减值准备</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9,345,181.78</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2,330,782.92</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9,345,181.78</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2,330,782.92</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未实现利润</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5,096,088.26</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1,274,022.06</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6,165,809.60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1,541,452.40</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未弥补亏损</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824,149,808.03</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165,493,035.55</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459,378,160.93</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145,464,764.91</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递延收益</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53,948,374.63</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8,092,256.19</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28,805,219.87</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2,826,571.99</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预计负债</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7,610.61</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1,522.12</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交易性金融资产公允价值变动</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20,150,176.89</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3,766,778.63</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20,257,803.24</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4,031,150.54</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使用权资产及租赁负债</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1,657,390.19</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264,299.80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2,716,019.79</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529,333.66</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1,068,204,907.04</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213,210,116.57</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713,877,750.91</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184,114,307.76</w:t>
            </w:r>
          </w:p>
        </w:tc>
      </w:tr>
    </w:tbl>
    <w:p w:rsidR="00E23A97" w:rsidRPr="00831C3C" w:rsidRDefault="00C65FD5">
      <w:pPr>
        <w:keepNext/>
        <w:keepLines/>
        <w:spacing w:before="300" w:after="300" w:line="280" w:lineRule="exact"/>
        <w:outlineLvl w:val="3"/>
        <w:rPr>
          <w:rFonts w:ascii="宋体" w:eastAsia="宋体" w:hAnsi="宋体" w:cs="宋体"/>
          <w:b/>
          <w:bCs/>
          <w:szCs w:val="21"/>
        </w:rPr>
      </w:pPr>
      <w:bookmarkStart w:id="371" w:name="_Toc989252"/>
      <w:r w:rsidRPr="00831C3C">
        <w:rPr>
          <w:rFonts w:ascii="宋体" w:eastAsia="宋体" w:hAnsi="宋体" w:cs="宋体"/>
          <w:b/>
          <w:bCs/>
          <w:szCs w:val="21"/>
        </w:rPr>
        <w:t>（2）未经</w:t>
      </w:r>
      <w:proofErr w:type="gramStart"/>
      <w:r w:rsidRPr="00831C3C">
        <w:rPr>
          <w:rFonts w:ascii="宋体" w:eastAsia="宋体" w:hAnsi="宋体" w:cs="宋体"/>
          <w:b/>
          <w:bCs/>
          <w:szCs w:val="21"/>
        </w:rPr>
        <w:t>抵销</w:t>
      </w:r>
      <w:proofErr w:type="gramEnd"/>
      <w:r w:rsidRPr="00831C3C">
        <w:rPr>
          <w:rFonts w:ascii="宋体" w:eastAsia="宋体" w:hAnsi="宋体" w:cs="宋体"/>
          <w:b/>
          <w:bCs/>
          <w:szCs w:val="21"/>
        </w:rPr>
        <w:t>的递延所得税负债</w:t>
      </w:r>
      <w:bookmarkEnd w:id="371"/>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31C3C" w:rsidRPr="00831C3C">
        <w:trPr>
          <w:trHeight w:val="240"/>
        </w:trPr>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r>
      <w:tr w:rsidR="00831C3C" w:rsidRPr="00831C3C">
        <w:trPr>
          <w:trHeight w:val="240"/>
        </w:trPr>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应纳税暂时性差异</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递延所得税负债</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应纳税暂时性差异</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递延所得税负债</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其他权益工具投资公允价值变动</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20,033,017.94</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3,004,952.69</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16,474,616.91</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2,471,192.54</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交易性金融资产公允价值变动</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715,029.85</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178,757.46</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281,649.36</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70,412.34</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已计提尚未收到的政府补助</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74,335,389.11</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11,150,308.37</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73,326,774.87</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10,999,016.23</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使用权资产及租赁负债</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13,205.09</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1,980.76</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25,808.97</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3,871.35</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95,096,641.99</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14,335,999.28</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90,108,850.11</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13,544,492.46</w:t>
            </w:r>
          </w:p>
        </w:tc>
      </w:tr>
    </w:tbl>
    <w:p w:rsidR="00E23A97" w:rsidRPr="00831C3C" w:rsidRDefault="00C65FD5">
      <w:pPr>
        <w:keepNext/>
        <w:keepLines/>
        <w:spacing w:before="300" w:after="300" w:line="280" w:lineRule="exact"/>
        <w:outlineLvl w:val="3"/>
        <w:rPr>
          <w:rFonts w:ascii="宋体" w:eastAsia="宋体" w:hAnsi="宋体" w:cs="宋体"/>
          <w:b/>
          <w:bCs/>
          <w:szCs w:val="21"/>
        </w:rPr>
      </w:pPr>
      <w:bookmarkStart w:id="372" w:name="_Toc989253"/>
      <w:r w:rsidRPr="00831C3C">
        <w:rPr>
          <w:rFonts w:ascii="宋体" w:eastAsia="宋体" w:hAnsi="宋体" w:cs="宋体"/>
          <w:b/>
          <w:bCs/>
          <w:szCs w:val="21"/>
        </w:rPr>
        <w:lastRenderedPageBreak/>
        <w:t>（3）以</w:t>
      </w:r>
      <w:proofErr w:type="gramStart"/>
      <w:r w:rsidRPr="00831C3C">
        <w:rPr>
          <w:rFonts w:ascii="宋体" w:eastAsia="宋体" w:hAnsi="宋体" w:cs="宋体"/>
          <w:b/>
          <w:bCs/>
          <w:szCs w:val="21"/>
        </w:rPr>
        <w:t>抵销</w:t>
      </w:r>
      <w:proofErr w:type="gramEnd"/>
      <w:r w:rsidRPr="00831C3C">
        <w:rPr>
          <w:rFonts w:ascii="宋体" w:eastAsia="宋体" w:hAnsi="宋体" w:cs="宋体"/>
          <w:b/>
          <w:bCs/>
          <w:szCs w:val="21"/>
        </w:rPr>
        <w:t>后净额列示的递延所得税资产或负债</w:t>
      </w:r>
      <w:bookmarkEnd w:id="372"/>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递延所得税资产和负债期末互</w:t>
            </w:r>
            <w:proofErr w:type="gramStart"/>
            <w:r w:rsidRPr="00831C3C">
              <w:rPr>
                <w:rFonts w:ascii="宋体" w:eastAsia="宋体" w:hAnsi="宋体" w:cs="宋体"/>
                <w:sz w:val="18"/>
                <w:szCs w:val="18"/>
              </w:rPr>
              <w:t>抵金额</w:t>
            </w:r>
            <w:proofErr w:type="gramEnd"/>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proofErr w:type="gramStart"/>
            <w:r w:rsidRPr="00831C3C">
              <w:rPr>
                <w:rFonts w:ascii="宋体" w:eastAsia="宋体" w:hAnsi="宋体" w:cs="宋体"/>
                <w:sz w:val="18"/>
                <w:szCs w:val="18"/>
              </w:rPr>
              <w:t>抵销后递延</w:t>
            </w:r>
            <w:proofErr w:type="gramEnd"/>
            <w:r w:rsidRPr="00831C3C">
              <w:rPr>
                <w:rFonts w:ascii="宋体" w:eastAsia="宋体" w:hAnsi="宋体" w:cs="宋体"/>
                <w:sz w:val="18"/>
                <w:szCs w:val="18"/>
              </w:rPr>
              <w:t>所得税资产或负债期末余额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递延所得税资产和负债期</w:t>
            </w:r>
            <w:proofErr w:type="gramStart"/>
            <w:r w:rsidRPr="00831C3C">
              <w:rPr>
                <w:rFonts w:ascii="宋体" w:eastAsia="宋体" w:hAnsi="宋体" w:cs="宋体"/>
                <w:sz w:val="18"/>
                <w:szCs w:val="18"/>
              </w:rPr>
              <w:t>初互抵金额</w:t>
            </w:r>
            <w:proofErr w:type="gramEnd"/>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proofErr w:type="gramStart"/>
            <w:r w:rsidRPr="00831C3C">
              <w:rPr>
                <w:rFonts w:ascii="宋体" w:eastAsia="宋体" w:hAnsi="宋体" w:cs="宋体"/>
                <w:sz w:val="18"/>
                <w:szCs w:val="18"/>
              </w:rPr>
              <w:t>抵销后递延</w:t>
            </w:r>
            <w:proofErr w:type="gramEnd"/>
            <w:r w:rsidRPr="00831C3C">
              <w:rPr>
                <w:rFonts w:ascii="宋体" w:eastAsia="宋体" w:hAnsi="宋体" w:cs="宋体"/>
                <w:sz w:val="18"/>
                <w:szCs w:val="18"/>
              </w:rPr>
              <w:t>所得税资产或负债期初余额</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递延所得税资产</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213,210,116.57</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184,114,307.76</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递延所得税负债</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14,335,999.28</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13,544,492.46</w:t>
            </w:r>
          </w:p>
        </w:tc>
      </w:tr>
    </w:tbl>
    <w:p w:rsidR="00E23A97" w:rsidRPr="00831C3C" w:rsidRDefault="00C65FD5">
      <w:pPr>
        <w:keepNext/>
        <w:keepLines/>
        <w:spacing w:before="300" w:after="300" w:line="280" w:lineRule="exact"/>
        <w:outlineLvl w:val="3"/>
        <w:rPr>
          <w:rFonts w:ascii="宋体" w:eastAsia="宋体" w:hAnsi="宋体" w:cs="宋体"/>
          <w:b/>
          <w:bCs/>
          <w:szCs w:val="21"/>
        </w:rPr>
      </w:pPr>
      <w:bookmarkStart w:id="373" w:name="_Toc989254"/>
      <w:r w:rsidRPr="00831C3C">
        <w:rPr>
          <w:rFonts w:ascii="宋体" w:eastAsia="宋体" w:hAnsi="宋体" w:cs="宋体"/>
          <w:b/>
          <w:bCs/>
          <w:szCs w:val="21"/>
        </w:rPr>
        <w:t>（4）未确认递延所得税资产明细</w:t>
      </w:r>
      <w:bookmarkEnd w:id="373"/>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坏账准备</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106,100,059.37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138,453,487.06</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存货跌价准备</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32,353,225.25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6,781,215.83</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递延收益</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6,403,118.11</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6,821,096.59</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未弥补亏损.</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1,832,237,504.45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1,238,410,340.12</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公允价值变动</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19,163,405.00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16,814,105.00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固定资产减值准备</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24,573,168.01</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27,346,564.66</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租赁负债</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929,282.26</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2,021,759,762.45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1,434,626,809.26</w:t>
            </w:r>
          </w:p>
        </w:tc>
      </w:tr>
    </w:tbl>
    <w:p w:rsidR="00E23A97" w:rsidRPr="00831C3C" w:rsidRDefault="00C65FD5">
      <w:pPr>
        <w:keepNext/>
        <w:keepLines/>
        <w:spacing w:before="300" w:after="300" w:line="280" w:lineRule="exact"/>
        <w:outlineLvl w:val="3"/>
        <w:rPr>
          <w:rFonts w:ascii="宋体" w:eastAsia="宋体" w:hAnsi="宋体" w:cs="宋体"/>
          <w:b/>
          <w:bCs/>
          <w:szCs w:val="21"/>
        </w:rPr>
      </w:pPr>
      <w:bookmarkStart w:id="374" w:name="_Toc989255"/>
      <w:r w:rsidRPr="00831C3C">
        <w:rPr>
          <w:rFonts w:ascii="宋体" w:eastAsia="宋体" w:hAnsi="宋体" w:cs="宋体"/>
          <w:b/>
          <w:bCs/>
          <w:szCs w:val="21"/>
        </w:rPr>
        <w:t>（5）未确认递延所得税资产的可抵扣亏损将于以下年度到期</w:t>
      </w:r>
      <w:bookmarkEnd w:id="374"/>
    </w:p>
    <w:p w:rsidR="00E23A97" w:rsidRPr="00831C3C" w:rsidRDefault="00C65FD5">
      <w:pPr>
        <w:pStyle w:val="3"/>
        <w:spacing w:line="280" w:lineRule="exact"/>
        <w:jc w:val="left"/>
        <w:rPr>
          <w:rFonts w:ascii="宋体" w:hAnsi="宋体" w:cs="宋体"/>
          <w:b/>
          <w:bCs/>
        </w:rPr>
      </w:pPr>
      <w:bookmarkStart w:id="375" w:name="_Toc989256"/>
      <w:r w:rsidRPr="00831C3C">
        <w:rPr>
          <w:rFonts w:ascii="宋体" w:hAnsi="宋体" w:cs="宋体"/>
          <w:b/>
          <w:bCs/>
        </w:rPr>
        <w:t>30、其他非流动资产</w:t>
      </w:r>
      <w:bookmarkEnd w:id="375"/>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31C3C" w:rsidRPr="00831C3C">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r>
      <w:tr w:rsidR="00831C3C" w:rsidRPr="00831C3C">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减值准备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账面价值</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减值准备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账面价值</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预付工程设备款</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80,652,289.73</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80,652,289.73</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8,484,785.55</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8,484,785.55</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预付土地款</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90,000,000.00</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90,000,000.00</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预付购房款</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205,125,725.95</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205,125,725.95</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170,652,289.73</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170,652,289.73</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213,610,511.50</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213,610,511.50</w:t>
            </w:r>
          </w:p>
        </w:tc>
      </w:tr>
    </w:tbl>
    <w:p w:rsidR="00E23A97" w:rsidRPr="00831C3C" w:rsidRDefault="00C65FD5">
      <w:pPr>
        <w:pStyle w:val="3"/>
        <w:spacing w:line="280" w:lineRule="exact"/>
        <w:jc w:val="left"/>
        <w:rPr>
          <w:rFonts w:ascii="宋体" w:hAnsi="宋体" w:cs="宋体"/>
          <w:b/>
          <w:bCs/>
        </w:rPr>
      </w:pPr>
      <w:bookmarkStart w:id="376" w:name="_Toc989257"/>
      <w:r w:rsidRPr="00831C3C">
        <w:rPr>
          <w:rFonts w:ascii="宋体" w:hAnsi="宋体" w:cs="宋体"/>
          <w:b/>
          <w:bCs/>
        </w:rPr>
        <w:t>31、所有权或使用权受到限制的资产</w:t>
      </w:r>
      <w:bookmarkEnd w:id="376"/>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071"/>
        <w:gridCol w:w="1071"/>
        <w:gridCol w:w="1071"/>
        <w:gridCol w:w="1071"/>
        <w:gridCol w:w="1071"/>
        <w:gridCol w:w="1071"/>
        <w:gridCol w:w="1071"/>
        <w:gridCol w:w="1071"/>
        <w:gridCol w:w="1071"/>
      </w:tblGrid>
      <w:tr w:rsidR="00831C3C" w:rsidRPr="00831C3C">
        <w:trPr>
          <w:trHeight w:val="240"/>
        </w:trPr>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4284"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w:t>
            </w:r>
          </w:p>
        </w:tc>
        <w:tc>
          <w:tcPr>
            <w:tcW w:w="4284"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w:t>
            </w:r>
          </w:p>
        </w:tc>
      </w:tr>
      <w:tr w:rsidR="00831C3C" w:rsidRPr="00831C3C">
        <w:trPr>
          <w:trHeight w:val="240"/>
        </w:trPr>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账面余额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账面价值</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受限类型</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受限情况</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账面余额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账面价值</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受限类型</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受限情况</w:t>
            </w:r>
          </w:p>
        </w:tc>
      </w:tr>
      <w:tr w:rsidR="00831C3C" w:rsidRPr="00831C3C" w:rsidTr="00E91C6D">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785C45" w:rsidRPr="00831C3C" w:rsidRDefault="00785C45">
            <w:pPr>
              <w:spacing w:before="40" w:after="40" w:line="240" w:lineRule="exact"/>
              <w:rPr>
                <w:rFonts w:ascii="宋体" w:eastAsia="宋体" w:hAnsi="宋体" w:cs="宋体"/>
                <w:sz w:val="18"/>
                <w:szCs w:val="18"/>
              </w:rPr>
            </w:pPr>
            <w:r w:rsidRPr="00831C3C">
              <w:rPr>
                <w:rFonts w:ascii="宋体" w:eastAsia="宋体" w:hAnsi="宋体" w:cs="宋体"/>
                <w:sz w:val="18"/>
                <w:szCs w:val="18"/>
              </w:rPr>
              <w:t>货币资金</w:t>
            </w:r>
          </w:p>
        </w:tc>
        <w:tc>
          <w:tcPr>
            <w:tcW w:w="1071" w:type="dxa"/>
            <w:tcBorders>
              <w:top w:val="single" w:sz="2" w:space="0" w:color="auto"/>
              <w:left w:val="single" w:sz="2" w:space="0" w:color="auto"/>
              <w:bottom w:val="single" w:sz="2" w:space="0" w:color="auto"/>
              <w:right w:val="single" w:sz="2" w:space="0" w:color="auto"/>
            </w:tcBorders>
            <w:vAlign w:val="center"/>
          </w:tcPr>
          <w:p w:rsidR="00785C45" w:rsidRPr="00831C3C" w:rsidRDefault="00785C45">
            <w:pPr>
              <w:spacing w:line="240" w:lineRule="exact"/>
              <w:jc w:val="right"/>
              <w:rPr>
                <w:rFonts w:ascii="宋体" w:eastAsia="宋体" w:hAnsi="宋体" w:cs="宋体"/>
                <w:sz w:val="18"/>
                <w:szCs w:val="18"/>
              </w:rPr>
            </w:pPr>
            <w:r w:rsidRPr="00831C3C">
              <w:rPr>
                <w:rFonts w:ascii="宋体" w:eastAsia="宋体" w:hAnsi="宋体" w:cs="宋体"/>
                <w:sz w:val="18"/>
                <w:szCs w:val="18"/>
              </w:rPr>
              <w:t>338,342,899.49</w:t>
            </w:r>
          </w:p>
        </w:tc>
        <w:tc>
          <w:tcPr>
            <w:tcW w:w="1071" w:type="dxa"/>
            <w:tcBorders>
              <w:top w:val="single" w:sz="2" w:space="0" w:color="auto"/>
              <w:left w:val="single" w:sz="2" w:space="0" w:color="auto"/>
              <w:bottom w:val="single" w:sz="2" w:space="0" w:color="auto"/>
              <w:right w:val="single" w:sz="2" w:space="0" w:color="auto"/>
            </w:tcBorders>
            <w:vAlign w:val="center"/>
          </w:tcPr>
          <w:p w:rsidR="00785C45" w:rsidRPr="00831C3C" w:rsidRDefault="00785C45">
            <w:pPr>
              <w:spacing w:line="240" w:lineRule="exact"/>
              <w:jc w:val="right"/>
              <w:rPr>
                <w:rFonts w:ascii="宋体" w:eastAsia="宋体" w:hAnsi="宋体" w:cs="宋体"/>
                <w:sz w:val="18"/>
                <w:szCs w:val="18"/>
              </w:rPr>
            </w:pPr>
            <w:r w:rsidRPr="00831C3C">
              <w:rPr>
                <w:rFonts w:ascii="宋体" w:eastAsia="宋体" w:hAnsi="宋体" w:cs="宋体"/>
                <w:sz w:val="18"/>
                <w:szCs w:val="18"/>
              </w:rPr>
              <w:t>338,342,899.49</w:t>
            </w:r>
          </w:p>
        </w:tc>
        <w:tc>
          <w:tcPr>
            <w:tcW w:w="1071" w:type="dxa"/>
            <w:tcBorders>
              <w:top w:val="single" w:sz="2" w:space="0" w:color="auto"/>
              <w:left w:val="single" w:sz="2" w:space="0" w:color="auto"/>
              <w:bottom w:val="single" w:sz="2" w:space="0" w:color="auto"/>
              <w:right w:val="single" w:sz="2" w:space="0" w:color="auto"/>
            </w:tcBorders>
            <w:vAlign w:val="center"/>
          </w:tcPr>
          <w:p w:rsidR="00785C45" w:rsidRPr="00831C3C" w:rsidRDefault="00785C45">
            <w:pPr>
              <w:spacing w:line="240" w:lineRule="exac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785C45" w:rsidRPr="00831C3C" w:rsidRDefault="00785C45">
            <w:pPr>
              <w:spacing w:line="240" w:lineRule="exact"/>
              <w:rPr>
                <w:rFonts w:ascii="宋体" w:eastAsia="宋体" w:hAnsi="宋体" w:cs="宋体"/>
                <w:sz w:val="18"/>
                <w:szCs w:val="18"/>
              </w:rPr>
            </w:pPr>
            <w:r w:rsidRPr="00831C3C">
              <w:rPr>
                <w:rFonts w:ascii="宋体" w:eastAsia="宋体" w:hAnsi="宋体" w:cs="宋体"/>
                <w:sz w:val="18"/>
                <w:szCs w:val="18"/>
              </w:rPr>
              <w:t>票据及借款等保证金</w:t>
            </w:r>
          </w:p>
        </w:tc>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6116E6">
            <w:pPr>
              <w:rPr>
                <w:rFonts w:ascii="宋体" w:eastAsia="宋体" w:hAnsi="宋体" w:cs="宋体"/>
                <w:sz w:val="18"/>
                <w:szCs w:val="18"/>
              </w:rPr>
            </w:pPr>
            <w:r w:rsidRPr="00831C3C">
              <w:rPr>
                <w:rFonts w:ascii="宋体" w:eastAsia="宋体" w:hAnsi="宋体" w:cs="宋体"/>
                <w:sz w:val="18"/>
                <w:szCs w:val="18"/>
              </w:rPr>
              <w:t>451,800,076.10</w:t>
            </w:r>
          </w:p>
        </w:tc>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6116E6">
            <w:pPr>
              <w:rPr>
                <w:rFonts w:ascii="宋体" w:eastAsia="宋体" w:hAnsi="宋体" w:cs="宋体"/>
                <w:sz w:val="18"/>
                <w:szCs w:val="18"/>
              </w:rPr>
            </w:pPr>
            <w:r w:rsidRPr="00831C3C">
              <w:rPr>
                <w:rFonts w:ascii="宋体" w:eastAsia="宋体" w:hAnsi="宋体" w:cs="宋体"/>
                <w:sz w:val="18"/>
                <w:szCs w:val="18"/>
              </w:rPr>
              <w:t>451,800,076.10</w:t>
            </w:r>
          </w:p>
        </w:tc>
        <w:tc>
          <w:tcPr>
            <w:tcW w:w="1071" w:type="dxa"/>
            <w:tcBorders>
              <w:top w:val="single" w:sz="2" w:space="0" w:color="auto"/>
              <w:left w:val="single" w:sz="2" w:space="0" w:color="auto"/>
              <w:bottom w:val="single" w:sz="2" w:space="0" w:color="auto"/>
              <w:right w:val="single" w:sz="2" w:space="0" w:color="auto"/>
            </w:tcBorders>
            <w:vAlign w:val="center"/>
          </w:tcPr>
          <w:p w:rsidR="00785C45" w:rsidRPr="00831C3C" w:rsidRDefault="00785C45">
            <w:pPr>
              <w:spacing w:line="240" w:lineRule="exac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785C45" w:rsidRPr="00831C3C" w:rsidRDefault="00785C45">
            <w:pPr>
              <w:spacing w:line="240" w:lineRule="exact"/>
              <w:rPr>
                <w:rFonts w:ascii="宋体" w:eastAsia="宋体" w:hAnsi="宋体" w:cs="宋体"/>
                <w:sz w:val="18"/>
                <w:szCs w:val="18"/>
              </w:rPr>
            </w:pPr>
            <w:r w:rsidRPr="00831C3C">
              <w:rPr>
                <w:rFonts w:ascii="宋体" w:eastAsia="宋体" w:hAnsi="宋体" w:cs="宋体"/>
                <w:sz w:val="18"/>
                <w:szCs w:val="18"/>
              </w:rPr>
              <w:t>票据及借款等保证金</w:t>
            </w:r>
          </w:p>
        </w:tc>
      </w:tr>
      <w:tr w:rsidR="00831C3C" w:rsidRPr="00831C3C" w:rsidTr="00E91C6D">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785C45" w:rsidRPr="00831C3C" w:rsidRDefault="00785C45">
            <w:pPr>
              <w:spacing w:before="40" w:after="40" w:line="240" w:lineRule="exact"/>
              <w:rPr>
                <w:rFonts w:ascii="宋体" w:eastAsia="宋体" w:hAnsi="宋体" w:cs="宋体"/>
                <w:sz w:val="18"/>
                <w:szCs w:val="18"/>
              </w:rPr>
            </w:pPr>
            <w:r w:rsidRPr="00831C3C">
              <w:rPr>
                <w:rFonts w:ascii="宋体" w:eastAsia="宋体" w:hAnsi="宋体" w:cs="宋体"/>
                <w:sz w:val="18"/>
                <w:szCs w:val="18"/>
              </w:rPr>
              <w:t>应收票据</w:t>
            </w:r>
          </w:p>
        </w:tc>
        <w:tc>
          <w:tcPr>
            <w:tcW w:w="1071" w:type="dxa"/>
            <w:tcBorders>
              <w:top w:val="single" w:sz="2" w:space="0" w:color="auto"/>
              <w:left w:val="single" w:sz="2" w:space="0" w:color="auto"/>
              <w:bottom w:val="single" w:sz="2" w:space="0" w:color="auto"/>
              <w:right w:val="single" w:sz="2" w:space="0" w:color="auto"/>
            </w:tcBorders>
            <w:vAlign w:val="center"/>
          </w:tcPr>
          <w:p w:rsidR="00785C45" w:rsidRPr="00831C3C" w:rsidRDefault="00785C45">
            <w:pPr>
              <w:spacing w:line="240" w:lineRule="exact"/>
              <w:jc w:val="right"/>
              <w:rPr>
                <w:rFonts w:ascii="宋体" w:eastAsia="宋体" w:hAnsi="宋体" w:cs="宋体"/>
                <w:sz w:val="18"/>
                <w:szCs w:val="18"/>
              </w:rPr>
            </w:pPr>
            <w:r w:rsidRPr="00831C3C">
              <w:rPr>
                <w:rFonts w:ascii="宋体" w:eastAsia="宋体" w:hAnsi="宋体" w:cs="宋体"/>
                <w:sz w:val="18"/>
                <w:szCs w:val="18"/>
              </w:rPr>
              <w:t>17,303,319.98</w:t>
            </w:r>
          </w:p>
        </w:tc>
        <w:tc>
          <w:tcPr>
            <w:tcW w:w="1071" w:type="dxa"/>
            <w:tcBorders>
              <w:top w:val="single" w:sz="2" w:space="0" w:color="auto"/>
              <w:left w:val="single" w:sz="2" w:space="0" w:color="auto"/>
              <w:bottom w:val="single" w:sz="2" w:space="0" w:color="auto"/>
              <w:right w:val="single" w:sz="2" w:space="0" w:color="auto"/>
            </w:tcBorders>
            <w:vAlign w:val="center"/>
          </w:tcPr>
          <w:p w:rsidR="00785C45" w:rsidRPr="00831C3C" w:rsidRDefault="00785C45">
            <w:pPr>
              <w:spacing w:line="240" w:lineRule="exact"/>
              <w:jc w:val="right"/>
              <w:rPr>
                <w:rFonts w:ascii="宋体" w:eastAsia="宋体" w:hAnsi="宋体" w:cs="宋体"/>
                <w:sz w:val="18"/>
                <w:szCs w:val="18"/>
              </w:rPr>
            </w:pPr>
            <w:r w:rsidRPr="00831C3C">
              <w:rPr>
                <w:rFonts w:ascii="宋体" w:eastAsia="宋体" w:hAnsi="宋体" w:cs="宋体"/>
                <w:sz w:val="18"/>
                <w:szCs w:val="18"/>
              </w:rPr>
              <w:t>17,303,319.98</w:t>
            </w:r>
          </w:p>
        </w:tc>
        <w:tc>
          <w:tcPr>
            <w:tcW w:w="1071" w:type="dxa"/>
            <w:tcBorders>
              <w:top w:val="single" w:sz="2" w:space="0" w:color="auto"/>
              <w:left w:val="single" w:sz="2" w:space="0" w:color="auto"/>
              <w:bottom w:val="single" w:sz="2" w:space="0" w:color="auto"/>
              <w:right w:val="single" w:sz="2" w:space="0" w:color="auto"/>
            </w:tcBorders>
            <w:vAlign w:val="center"/>
          </w:tcPr>
          <w:p w:rsidR="00785C45" w:rsidRPr="00831C3C" w:rsidRDefault="00785C45">
            <w:pPr>
              <w:spacing w:line="240" w:lineRule="exac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785C45" w:rsidRPr="00831C3C" w:rsidRDefault="00785C45">
            <w:pPr>
              <w:spacing w:line="240" w:lineRule="exact"/>
              <w:rPr>
                <w:rFonts w:ascii="宋体" w:eastAsia="宋体" w:hAnsi="宋体" w:cs="宋体"/>
                <w:sz w:val="18"/>
                <w:szCs w:val="18"/>
              </w:rPr>
            </w:pPr>
            <w:r w:rsidRPr="00831C3C">
              <w:rPr>
                <w:rFonts w:ascii="宋体" w:eastAsia="宋体" w:hAnsi="宋体" w:cs="宋体"/>
                <w:sz w:val="18"/>
                <w:szCs w:val="18"/>
              </w:rPr>
              <w:t>应收票据质押借款</w:t>
            </w:r>
          </w:p>
        </w:tc>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6116E6">
            <w:pPr>
              <w:rPr>
                <w:rFonts w:ascii="宋体" w:eastAsia="宋体" w:hAnsi="宋体" w:cs="宋体"/>
                <w:sz w:val="18"/>
                <w:szCs w:val="18"/>
              </w:rPr>
            </w:pPr>
            <w:r w:rsidRPr="00831C3C">
              <w:rPr>
                <w:rFonts w:ascii="宋体" w:eastAsia="宋体" w:hAnsi="宋体" w:cs="宋体"/>
                <w:sz w:val="18"/>
                <w:szCs w:val="18"/>
              </w:rPr>
              <w:t>9,083,903.44</w:t>
            </w:r>
          </w:p>
        </w:tc>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6116E6">
            <w:pPr>
              <w:rPr>
                <w:rFonts w:ascii="宋体" w:eastAsia="宋体" w:hAnsi="宋体" w:cs="宋体"/>
                <w:sz w:val="18"/>
                <w:szCs w:val="18"/>
              </w:rPr>
            </w:pPr>
            <w:r w:rsidRPr="00831C3C">
              <w:rPr>
                <w:rFonts w:ascii="宋体" w:eastAsia="宋体" w:hAnsi="宋体" w:cs="宋体"/>
                <w:sz w:val="18"/>
                <w:szCs w:val="18"/>
              </w:rPr>
              <w:t>9,083,903.44</w:t>
            </w:r>
          </w:p>
        </w:tc>
        <w:tc>
          <w:tcPr>
            <w:tcW w:w="1071" w:type="dxa"/>
            <w:tcBorders>
              <w:top w:val="single" w:sz="2" w:space="0" w:color="auto"/>
              <w:left w:val="single" w:sz="2" w:space="0" w:color="auto"/>
              <w:bottom w:val="single" w:sz="2" w:space="0" w:color="auto"/>
              <w:right w:val="single" w:sz="2" w:space="0" w:color="auto"/>
            </w:tcBorders>
            <w:vAlign w:val="center"/>
          </w:tcPr>
          <w:p w:rsidR="00785C45" w:rsidRPr="00831C3C" w:rsidRDefault="00785C45">
            <w:pPr>
              <w:spacing w:line="240" w:lineRule="exac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785C45" w:rsidRPr="00831C3C" w:rsidRDefault="00785C45">
            <w:pPr>
              <w:spacing w:line="240" w:lineRule="exact"/>
              <w:rPr>
                <w:rFonts w:ascii="宋体" w:eastAsia="宋体" w:hAnsi="宋体" w:cs="宋体"/>
                <w:sz w:val="18"/>
                <w:szCs w:val="18"/>
              </w:rPr>
            </w:pPr>
            <w:r w:rsidRPr="00831C3C">
              <w:rPr>
                <w:rFonts w:ascii="宋体" w:eastAsia="宋体" w:hAnsi="宋体" w:cs="宋体"/>
                <w:sz w:val="18"/>
                <w:szCs w:val="18"/>
              </w:rPr>
              <w:t>应收票据质押借款</w:t>
            </w:r>
          </w:p>
        </w:tc>
      </w:tr>
      <w:tr w:rsidR="00831C3C" w:rsidRPr="00831C3C" w:rsidTr="00E91C6D">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785C45" w:rsidRPr="00831C3C" w:rsidRDefault="00785C45">
            <w:pPr>
              <w:spacing w:before="40" w:after="40" w:line="240" w:lineRule="exact"/>
              <w:rPr>
                <w:rFonts w:ascii="宋体" w:eastAsia="宋体" w:hAnsi="宋体" w:cs="宋体"/>
                <w:sz w:val="18"/>
                <w:szCs w:val="18"/>
              </w:rPr>
            </w:pPr>
            <w:r w:rsidRPr="00831C3C">
              <w:rPr>
                <w:rFonts w:ascii="宋体" w:eastAsia="宋体" w:hAnsi="宋体" w:cs="宋体"/>
                <w:sz w:val="18"/>
                <w:szCs w:val="18"/>
              </w:rPr>
              <w:t>固定资产</w:t>
            </w:r>
          </w:p>
        </w:tc>
        <w:tc>
          <w:tcPr>
            <w:tcW w:w="1071" w:type="dxa"/>
            <w:tcBorders>
              <w:top w:val="single" w:sz="2" w:space="0" w:color="auto"/>
              <w:left w:val="single" w:sz="2" w:space="0" w:color="auto"/>
              <w:bottom w:val="single" w:sz="2" w:space="0" w:color="auto"/>
              <w:right w:val="single" w:sz="2" w:space="0" w:color="auto"/>
            </w:tcBorders>
            <w:vAlign w:val="center"/>
          </w:tcPr>
          <w:p w:rsidR="00785C45" w:rsidRPr="00831C3C" w:rsidRDefault="00785C45">
            <w:pPr>
              <w:spacing w:line="240" w:lineRule="exact"/>
              <w:jc w:val="right"/>
              <w:rPr>
                <w:rFonts w:ascii="宋体" w:eastAsia="宋体" w:hAnsi="宋体" w:cs="宋体"/>
                <w:sz w:val="18"/>
                <w:szCs w:val="18"/>
              </w:rPr>
            </w:pPr>
            <w:r w:rsidRPr="00831C3C">
              <w:rPr>
                <w:rFonts w:ascii="宋体" w:eastAsia="宋体" w:hAnsi="宋体" w:cs="宋体"/>
                <w:sz w:val="18"/>
                <w:szCs w:val="18"/>
              </w:rPr>
              <w:t>3,534,281,575.43</w:t>
            </w:r>
          </w:p>
        </w:tc>
        <w:tc>
          <w:tcPr>
            <w:tcW w:w="1071" w:type="dxa"/>
            <w:tcBorders>
              <w:top w:val="single" w:sz="2" w:space="0" w:color="auto"/>
              <w:left w:val="single" w:sz="2" w:space="0" w:color="auto"/>
              <w:bottom w:val="single" w:sz="2" w:space="0" w:color="auto"/>
              <w:right w:val="single" w:sz="2" w:space="0" w:color="auto"/>
            </w:tcBorders>
            <w:vAlign w:val="center"/>
          </w:tcPr>
          <w:p w:rsidR="00785C45" w:rsidRPr="00831C3C" w:rsidRDefault="00785C45">
            <w:pPr>
              <w:spacing w:line="240" w:lineRule="exact"/>
              <w:jc w:val="right"/>
              <w:rPr>
                <w:rFonts w:ascii="宋体" w:eastAsia="宋体" w:hAnsi="宋体" w:cs="宋体"/>
                <w:sz w:val="18"/>
                <w:szCs w:val="18"/>
              </w:rPr>
            </w:pPr>
            <w:r w:rsidRPr="00831C3C">
              <w:rPr>
                <w:rFonts w:ascii="宋体" w:eastAsia="宋体" w:hAnsi="宋体" w:cs="宋体"/>
                <w:sz w:val="18"/>
                <w:szCs w:val="18"/>
              </w:rPr>
              <w:t>1,959,719,011.79</w:t>
            </w:r>
          </w:p>
        </w:tc>
        <w:tc>
          <w:tcPr>
            <w:tcW w:w="1071" w:type="dxa"/>
            <w:tcBorders>
              <w:top w:val="single" w:sz="2" w:space="0" w:color="auto"/>
              <w:left w:val="single" w:sz="2" w:space="0" w:color="auto"/>
              <w:bottom w:val="single" w:sz="2" w:space="0" w:color="auto"/>
              <w:right w:val="single" w:sz="2" w:space="0" w:color="auto"/>
            </w:tcBorders>
            <w:vAlign w:val="center"/>
          </w:tcPr>
          <w:p w:rsidR="00785C45" w:rsidRPr="00831C3C" w:rsidRDefault="00785C45">
            <w:pPr>
              <w:spacing w:line="240" w:lineRule="exac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785C45" w:rsidRPr="00831C3C" w:rsidRDefault="00785C45">
            <w:pPr>
              <w:spacing w:line="240" w:lineRule="exact"/>
              <w:rPr>
                <w:rFonts w:ascii="宋体" w:eastAsia="宋体" w:hAnsi="宋体" w:cs="宋体"/>
                <w:sz w:val="18"/>
                <w:szCs w:val="18"/>
              </w:rPr>
            </w:pPr>
            <w:r w:rsidRPr="00831C3C">
              <w:rPr>
                <w:rFonts w:ascii="宋体" w:eastAsia="宋体" w:hAnsi="宋体" w:cs="宋体"/>
                <w:sz w:val="18"/>
                <w:szCs w:val="18"/>
              </w:rPr>
              <w:t>抵押贷款</w:t>
            </w:r>
          </w:p>
        </w:tc>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6116E6">
            <w:pPr>
              <w:rPr>
                <w:rFonts w:ascii="宋体" w:eastAsia="宋体" w:hAnsi="宋体" w:cs="宋体"/>
                <w:sz w:val="18"/>
                <w:szCs w:val="18"/>
              </w:rPr>
            </w:pPr>
            <w:r w:rsidRPr="00831C3C">
              <w:rPr>
                <w:rFonts w:ascii="宋体" w:eastAsia="宋体" w:hAnsi="宋体" w:cs="宋体"/>
                <w:sz w:val="18"/>
                <w:szCs w:val="18"/>
              </w:rPr>
              <w:t>3,012,964,801.47</w:t>
            </w:r>
          </w:p>
        </w:tc>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6116E6">
            <w:pPr>
              <w:rPr>
                <w:rFonts w:ascii="宋体" w:eastAsia="宋体" w:hAnsi="宋体" w:cs="宋体"/>
                <w:sz w:val="18"/>
                <w:szCs w:val="18"/>
              </w:rPr>
            </w:pPr>
            <w:r w:rsidRPr="00831C3C">
              <w:rPr>
                <w:rFonts w:ascii="宋体" w:eastAsia="宋体" w:hAnsi="宋体" w:cs="宋体"/>
                <w:sz w:val="18"/>
                <w:szCs w:val="18"/>
              </w:rPr>
              <w:t>1,837,189,262.44</w:t>
            </w:r>
          </w:p>
        </w:tc>
        <w:tc>
          <w:tcPr>
            <w:tcW w:w="1071" w:type="dxa"/>
            <w:tcBorders>
              <w:top w:val="single" w:sz="2" w:space="0" w:color="auto"/>
              <w:left w:val="single" w:sz="2" w:space="0" w:color="auto"/>
              <w:bottom w:val="single" w:sz="2" w:space="0" w:color="auto"/>
              <w:right w:val="single" w:sz="2" w:space="0" w:color="auto"/>
            </w:tcBorders>
            <w:vAlign w:val="center"/>
          </w:tcPr>
          <w:p w:rsidR="00785C45" w:rsidRPr="00831C3C" w:rsidRDefault="00785C45">
            <w:pPr>
              <w:spacing w:line="240" w:lineRule="exac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785C45" w:rsidRPr="00831C3C" w:rsidRDefault="00785C45">
            <w:pPr>
              <w:spacing w:line="240" w:lineRule="exact"/>
              <w:rPr>
                <w:rFonts w:ascii="宋体" w:eastAsia="宋体" w:hAnsi="宋体" w:cs="宋体"/>
                <w:sz w:val="18"/>
                <w:szCs w:val="18"/>
              </w:rPr>
            </w:pPr>
            <w:r w:rsidRPr="00831C3C">
              <w:rPr>
                <w:rFonts w:ascii="宋体" w:eastAsia="宋体" w:hAnsi="宋体" w:cs="宋体"/>
                <w:sz w:val="18"/>
                <w:szCs w:val="18"/>
              </w:rPr>
              <w:t>抵押贷款</w:t>
            </w:r>
          </w:p>
        </w:tc>
      </w:tr>
      <w:tr w:rsidR="00831C3C" w:rsidRPr="00831C3C" w:rsidTr="00E91C6D">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785C45" w:rsidRPr="00831C3C" w:rsidRDefault="00785C45">
            <w:pPr>
              <w:spacing w:before="40" w:after="40" w:line="240" w:lineRule="exact"/>
              <w:rPr>
                <w:rFonts w:ascii="宋体" w:eastAsia="宋体" w:hAnsi="宋体" w:cs="宋体"/>
                <w:sz w:val="18"/>
                <w:szCs w:val="18"/>
              </w:rPr>
            </w:pPr>
            <w:r w:rsidRPr="00831C3C">
              <w:rPr>
                <w:rFonts w:ascii="宋体" w:eastAsia="宋体" w:hAnsi="宋体" w:cs="宋体"/>
                <w:sz w:val="18"/>
                <w:szCs w:val="18"/>
              </w:rPr>
              <w:t>无形资产</w:t>
            </w:r>
          </w:p>
        </w:tc>
        <w:tc>
          <w:tcPr>
            <w:tcW w:w="1071" w:type="dxa"/>
            <w:tcBorders>
              <w:top w:val="single" w:sz="2" w:space="0" w:color="auto"/>
              <w:left w:val="single" w:sz="2" w:space="0" w:color="auto"/>
              <w:bottom w:val="single" w:sz="2" w:space="0" w:color="auto"/>
              <w:right w:val="single" w:sz="2" w:space="0" w:color="auto"/>
            </w:tcBorders>
            <w:vAlign w:val="center"/>
          </w:tcPr>
          <w:p w:rsidR="00785C45" w:rsidRPr="00831C3C" w:rsidRDefault="00785C45">
            <w:pPr>
              <w:spacing w:line="240" w:lineRule="exact"/>
              <w:jc w:val="right"/>
              <w:rPr>
                <w:rFonts w:ascii="宋体" w:eastAsia="宋体" w:hAnsi="宋体" w:cs="宋体"/>
                <w:sz w:val="18"/>
                <w:szCs w:val="18"/>
              </w:rPr>
            </w:pPr>
            <w:r w:rsidRPr="00831C3C">
              <w:rPr>
                <w:rFonts w:ascii="宋体" w:eastAsia="宋体" w:hAnsi="宋体" w:cs="宋体"/>
                <w:sz w:val="18"/>
                <w:szCs w:val="18"/>
              </w:rPr>
              <w:t>79,338,472.99</w:t>
            </w:r>
          </w:p>
        </w:tc>
        <w:tc>
          <w:tcPr>
            <w:tcW w:w="1071" w:type="dxa"/>
            <w:tcBorders>
              <w:top w:val="single" w:sz="2" w:space="0" w:color="auto"/>
              <w:left w:val="single" w:sz="2" w:space="0" w:color="auto"/>
              <w:bottom w:val="single" w:sz="2" w:space="0" w:color="auto"/>
              <w:right w:val="single" w:sz="2" w:space="0" w:color="auto"/>
            </w:tcBorders>
            <w:vAlign w:val="center"/>
          </w:tcPr>
          <w:p w:rsidR="00785C45" w:rsidRPr="00831C3C" w:rsidRDefault="00785C45">
            <w:pPr>
              <w:spacing w:line="240" w:lineRule="exact"/>
              <w:jc w:val="right"/>
              <w:rPr>
                <w:rFonts w:ascii="宋体" w:eastAsia="宋体" w:hAnsi="宋体" w:cs="宋体"/>
                <w:sz w:val="18"/>
                <w:szCs w:val="18"/>
              </w:rPr>
            </w:pPr>
            <w:r w:rsidRPr="00831C3C">
              <w:rPr>
                <w:rFonts w:ascii="宋体" w:eastAsia="宋体" w:hAnsi="宋体" w:cs="宋体"/>
                <w:sz w:val="18"/>
                <w:szCs w:val="18"/>
              </w:rPr>
              <w:t>60,296,927.65</w:t>
            </w:r>
          </w:p>
        </w:tc>
        <w:tc>
          <w:tcPr>
            <w:tcW w:w="1071" w:type="dxa"/>
            <w:tcBorders>
              <w:top w:val="single" w:sz="2" w:space="0" w:color="auto"/>
              <w:left w:val="single" w:sz="2" w:space="0" w:color="auto"/>
              <w:bottom w:val="single" w:sz="2" w:space="0" w:color="auto"/>
              <w:right w:val="single" w:sz="2" w:space="0" w:color="auto"/>
            </w:tcBorders>
            <w:vAlign w:val="center"/>
          </w:tcPr>
          <w:p w:rsidR="00785C45" w:rsidRPr="00831C3C" w:rsidRDefault="00785C45">
            <w:pPr>
              <w:spacing w:line="240" w:lineRule="exac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785C45" w:rsidRPr="00831C3C" w:rsidRDefault="00785C45">
            <w:pPr>
              <w:spacing w:line="240" w:lineRule="exact"/>
              <w:rPr>
                <w:rFonts w:ascii="宋体" w:eastAsia="宋体" w:hAnsi="宋体" w:cs="宋体"/>
                <w:sz w:val="18"/>
                <w:szCs w:val="18"/>
              </w:rPr>
            </w:pPr>
            <w:r w:rsidRPr="00831C3C">
              <w:rPr>
                <w:rFonts w:ascii="宋体" w:eastAsia="宋体" w:hAnsi="宋体" w:cs="宋体"/>
                <w:sz w:val="18"/>
                <w:szCs w:val="18"/>
              </w:rPr>
              <w:t>抵押贷款</w:t>
            </w:r>
          </w:p>
        </w:tc>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6116E6">
            <w:pPr>
              <w:rPr>
                <w:rFonts w:ascii="宋体" w:eastAsia="宋体" w:hAnsi="宋体" w:cs="宋体"/>
                <w:sz w:val="18"/>
                <w:szCs w:val="18"/>
              </w:rPr>
            </w:pPr>
            <w:r w:rsidRPr="00831C3C">
              <w:rPr>
                <w:rFonts w:ascii="宋体" w:eastAsia="宋体" w:hAnsi="宋体" w:cs="宋体"/>
                <w:sz w:val="18"/>
                <w:szCs w:val="18"/>
              </w:rPr>
              <w:t>89,398,298.25</w:t>
            </w:r>
          </w:p>
        </w:tc>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6116E6">
            <w:pPr>
              <w:rPr>
                <w:rFonts w:ascii="宋体" w:eastAsia="宋体" w:hAnsi="宋体" w:cs="宋体"/>
                <w:sz w:val="18"/>
                <w:szCs w:val="18"/>
              </w:rPr>
            </w:pPr>
            <w:r w:rsidRPr="00831C3C">
              <w:rPr>
                <w:rFonts w:ascii="宋体" w:eastAsia="宋体" w:hAnsi="宋体" w:cs="宋体"/>
                <w:sz w:val="18"/>
                <w:szCs w:val="18"/>
              </w:rPr>
              <w:t>50,296,648.52</w:t>
            </w:r>
          </w:p>
        </w:tc>
        <w:tc>
          <w:tcPr>
            <w:tcW w:w="1071" w:type="dxa"/>
            <w:tcBorders>
              <w:top w:val="single" w:sz="2" w:space="0" w:color="auto"/>
              <w:left w:val="single" w:sz="2" w:space="0" w:color="auto"/>
              <w:bottom w:val="single" w:sz="2" w:space="0" w:color="auto"/>
              <w:right w:val="single" w:sz="2" w:space="0" w:color="auto"/>
            </w:tcBorders>
            <w:vAlign w:val="center"/>
          </w:tcPr>
          <w:p w:rsidR="00785C45" w:rsidRPr="00831C3C" w:rsidRDefault="00785C45">
            <w:pPr>
              <w:spacing w:line="240" w:lineRule="exac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785C45" w:rsidRPr="00831C3C" w:rsidRDefault="00785C45">
            <w:pPr>
              <w:spacing w:line="240" w:lineRule="exact"/>
              <w:rPr>
                <w:rFonts w:ascii="宋体" w:eastAsia="宋体" w:hAnsi="宋体" w:cs="宋体"/>
                <w:sz w:val="18"/>
                <w:szCs w:val="18"/>
              </w:rPr>
            </w:pPr>
            <w:r w:rsidRPr="00831C3C">
              <w:rPr>
                <w:rFonts w:ascii="宋体" w:eastAsia="宋体" w:hAnsi="宋体" w:cs="宋体"/>
                <w:sz w:val="18"/>
                <w:szCs w:val="18"/>
              </w:rPr>
              <w:t>抵押贷款</w:t>
            </w:r>
          </w:p>
        </w:tc>
      </w:tr>
      <w:tr w:rsidR="00831C3C" w:rsidRPr="00831C3C" w:rsidTr="00E91C6D">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785C45" w:rsidRPr="00831C3C" w:rsidRDefault="00785C45">
            <w:pPr>
              <w:spacing w:before="40" w:after="40" w:line="240" w:lineRule="exact"/>
              <w:rPr>
                <w:rFonts w:ascii="宋体" w:eastAsia="宋体" w:hAnsi="宋体" w:cs="宋体"/>
                <w:sz w:val="18"/>
                <w:szCs w:val="18"/>
              </w:rPr>
            </w:pPr>
            <w:r w:rsidRPr="00831C3C">
              <w:rPr>
                <w:rFonts w:ascii="宋体" w:eastAsia="宋体" w:hAnsi="宋体" w:cs="宋体"/>
                <w:sz w:val="18"/>
                <w:szCs w:val="18"/>
              </w:rPr>
              <w:lastRenderedPageBreak/>
              <w:t>合计</w:t>
            </w:r>
          </w:p>
        </w:tc>
        <w:tc>
          <w:tcPr>
            <w:tcW w:w="1071" w:type="dxa"/>
            <w:tcBorders>
              <w:top w:val="single" w:sz="2" w:space="0" w:color="auto"/>
              <w:left w:val="single" w:sz="2" w:space="0" w:color="auto"/>
              <w:bottom w:val="single" w:sz="2" w:space="0" w:color="auto"/>
              <w:right w:val="single" w:sz="2" w:space="0" w:color="auto"/>
            </w:tcBorders>
            <w:vAlign w:val="center"/>
          </w:tcPr>
          <w:p w:rsidR="00785C45" w:rsidRPr="00831C3C" w:rsidRDefault="00785C45">
            <w:pPr>
              <w:spacing w:line="240" w:lineRule="exact"/>
              <w:jc w:val="right"/>
              <w:rPr>
                <w:rFonts w:ascii="宋体" w:eastAsia="宋体" w:hAnsi="宋体" w:cs="宋体"/>
                <w:sz w:val="18"/>
                <w:szCs w:val="18"/>
              </w:rPr>
            </w:pPr>
            <w:r w:rsidRPr="00831C3C">
              <w:rPr>
                <w:rFonts w:ascii="宋体" w:eastAsia="宋体" w:hAnsi="宋体" w:cs="宋体"/>
                <w:sz w:val="18"/>
                <w:szCs w:val="18"/>
              </w:rPr>
              <w:t>3,969,266,267.89</w:t>
            </w:r>
          </w:p>
        </w:tc>
        <w:tc>
          <w:tcPr>
            <w:tcW w:w="1071" w:type="dxa"/>
            <w:tcBorders>
              <w:top w:val="single" w:sz="2" w:space="0" w:color="auto"/>
              <w:left w:val="single" w:sz="2" w:space="0" w:color="auto"/>
              <w:bottom w:val="single" w:sz="2" w:space="0" w:color="auto"/>
              <w:right w:val="single" w:sz="2" w:space="0" w:color="auto"/>
            </w:tcBorders>
            <w:vAlign w:val="center"/>
          </w:tcPr>
          <w:p w:rsidR="00785C45" w:rsidRPr="00831C3C" w:rsidRDefault="00785C45">
            <w:pPr>
              <w:spacing w:line="240" w:lineRule="exact"/>
              <w:jc w:val="right"/>
              <w:rPr>
                <w:rFonts w:ascii="宋体" w:eastAsia="宋体" w:hAnsi="宋体" w:cs="宋体"/>
                <w:sz w:val="18"/>
                <w:szCs w:val="18"/>
              </w:rPr>
            </w:pPr>
            <w:r w:rsidRPr="00831C3C">
              <w:rPr>
                <w:rFonts w:ascii="宋体" w:eastAsia="宋体" w:hAnsi="宋体" w:cs="宋体"/>
                <w:sz w:val="18"/>
                <w:szCs w:val="18"/>
              </w:rPr>
              <w:t>2,375,662,158.91</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785C45" w:rsidRPr="00831C3C" w:rsidRDefault="00785C45"/>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785C45" w:rsidRPr="00831C3C" w:rsidRDefault="00785C45"/>
        </w:tc>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6116E6">
            <w:pPr>
              <w:rPr>
                <w:rFonts w:ascii="宋体" w:eastAsia="宋体" w:hAnsi="宋体" w:cs="宋体"/>
                <w:sz w:val="18"/>
                <w:szCs w:val="18"/>
              </w:rPr>
            </w:pPr>
            <w:r w:rsidRPr="00831C3C">
              <w:rPr>
                <w:rFonts w:ascii="宋体" w:eastAsia="宋体" w:hAnsi="宋体" w:cs="宋体"/>
                <w:sz w:val="18"/>
                <w:szCs w:val="18"/>
              </w:rPr>
              <w:t>3,563,247,079.26</w:t>
            </w:r>
          </w:p>
        </w:tc>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6116E6">
            <w:pPr>
              <w:rPr>
                <w:rFonts w:ascii="宋体" w:eastAsia="宋体" w:hAnsi="宋体" w:cs="宋体"/>
                <w:sz w:val="18"/>
                <w:szCs w:val="18"/>
              </w:rPr>
            </w:pPr>
            <w:r w:rsidRPr="00831C3C">
              <w:rPr>
                <w:rFonts w:ascii="宋体" w:eastAsia="宋体" w:hAnsi="宋体" w:cs="宋体"/>
                <w:sz w:val="18"/>
                <w:szCs w:val="18"/>
              </w:rPr>
              <w:t>2,348,369,890.50</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785C45" w:rsidRPr="00831C3C" w:rsidRDefault="00785C45"/>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785C45" w:rsidRPr="00831C3C" w:rsidRDefault="00785C45"/>
        </w:tc>
      </w:tr>
    </w:tbl>
    <w:p w:rsidR="00E23A97" w:rsidRPr="00831C3C" w:rsidRDefault="00C65FD5">
      <w:pPr>
        <w:pStyle w:val="3"/>
        <w:spacing w:line="280" w:lineRule="exact"/>
        <w:jc w:val="left"/>
        <w:rPr>
          <w:rFonts w:ascii="宋体" w:hAnsi="宋体" w:cs="宋体"/>
          <w:b/>
          <w:bCs/>
        </w:rPr>
      </w:pPr>
      <w:bookmarkStart w:id="377" w:name="_Toc989258"/>
      <w:r w:rsidRPr="00831C3C">
        <w:rPr>
          <w:rFonts w:ascii="宋体" w:hAnsi="宋体" w:cs="宋体"/>
          <w:b/>
          <w:bCs/>
        </w:rPr>
        <w:t>32、短期借款</w:t>
      </w:r>
      <w:bookmarkEnd w:id="377"/>
    </w:p>
    <w:p w:rsidR="00E23A97" w:rsidRPr="00831C3C" w:rsidRDefault="00C65FD5">
      <w:pPr>
        <w:keepNext/>
        <w:keepLines/>
        <w:spacing w:before="300" w:after="300" w:line="280" w:lineRule="exact"/>
        <w:outlineLvl w:val="3"/>
        <w:rPr>
          <w:rFonts w:ascii="宋体" w:eastAsia="宋体" w:hAnsi="宋体" w:cs="宋体"/>
          <w:b/>
          <w:bCs/>
          <w:szCs w:val="21"/>
        </w:rPr>
      </w:pPr>
      <w:bookmarkStart w:id="378" w:name="_Toc989259"/>
      <w:r w:rsidRPr="00831C3C">
        <w:rPr>
          <w:rFonts w:ascii="宋体" w:eastAsia="宋体" w:hAnsi="宋体" w:cs="宋体"/>
          <w:b/>
          <w:bCs/>
          <w:szCs w:val="21"/>
        </w:rPr>
        <w:t>（1）短期借款分类</w:t>
      </w:r>
      <w:bookmarkEnd w:id="378"/>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抵押借款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1,174,352,235.07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1,764,760,457.68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保证借款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3,444,050,000.00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2,310,000,000.00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信用借款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1,034,670,000.00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保证及抵押借款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944,000,000.00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743,000,000.00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保证及质押借款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1,456,460,000.00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保证、抵押及质押借款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899,390,000.00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5,269,005.00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信用、抵押及质押借款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801,290,000.00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抵押、质押借款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269,360,000.00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短期借款利息</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5,660,840.51</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3,168,944.90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7,771,483,075.58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7,083,948,407.58</w:t>
            </w:r>
          </w:p>
        </w:tc>
      </w:tr>
    </w:tbl>
    <w:p w:rsidR="00E23A97" w:rsidRPr="00831C3C" w:rsidRDefault="00C65FD5">
      <w:pPr>
        <w:keepNext/>
        <w:keepLines/>
        <w:spacing w:before="300" w:after="300" w:line="280" w:lineRule="exact"/>
        <w:outlineLvl w:val="3"/>
        <w:rPr>
          <w:rFonts w:ascii="宋体" w:eastAsia="宋体" w:hAnsi="宋体" w:cs="宋体"/>
          <w:b/>
          <w:bCs/>
          <w:szCs w:val="21"/>
        </w:rPr>
      </w:pPr>
      <w:bookmarkStart w:id="379" w:name="_Toc989260"/>
      <w:r w:rsidRPr="00831C3C">
        <w:rPr>
          <w:rFonts w:ascii="宋体" w:eastAsia="宋体" w:hAnsi="宋体" w:cs="宋体"/>
          <w:b/>
          <w:bCs/>
          <w:szCs w:val="21"/>
        </w:rPr>
        <w:t>（2）已逾期</w:t>
      </w:r>
      <w:proofErr w:type="gramStart"/>
      <w:r w:rsidRPr="00831C3C">
        <w:rPr>
          <w:rFonts w:ascii="宋体" w:eastAsia="宋体" w:hAnsi="宋体" w:cs="宋体"/>
          <w:b/>
          <w:bCs/>
          <w:szCs w:val="21"/>
        </w:rPr>
        <w:t>未偿</w:t>
      </w:r>
      <w:proofErr w:type="gramEnd"/>
      <w:r w:rsidRPr="00831C3C">
        <w:rPr>
          <w:rFonts w:ascii="宋体" w:eastAsia="宋体" w:hAnsi="宋体" w:cs="宋体"/>
          <w:b/>
          <w:bCs/>
          <w:szCs w:val="21"/>
        </w:rPr>
        <w:t>还的短期借款情况</w:t>
      </w:r>
      <w:bookmarkEnd w:id="379"/>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本</w:t>
      </w:r>
      <w:proofErr w:type="gramStart"/>
      <w:r w:rsidRPr="00831C3C">
        <w:rPr>
          <w:rFonts w:ascii="宋体" w:eastAsia="宋体" w:hAnsi="宋体" w:cs="宋体"/>
          <w:sz w:val="18"/>
          <w:szCs w:val="18"/>
        </w:rPr>
        <w:t>期末已</w:t>
      </w:r>
      <w:proofErr w:type="gramEnd"/>
      <w:r w:rsidRPr="00831C3C">
        <w:rPr>
          <w:rFonts w:ascii="宋体" w:eastAsia="宋体" w:hAnsi="宋体" w:cs="宋体"/>
          <w:sz w:val="18"/>
          <w:szCs w:val="18"/>
        </w:rPr>
        <w:t>逾期</w:t>
      </w:r>
      <w:proofErr w:type="gramStart"/>
      <w:r w:rsidRPr="00831C3C">
        <w:rPr>
          <w:rFonts w:ascii="宋体" w:eastAsia="宋体" w:hAnsi="宋体" w:cs="宋体"/>
          <w:sz w:val="18"/>
          <w:szCs w:val="18"/>
        </w:rPr>
        <w:t>未偿</w:t>
      </w:r>
      <w:proofErr w:type="gramEnd"/>
      <w:r w:rsidRPr="00831C3C">
        <w:rPr>
          <w:rFonts w:ascii="宋体" w:eastAsia="宋体" w:hAnsi="宋体" w:cs="宋体"/>
          <w:sz w:val="18"/>
          <w:szCs w:val="18"/>
        </w:rPr>
        <w:t>还的短期借款总额为元，其中重要的已逾期</w:t>
      </w:r>
      <w:proofErr w:type="gramStart"/>
      <w:r w:rsidRPr="00831C3C">
        <w:rPr>
          <w:rFonts w:ascii="宋体" w:eastAsia="宋体" w:hAnsi="宋体" w:cs="宋体"/>
          <w:sz w:val="18"/>
          <w:szCs w:val="18"/>
        </w:rPr>
        <w:t>未偿</w:t>
      </w:r>
      <w:proofErr w:type="gramEnd"/>
      <w:r w:rsidRPr="00831C3C">
        <w:rPr>
          <w:rFonts w:ascii="宋体" w:eastAsia="宋体" w:hAnsi="宋体" w:cs="宋体"/>
          <w:sz w:val="18"/>
          <w:szCs w:val="18"/>
        </w:rPr>
        <w:t>还的短期借款情况如下：</w:t>
      </w:r>
    </w:p>
    <w:p w:rsidR="00E23A97" w:rsidRPr="00831C3C" w:rsidRDefault="00C65FD5">
      <w:pPr>
        <w:pStyle w:val="3"/>
        <w:spacing w:line="280" w:lineRule="exact"/>
        <w:jc w:val="left"/>
        <w:rPr>
          <w:rFonts w:ascii="宋体" w:hAnsi="宋体" w:cs="宋体"/>
          <w:b/>
          <w:bCs/>
        </w:rPr>
      </w:pPr>
      <w:bookmarkStart w:id="380" w:name="_Toc989261"/>
      <w:r w:rsidRPr="00831C3C">
        <w:rPr>
          <w:rFonts w:ascii="宋体" w:hAnsi="宋体" w:cs="宋体"/>
          <w:b/>
          <w:bCs/>
        </w:rPr>
        <w:t>33、交易性金融负债</w:t>
      </w:r>
      <w:bookmarkEnd w:id="380"/>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交易性金融负债</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199,494.26</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其中：</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衍生金融负债</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199,494.26</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其中：</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199,494.26</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bl>
    <w:p w:rsidR="00E23A97" w:rsidRPr="00831C3C" w:rsidRDefault="00C65FD5">
      <w:pPr>
        <w:pStyle w:val="3"/>
        <w:spacing w:line="280" w:lineRule="exact"/>
        <w:jc w:val="left"/>
        <w:rPr>
          <w:rFonts w:ascii="宋体" w:hAnsi="宋体" w:cs="宋体"/>
          <w:b/>
          <w:bCs/>
        </w:rPr>
      </w:pPr>
      <w:bookmarkStart w:id="381" w:name="_Toc989262"/>
      <w:r w:rsidRPr="00831C3C">
        <w:rPr>
          <w:rFonts w:ascii="宋体" w:hAnsi="宋体" w:cs="宋体"/>
          <w:b/>
          <w:bCs/>
        </w:rPr>
        <w:t>34、衍生金融负债</w:t>
      </w:r>
      <w:bookmarkEnd w:id="381"/>
    </w:p>
    <w:p w:rsidR="00E23A97" w:rsidRPr="00831C3C" w:rsidRDefault="00C65FD5">
      <w:pPr>
        <w:pStyle w:val="3"/>
        <w:spacing w:line="280" w:lineRule="exact"/>
        <w:jc w:val="left"/>
        <w:rPr>
          <w:rFonts w:ascii="宋体" w:hAnsi="宋体" w:cs="宋体"/>
          <w:b/>
          <w:bCs/>
        </w:rPr>
      </w:pPr>
      <w:bookmarkStart w:id="382" w:name="_Toc989263"/>
      <w:r w:rsidRPr="00831C3C">
        <w:rPr>
          <w:rFonts w:ascii="宋体" w:hAnsi="宋体" w:cs="宋体"/>
          <w:b/>
          <w:bCs/>
        </w:rPr>
        <w:t>35、应付票据</w:t>
      </w:r>
      <w:bookmarkEnd w:id="382"/>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种类</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银行承兑汇票</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66,703,857.91</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32,923,985.70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66,703,857.91</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32,923,985.70</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本</w:t>
      </w:r>
      <w:proofErr w:type="gramStart"/>
      <w:r w:rsidRPr="00831C3C">
        <w:rPr>
          <w:rFonts w:ascii="宋体" w:eastAsia="宋体" w:hAnsi="宋体" w:cs="宋体"/>
          <w:sz w:val="18"/>
          <w:szCs w:val="18"/>
        </w:rPr>
        <w:t>期末已</w:t>
      </w:r>
      <w:proofErr w:type="gramEnd"/>
      <w:r w:rsidRPr="00831C3C">
        <w:rPr>
          <w:rFonts w:ascii="宋体" w:eastAsia="宋体" w:hAnsi="宋体" w:cs="宋体"/>
          <w:sz w:val="18"/>
          <w:szCs w:val="18"/>
        </w:rPr>
        <w:t>到期未支付的应付票据总额为0.00元，到期未付的原因为。</w:t>
      </w:r>
    </w:p>
    <w:p w:rsidR="00E23A97" w:rsidRPr="00831C3C" w:rsidRDefault="00C65FD5">
      <w:pPr>
        <w:pStyle w:val="3"/>
        <w:spacing w:line="280" w:lineRule="exact"/>
        <w:jc w:val="left"/>
        <w:rPr>
          <w:rFonts w:ascii="宋体" w:hAnsi="宋体" w:cs="宋体"/>
          <w:b/>
          <w:bCs/>
        </w:rPr>
      </w:pPr>
      <w:bookmarkStart w:id="383" w:name="_Toc989264"/>
      <w:r w:rsidRPr="00831C3C">
        <w:rPr>
          <w:rFonts w:ascii="宋体" w:hAnsi="宋体" w:cs="宋体"/>
          <w:b/>
          <w:bCs/>
        </w:rPr>
        <w:lastRenderedPageBreak/>
        <w:t>36、应付账款</w:t>
      </w:r>
      <w:bookmarkEnd w:id="383"/>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384" w:name="_Toc989265"/>
      <w:r w:rsidRPr="00831C3C">
        <w:rPr>
          <w:rFonts w:ascii="宋体" w:eastAsia="宋体" w:hAnsi="宋体" w:cs="宋体"/>
          <w:b/>
          <w:bCs/>
          <w:sz w:val="18"/>
          <w:szCs w:val="18"/>
        </w:rPr>
        <w:t>（1）应付账款列示</w:t>
      </w:r>
      <w:bookmarkEnd w:id="384"/>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应付货款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700,424,592.87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632,218,517.88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应付工程款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107,171,647.86</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181,762,997.23</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应付设备款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54,029,744.22</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86,114,311.48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17,199,552.83</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24,458,902.12</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878,825,537.78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924,554,728.71</w:t>
            </w:r>
          </w:p>
        </w:tc>
      </w:tr>
    </w:tbl>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385" w:name="_Toc989266"/>
      <w:r w:rsidRPr="00831C3C">
        <w:rPr>
          <w:rFonts w:ascii="宋体" w:eastAsia="宋体" w:hAnsi="宋体" w:cs="宋体"/>
          <w:b/>
          <w:bCs/>
          <w:sz w:val="18"/>
          <w:szCs w:val="18"/>
        </w:rPr>
        <w:t>（2）账龄超过1年或逾期的重要应付账款</w:t>
      </w:r>
      <w:bookmarkEnd w:id="385"/>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proofErr w:type="gramStart"/>
            <w:r w:rsidRPr="00831C3C">
              <w:rPr>
                <w:rFonts w:ascii="宋体" w:eastAsia="宋体" w:hAnsi="宋体" w:cs="宋体"/>
                <w:sz w:val="18"/>
                <w:szCs w:val="18"/>
              </w:rPr>
              <w:t>未偿</w:t>
            </w:r>
            <w:proofErr w:type="gramEnd"/>
            <w:r w:rsidRPr="00831C3C">
              <w:rPr>
                <w:rFonts w:ascii="宋体" w:eastAsia="宋体" w:hAnsi="宋体" w:cs="宋体"/>
                <w:sz w:val="18"/>
                <w:szCs w:val="18"/>
              </w:rPr>
              <w:t>还或结转的原因</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芜湖恒驰钢构有限公司</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3,675,000.00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未达到结算条件</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浙江坤鸿建设有限公司</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7,450,579.00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未达到结算条件</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湖南鸿源电力建设有限公司淮北分公司</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1,150,328.98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未达到结算条件</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新疆九洲建设集团有限公司</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1,101,000.00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未达到结算条件</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13,376,907.98</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bl>
    <w:p w:rsidR="00E23A97" w:rsidRPr="00831C3C" w:rsidRDefault="00C65FD5">
      <w:pPr>
        <w:pStyle w:val="3"/>
        <w:spacing w:line="280" w:lineRule="exact"/>
        <w:jc w:val="left"/>
        <w:rPr>
          <w:rFonts w:ascii="宋体" w:hAnsi="宋体" w:cs="宋体"/>
          <w:b/>
          <w:bCs/>
        </w:rPr>
      </w:pPr>
      <w:bookmarkStart w:id="386" w:name="_Toc989267"/>
      <w:r w:rsidRPr="00831C3C">
        <w:rPr>
          <w:rFonts w:ascii="宋体" w:hAnsi="宋体" w:cs="宋体"/>
          <w:b/>
          <w:bCs/>
        </w:rPr>
        <w:t>37、其他应付款</w:t>
      </w:r>
      <w:bookmarkEnd w:id="386"/>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其他应付款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156,199,710.67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158,535,963.00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156,199,710.67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158,535,963.00</w:t>
            </w:r>
          </w:p>
        </w:tc>
      </w:tr>
    </w:tbl>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387" w:name="_Toc989268"/>
      <w:r w:rsidRPr="00831C3C">
        <w:rPr>
          <w:rFonts w:ascii="宋体" w:eastAsia="宋体" w:hAnsi="宋体" w:cs="宋体"/>
          <w:b/>
          <w:bCs/>
          <w:sz w:val="18"/>
          <w:szCs w:val="18"/>
        </w:rPr>
        <w:t>（1）应付利息</w:t>
      </w:r>
      <w:bookmarkEnd w:id="387"/>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388" w:name="_Toc989269"/>
      <w:r w:rsidRPr="00831C3C">
        <w:rPr>
          <w:rFonts w:ascii="宋体" w:eastAsia="宋体" w:hAnsi="宋体" w:cs="宋体"/>
          <w:b/>
          <w:bCs/>
          <w:sz w:val="18"/>
          <w:szCs w:val="18"/>
        </w:rPr>
        <w:t>（2）应付股利</w:t>
      </w:r>
      <w:bookmarkEnd w:id="388"/>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389" w:name="_Toc989270"/>
      <w:r w:rsidRPr="00831C3C">
        <w:rPr>
          <w:rFonts w:ascii="宋体" w:eastAsia="宋体" w:hAnsi="宋体" w:cs="宋体"/>
          <w:b/>
          <w:bCs/>
          <w:sz w:val="18"/>
          <w:szCs w:val="18"/>
        </w:rPr>
        <w:t>（3）其他应付款</w:t>
      </w:r>
      <w:bookmarkEnd w:id="389"/>
    </w:p>
    <w:p w:rsidR="00E23A97" w:rsidRPr="00831C3C" w:rsidRDefault="00C65FD5">
      <w:pPr>
        <w:keepNext/>
        <w:keepLines/>
        <w:spacing w:before="300" w:after="300" w:line="280" w:lineRule="exact"/>
        <w:outlineLvl w:val="4"/>
        <w:rPr>
          <w:rFonts w:ascii="宋体" w:eastAsia="宋体" w:hAnsi="宋体" w:cs="宋体"/>
          <w:b/>
          <w:bCs/>
          <w:sz w:val="18"/>
          <w:szCs w:val="18"/>
        </w:rPr>
      </w:pPr>
      <w:bookmarkStart w:id="390" w:name="_Toc989271"/>
      <w:r w:rsidRPr="00831C3C">
        <w:rPr>
          <w:rFonts w:ascii="宋体" w:eastAsia="宋体" w:hAnsi="宋体" w:cs="宋体"/>
          <w:b/>
          <w:bCs/>
          <w:sz w:val="18"/>
          <w:szCs w:val="18"/>
        </w:rPr>
        <w:t>1）按款项性质列示其他应付款</w:t>
      </w:r>
      <w:bookmarkEnd w:id="390"/>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质保金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1,171,193.70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1,163,714.83</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押金及保证金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67,647,395.24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49,987,017.22</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佣金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38,879.96</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暂收款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19,326,328.26</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31,643,651.95</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运费、电费、修理费</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19,442,264.67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32,202,031.34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其他预提费用</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31,220,403.99</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28,386,241.79</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土地费用</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5,887,828.70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5,136,462.20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其他往来</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11,504,296.11</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9,977,963.71</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156,199,710.67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158,535,963.00</w:t>
            </w:r>
          </w:p>
        </w:tc>
      </w:tr>
    </w:tbl>
    <w:p w:rsidR="00E23A97" w:rsidRPr="00831C3C" w:rsidRDefault="00C65FD5">
      <w:pPr>
        <w:keepNext/>
        <w:keepLines/>
        <w:spacing w:before="300" w:after="300" w:line="280" w:lineRule="exact"/>
        <w:outlineLvl w:val="4"/>
        <w:rPr>
          <w:rFonts w:ascii="宋体" w:eastAsia="宋体" w:hAnsi="宋体" w:cs="宋体"/>
          <w:b/>
          <w:bCs/>
          <w:sz w:val="18"/>
          <w:szCs w:val="18"/>
        </w:rPr>
      </w:pPr>
      <w:bookmarkStart w:id="391" w:name="_Toc989272"/>
      <w:r w:rsidRPr="00831C3C">
        <w:rPr>
          <w:rFonts w:ascii="宋体" w:eastAsia="宋体" w:hAnsi="宋体" w:cs="宋体"/>
          <w:b/>
          <w:bCs/>
          <w:sz w:val="18"/>
          <w:szCs w:val="18"/>
        </w:rPr>
        <w:lastRenderedPageBreak/>
        <w:t>2）账龄超过1年或逾期的重要其他应付款</w:t>
      </w:r>
      <w:bookmarkEnd w:id="391"/>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proofErr w:type="gramStart"/>
            <w:r w:rsidRPr="00831C3C">
              <w:rPr>
                <w:rFonts w:ascii="宋体" w:eastAsia="宋体" w:hAnsi="宋体" w:cs="宋体"/>
                <w:sz w:val="18"/>
                <w:szCs w:val="18"/>
              </w:rPr>
              <w:t>未偿</w:t>
            </w:r>
            <w:proofErr w:type="gramEnd"/>
            <w:r w:rsidRPr="00831C3C">
              <w:rPr>
                <w:rFonts w:ascii="宋体" w:eastAsia="宋体" w:hAnsi="宋体" w:cs="宋体"/>
                <w:sz w:val="18"/>
                <w:szCs w:val="18"/>
              </w:rPr>
              <w:t>还或结转的原因</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双五千资金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14,855,675.25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尚未拨付给员工</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应交土地费用</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5,887,828.70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未支付</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20,743,503.95</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bl>
    <w:p w:rsidR="00E23A97" w:rsidRPr="00831C3C" w:rsidRDefault="00C65FD5">
      <w:pPr>
        <w:pStyle w:val="3"/>
        <w:spacing w:line="280" w:lineRule="exact"/>
        <w:jc w:val="left"/>
        <w:rPr>
          <w:rFonts w:ascii="宋体" w:hAnsi="宋体" w:cs="宋体"/>
          <w:b/>
          <w:bCs/>
        </w:rPr>
      </w:pPr>
      <w:bookmarkStart w:id="392" w:name="_Toc989273"/>
      <w:r w:rsidRPr="00831C3C">
        <w:rPr>
          <w:rFonts w:ascii="宋体" w:hAnsi="宋体" w:cs="宋体"/>
          <w:b/>
          <w:bCs/>
        </w:rPr>
        <w:t>38、预收款项</w:t>
      </w:r>
      <w:bookmarkEnd w:id="392"/>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393" w:name="_Toc989274"/>
      <w:r w:rsidRPr="00831C3C">
        <w:rPr>
          <w:rFonts w:ascii="宋体" w:eastAsia="宋体" w:hAnsi="宋体" w:cs="宋体"/>
          <w:b/>
          <w:bCs/>
          <w:sz w:val="18"/>
          <w:szCs w:val="18"/>
        </w:rPr>
        <w:t>（1）预收款项列示</w:t>
      </w:r>
      <w:bookmarkEnd w:id="393"/>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预收租金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7,589,549.18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7,293,483.28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7,589,549.18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7,293,483.28</w:t>
            </w:r>
          </w:p>
        </w:tc>
      </w:tr>
    </w:tbl>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394" w:name="_Toc989275"/>
      <w:r w:rsidRPr="00831C3C">
        <w:rPr>
          <w:rFonts w:ascii="宋体" w:eastAsia="宋体" w:hAnsi="宋体" w:cs="宋体"/>
          <w:b/>
          <w:bCs/>
          <w:sz w:val="18"/>
          <w:szCs w:val="18"/>
        </w:rPr>
        <w:t>（2）账龄超过1年或逾期的重要预收款项</w:t>
      </w:r>
      <w:bookmarkEnd w:id="394"/>
    </w:p>
    <w:p w:rsidR="00E23A97" w:rsidRPr="00831C3C" w:rsidRDefault="00C65FD5">
      <w:pPr>
        <w:pStyle w:val="3"/>
        <w:spacing w:line="280" w:lineRule="exact"/>
        <w:jc w:val="left"/>
        <w:rPr>
          <w:rFonts w:ascii="宋体" w:hAnsi="宋体" w:cs="宋体"/>
          <w:b/>
          <w:bCs/>
        </w:rPr>
      </w:pPr>
      <w:bookmarkStart w:id="395" w:name="_Toc989276"/>
      <w:r w:rsidRPr="00831C3C">
        <w:rPr>
          <w:rFonts w:ascii="宋体" w:hAnsi="宋体" w:cs="宋体"/>
          <w:b/>
          <w:bCs/>
        </w:rPr>
        <w:t>39、合同负债</w:t>
      </w:r>
      <w:bookmarkEnd w:id="395"/>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预收货款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557,556,525.74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715,430,170.40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557,556,525.74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715,430,170.40</w:t>
            </w:r>
          </w:p>
        </w:tc>
      </w:tr>
    </w:tbl>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账龄超过1年的重要合同负债</w:t>
      </w:r>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proofErr w:type="gramStart"/>
            <w:r w:rsidRPr="00831C3C">
              <w:rPr>
                <w:rFonts w:ascii="宋体" w:eastAsia="宋体" w:hAnsi="宋体" w:cs="宋体"/>
                <w:sz w:val="18"/>
                <w:szCs w:val="18"/>
              </w:rPr>
              <w:t>未偿</w:t>
            </w:r>
            <w:proofErr w:type="gramEnd"/>
            <w:r w:rsidRPr="00831C3C">
              <w:rPr>
                <w:rFonts w:ascii="宋体" w:eastAsia="宋体" w:hAnsi="宋体" w:cs="宋体"/>
                <w:sz w:val="18"/>
                <w:szCs w:val="18"/>
              </w:rPr>
              <w:t>还或结转的原因</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浙江铭丰纺织品有限公司</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3,813,951.77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未达到结算条件</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库车利华纺织有限公司</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1,179,245.28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未达到结算条件</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4,993,197.05</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bl>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报告期内账面价值发生重大变动的金额和原因</w:t>
      </w:r>
    </w:p>
    <w:p w:rsidR="00E23A97" w:rsidRPr="00831C3C" w:rsidRDefault="00C65FD5">
      <w:pPr>
        <w:pStyle w:val="3"/>
        <w:spacing w:line="280" w:lineRule="exact"/>
        <w:jc w:val="left"/>
        <w:rPr>
          <w:rFonts w:ascii="宋体" w:hAnsi="宋体" w:cs="宋体"/>
          <w:b/>
          <w:bCs/>
        </w:rPr>
      </w:pPr>
      <w:bookmarkStart w:id="396" w:name="_Toc989277"/>
      <w:r w:rsidRPr="00831C3C">
        <w:rPr>
          <w:rFonts w:ascii="宋体" w:hAnsi="宋体" w:cs="宋体"/>
          <w:b/>
          <w:bCs/>
        </w:rPr>
        <w:t>40、应付职工薪</w:t>
      </w:r>
      <w:proofErr w:type="gramStart"/>
      <w:r w:rsidRPr="00831C3C">
        <w:rPr>
          <w:rFonts w:ascii="宋体" w:hAnsi="宋体" w:cs="宋体"/>
          <w:b/>
          <w:bCs/>
        </w:rPr>
        <w:t>酬</w:t>
      </w:r>
      <w:bookmarkEnd w:id="396"/>
      <w:proofErr w:type="gramEnd"/>
    </w:p>
    <w:p w:rsidR="00E23A97" w:rsidRPr="00831C3C" w:rsidRDefault="00C65FD5">
      <w:pPr>
        <w:keepNext/>
        <w:keepLines/>
        <w:spacing w:before="300" w:after="300" w:line="280" w:lineRule="exact"/>
        <w:outlineLvl w:val="3"/>
        <w:rPr>
          <w:rFonts w:ascii="宋体" w:eastAsia="宋体" w:hAnsi="宋体" w:cs="宋体"/>
          <w:b/>
          <w:bCs/>
          <w:szCs w:val="21"/>
        </w:rPr>
      </w:pPr>
      <w:bookmarkStart w:id="397" w:name="_Toc989278"/>
      <w:r w:rsidRPr="00831C3C">
        <w:rPr>
          <w:rFonts w:ascii="宋体" w:eastAsia="宋体" w:hAnsi="宋体" w:cs="宋体"/>
          <w:b/>
          <w:bCs/>
          <w:szCs w:val="21"/>
        </w:rPr>
        <w:t>（1）应付职工薪</w:t>
      </w:r>
      <w:proofErr w:type="gramStart"/>
      <w:r w:rsidRPr="00831C3C">
        <w:rPr>
          <w:rFonts w:ascii="宋体" w:eastAsia="宋体" w:hAnsi="宋体" w:cs="宋体"/>
          <w:b/>
          <w:bCs/>
          <w:szCs w:val="21"/>
        </w:rPr>
        <w:t>酬</w:t>
      </w:r>
      <w:proofErr w:type="gramEnd"/>
      <w:r w:rsidRPr="00831C3C">
        <w:rPr>
          <w:rFonts w:ascii="宋体" w:eastAsia="宋体" w:hAnsi="宋体" w:cs="宋体"/>
          <w:b/>
          <w:bCs/>
          <w:szCs w:val="21"/>
        </w:rPr>
        <w:t>列示</w:t>
      </w:r>
      <w:bookmarkEnd w:id="397"/>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本期增加</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本期减少</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一、短期薪酬</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68,750,503.64</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778,960,002.60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777,249,381.79</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70,461,124.45</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二、离职后福利-设定提存计划</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1,150,391.82</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54,506,923.92</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54,895,348.79</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761,966.95</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三、辞退福利</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966,461.88</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966,461.88</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69,900,895.46</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834,433,388.40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833,111,192.46</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71,223,091.40</w:t>
            </w:r>
          </w:p>
        </w:tc>
      </w:tr>
    </w:tbl>
    <w:p w:rsidR="00E23A97" w:rsidRPr="00831C3C" w:rsidRDefault="00C65FD5">
      <w:pPr>
        <w:keepNext/>
        <w:keepLines/>
        <w:spacing w:before="300" w:after="300" w:line="280" w:lineRule="exact"/>
        <w:outlineLvl w:val="3"/>
        <w:rPr>
          <w:rFonts w:ascii="宋体" w:eastAsia="宋体" w:hAnsi="宋体" w:cs="宋体"/>
          <w:b/>
          <w:bCs/>
          <w:szCs w:val="21"/>
        </w:rPr>
      </w:pPr>
      <w:bookmarkStart w:id="398" w:name="_Toc989279"/>
      <w:r w:rsidRPr="00831C3C">
        <w:rPr>
          <w:rFonts w:ascii="宋体" w:eastAsia="宋体" w:hAnsi="宋体" w:cs="宋体"/>
          <w:b/>
          <w:bCs/>
          <w:szCs w:val="21"/>
        </w:rPr>
        <w:t>（2）短期薪酬列示</w:t>
      </w:r>
      <w:bookmarkEnd w:id="398"/>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lastRenderedPageBreak/>
              <w:t>项目</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本期增加</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本期减少</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1、工资、奖金、津贴和补贴</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62,849,077.48</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732,550,608.27</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731,178,471.24</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64,221,214.51</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2、职工福利费</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561,674.44</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8,806,498.25</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8,801,455.25</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566,717.44</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3、社会保险费</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2,336,268.17</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32,439,082.55</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31,829,118.05</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2,946,232.67</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其中：医疗保险费</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2,311,300.10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29,111,159.94</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28,521,881.99</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2,900,578.05</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500" w:firstLine="900"/>
              <w:rPr>
                <w:rFonts w:ascii="宋体" w:eastAsia="宋体" w:hAnsi="宋体" w:cs="宋体"/>
                <w:sz w:val="18"/>
                <w:szCs w:val="18"/>
              </w:rPr>
            </w:pPr>
            <w:r w:rsidRPr="00831C3C">
              <w:rPr>
                <w:rFonts w:ascii="宋体" w:eastAsia="宋体" w:hAnsi="宋体" w:cs="宋体"/>
                <w:sz w:val="18"/>
                <w:szCs w:val="18"/>
              </w:rPr>
              <w:t>工伤保险费</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24,006.50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3,266,027.85</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3,244,379.73</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45,654.62</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500" w:firstLine="900"/>
              <w:rPr>
                <w:rFonts w:ascii="宋体" w:eastAsia="宋体" w:hAnsi="宋体" w:cs="宋体"/>
                <w:sz w:val="18"/>
                <w:szCs w:val="18"/>
              </w:rPr>
            </w:pPr>
            <w:r w:rsidRPr="00831C3C">
              <w:rPr>
                <w:rFonts w:ascii="宋体" w:eastAsia="宋体" w:hAnsi="宋体" w:cs="宋体"/>
                <w:sz w:val="18"/>
                <w:szCs w:val="18"/>
              </w:rPr>
              <w:t>生育保险费</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961.57</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61,894.76</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62,856.33</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4、住房公积金</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117,222.00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2,439,174.96</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2,439,249.96</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117,147.00</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5、工会经费和职工教育经费</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2,886,261.55</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2,724,638.57</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3,001,087.29</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2,609,812.83</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68,750,503.64</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778,960,002.60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777,249,381.79</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70,461,124.45</w:t>
            </w:r>
          </w:p>
        </w:tc>
      </w:tr>
    </w:tbl>
    <w:p w:rsidR="00E23A97" w:rsidRPr="00831C3C" w:rsidRDefault="00C65FD5">
      <w:pPr>
        <w:keepNext/>
        <w:keepLines/>
        <w:spacing w:before="300" w:after="300" w:line="280" w:lineRule="exact"/>
        <w:outlineLvl w:val="3"/>
        <w:rPr>
          <w:rFonts w:ascii="宋体" w:eastAsia="宋体" w:hAnsi="宋体" w:cs="宋体"/>
          <w:b/>
          <w:bCs/>
          <w:szCs w:val="21"/>
        </w:rPr>
      </w:pPr>
      <w:bookmarkStart w:id="399" w:name="_Toc989280"/>
      <w:r w:rsidRPr="00831C3C">
        <w:rPr>
          <w:rFonts w:ascii="宋体" w:eastAsia="宋体" w:hAnsi="宋体" w:cs="宋体"/>
          <w:b/>
          <w:bCs/>
          <w:szCs w:val="21"/>
        </w:rPr>
        <w:t>（3）设定提存计划列示</w:t>
      </w:r>
      <w:bookmarkEnd w:id="399"/>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本期增加</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本期减少</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1、基本养老保险</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915,892.96</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52,851,714.61</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53,100,657.51</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666,950.06</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2、失业保险费</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234,498.86</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1,655,209.31</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1,794,691.28</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95,016.89</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1,150,391.82</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54,506,923.92</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54,895,348.79</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761,966.95</w:t>
            </w:r>
          </w:p>
        </w:tc>
      </w:tr>
    </w:tbl>
    <w:p w:rsidR="00E23A97" w:rsidRPr="00831C3C" w:rsidRDefault="00C65FD5">
      <w:pPr>
        <w:pStyle w:val="3"/>
        <w:spacing w:line="280" w:lineRule="exact"/>
        <w:jc w:val="left"/>
        <w:rPr>
          <w:rFonts w:ascii="宋体" w:hAnsi="宋体" w:cs="宋体"/>
          <w:b/>
          <w:bCs/>
        </w:rPr>
      </w:pPr>
      <w:bookmarkStart w:id="400" w:name="_Toc989281"/>
      <w:r w:rsidRPr="00831C3C">
        <w:rPr>
          <w:rFonts w:ascii="宋体" w:hAnsi="宋体" w:cs="宋体"/>
          <w:b/>
          <w:bCs/>
        </w:rPr>
        <w:t>41、应交税费</w:t>
      </w:r>
      <w:bookmarkEnd w:id="400"/>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增值税</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8,699,137.52</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26,124,633.11</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企业所得税</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14,017,357.47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29,718,268.53</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个人所得税</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1,621,731.87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6,910,523.40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城市维护建设税</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689,024.84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1,659,224.97</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房产税</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5,581,658.99</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6,337,832.84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土地使用税</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6,749,295.27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7,318,875.23</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教育费附加</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485,006.17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1,176,695.70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4,870,191.24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3,615,956.69</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42,713,403.37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82,862,010.47</w:t>
            </w:r>
          </w:p>
        </w:tc>
      </w:tr>
    </w:tbl>
    <w:p w:rsidR="00E23A97" w:rsidRPr="00831C3C" w:rsidRDefault="00C65FD5">
      <w:pPr>
        <w:pStyle w:val="3"/>
        <w:spacing w:line="280" w:lineRule="exact"/>
        <w:jc w:val="left"/>
        <w:rPr>
          <w:rFonts w:ascii="宋体" w:hAnsi="宋体" w:cs="宋体"/>
          <w:b/>
          <w:bCs/>
        </w:rPr>
      </w:pPr>
      <w:bookmarkStart w:id="401" w:name="_Toc989282"/>
      <w:r w:rsidRPr="00831C3C">
        <w:rPr>
          <w:rFonts w:ascii="宋体" w:hAnsi="宋体" w:cs="宋体"/>
          <w:b/>
          <w:bCs/>
        </w:rPr>
        <w:t>42、持有待售负债</w:t>
      </w:r>
      <w:bookmarkEnd w:id="401"/>
    </w:p>
    <w:p w:rsidR="00E23A97" w:rsidRPr="00831C3C" w:rsidRDefault="00C65FD5">
      <w:pPr>
        <w:pStyle w:val="3"/>
        <w:spacing w:line="280" w:lineRule="exact"/>
        <w:jc w:val="left"/>
        <w:rPr>
          <w:rFonts w:ascii="宋体" w:hAnsi="宋体" w:cs="宋体"/>
          <w:b/>
          <w:bCs/>
        </w:rPr>
      </w:pPr>
      <w:bookmarkStart w:id="402" w:name="_Toc989283"/>
      <w:r w:rsidRPr="00831C3C">
        <w:rPr>
          <w:rFonts w:ascii="宋体" w:hAnsi="宋体" w:cs="宋体"/>
          <w:b/>
          <w:bCs/>
        </w:rPr>
        <w:t>43、一年内到期的非流动负债</w:t>
      </w:r>
      <w:bookmarkEnd w:id="402"/>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一年内到期的长期借款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312,180,000.00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403,964,996.14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一年内到期的租赁负债</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4,281,566.77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11,282,582.60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lastRenderedPageBreak/>
              <w:t>计提的长期借款利息</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1,355,306.65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582,748.42</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317,816,873.42</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415,830,327.16</w:t>
            </w:r>
          </w:p>
        </w:tc>
      </w:tr>
    </w:tbl>
    <w:p w:rsidR="00E23A97" w:rsidRPr="00831C3C" w:rsidRDefault="00C65FD5">
      <w:pPr>
        <w:pStyle w:val="3"/>
        <w:spacing w:line="280" w:lineRule="exact"/>
        <w:jc w:val="left"/>
        <w:rPr>
          <w:rFonts w:ascii="宋体" w:hAnsi="宋体" w:cs="宋体"/>
          <w:b/>
          <w:bCs/>
        </w:rPr>
      </w:pPr>
      <w:bookmarkStart w:id="403" w:name="_Toc989284"/>
      <w:r w:rsidRPr="00831C3C">
        <w:rPr>
          <w:rFonts w:ascii="宋体" w:hAnsi="宋体" w:cs="宋体"/>
          <w:b/>
          <w:bCs/>
        </w:rPr>
        <w:t>44、其他流动负债</w:t>
      </w:r>
      <w:bookmarkEnd w:id="403"/>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待结转增值税额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60,619,344.22</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65,480,068.80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60,619,344.22</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65,480,068.80</w:t>
            </w:r>
          </w:p>
        </w:tc>
      </w:tr>
    </w:tbl>
    <w:p w:rsidR="00E23A97" w:rsidRPr="00831C3C" w:rsidRDefault="00C65FD5">
      <w:pPr>
        <w:pStyle w:val="3"/>
        <w:spacing w:line="280" w:lineRule="exact"/>
        <w:jc w:val="left"/>
        <w:rPr>
          <w:rFonts w:ascii="宋体" w:hAnsi="宋体" w:cs="宋体"/>
          <w:b/>
          <w:bCs/>
        </w:rPr>
      </w:pPr>
      <w:bookmarkStart w:id="404" w:name="_Toc989285"/>
      <w:r w:rsidRPr="00831C3C">
        <w:rPr>
          <w:rFonts w:ascii="宋体" w:hAnsi="宋体" w:cs="宋体"/>
          <w:b/>
          <w:bCs/>
        </w:rPr>
        <w:t>45、长期借款</w:t>
      </w:r>
      <w:bookmarkEnd w:id="404"/>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405" w:name="_Toc989286"/>
      <w:r w:rsidRPr="00831C3C">
        <w:rPr>
          <w:rFonts w:ascii="宋体" w:eastAsia="宋体" w:hAnsi="宋体" w:cs="宋体"/>
          <w:b/>
          <w:bCs/>
          <w:sz w:val="18"/>
          <w:szCs w:val="18"/>
        </w:rPr>
        <w:t>（1）长期借款分类</w:t>
      </w:r>
      <w:bookmarkEnd w:id="405"/>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抵押借款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414,182,438.84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保证借款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299,980,000.00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282,758,394.50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信用借款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35,067,415.43</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185,362,727.15</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保证、抵押借款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381,806,000.00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662,238,233.03</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未到期应付利息</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1,355,306.65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649,622.19</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减：一年内到期的长期借款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-313,535,306.65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-404,547,744.56</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818,855,854.27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726,461,232.31</w:t>
            </w:r>
          </w:p>
        </w:tc>
      </w:tr>
    </w:tbl>
    <w:p w:rsidR="00E23A97" w:rsidRPr="00831C3C" w:rsidRDefault="00C65FD5">
      <w:pPr>
        <w:pStyle w:val="3"/>
        <w:spacing w:line="280" w:lineRule="exact"/>
        <w:jc w:val="left"/>
        <w:rPr>
          <w:rFonts w:ascii="宋体" w:hAnsi="宋体" w:cs="宋体"/>
          <w:b/>
          <w:bCs/>
        </w:rPr>
      </w:pPr>
      <w:bookmarkStart w:id="406" w:name="_Toc989287"/>
      <w:r w:rsidRPr="00831C3C">
        <w:rPr>
          <w:rFonts w:ascii="宋体" w:hAnsi="宋体" w:cs="宋体"/>
          <w:b/>
          <w:bCs/>
        </w:rPr>
        <w:t>46、应付债券</w:t>
      </w:r>
      <w:bookmarkEnd w:id="406"/>
    </w:p>
    <w:p w:rsidR="00E23A97" w:rsidRPr="00831C3C" w:rsidRDefault="00C65FD5">
      <w:pPr>
        <w:keepNext/>
        <w:keepLines/>
        <w:spacing w:before="300" w:after="300" w:line="280" w:lineRule="exact"/>
        <w:outlineLvl w:val="3"/>
        <w:rPr>
          <w:rFonts w:ascii="宋体" w:eastAsia="宋体" w:hAnsi="宋体" w:cs="宋体"/>
          <w:b/>
          <w:bCs/>
          <w:szCs w:val="21"/>
        </w:rPr>
      </w:pPr>
      <w:bookmarkStart w:id="407" w:name="_Toc989288"/>
      <w:r w:rsidRPr="00831C3C">
        <w:rPr>
          <w:rFonts w:ascii="宋体" w:eastAsia="宋体" w:hAnsi="宋体" w:cs="宋体"/>
          <w:b/>
          <w:bCs/>
          <w:szCs w:val="21"/>
        </w:rPr>
        <w:t>（1）应付债券</w:t>
      </w:r>
      <w:bookmarkEnd w:id="407"/>
    </w:p>
    <w:p w:rsidR="00E23A97" w:rsidRPr="00831C3C" w:rsidRDefault="00C65FD5">
      <w:pPr>
        <w:keepNext/>
        <w:keepLines/>
        <w:spacing w:before="300" w:after="300" w:line="280" w:lineRule="exact"/>
        <w:outlineLvl w:val="3"/>
        <w:rPr>
          <w:rFonts w:ascii="宋体" w:eastAsia="宋体" w:hAnsi="宋体" w:cs="宋体"/>
          <w:b/>
          <w:bCs/>
          <w:szCs w:val="21"/>
        </w:rPr>
      </w:pPr>
      <w:bookmarkStart w:id="408" w:name="_Toc989289"/>
      <w:r w:rsidRPr="00831C3C">
        <w:rPr>
          <w:rFonts w:ascii="宋体" w:eastAsia="宋体" w:hAnsi="宋体" w:cs="宋体"/>
          <w:b/>
          <w:bCs/>
          <w:szCs w:val="21"/>
        </w:rPr>
        <w:t>（2）应付债券的增减变动（不包括划分为金融负债的优先股、永续债等其他金融工具）</w:t>
      </w:r>
      <w:bookmarkEnd w:id="408"/>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689"/>
        <w:gridCol w:w="689"/>
        <w:gridCol w:w="689"/>
        <w:gridCol w:w="689"/>
        <w:gridCol w:w="689"/>
        <w:gridCol w:w="689"/>
        <w:gridCol w:w="689"/>
        <w:gridCol w:w="688"/>
        <w:gridCol w:w="688"/>
        <w:gridCol w:w="688"/>
        <w:gridCol w:w="688"/>
        <w:gridCol w:w="688"/>
        <w:gridCol w:w="688"/>
        <w:gridCol w:w="688"/>
      </w:tblGrid>
      <w:tr w:rsidR="00831C3C" w:rsidRPr="00831C3C">
        <w:trPr>
          <w:trHeight w:val="240"/>
        </w:trPr>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债券名称</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面值</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票面利率</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发行日期</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债券期限</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发行金额</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本期发行</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按面值计提利息</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proofErr w:type="gramStart"/>
            <w:r w:rsidRPr="00831C3C">
              <w:rPr>
                <w:rFonts w:ascii="宋体" w:eastAsia="宋体" w:hAnsi="宋体" w:cs="宋体"/>
                <w:sz w:val="18"/>
                <w:szCs w:val="18"/>
              </w:rPr>
              <w:t>溢</w:t>
            </w:r>
            <w:proofErr w:type="gramEnd"/>
            <w:r w:rsidRPr="00831C3C">
              <w:rPr>
                <w:rFonts w:ascii="宋体" w:eastAsia="宋体" w:hAnsi="宋体" w:cs="宋体"/>
                <w:sz w:val="18"/>
                <w:szCs w:val="18"/>
              </w:rPr>
              <w:t>折价摊销</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本期偿还</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center"/>
              <w:rPr>
                <w:rFonts w:ascii="宋体" w:eastAsia="宋体" w:hAnsi="宋体" w:cs="宋体"/>
                <w:sz w:val="18"/>
                <w:szCs w:val="18"/>
              </w:rPr>
            </w:pP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是否违约</w:t>
            </w:r>
          </w:p>
        </w:tc>
      </w:tr>
      <w:tr w:rsidR="00831C3C" w:rsidRPr="00831C3C">
        <w:trPr>
          <w:trHeight w:val="240"/>
        </w:trPr>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trPr>
          <w:trHeight w:val="240"/>
        </w:trPr>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2754"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8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689"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r>
    </w:tbl>
    <w:p w:rsidR="00E23A97" w:rsidRPr="00831C3C" w:rsidRDefault="00C65FD5">
      <w:pPr>
        <w:keepNext/>
        <w:keepLines/>
        <w:spacing w:before="300" w:after="300" w:line="280" w:lineRule="exact"/>
        <w:outlineLvl w:val="3"/>
        <w:rPr>
          <w:rFonts w:ascii="宋体" w:eastAsia="宋体" w:hAnsi="宋体" w:cs="宋体"/>
          <w:b/>
          <w:bCs/>
          <w:szCs w:val="21"/>
        </w:rPr>
      </w:pPr>
      <w:bookmarkStart w:id="409" w:name="_Toc989290"/>
      <w:r w:rsidRPr="00831C3C">
        <w:rPr>
          <w:rFonts w:ascii="宋体" w:eastAsia="宋体" w:hAnsi="宋体" w:cs="宋体"/>
          <w:b/>
          <w:bCs/>
          <w:szCs w:val="21"/>
        </w:rPr>
        <w:t>（3）可转换公司债</w:t>
      </w:r>
      <w:proofErr w:type="gramStart"/>
      <w:r w:rsidRPr="00831C3C">
        <w:rPr>
          <w:rFonts w:ascii="宋体" w:eastAsia="宋体" w:hAnsi="宋体" w:cs="宋体"/>
          <w:b/>
          <w:bCs/>
          <w:szCs w:val="21"/>
        </w:rPr>
        <w:t>券</w:t>
      </w:r>
      <w:proofErr w:type="gramEnd"/>
      <w:r w:rsidRPr="00831C3C">
        <w:rPr>
          <w:rFonts w:ascii="宋体" w:eastAsia="宋体" w:hAnsi="宋体" w:cs="宋体"/>
          <w:b/>
          <w:bCs/>
          <w:szCs w:val="21"/>
        </w:rPr>
        <w:t>的说明</w:t>
      </w:r>
      <w:bookmarkEnd w:id="409"/>
    </w:p>
    <w:p w:rsidR="00E23A97" w:rsidRPr="00831C3C" w:rsidRDefault="00C65FD5">
      <w:pPr>
        <w:keepNext/>
        <w:keepLines/>
        <w:spacing w:before="300" w:after="300" w:line="280" w:lineRule="exact"/>
        <w:outlineLvl w:val="3"/>
        <w:rPr>
          <w:rFonts w:ascii="宋体" w:eastAsia="宋体" w:hAnsi="宋体" w:cs="宋体"/>
          <w:b/>
          <w:bCs/>
          <w:szCs w:val="21"/>
        </w:rPr>
      </w:pPr>
      <w:bookmarkStart w:id="410" w:name="_Toc989291"/>
      <w:r w:rsidRPr="00831C3C">
        <w:rPr>
          <w:rFonts w:ascii="宋体" w:eastAsia="宋体" w:hAnsi="宋体" w:cs="宋体"/>
          <w:b/>
          <w:bCs/>
          <w:szCs w:val="21"/>
        </w:rPr>
        <w:t>（4）划分为金融负债的其他金融工具说明</w:t>
      </w:r>
      <w:bookmarkEnd w:id="410"/>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期末发行在外的优先股、永续债等其他金融工具基本情况</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期末发行在外的优先股、永续债等金融工具变动情况表</w:t>
      </w:r>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071"/>
        <w:gridCol w:w="1071"/>
        <w:gridCol w:w="1071"/>
        <w:gridCol w:w="1071"/>
        <w:gridCol w:w="1071"/>
        <w:gridCol w:w="1071"/>
        <w:gridCol w:w="1071"/>
        <w:gridCol w:w="1071"/>
        <w:gridCol w:w="1071"/>
      </w:tblGrid>
      <w:tr w:rsidR="00831C3C" w:rsidRPr="00831C3C">
        <w:trPr>
          <w:trHeight w:val="240"/>
        </w:trPr>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发行在外的金融工具</w:t>
            </w:r>
          </w:p>
        </w:tc>
        <w:tc>
          <w:tcPr>
            <w:tcW w:w="214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w:t>
            </w:r>
          </w:p>
        </w:tc>
        <w:tc>
          <w:tcPr>
            <w:tcW w:w="214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本期增加</w:t>
            </w:r>
          </w:p>
        </w:tc>
        <w:tc>
          <w:tcPr>
            <w:tcW w:w="214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本期减少</w:t>
            </w:r>
          </w:p>
        </w:tc>
        <w:tc>
          <w:tcPr>
            <w:tcW w:w="214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w:t>
            </w:r>
          </w:p>
        </w:tc>
      </w:tr>
      <w:tr w:rsidR="00831C3C" w:rsidRPr="00831C3C">
        <w:trPr>
          <w:trHeight w:val="240"/>
        </w:trPr>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数量</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账面价值</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数量</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账面价值</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数量</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账面价值</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数量</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账面价值</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lastRenderedPageBreak/>
        <w:t>其他金融工具划分为金融负债的依据说明</w:t>
      </w:r>
    </w:p>
    <w:p w:rsidR="00E23A97" w:rsidRPr="00831C3C" w:rsidRDefault="00C65FD5">
      <w:pPr>
        <w:pStyle w:val="3"/>
        <w:spacing w:line="280" w:lineRule="exact"/>
        <w:jc w:val="left"/>
        <w:rPr>
          <w:rFonts w:ascii="宋体" w:hAnsi="宋体" w:cs="宋体"/>
          <w:b/>
          <w:bCs/>
        </w:rPr>
      </w:pPr>
      <w:bookmarkStart w:id="411" w:name="_Toc989292"/>
      <w:r w:rsidRPr="00831C3C">
        <w:rPr>
          <w:rFonts w:ascii="宋体" w:hAnsi="宋体" w:cs="宋体"/>
          <w:b/>
          <w:bCs/>
        </w:rPr>
        <w:t>47、租赁负债</w:t>
      </w:r>
      <w:bookmarkEnd w:id="411"/>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租赁房屋建筑物</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27,939,315.71</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28,836,917.19</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租赁设备</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435,103.17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523,598.73</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减：未确认融资费用</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-757,272.14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-2,086,836.79</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减：一年内到期的租赁负债</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-4,281,566.77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-11,282,582.60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23,335,579.97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15,991,096.53</w:t>
            </w:r>
          </w:p>
        </w:tc>
      </w:tr>
    </w:tbl>
    <w:p w:rsidR="00E23A97" w:rsidRPr="00831C3C" w:rsidRDefault="00C65FD5">
      <w:pPr>
        <w:pStyle w:val="3"/>
        <w:spacing w:line="280" w:lineRule="exact"/>
        <w:jc w:val="left"/>
        <w:rPr>
          <w:rFonts w:ascii="宋体" w:hAnsi="宋体" w:cs="宋体"/>
          <w:b/>
          <w:bCs/>
        </w:rPr>
      </w:pPr>
      <w:bookmarkStart w:id="412" w:name="_Toc989293"/>
      <w:r w:rsidRPr="00831C3C">
        <w:rPr>
          <w:rFonts w:ascii="宋体" w:hAnsi="宋体" w:cs="宋体"/>
          <w:b/>
          <w:bCs/>
        </w:rPr>
        <w:t>48、长期应付款</w:t>
      </w:r>
      <w:bookmarkEnd w:id="412"/>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长期应付款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244,367,138.45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244,367,138.45</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244,367,138.45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244,367,138.45</w:t>
            </w:r>
          </w:p>
        </w:tc>
      </w:tr>
    </w:tbl>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413" w:name="_Toc989294"/>
      <w:r w:rsidRPr="00831C3C">
        <w:rPr>
          <w:rFonts w:ascii="宋体" w:eastAsia="宋体" w:hAnsi="宋体" w:cs="宋体"/>
          <w:b/>
          <w:bCs/>
          <w:sz w:val="18"/>
          <w:szCs w:val="18"/>
        </w:rPr>
        <w:t>（1）按款项性质列示长期应付款</w:t>
      </w:r>
      <w:bookmarkEnd w:id="413"/>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担保损失备付金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4,367,138.45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4,367,138.45</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附限制</w:t>
            </w:r>
            <w:proofErr w:type="gramEnd"/>
            <w:r w:rsidRPr="00831C3C">
              <w:rPr>
                <w:rFonts w:ascii="宋体" w:eastAsia="宋体" w:hAnsi="宋体" w:cs="宋体"/>
                <w:sz w:val="18"/>
                <w:szCs w:val="18"/>
              </w:rPr>
              <w:t>条件的投资款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220,000,000.00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220,000,000.00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应付股权收购款（注1）</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20,000,000.00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20,000,000.00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减：一年内到期的长期应付款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244,367,138.45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244,367,138.45</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p>
    <w:p w:rsidR="00C65FD5" w:rsidRPr="00831C3C" w:rsidRDefault="00C65FD5" w:rsidP="00406352">
      <w:pPr>
        <w:pStyle w:val="a3"/>
        <w:spacing w:before="0" w:beforeAutospacing="0" w:after="0" w:afterAutospacing="0"/>
        <w:ind w:firstLine="420"/>
        <w:jc w:val="both"/>
        <w:divId w:val="1916474492"/>
        <w:rPr>
          <w:sz w:val="18"/>
          <w:szCs w:val="18"/>
        </w:rPr>
      </w:pPr>
      <w:r w:rsidRPr="00831C3C">
        <w:rPr>
          <w:rFonts w:hint="eastAsia"/>
          <w:sz w:val="18"/>
          <w:szCs w:val="18"/>
        </w:rPr>
        <w:t>注1：2009年11月30日，新疆华孚纺织有限公司与石河子国有资产经营(集团)有限公司签订的股权转让合同，公司将以人民币4,000万元购买石河子国有资产经营(集团)有限公司及其子公司新疆石河子造纸厂共同持有的天宏新</w:t>
      </w:r>
      <w:proofErr w:type="gramStart"/>
      <w:r w:rsidRPr="00831C3C">
        <w:rPr>
          <w:rFonts w:hint="eastAsia"/>
          <w:sz w:val="18"/>
          <w:szCs w:val="18"/>
        </w:rPr>
        <w:t>八棉全部</w:t>
      </w:r>
      <w:proofErr w:type="gramEnd"/>
      <w:r w:rsidRPr="00831C3C">
        <w:rPr>
          <w:rFonts w:hint="eastAsia"/>
          <w:sz w:val="18"/>
          <w:szCs w:val="18"/>
        </w:rPr>
        <w:t>股份，全部转让款分两次付清，即第一次在本协议签字生效后一个月内支付人民币2,000万元，第二次在四至五年内全部付清。</w:t>
      </w:r>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414" w:name="_Toc989295"/>
      <w:r w:rsidRPr="00831C3C">
        <w:rPr>
          <w:rFonts w:ascii="宋体" w:eastAsia="宋体" w:hAnsi="宋体" w:cs="宋体"/>
          <w:b/>
          <w:bCs/>
          <w:sz w:val="18"/>
          <w:szCs w:val="18"/>
        </w:rPr>
        <w:t>（2）专项应付款</w:t>
      </w:r>
      <w:bookmarkEnd w:id="414"/>
    </w:p>
    <w:p w:rsidR="00E23A97" w:rsidRPr="00831C3C" w:rsidRDefault="00C65FD5">
      <w:pPr>
        <w:pStyle w:val="3"/>
        <w:spacing w:line="280" w:lineRule="exact"/>
        <w:jc w:val="left"/>
        <w:rPr>
          <w:rFonts w:ascii="宋体" w:hAnsi="宋体" w:cs="宋体"/>
          <w:b/>
          <w:bCs/>
        </w:rPr>
      </w:pPr>
      <w:bookmarkStart w:id="415" w:name="_Toc989296"/>
      <w:r w:rsidRPr="00831C3C">
        <w:rPr>
          <w:rFonts w:ascii="宋体" w:hAnsi="宋体" w:cs="宋体"/>
          <w:b/>
          <w:bCs/>
        </w:rPr>
        <w:t>49、长期应付职工薪</w:t>
      </w:r>
      <w:proofErr w:type="gramStart"/>
      <w:r w:rsidRPr="00831C3C">
        <w:rPr>
          <w:rFonts w:ascii="宋体" w:hAnsi="宋体" w:cs="宋体"/>
          <w:b/>
          <w:bCs/>
        </w:rPr>
        <w:t>酬</w:t>
      </w:r>
      <w:bookmarkEnd w:id="415"/>
      <w:proofErr w:type="gramEnd"/>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416" w:name="_Toc989297"/>
      <w:r w:rsidRPr="00831C3C">
        <w:rPr>
          <w:rFonts w:ascii="宋体" w:eastAsia="宋体" w:hAnsi="宋体" w:cs="宋体"/>
          <w:b/>
          <w:bCs/>
          <w:sz w:val="18"/>
          <w:szCs w:val="18"/>
        </w:rPr>
        <w:t>（1）长期应付职工薪酬表</w:t>
      </w:r>
      <w:bookmarkEnd w:id="416"/>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417" w:name="_Toc989298"/>
      <w:r w:rsidRPr="00831C3C">
        <w:rPr>
          <w:rFonts w:ascii="宋体" w:eastAsia="宋体" w:hAnsi="宋体" w:cs="宋体"/>
          <w:b/>
          <w:bCs/>
          <w:sz w:val="18"/>
          <w:szCs w:val="18"/>
        </w:rPr>
        <w:t>（2）设定受益计划变动情况</w:t>
      </w:r>
      <w:bookmarkEnd w:id="417"/>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r w:rsidR="00406352" w:rsidRPr="00831C3C">
        <w:rPr>
          <w:rFonts w:ascii="宋体" w:eastAsia="宋体" w:hAnsi="宋体" w:cs="宋体"/>
          <w:sz w:val="18"/>
          <w:szCs w:val="18"/>
        </w:rPr>
        <w:t>无</w:t>
      </w:r>
    </w:p>
    <w:p w:rsidR="00E23A97" w:rsidRPr="00831C3C" w:rsidRDefault="00C65FD5">
      <w:pPr>
        <w:pStyle w:val="3"/>
        <w:spacing w:line="280" w:lineRule="exact"/>
        <w:jc w:val="left"/>
        <w:rPr>
          <w:rFonts w:ascii="宋体" w:hAnsi="宋体" w:cs="宋体"/>
          <w:b/>
          <w:bCs/>
        </w:rPr>
      </w:pPr>
      <w:bookmarkStart w:id="418" w:name="_Toc989299"/>
      <w:r w:rsidRPr="00831C3C">
        <w:rPr>
          <w:rFonts w:ascii="宋体" w:hAnsi="宋体" w:cs="宋体"/>
          <w:b/>
          <w:bCs/>
        </w:rPr>
        <w:t>50、预计负债</w:t>
      </w:r>
      <w:bookmarkEnd w:id="418"/>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形成原因</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lastRenderedPageBreak/>
              <w:t>产品质量保证</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7,610.61</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7,610.61</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其他说明，包括重要预计负债的相关重要假设、估计说明：</w:t>
      </w:r>
      <w:r w:rsidR="00406352" w:rsidRPr="00831C3C">
        <w:rPr>
          <w:rFonts w:ascii="宋体" w:eastAsia="宋体" w:hAnsi="宋体" w:cs="宋体"/>
          <w:sz w:val="18"/>
          <w:szCs w:val="18"/>
        </w:rPr>
        <w:t>无</w:t>
      </w:r>
    </w:p>
    <w:p w:rsidR="00E23A97" w:rsidRPr="00831C3C" w:rsidRDefault="00C65FD5">
      <w:pPr>
        <w:pStyle w:val="3"/>
        <w:spacing w:line="280" w:lineRule="exact"/>
        <w:jc w:val="left"/>
        <w:rPr>
          <w:rFonts w:ascii="宋体" w:hAnsi="宋体" w:cs="宋体"/>
          <w:b/>
          <w:bCs/>
        </w:rPr>
      </w:pPr>
      <w:bookmarkStart w:id="419" w:name="_Toc989300"/>
      <w:r w:rsidRPr="00831C3C">
        <w:rPr>
          <w:rFonts w:ascii="宋体" w:hAnsi="宋体" w:cs="宋体"/>
          <w:b/>
          <w:bCs/>
        </w:rPr>
        <w:t>51、递延收益</w:t>
      </w:r>
      <w:bookmarkEnd w:id="419"/>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06"/>
        <w:gridCol w:w="1606"/>
        <w:gridCol w:w="1606"/>
        <w:gridCol w:w="1607"/>
        <w:gridCol w:w="1607"/>
        <w:gridCol w:w="1607"/>
      </w:tblGrid>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本期增加</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本期减少</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形成原因</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与资产相关政府补助</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35,626,316.46</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44,640,000.00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6,893,082.96</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73,373,233.50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详见附注八（二）</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35,626,316.46</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44,640,000.00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6,893,082.96</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73,373,233.50</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r>
    </w:tbl>
    <w:p w:rsidR="00E23A97" w:rsidRPr="00831C3C" w:rsidRDefault="00C65FD5">
      <w:pPr>
        <w:pStyle w:val="3"/>
        <w:spacing w:line="280" w:lineRule="exact"/>
        <w:jc w:val="left"/>
        <w:rPr>
          <w:rFonts w:ascii="宋体" w:hAnsi="宋体" w:cs="宋体"/>
          <w:b/>
          <w:bCs/>
        </w:rPr>
      </w:pPr>
      <w:bookmarkStart w:id="420" w:name="_Toc989301"/>
      <w:r w:rsidRPr="00831C3C">
        <w:rPr>
          <w:rFonts w:ascii="宋体" w:hAnsi="宋体" w:cs="宋体"/>
          <w:b/>
          <w:bCs/>
        </w:rPr>
        <w:t>52、其他非流动负债</w:t>
      </w:r>
      <w:bookmarkEnd w:id="420"/>
    </w:p>
    <w:p w:rsidR="00E23A97" w:rsidRPr="00831C3C" w:rsidRDefault="00C65FD5">
      <w:pPr>
        <w:pStyle w:val="3"/>
        <w:spacing w:line="280" w:lineRule="exact"/>
        <w:jc w:val="left"/>
        <w:rPr>
          <w:rFonts w:ascii="宋体" w:hAnsi="宋体" w:cs="宋体"/>
          <w:b/>
          <w:bCs/>
        </w:rPr>
      </w:pPr>
      <w:bookmarkStart w:id="421" w:name="_Toc989302"/>
      <w:r w:rsidRPr="00831C3C">
        <w:rPr>
          <w:rFonts w:ascii="宋体" w:hAnsi="宋体" w:cs="宋体"/>
          <w:b/>
          <w:bCs/>
        </w:rPr>
        <w:t>53、股本</w:t>
      </w:r>
      <w:bookmarkEnd w:id="421"/>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204"/>
        <w:gridCol w:w="1205"/>
        <w:gridCol w:w="1205"/>
        <w:gridCol w:w="1205"/>
        <w:gridCol w:w="1205"/>
        <w:gridCol w:w="1205"/>
        <w:gridCol w:w="1205"/>
        <w:gridCol w:w="1205"/>
      </w:tblGrid>
      <w:tr w:rsidR="00831C3C" w:rsidRPr="00831C3C">
        <w:trPr>
          <w:trHeight w:val="240"/>
        </w:trPr>
        <w:tc>
          <w:tcPr>
            <w:tcW w:w="120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20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c>
          <w:tcPr>
            <w:tcW w:w="6024"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本次变动增减（+、-）</w:t>
            </w:r>
          </w:p>
        </w:tc>
        <w:tc>
          <w:tcPr>
            <w:tcW w:w="120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r>
      <w:tr w:rsidR="00831C3C" w:rsidRPr="00831C3C">
        <w:trPr>
          <w:trHeight w:val="240"/>
        </w:trPr>
        <w:tc>
          <w:tcPr>
            <w:tcW w:w="1205"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205"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发行新股</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送股</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公积金转股</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其他</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小计</w:t>
            </w:r>
          </w:p>
        </w:tc>
        <w:tc>
          <w:tcPr>
            <w:tcW w:w="1205"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股份总数</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1,700,681,355.00</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1,700,681,355.00</w:t>
            </w:r>
          </w:p>
        </w:tc>
      </w:tr>
    </w:tbl>
    <w:p w:rsidR="00E23A97" w:rsidRPr="00831C3C" w:rsidRDefault="00C65FD5">
      <w:pPr>
        <w:pStyle w:val="3"/>
        <w:spacing w:line="280" w:lineRule="exact"/>
        <w:jc w:val="left"/>
        <w:rPr>
          <w:rFonts w:ascii="宋体" w:hAnsi="宋体" w:cs="宋体"/>
          <w:b/>
          <w:bCs/>
        </w:rPr>
      </w:pPr>
      <w:bookmarkStart w:id="422" w:name="_Toc989303"/>
      <w:r w:rsidRPr="00831C3C">
        <w:rPr>
          <w:rFonts w:ascii="宋体" w:hAnsi="宋体" w:cs="宋体"/>
          <w:b/>
          <w:bCs/>
        </w:rPr>
        <w:t>54、其他权益工具</w:t>
      </w:r>
      <w:bookmarkEnd w:id="422"/>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423" w:name="_Toc989304"/>
      <w:r w:rsidRPr="00831C3C">
        <w:rPr>
          <w:rFonts w:ascii="宋体" w:eastAsia="宋体" w:hAnsi="宋体" w:cs="宋体"/>
          <w:b/>
          <w:bCs/>
          <w:sz w:val="18"/>
          <w:szCs w:val="18"/>
        </w:rPr>
        <w:t>（1）期末发行在外的优先股、永续债等其他金融工具基本情况</w:t>
      </w:r>
      <w:bookmarkEnd w:id="423"/>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424" w:name="_Toc989305"/>
      <w:r w:rsidRPr="00831C3C">
        <w:rPr>
          <w:rFonts w:ascii="宋体" w:eastAsia="宋体" w:hAnsi="宋体" w:cs="宋体"/>
          <w:b/>
          <w:bCs/>
          <w:sz w:val="18"/>
          <w:szCs w:val="18"/>
        </w:rPr>
        <w:t>（2）期末发行在外的优先股、永续债等金融工具变动情况表</w:t>
      </w:r>
      <w:bookmarkEnd w:id="424"/>
    </w:p>
    <w:p w:rsidR="00E23A97" w:rsidRPr="00831C3C" w:rsidRDefault="00C65FD5">
      <w:pPr>
        <w:pStyle w:val="3"/>
        <w:spacing w:line="280" w:lineRule="exact"/>
        <w:jc w:val="left"/>
        <w:rPr>
          <w:rFonts w:ascii="宋体" w:hAnsi="宋体" w:cs="宋体"/>
          <w:b/>
          <w:bCs/>
        </w:rPr>
      </w:pPr>
      <w:bookmarkStart w:id="425" w:name="_Toc989306"/>
      <w:r w:rsidRPr="00831C3C">
        <w:rPr>
          <w:rFonts w:ascii="宋体" w:hAnsi="宋体" w:cs="宋体"/>
          <w:b/>
          <w:bCs/>
        </w:rPr>
        <w:t>55、资本公积</w:t>
      </w:r>
      <w:bookmarkEnd w:id="425"/>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本期增加</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本期减少</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资本溢价（股本溢价）</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2,715,159,506.76</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2,715,159,506.76</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其他资本公积</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23,189,447.04</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23,189,447.04</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2,738,348,953.80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2,738,348,953.80</w:t>
            </w:r>
          </w:p>
        </w:tc>
      </w:tr>
    </w:tbl>
    <w:p w:rsidR="00E23A97" w:rsidRPr="00831C3C" w:rsidRDefault="00C65FD5">
      <w:pPr>
        <w:pStyle w:val="3"/>
        <w:spacing w:line="280" w:lineRule="exact"/>
        <w:jc w:val="left"/>
        <w:rPr>
          <w:rFonts w:ascii="宋体" w:hAnsi="宋体" w:cs="宋体"/>
          <w:b/>
          <w:bCs/>
        </w:rPr>
      </w:pPr>
      <w:bookmarkStart w:id="426" w:name="_Toc989307"/>
      <w:r w:rsidRPr="00831C3C">
        <w:rPr>
          <w:rFonts w:ascii="宋体" w:hAnsi="宋体" w:cs="宋体"/>
          <w:b/>
          <w:bCs/>
        </w:rPr>
        <w:t>56、库存股</w:t>
      </w:r>
      <w:bookmarkEnd w:id="426"/>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本期增加</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本期减少</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减少注册资本回购</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200,071,093.36</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100,033,114.48</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300,104,207.84</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200,071,093.36</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100,033,114.48</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300,104,207.84</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其他说明，包括本期增减变动情况、变动原因说明：</w:t>
      </w:r>
    </w:p>
    <w:p w:rsidR="00C65FD5" w:rsidRPr="00831C3C" w:rsidRDefault="00C65FD5" w:rsidP="00406352">
      <w:pPr>
        <w:pStyle w:val="a3"/>
        <w:spacing w:before="120" w:beforeAutospacing="0" w:after="0" w:afterAutospacing="0"/>
        <w:ind w:firstLine="420"/>
        <w:jc w:val="both"/>
        <w:divId w:val="1108351285"/>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库存股情况说明：</w:t>
      </w:r>
    </w:p>
    <w:p w:rsidR="00C65FD5" w:rsidRPr="00831C3C" w:rsidRDefault="00C65FD5" w:rsidP="00406352">
      <w:pPr>
        <w:pStyle w:val="a3"/>
        <w:spacing w:before="0" w:beforeAutospacing="0" w:after="0" w:afterAutospacing="0"/>
        <w:ind w:firstLine="420"/>
        <w:jc w:val="both"/>
        <w:divId w:val="1108351285"/>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华孚时尚股份有限公司（以下简称“公司”）于</w:t>
      </w:r>
      <w:r w:rsidRPr="00831C3C">
        <w:rPr>
          <w:rFonts w:asciiTheme="minorEastAsia" w:eastAsiaTheme="minorEastAsia" w:hAnsiTheme="minorEastAsia" w:cs="Times New Roman"/>
          <w:sz w:val="18"/>
          <w:szCs w:val="18"/>
        </w:rPr>
        <w:t>2022</w:t>
      </w:r>
      <w:r w:rsidRPr="00831C3C">
        <w:rPr>
          <w:rFonts w:asciiTheme="minorEastAsia" w:eastAsiaTheme="minorEastAsia" w:hAnsiTheme="minorEastAsia" w:hint="eastAsia"/>
          <w:sz w:val="18"/>
          <w:szCs w:val="18"/>
        </w:rPr>
        <w:t>年</w:t>
      </w:r>
      <w:r w:rsidRPr="00831C3C">
        <w:rPr>
          <w:rFonts w:asciiTheme="minorEastAsia" w:eastAsiaTheme="minorEastAsia" w:hAnsiTheme="minorEastAsia" w:cs="Times New Roman"/>
          <w:sz w:val="18"/>
          <w:szCs w:val="18"/>
        </w:rPr>
        <w:t>3</w:t>
      </w:r>
      <w:r w:rsidRPr="00831C3C">
        <w:rPr>
          <w:rFonts w:asciiTheme="minorEastAsia" w:eastAsiaTheme="minorEastAsia" w:hAnsiTheme="minorEastAsia" w:hint="eastAsia"/>
          <w:sz w:val="18"/>
          <w:szCs w:val="18"/>
        </w:rPr>
        <w:t>月</w:t>
      </w:r>
      <w:r w:rsidRPr="00831C3C">
        <w:rPr>
          <w:rFonts w:asciiTheme="minorEastAsia" w:eastAsiaTheme="minorEastAsia" w:hAnsiTheme="minorEastAsia" w:cs="Times New Roman"/>
          <w:sz w:val="18"/>
          <w:szCs w:val="18"/>
        </w:rPr>
        <w:t>21</w:t>
      </w:r>
      <w:r w:rsidRPr="00831C3C">
        <w:rPr>
          <w:rFonts w:asciiTheme="minorEastAsia" w:eastAsiaTheme="minorEastAsia" w:hAnsiTheme="minorEastAsia" w:hint="eastAsia"/>
          <w:sz w:val="18"/>
          <w:szCs w:val="18"/>
        </w:rPr>
        <w:t>日召开第八届董事会</w:t>
      </w:r>
      <w:r w:rsidRPr="00831C3C">
        <w:rPr>
          <w:rFonts w:asciiTheme="minorEastAsia" w:eastAsiaTheme="minorEastAsia" w:hAnsiTheme="minorEastAsia" w:cs="Times New Roman"/>
          <w:sz w:val="18"/>
          <w:szCs w:val="18"/>
        </w:rPr>
        <w:t>2022</w:t>
      </w:r>
      <w:r w:rsidRPr="00831C3C">
        <w:rPr>
          <w:rFonts w:asciiTheme="minorEastAsia" w:eastAsiaTheme="minorEastAsia" w:hAnsiTheme="minorEastAsia" w:hint="eastAsia"/>
          <w:sz w:val="18"/>
          <w:szCs w:val="18"/>
        </w:rPr>
        <w:t>年第二次临时会议审议通过《关于回购公司股份方案的议案》，公司拟使用自有资金以集中竞价交易方式回购已发行的人民币普通股（</w:t>
      </w:r>
      <w:r w:rsidRPr="00831C3C">
        <w:rPr>
          <w:rFonts w:asciiTheme="minorEastAsia" w:eastAsiaTheme="minorEastAsia" w:hAnsiTheme="minorEastAsia" w:cs="Times New Roman"/>
          <w:sz w:val="18"/>
          <w:szCs w:val="18"/>
        </w:rPr>
        <w:t>A</w:t>
      </w:r>
      <w:r w:rsidRPr="00831C3C">
        <w:rPr>
          <w:rFonts w:asciiTheme="minorEastAsia" w:eastAsiaTheme="minorEastAsia" w:hAnsiTheme="minorEastAsia" w:hint="eastAsia"/>
          <w:sz w:val="18"/>
          <w:szCs w:val="18"/>
        </w:rPr>
        <w:t>股）</w:t>
      </w:r>
      <w:r w:rsidRPr="00831C3C">
        <w:rPr>
          <w:rFonts w:asciiTheme="minorEastAsia" w:eastAsiaTheme="minorEastAsia" w:hAnsiTheme="minorEastAsia" w:hint="eastAsia"/>
          <w:sz w:val="18"/>
          <w:szCs w:val="18"/>
        </w:rPr>
        <w:lastRenderedPageBreak/>
        <w:t>股份，回购股</w:t>
      </w:r>
      <w:proofErr w:type="gramStart"/>
      <w:r w:rsidRPr="00831C3C">
        <w:rPr>
          <w:rFonts w:asciiTheme="minorEastAsia" w:eastAsiaTheme="minorEastAsia" w:hAnsiTheme="minorEastAsia" w:hint="eastAsia"/>
          <w:sz w:val="18"/>
          <w:szCs w:val="18"/>
        </w:rPr>
        <w:t>份用于</w:t>
      </w:r>
      <w:proofErr w:type="gramEnd"/>
      <w:r w:rsidRPr="00831C3C">
        <w:rPr>
          <w:rFonts w:asciiTheme="minorEastAsia" w:eastAsiaTheme="minorEastAsia" w:hAnsiTheme="minorEastAsia" w:hint="eastAsia"/>
          <w:sz w:val="18"/>
          <w:szCs w:val="18"/>
        </w:rPr>
        <w:t>公司后续员工持股计划或者股权激励。回购总金额为不低于人民币</w:t>
      </w:r>
      <w:r w:rsidRPr="00831C3C">
        <w:rPr>
          <w:rFonts w:asciiTheme="minorEastAsia" w:eastAsiaTheme="minorEastAsia" w:hAnsiTheme="minorEastAsia" w:cs="Times New Roman"/>
          <w:sz w:val="18"/>
          <w:szCs w:val="18"/>
        </w:rPr>
        <w:t>5,000</w:t>
      </w:r>
      <w:r w:rsidRPr="00831C3C">
        <w:rPr>
          <w:rFonts w:asciiTheme="minorEastAsia" w:eastAsiaTheme="minorEastAsia" w:hAnsiTheme="minorEastAsia" w:hint="eastAsia"/>
          <w:sz w:val="18"/>
          <w:szCs w:val="18"/>
        </w:rPr>
        <w:t>万元</w:t>
      </w:r>
      <w:r w:rsidRPr="00831C3C">
        <w:rPr>
          <w:rFonts w:asciiTheme="minorEastAsia" w:eastAsiaTheme="minorEastAsia" w:hAnsiTheme="minorEastAsia" w:cs="Times New Roman"/>
          <w:sz w:val="18"/>
          <w:szCs w:val="18"/>
        </w:rPr>
        <w:t>,</w:t>
      </w:r>
      <w:r w:rsidRPr="00831C3C">
        <w:rPr>
          <w:rFonts w:asciiTheme="minorEastAsia" w:eastAsiaTheme="minorEastAsia" w:hAnsiTheme="minorEastAsia" w:hint="eastAsia"/>
          <w:sz w:val="18"/>
          <w:szCs w:val="18"/>
        </w:rPr>
        <w:t>不超过人民币</w:t>
      </w:r>
      <w:r w:rsidRPr="00831C3C">
        <w:rPr>
          <w:rFonts w:asciiTheme="minorEastAsia" w:eastAsiaTheme="minorEastAsia" w:hAnsiTheme="minorEastAsia" w:cs="Times New Roman"/>
          <w:sz w:val="18"/>
          <w:szCs w:val="18"/>
        </w:rPr>
        <w:t>10,000</w:t>
      </w:r>
      <w:r w:rsidRPr="00831C3C">
        <w:rPr>
          <w:rFonts w:asciiTheme="minorEastAsia" w:eastAsiaTheme="minorEastAsia" w:hAnsiTheme="minorEastAsia" w:hint="eastAsia"/>
          <w:sz w:val="18"/>
          <w:szCs w:val="18"/>
        </w:rPr>
        <w:t>万元，回购价格不超过</w:t>
      </w:r>
      <w:r w:rsidRPr="00831C3C">
        <w:rPr>
          <w:rFonts w:asciiTheme="minorEastAsia" w:eastAsiaTheme="minorEastAsia" w:hAnsiTheme="minorEastAsia" w:cs="Times New Roman"/>
          <w:sz w:val="18"/>
          <w:szCs w:val="18"/>
        </w:rPr>
        <w:t>6.50</w:t>
      </w:r>
      <w:r w:rsidRPr="00831C3C">
        <w:rPr>
          <w:rFonts w:asciiTheme="minorEastAsia" w:eastAsiaTheme="minorEastAsia" w:hAnsiTheme="minorEastAsia" w:hint="eastAsia"/>
          <w:sz w:val="18"/>
          <w:szCs w:val="18"/>
        </w:rPr>
        <w:t>元</w:t>
      </w:r>
      <w:r w:rsidRPr="00831C3C">
        <w:rPr>
          <w:rFonts w:asciiTheme="minorEastAsia" w:eastAsiaTheme="minorEastAsia" w:hAnsiTheme="minorEastAsia" w:cs="Times New Roman"/>
          <w:sz w:val="18"/>
          <w:szCs w:val="18"/>
        </w:rPr>
        <w:t>/</w:t>
      </w:r>
      <w:r w:rsidRPr="00831C3C">
        <w:rPr>
          <w:rFonts w:asciiTheme="minorEastAsia" w:eastAsiaTheme="minorEastAsia" w:hAnsiTheme="minorEastAsia" w:hint="eastAsia"/>
          <w:sz w:val="18"/>
          <w:szCs w:val="18"/>
        </w:rPr>
        <w:t>股。</w:t>
      </w:r>
    </w:p>
    <w:p w:rsidR="00C65FD5" w:rsidRPr="00831C3C" w:rsidRDefault="00C65FD5" w:rsidP="00406352">
      <w:pPr>
        <w:pStyle w:val="a3"/>
        <w:spacing w:before="0" w:beforeAutospacing="0" w:after="0" w:afterAutospacing="0"/>
        <w:ind w:firstLine="420"/>
        <w:jc w:val="both"/>
        <w:divId w:val="1108351285"/>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华孚时尚股份有限公司（以下简称“公司”）于</w:t>
      </w:r>
      <w:r w:rsidRPr="00831C3C">
        <w:rPr>
          <w:rFonts w:asciiTheme="minorEastAsia" w:eastAsiaTheme="minorEastAsia" w:hAnsiTheme="minorEastAsia" w:cs="Times New Roman"/>
          <w:sz w:val="18"/>
          <w:szCs w:val="18"/>
        </w:rPr>
        <w:t>2023</w:t>
      </w:r>
      <w:r w:rsidRPr="00831C3C">
        <w:rPr>
          <w:rFonts w:asciiTheme="minorEastAsia" w:eastAsiaTheme="minorEastAsia" w:hAnsiTheme="minorEastAsia" w:hint="eastAsia"/>
          <w:sz w:val="18"/>
          <w:szCs w:val="18"/>
        </w:rPr>
        <w:t>年</w:t>
      </w:r>
      <w:r w:rsidRPr="00831C3C">
        <w:rPr>
          <w:rFonts w:asciiTheme="minorEastAsia" w:eastAsiaTheme="minorEastAsia" w:hAnsiTheme="minorEastAsia" w:cs="Times New Roman"/>
          <w:sz w:val="18"/>
          <w:szCs w:val="18"/>
        </w:rPr>
        <w:t>3</w:t>
      </w:r>
      <w:r w:rsidRPr="00831C3C">
        <w:rPr>
          <w:rFonts w:asciiTheme="minorEastAsia" w:eastAsiaTheme="minorEastAsia" w:hAnsiTheme="minorEastAsia" w:hint="eastAsia"/>
          <w:sz w:val="18"/>
          <w:szCs w:val="18"/>
        </w:rPr>
        <w:t>月</w:t>
      </w:r>
      <w:r w:rsidRPr="00831C3C">
        <w:rPr>
          <w:rFonts w:asciiTheme="minorEastAsia" w:eastAsiaTheme="minorEastAsia" w:hAnsiTheme="minorEastAsia" w:cs="Times New Roman"/>
          <w:sz w:val="18"/>
          <w:szCs w:val="18"/>
        </w:rPr>
        <w:t>17</w:t>
      </w:r>
      <w:r w:rsidRPr="00831C3C">
        <w:rPr>
          <w:rFonts w:asciiTheme="minorEastAsia" w:eastAsiaTheme="minorEastAsia" w:hAnsiTheme="minorEastAsia" w:hint="eastAsia"/>
          <w:sz w:val="18"/>
          <w:szCs w:val="18"/>
        </w:rPr>
        <w:t>日召开的第八届董事会</w:t>
      </w:r>
      <w:r w:rsidRPr="00831C3C">
        <w:rPr>
          <w:rFonts w:asciiTheme="minorEastAsia" w:eastAsiaTheme="minorEastAsia" w:hAnsiTheme="minorEastAsia" w:cs="Times New Roman"/>
          <w:sz w:val="18"/>
          <w:szCs w:val="18"/>
        </w:rPr>
        <w:t>2023</w:t>
      </w:r>
      <w:r w:rsidRPr="00831C3C">
        <w:rPr>
          <w:rFonts w:asciiTheme="minorEastAsia" w:eastAsiaTheme="minorEastAsia" w:hAnsiTheme="minorEastAsia" w:hint="eastAsia"/>
          <w:sz w:val="18"/>
          <w:szCs w:val="18"/>
        </w:rPr>
        <w:t>年第一次临时会议、第八届监事会第十一次会议审议通过本次回购公司股份的方案。拟使用自有资金以集中竞价交易方式回购已发行的人民币普通股（</w:t>
      </w:r>
      <w:r w:rsidRPr="00831C3C">
        <w:rPr>
          <w:rFonts w:asciiTheme="minorEastAsia" w:eastAsiaTheme="minorEastAsia" w:hAnsiTheme="minorEastAsia" w:cs="Times New Roman"/>
          <w:sz w:val="18"/>
          <w:szCs w:val="18"/>
        </w:rPr>
        <w:t>A</w:t>
      </w:r>
      <w:r w:rsidRPr="00831C3C">
        <w:rPr>
          <w:rFonts w:asciiTheme="minorEastAsia" w:eastAsiaTheme="minorEastAsia" w:hAnsiTheme="minorEastAsia" w:hint="eastAsia"/>
          <w:sz w:val="18"/>
          <w:szCs w:val="18"/>
        </w:rPr>
        <w:t>股）股份，回购股</w:t>
      </w:r>
      <w:proofErr w:type="gramStart"/>
      <w:r w:rsidRPr="00831C3C">
        <w:rPr>
          <w:rFonts w:asciiTheme="minorEastAsia" w:eastAsiaTheme="minorEastAsia" w:hAnsiTheme="minorEastAsia" w:hint="eastAsia"/>
          <w:sz w:val="18"/>
          <w:szCs w:val="18"/>
        </w:rPr>
        <w:t>份用于</w:t>
      </w:r>
      <w:proofErr w:type="gramEnd"/>
      <w:r w:rsidRPr="00831C3C">
        <w:rPr>
          <w:rFonts w:asciiTheme="minorEastAsia" w:eastAsiaTheme="minorEastAsia" w:hAnsiTheme="minorEastAsia" w:hint="eastAsia"/>
          <w:sz w:val="18"/>
          <w:szCs w:val="18"/>
        </w:rPr>
        <w:t>维护公司价值及股东权益所必需，公司本次回购的股份后续将按有关规定予以全部出售。回购总金额为不低于人民币</w:t>
      </w:r>
      <w:r w:rsidRPr="00831C3C">
        <w:rPr>
          <w:rFonts w:asciiTheme="minorEastAsia" w:eastAsiaTheme="minorEastAsia" w:hAnsiTheme="minorEastAsia" w:cs="Times New Roman"/>
          <w:sz w:val="18"/>
          <w:szCs w:val="18"/>
        </w:rPr>
        <w:t>10,000</w:t>
      </w:r>
      <w:r w:rsidRPr="00831C3C">
        <w:rPr>
          <w:rFonts w:asciiTheme="minorEastAsia" w:eastAsiaTheme="minorEastAsia" w:hAnsiTheme="minorEastAsia" w:hint="eastAsia"/>
          <w:sz w:val="18"/>
          <w:szCs w:val="18"/>
        </w:rPr>
        <w:t>万元，不超过人民币</w:t>
      </w:r>
      <w:r w:rsidRPr="00831C3C">
        <w:rPr>
          <w:rFonts w:asciiTheme="minorEastAsia" w:eastAsiaTheme="minorEastAsia" w:hAnsiTheme="minorEastAsia" w:cs="Times New Roman"/>
          <w:sz w:val="18"/>
          <w:szCs w:val="18"/>
        </w:rPr>
        <w:t>20,000</w:t>
      </w:r>
      <w:r w:rsidRPr="00831C3C">
        <w:rPr>
          <w:rFonts w:asciiTheme="minorEastAsia" w:eastAsiaTheme="minorEastAsia" w:hAnsiTheme="minorEastAsia" w:hint="eastAsia"/>
          <w:sz w:val="18"/>
          <w:szCs w:val="18"/>
        </w:rPr>
        <w:t>万元，回购价格不超过</w:t>
      </w:r>
      <w:r w:rsidRPr="00831C3C">
        <w:rPr>
          <w:rFonts w:asciiTheme="minorEastAsia" w:eastAsiaTheme="minorEastAsia" w:hAnsiTheme="minorEastAsia" w:cs="Times New Roman"/>
          <w:sz w:val="18"/>
          <w:szCs w:val="18"/>
        </w:rPr>
        <w:t>4.60</w:t>
      </w:r>
      <w:r w:rsidRPr="00831C3C">
        <w:rPr>
          <w:rFonts w:asciiTheme="minorEastAsia" w:eastAsiaTheme="minorEastAsia" w:hAnsiTheme="minorEastAsia" w:hint="eastAsia"/>
          <w:sz w:val="18"/>
          <w:szCs w:val="18"/>
        </w:rPr>
        <w:t>元</w:t>
      </w:r>
      <w:r w:rsidRPr="00831C3C">
        <w:rPr>
          <w:rFonts w:asciiTheme="minorEastAsia" w:eastAsiaTheme="minorEastAsia" w:hAnsiTheme="minorEastAsia" w:cs="Times New Roman"/>
          <w:sz w:val="18"/>
          <w:szCs w:val="18"/>
        </w:rPr>
        <w:t>/</w:t>
      </w:r>
      <w:r w:rsidRPr="00831C3C">
        <w:rPr>
          <w:rFonts w:asciiTheme="minorEastAsia" w:eastAsiaTheme="minorEastAsia" w:hAnsiTheme="minorEastAsia" w:hint="eastAsia"/>
          <w:sz w:val="18"/>
          <w:szCs w:val="18"/>
        </w:rPr>
        <w:t>股，</w:t>
      </w:r>
    </w:p>
    <w:p w:rsidR="00C65FD5" w:rsidRPr="00831C3C" w:rsidRDefault="00C65FD5" w:rsidP="00406352">
      <w:pPr>
        <w:pStyle w:val="a3"/>
        <w:spacing w:before="0" w:beforeAutospacing="0" w:after="0" w:afterAutospacing="0"/>
        <w:ind w:firstLine="420"/>
        <w:jc w:val="both"/>
        <w:divId w:val="1108351285"/>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截止</w:t>
      </w:r>
      <w:r w:rsidRPr="00831C3C">
        <w:rPr>
          <w:rFonts w:asciiTheme="minorEastAsia" w:eastAsiaTheme="minorEastAsia" w:hAnsiTheme="minorEastAsia" w:cs="Times New Roman"/>
          <w:sz w:val="18"/>
          <w:szCs w:val="18"/>
        </w:rPr>
        <w:t>2024</w:t>
      </w:r>
      <w:r w:rsidRPr="00831C3C">
        <w:rPr>
          <w:rFonts w:asciiTheme="minorEastAsia" w:eastAsiaTheme="minorEastAsia" w:hAnsiTheme="minorEastAsia" w:hint="eastAsia"/>
          <w:sz w:val="18"/>
          <w:szCs w:val="18"/>
        </w:rPr>
        <w:t>年</w:t>
      </w:r>
      <w:r w:rsidRPr="00831C3C">
        <w:rPr>
          <w:rFonts w:asciiTheme="minorEastAsia" w:eastAsiaTheme="minorEastAsia" w:hAnsiTheme="minorEastAsia" w:cs="Times New Roman"/>
          <w:sz w:val="18"/>
          <w:szCs w:val="18"/>
        </w:rPr>
        <w:t>12</w:t>
      </w:r>
      <w:r w:rsidRPr="00831C3C">
        <w:rPr>
          <w:rFonts w:asciiTheme="minorEastAsia" w:eastAsiaTheme="minorEastAsia" w:hAnsiTheme="minorEastAsia" w:hint="eastAsia"/>
          <w:sz w:val="18"/>
          <w:szCs w:val="18"/>
        </w:rPr>
        <w:t>月</w:t>
      </w:r>
      <w:r w:rsidRPr="00831C3C">
        <w:rPr>
          <w:rFonts w:asciiTheme="minorEastAsia" w:eastAsiaTheme="minorEastAsia" w:hAnsiTheme="minorEastAsia" w:cs="Times New Roman"/>
          <w:sz w:val="18"/>
          <w:szCs w:val="18"/>
        </w:rPr>
        <w:t>31</w:t>
      </w:r>
      <w:r w:rsidRPr="00831C3C">
        <w:rPr>
          <w:rFonts w:asciiTheme="minorEastAsia" w:eastAsiaTheme="minorEastAsia" w:hAnsiTheme="minorEastAsia" w:hint="eastAsia"/>
          <w:sz w:val="18"/>
          <w:szCs w:val="18"/>
        </w:rPr>
        <w:t>日，通过股份回购专用证券账户以集中竞价方式回购股份数量</w:t>
      </w:r>
      <w:r w:rsidRPr="00831C3C">
        <w:rPr>
          <w:rFonts w:asciiTheme="minorEastAsia" w:eastAsiaTheme="minorEastAsia" w:hAnsiTheme="minorEastAsia" w:cs="Times New Roman"/>
          <w:sz w:val="18"/>
          <w:szCs w:val="18"/>
        </w:rPr>
        <w:t>94,478,485</w:t>
      </w:r>
      <w:r w:rsidRPr="00831C3C">
        <w:rPr>
          <w:rFonts w:asciiTheme="minorEastAsia" w:eastAsiaTheme="minorEastAsia" w:hAnsiTheme="minorEastAsia" w:hint="eastAsia"/>
          <w:sz w:val="18"/>
          <w:szCs w:val="18"/>
        </w:rPr>
        <w:t>股，占公司目前总股本的</w:t>
      </w:r>
      <w:r w:rsidRPr="00831C3C">
        <w:rPr>
          <w:rFonts w:asciiTheme="minorEastAsia" w:eastAsiaTheme="minorEastAsia" w:hAnsiTheme="minorEastAsia" w:cs="Times New Roman"/>
          <w:sz w:val="18"/>
          <w:szCs w:val="18"/>
        </w:rPr>
        <w:t>5.61%</w:t>
      </w:r>
      <w:r w:rsidRPr="00831C3C">
        <w:rPr>
          <w:rFonts w:asciiTheme="minorEastAsia" w:eastAsiaTheme="minorEastAsia" w:hAnsiTheme="minorEastAsia" w:hint="eastAsia"/>
          <w:sz w:val="18"/>
          <w:szCs w:val="18"/>
        </w:rPr>
        <w:t>。</w:t>
      </w:r>
    </w:p>
    <w:p w:rsidR="00C65FD5" w:rsidRPr="00831C3C" w:rsidRDefault="00C65FD5" w:rsidP="00406352">
      <w:pPr>
        <w:pStyle w:val="a3"/>
        <w:spacing w:before="0" w:beforeAutospacing="0" w:after="0" w:afterAutospacing="0"/>
        <w:ind w:firstLine="420"/>
        <w:jc w:val="both"/>
        <w:divId w:val="1108351285"/>
        <w:rPr>
          <w:rFonts w:asciiTheme="minorEastAsia" w:eastAsiaTheme="minorEastAsia" w:hAnsiTheme="minorEastAsia"/>
          <w:sz w:val="18"/>
          <w:szCs w:val="18"/>
        </w:rPr>
      </w:pPr>
      <w:r w:rsidRPr="00831C3C">
        <w:rPr>
          <w:rFonts w:asciiTheme="minorEastAsia" w:eastAsiaTheme="minorEastAsia" w:hAnsiTheme="minorEastAsia" w:hint="eastAsia"/>
          <w:sz w:val="18"/>
          <w:szCs w:val="18"/>
        </w:rPr>
        <w:t>本公司依据《企业会计准则第</w:t>
      </w:r>
      <w:r w:rsidRPr="00831C3C">
        <w:rPr>
          <w:rFonts w:asciiTheme="minorEastAsia" w:eastAsiaTheme="minorEastAsia" w:hAnsiTheme="minorEastAsia" w:cs="Times New Roman"/>
          <w:sz w:val="18"/>
          <w:szCs w:val="18"/>
        </w:rPr>
        <w:t>37</w:t>
      </w:r>
      <w:r w:rsidRPr="00831C3C">
        <w:rPr>
          <w:rFonts w:asciiTheme="minorEastAsia" w:eastAsiaTheme="minorEastAsia" w:hAnsiTheme="minorEastAsia" w:hint="eastAsia"/>
          <w:sz w:val="18"/>
          <w:szCs w:val="18"/>
        </w:rPr>
        <w:t>号——金融工具列报（财会</w:t>
      </w:r>
      <w:r w:rsidRPr="00831C3C">
        <w:rPr>
          <w:rFonts w:asciiTheme="minorEastAsia" w:eastAsiaTheme="minorEastAsia" w:hAnsiTheme="minorEastAsia" w:cs="Times New Roman"/>
          <w:sz w:val="18"/>
          <w:szCs w:val="18"/>
        </w:rPr>
        <w:t>[2017]14</w:t>
      </w:r>
      <w:r w:rsidRPr="00831C3C">
        <w:rPr>
          <w:rFonts w:asciiTheme="minorEastAsia" w:eastAsiaTheme="minorEastAsia" w:hAnsiTheme="minorEastAsia" w:hint="eastAsia"/>
          <w:sz w:val="18"/>
          <w:szCs w:val="18"/>
        </w:rPr>
        <w:t>号）》，第二十六条回购自身权益工具（库存股）支付的对价和交易费用，计入库存股进行处理。</w:t>
      </w:r>
    </w:p>
    <w:p w:rsidR="00E23A97" w:rsidRPr="00831C3C" w:rsidRDefault="00C65FD5">
      <w:pPr>
        <w:pStyle w:val="3"/>
        <w:spacing w:line="280" w:lineRule="exact"/>
        <w:jc w:val="left"/>
        <w:rPr>
          <w:rFonts w:ascii="宋体" w:hAnsi="宋体" w:cs="宋体"/>
          <w:b/>
          <w:bCs/>
        </w:rPr>
      </w:pPr>
      <w:bookmarkStart w:id="427" w:name="_Toc989308"/>
      <w:r w:rsidRPr="00831C3C">
        <w:rPr>
          <w:rFonts w:ascii="宋体" w:hAnsi="宋体" w:cs="宋体"/>
          <w:b/>
          <w:bCs/>
        </w:rPr>
        <w:t>57、其他综合收益</w:t>
      </w:r>
      <w:bookmarkEnd w:id="427"/>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071"/>
        <w:gridCol w:w="1071"/>
        <w:gridCol w:w="1071"/>
        <w:gridCol w:w="1071"/>
        <w:gridCol w:w="1071"/>
        <w:gridCol w:w="1071"/>
        <w:gridCol w:w="1071"/>
        <w:gridCol w:w="1071"/>
        <w:gridCol w:w="1071"/>
      </w:tblGrid>
      <w:tr w:rsidR="00831C3C" w:rsidRPr="00831C3C">
        <w:trPr>
          <w:trHeight w:val="240"/>
        </w:trPr>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c>
          <w:tcPr>
            <w:tcW w:w="6426"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本期发生额</w:t>
            </w:r>
          </w:p>
        </w:tc>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r>
      <w:tr w:rsidR="00831C3C" w:rsidRPr="00831C3C">
        <w:trPr>
          <w:trHeight w:val="240"/>
        </w:trPr>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本期所得税前发生额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减：前期计入其他综合收益当期转入损益</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减：前期计入其他综合收益当期转入留存收益</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减：所得税费用</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税后归属于母公司</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税后归属于少数股东</w:t>
            </w:r>
          </w:p>
        </w:tc>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一、不能重分类进损益的其他综合收益</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3,435,267.93</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2,202,277.14</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2,202,277.14</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5,637,545.07</w:t>
            </w: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权益法下不能转损益的其他综合收益</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-568,156.44</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-756,417.84</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-756,417.84</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-1,324,574.28</w:t>
            </w: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其他权益工具投资公允价值变动</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4,003,424.37</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2,958,694.98</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2,958,694.98</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6,962,119.35</w:t>
            </w: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二、将重分类进损益的其他综合收益</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-99,588,773.93</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-18,384,584.51</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-18,384,584.51</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-117,973,358.44</w:t>
            </w: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外币财务报表折算差额</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-99,588,773.93</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-18,384,584.51</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-18,384,584.51</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-117,973,358.44</w:t>
            </w: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其他综合收益合计</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-96,153,506.00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-16,182,307.37</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-16,182,307.37</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-112,335,813.37</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其他说明，包括对现金流量套期损益的有效部分转为被套</w:t>
      </w:r>
      <w:proofErr w:type="gramStart"/>
      <w:r w:rsidRPr="00831C3C">
        <w:rPr>
          <w:rFonts w:ascii="宋体" w:eastAsia="宋体" w:hAnsi="宋体" w:cs="宋体"/>
          <w:sz w:val="18"/>
          <w:szCs w:val="18"/>
        </w:rPr>
        <w:t>期项目</w:t>
      </w:r>
      <w:proofErr w:type="gramEnd"/>
      <w:r w:rsidRPr="00831C3C">
        <w:rPr>
          <w:rFonts w:ascii="宋体" w:eastAsia="宋体" w:hAnsi="宋体" w:cs="宋体"/>
          <w:sz w:val="18"/>
          <w:szCs w:val="18"/>
        </w:rPr>
        <w:t>初始确认金额调整：</w:t>
      </w:r>
    </w:p>
    <w:p w:rsidR="00E23A97" w:rsidRPr="00831C3C" w:rsidRDefault="00C65FD5">
      <w:pPr>
        <w:pStyle w:val="3"/>
        <w:spacing w:line="280" w:lineRule="exact"/>
        <w:jc w:val="left"/>
        <w:rPr>
          <w:rFonts w:ascii="宋体" w:hAnsi="宋体" w:cs="宋体"/>
          <w:b/>
          <w:bCs/>
        </w:rPr>
      </w:pPr>
      <w:bookmarkStart w:id="428" w:name="_Toc989309"/>
      <w:r w:rsidRPr="00831C3C">
        <w:rPr>
          <w:rFonts w:ascii="宋体" w:hAnsi="宋体" w:cs="宋体"/>
          <w:b/>
          <w:bCs/>
        </w:rPr>
        <w:lastRenderedPageBreak/>
        <w:t>58、专项储备</w:t>
      </w:r>
      <w:bookmarkEnd w:id="428"/>
    </w:p>
    <w:p w:rsidR="00E23A97" w:rsidRPr="00831C3C" w:rsidRDefault="00C65FD5">
      <w:pPr>
        <w:pStyle w:val="3"/>
        <w:spacing w:line="280" w:lineRule="exact"/>
        <w:jc w:val="left"/>
        <w:rPr>
          <w:rFonts w:ascii="宋体" w:hAnsi="宋体" w:cs="宋体"/>
          <w:b/>
          <w:bCs/>
        </w:rPr>
      </w:pPr>
      <w:bookmarkStart w:id="429" w:name="_Toc989310"/>
      <w:r w:rsidRPr="00831C3C">
        <w:rPr>
          <w:rFonts w:ascii="宋体" w:hAnsi="宋体" w:cs="宋体"/>
          <w:b/>
          <w:bCs/>
        </w:rPr>
        <w:t>59、盈余公积</w:t>
      </w:r>
      <w:bookmarkEnd w:id="429"/>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本期增加</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本期减少</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法定盈余公积</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337,688,983.81</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1,293,902.43</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338,982,886.24</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任意盈余公积</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1,778,753.91</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1,778,753.91</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339,467,737.72</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1,293,902.43</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340,761,640.15</w:t>
            </w:r>
          </w:p>
        </w:tc>
      </w:tr>
    </w:tbl>
    <w:p w:rsidR="00E23A97" w:rsidRPr="00831C3C" w:rsidRDefault="00C65FD5">
      <w:pPr>
        <w:pStyle w:val="3"/>
        <w:spacing w:line="280" w:lineRule="exact"/>
        <w:jc w:val="left"/>
        <w:rPr>
          <w:rFonts w:ascii="宋体" w:hAnsi="宋体" w:cs="宋体"/>
          <w:b/>
          <w:bCs/>
        </w:rPr>
      </w:pPr>
      <w:bookmarkStart w:id="430" w:name="_Toc989311"/>
      <w:r w:rsidRPr="00831C3C">
        <w:rPr>
          <w:rFonts w:ascii="宋体" w:hAnsi="宋体" w:cs="宋体"/>
          <w:b/>
          <w:bCs/>
        </w:rPr>
        <w:t>60、未分配利润</w:t>
      </w:r>
      <w:bookmarkEnd w:id="430"/>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上期</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调整前上期末未分配利润</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1,674,292,092.74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1,643,586,800.21</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调整期初未分配利润合计数（调增+，调减-）</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653,061.97</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调整后期初未分配利润</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1,674,292,092.74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1,644,239,862.18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加：本期归属于母公司所有者的净利润</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-207,764,974.56</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66,782,080.49</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减：提取法定盈余公积</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1,293,902.43</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36,729,849.93</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应付普通股股利</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49,666,360.27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期末未分配利润</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1,415,566,855.48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1,674,292,092.74</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调整期初未分配利润明细：</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1）、由于《企业会计准则》及其相关新规定进行追溯调整，影响期初未分配利润0.00元。</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2）、由于会计政策变更，影响期初未分配利润0.00元。</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3）、由于重大会计差错更正，影响期初未分配利润0.00元。</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4）、由于同</w:t>
      </w:r>
      <w:proofErr w:type="gramStart"/>
      <w:r w:rsidRPr="00831C3C">
        <w:rPr>
          <w:rFonts w:ascii="宋体" w:eastAsia="宋体" w:hAnsi="宋体" w:cs="宋体"/>
          <w:sz w:val="18"/>
          <w:szCs w:val="18"/>
        </w:rPr>
        <w:t>一控制</w:t>
      </w:r>
      <w:proofErr w:type="gramEnd"/>
      <w:r w:rsidRPr="00831C3C">
        <w:rPr>
          <w:rFonts w:ascii="宋体" w:eastAsia="宋体" w:hAnsi="宋体" w:cs="宋体"/>
          <w:sz w:val="18"/>
          <w:szCs w:val="18"/>
        </w:rPr>
        <w:t>导致的合并范围变更，影响期初未分配利润0.00元。</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5）、其他调整合计影响期初未分配利润0.00元。</w:t>
      </w:r>
    </w:p>
    <w:p w:rsidR="00E23A97" w:rsidRPr="00831C3C" w:rsidRDefault="00C65FD5">
      <w:pPr>
        <w:pStyle w:val="3"/>
        <w:spacing w:line="280" w:lineRule="exact"/>
        <w:jc w:val="left"/>
        <w:rPr>
          <w:rFonts w:ascii="宋体" w:hAnsi="宋体" w:cs="宋体"/>
          <w:b/>
          <w:bCs/>
        </w:rPr>
      </w:pPr>
      <w:bookmarkStart w:id="431" w:name="_Toc989312"/>
      <w:r w:rsidRPr="00831C3C">
        <w:rPr>
          <w:rFonts w:ascii="宋体" w:hAnsi="宋体" w:cs="宋体"/>
          <w:b/>
          <w:bCs/>
        </w:rPr>
        <w:t>61、营业收入和营业成本</w:t>
      </w:r>
      <w:bookmarkEnd w:id="431"/>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31C3C" w:rsidRPr="00831C3C">
        <w:trPr>
          <w:trHeight w:val="240"/>
        </w:trPr>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本期发生额</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上期发生额</w:t>
            </w:r>
          </w:p>
        </w:tc>
      </w:tr>
      <w:tr w:rsidR="00831C3C" w:rsidRPr="00831C3C">
        <w:trPr>
          <w:trHeight w:val="240"/>
        </w:trPr>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收入</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成本</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收入</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成本</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主营业务</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10,640,692,951.89</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10,159,551,920.04</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13,619,437,001.24</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13,064,669,025.81</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其他业务</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121,259,013.43</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23,559,827.19</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44,032,324.44</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19,147,058.82</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10,761,951,965.32</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10,183,111,747.23</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13,663,469,325.68</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13,083,816,084.63</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公司最近一个会计年度经审计利润总额、净利润、扣除非经常性损益后的净利润三者孰低为负值</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是□否</w:t>
      </w:r>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本年度</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具体扣除情况</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上年度</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具体扣除情况</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营业收入金额</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10,761,951,965.32</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营业收入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13,663,469,325.68</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营业收入</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营业收入扣除项目合</w:t>
            </w:r>
            <w:r w:rsidRPr="00831C3C">
              <w:rPr>
                <w:rFonts w:ascii="宋体" w:eastAsia="宋体" w:hAnsi="宋体" w:cs="宋体"/>
                <w:sz w:val="18"/>
                <w:szCs w:val="18"/>
              </w:rPr>
              <w:lastRenderedPageBreak/>
              <w:t>计金额</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lastRenderedPageBreak/>
              <w:t>121,259,013.43</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其他业务收入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44,032,324.44</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其他业务收入</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lastRenderedPageBreak/>
              <w:t>营业收入扣除项目合计金额占营业收入的比重</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1.13%</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0.32%</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一、与主营业务无关的业务收入</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1．正常经营之外的其他业务收入。如出租固定资产、无形资产、包装物，销售材料，用材料进行非货币性资产交换，经营受托管理业务等实现的收入，</w:t>
            </w:r>
            <w:proofErr w:type="gramStart"/>
            <w:r w:rsidRPr="00831C3C">
              <w:rPr>
                <w:rFonts w:ascii="宋体" w:eastAsia="宋体" w:hAnsi="宋体" w:cs="宋体"/>
                <w:sz w:val="18"/>
                <w:szCs w:val="18"/>
              </w:rPr>
              <w:t>以及虽计入主</w:t>
            </w:r>
            <w:proofErr w:type="gramEnd"/>
            <w:r w:rsidRPr="00831C3C">
              <w:rPr>
                <w:rFonts w:ascii="宋体" w:eastAsia="宋体" w:hAnsi="宋体" w:cs="宋体"/>
                <w:sz w:val="18"/>
                <w:szCs w:val="18"/>
              </w:rPr>
              <w:t>营业务收入，但属于上市公司正常经营之外的收入。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121,259,013.43</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其他业务收入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44,032,324.44</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其他业务收入</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与主营业务无关的业务收入小计</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121,259,013.43</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其他业务收入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44,032,324.44</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其他业务收入</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二、不具备商业实质的收入</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不具备商业实质的收入小计</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营业收入扣除后金额</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10,640,692,951.89</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主营收入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13,619,437,001.24</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主营收入</w:t>
            </w:r>
          </w:p>
        </w:tc>
      </w:tr>
    </w:tbl>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营业收入、营业成本的分解信息：</w:t>
      </w:r>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071"/>
        <w:gridCol w:w="1071"/>
        <w:gridCol w:w="1071"/>
        <w:gridCol w:w="1071"/>
        <w:gridCol w:w="1071"/>
        <w:gridCol w:w="1071"/>
        <w:gridCol w:w="1071"/>
        <w:gridCol w:w="1071"/>
        <w:gridCol w:w="1071"/>
      </w:tblGrid>
      <w:tr w:rsidR="00831C3C" w:rsidRPr="00831C3C">
        <w:trPr>
          <w:trHeight w:val="240"/>
        </w:trPr>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合同分类</w:t>
            </w:r>
          </w:p>
        </w:tc>
        <w:tc>
          <w:tcPr>
            <w:tcW w:w="214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分部1</w:t>
            </w:r>
          </w:p>
        </w:tc>
        <w:tc>
          <w:tcPr>
            <w:tcW w:w="214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分部2</w:t>
            </w:r>
          </w:p>
        </w:tc>
        <w:tc>
          <w:tcPr>
            <w:tcW w:w="2142"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center"/>
              <w:rPr>
                <w:rFonts w:ascii="宋体" w:eastAsia="宋体" w:hAnsi="宋体" w:cs="宋体"/>
                <w:sz w:val="18"/>
                <w:szCs w:val="18"/>
              </w:rPr>
            </w:pPr>
            <w:r w:rsidRPr="00831C3C">
              <w:rPr>
                <w:rFonts w:ascii="宋体" w:eastAsia="宋体" w:hAnsi="宋体" w:cs="宋体"/>
                <w:sz w:val="18"/>
                <w:szCs w:val="18"/>
              </w:rPr>
              <w:t>本期发生额</w:t>
            </w:r>
          </w:p>
        </w:tc>
        <w:tc>
          <w:tcPr>
            <w:tcW w:w="214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合计</w:t>
            </w:r>
          </w:p>
        </w:tc>
      </w:tr>
      <w:tr w:rsidR="00831C3C" w:rsidRPr="00831C3C">
        <w:trPr>
          <w:trHeight w:val="240"/>
        </w:trPr>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营业收入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营业成本</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营业收入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营业成本</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营业收入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营业成本</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营业收入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营业成本</w:t>
            </w: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业务类型</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其中：</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纱线</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6,293,478,560.99</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5,951,698,476.01</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6,293,478,560.99</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5,951,698,476.01</w:t>
            </w: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原、色棉纤</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4,085,820,675.73</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4,015,898,422.30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4,085,820,675.73</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4,015,898,422.30</w:t>
            </w: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祙制品服饰类</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235,397,169.43</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170,523,586.61</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235,397,169.43</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170,523,586.61</w:t>
            </w: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算力</w:t>
            </w:r>
            <w:proofErr w:type="gramEnd"/>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25,996,545.74</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21,431,435.11</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25,996,545.74</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21,431,435.11</w:t>
            </w: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其他</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121,259,013.43</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23,559,827.19</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121,259,013.43</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23,559,827.19</w:t>
            </w: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按经营地区分类</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 xml:space="preserve">　其中：</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rsidTr="00995E00">
        <w:trPr>
          <w:trHeight w:val="240"/>
        </w:trPr>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785C45">
            <w:pPr>
              <w:spacing w:line="240" w:lineRule="exact"/>
              <w:rPr>
                <w:rFonts w:ascii="宋体" w:eastAsia="宋体" w:hAnsi="宋体" w:cs="宋体"/>
                <w:sz w:val="18"/>
                <w:szCs w:val="18"/>
              </w:rPr>
            </w:pPr>
            <w:r w:rsidRPr="00831C3C">
              <w:rPr>
                <w:rFonts w:ascii="宋体" w:eastAsia="宋体" w:hAnsi="宋体" w:cs="宋体" w:hint="eastAsia"/>
                <w:sz w:val="18"/>
                <w:szCs w:val="18"/>
              </w:rPr>
              <w:t>境外销售</w:t>
            </w:r>
          </w:p>
        </w:tc>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785C45">
            <w:pPr>
              <w:spacing w:line="240" w:lineRule="exac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785C45">
            <w:pPr>
              <w:spacing w:line="240" w:lineRule="exac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785C45">
            <w:pPr>
              <w:spacing w:line="240" w:lineRule="exac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785C45">
            <w:pPr>
              <w:spacing w:line="240" w:lineRule="exac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785C45">
            <w:pPr>
              <w:spacing w:line="240" w:lineRule="exact"/>
              <w:rPr>
                <w:rFonts w:ascii="宋体" w:eastAsia="宋体" w:hAnsi="宋体" w:cs="宋体"/>
                <w:sz w:val="18"/>
                <w:szCs w:val="18"/>
              </w:rPr>
            </w:pPr>
            <w:r w:rsidRPr="00831C3C">
              <w:rPr>
                <w:rFonts w:ascii="宋体" w:eastAsia="宋体" w:hAnsi="宋体" w:cs="宋体" w:hint="eastAsia"/>
                <w:sz w:val="18"/>
                <w:szCs w:val="18"/>
              </w:rPr>
              <w:t>1,496,387,347.58</w:t>
            </w:r>
          </w:p>
        </w:tc>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785C45">
            <w:pPr>
              <w:spacing w:line="240" w:lineRule="exact"/>
              <w:rPr>
                <w:rFonts w:ascii="宋体" w:eastAsia="宋体" w:hAnsi="宋体" w:cs="宋体"/>
                <w:sz w:val="18"/>
                <w:szCs w:val="18"/>
              </w:rPr>
            </w:pPr>
            <w:r w:rsidRPr="00831C3C">
              <w:rPr>
                <w:rFonts w:ascii="宋体" w:eastAsia="宋体" w:hAnsi="宋体" w:cs="宋体" w:hint="eastAsia"/>
                <w:sz w:val="18"/>
                <w:szCs w:val="18"/>
              </w:rPr>
              <w:t>1,639,315,790.08</w:t>
            </w:r>
          </w:p>
        </w:tc>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785C45">
            <w:pPr>
              <w:spacing w:line="240" w:lineRule="exact"/>
              <w:rPr>
                <w:rFonts w:ascii="宋体" w:eastAsia="宋体" w:hAnsi="宋体" w:cs="宋体"/>
                <w:sz w:val="18"/>
                <w:szCs w:val="18"/>
              </w:rPr>
            </w:pPr>
            <w:r w:rsidRPr="00831C3C">
              <w:rPr>
                <w:rFonts w:ascii="宋体" w:eastAsia="宋体" w:hAnsi="宋体" w:cs="宋体" w:hint="eastAsia"/>
                <w:sz w:val="18"/>
                <w:szCs w:val="18"/>
              </w:rPr>
              <w:t>1,496,387,347.58</w:t>
            </w:r>
          </w:p>
        </w:tc>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785C45">
            <w:pPr>
              <w:spacing w:line="240" w:lineRule="exact"/>
              <w:rPr>
                <w:rFonts w:ascii="宋体" w:eastAsia="宋体" w:hAnsi="宋体" w:cs="宋体"/>
                <w:sz w:val="18"/>
                <w:szCs w:val="18"/>
              </w:rPr>
            </w:pPr>
            <w:r w:rsidRPr="00831C3C">
              <w:rPr>
                <w:rFonts w:ascii="宋体" w:eastAsia="宋体" w:hAnsi="宋体" w:cs="宋体" w:hint="eastAsia"/>
                <w:sz w:val="18"/>
                <w:szCs w:val="18"/>
              </w:rPr>
              <w:t>1,639,315,790.08</w:t>
            </w:r>
          </w:p>
        </w:tc>
      </w:tr>
      <w:tr w:rsidR="00831C3C" w:rsidRPr="00831C3C" w:rsidTr="00995E00">
        <w:trPr>
          <w:trHeight w:val="240"/>
        </w:trPr>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785C45">
            <w:pPr>
              <w:spacing w:line="240" w:lineRule="exact"/>
              <w:rPr>
                <w:rFonts w:ascii="宋体" w:eastAsia="宋体" w:hAnsi="宋体" w:cs="宋体"/>
                <w:sz w:val="18"/>
                <w:szCs w:val="18"/>
              </w:rPr>
            </w:pPr>
            <w:r w:rsidRPr="00831C3C">
              <w:rPr>
                <w:rFonts w:ascii="宋体" w:eastAsia="宋体" w:hAnsi="宋体" w:cs="宋体" w:hint="eastAsia"/>
                <w:sz w:val="18"/>
                <w:szCs w:val="18"/>
              </w:rPr>
              <w:t>境内销售</w:t>
            </w:r>
          </w:p>
        </w:tc>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785C45">
            <w:pPr>
              <w:spacing w:line="240" w:lineRule="exac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785C45">
            <w:pPr>
              <w:spacing w:line="240" w:lineRule="exac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785C45">
            <w:pPr>
              <w:spacing w:line="240" w:lineRule="exac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785C45">
            <w:pPr>
              <w:spacing w:line="240" w:lineRule="exac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785C45">
            <w:pPr>
              <w:spacing w:line="240" w:lineRule="exact"/>
              <w:rPr>
                <w:rFonts w:ascii="宋体" w:eastAsia="宋体" w:hAnsi="宋体" w:cs="宋体"/>
                <w:sz w:val="18"/>
                <w:szCs w:val="18"/>
              </w:rPr>
            </w:pPr>
            <w:r w:rsidRPr="00831C3C">
              <w:rPr>
                <w:rFonts w:ascii="宋体" w:eastAsia="宋体" w:hAnsi="宋体" w:cs="宋体" w:hint="eastAsia"/>
                <w:sz w:val="18"/>
                <w:szCs w:val="18"/>
              </w:rPr>
              <w:t>9,265,564,617.74</w:t>
            </w:r>
          </w:p>
        </w:tc>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785C45">
            <w:pPr>
              <w:spacing w:line="240" w:lineRule="exact"/>
              <w:rPr>
                <w:rFonts w:ascii="宋体" w:eastAsia="宋体" w:hAnsi="宋体" w:cs="宋体"/>
                <w:sz w:val="18"/>
                <w:szCs w:val="18"/>
              </w:rPr>
            </w:pPr>
            <w:r w:rsidRPr="00831C3C">
              <w:rPr>
                <w:rFonts w:ascii="宋体" w:eastAsia="宋体" w:hAnsi="宋体" w:cs="宋体" w:hint="eastAsia"/>
                <w:sz w:val="18"/>
                <w:szCs w:val="18"/>
              </w:rPr>
              <w:t>12,024,153,535.60</w:t>
            </w:r>
          </w:p>
        </w:tc>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785C45">
            <w:pPr>
              <w:spacing w:line="240" w:lineRule="exact"/>
              <w:rPr>
                <w:rFonts w:ascii="宋体" w:eastAsia="宋体" w:hAnsi="宋体" w:cs="宋体"/>
                <w:sz w:val="18"/>
                <w:szCs w:val="18"/>
              </w:rPr>
            </w:pPr>
            <w:r w:rsidRPr="00831C3C">
              <w:rPr>
                <w:rFonts w:ascii="宋体" w:eastAsia="宋体" w:hAnsi="宋体" w:cs="宋体" w:hint="eastAsia"/>
                <w:sz w:val="18"/>
                <w:szCs w:val="18"/>
              </w:rPr>
              <w:t>9,265,564,617.74</w:t>
            </w:r>
          </w:p>
        </w:tc>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785C45">
            <w:pPr>
              <w:spacing w:line="240" w:lineRule="exact"/>
              <w:rPr>
                <w:rFonts w:ascii="宋体" w:eastAsia="宋体" w:hAnsi="宋体" w:cs="宋体"/>
                <w:sz w:val="18"/>
                <w:szCs w:val="18"/>
              </w:rPr>
            </w:pPr>
            <w:r w:rsidRPr="00831C3C">
              <w:rPr>
                <w:rFonts w:ascii="宋体" w:eastAsia="宋体" w:hAnsi="宋体" w:cs="宋体" w:hint="eastAsia"/>
                <w:sz w:val="18"/>
                <w:szCs w:val="18"/>
              </w:rPr>
              <w:t>12,024,153,535.60</w:t>
            </w: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市场或客户类型</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 xml:space="preserve">　其中：</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lastRenderedPageBreak/>
              <w:t>合同类型</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 xml:space="preserve">　其中：</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按商品转让的时间分类</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 xml:space="preserve">　其中：</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rsidTr="00535B5A">
        <w:trPr>
          <w:trHeight w:val="240"/>
        </w:trPr>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785C45">
            <w:pPr>
              <w:spacing w:line="240" w:lineRule="exact"/>
              <w:rPr>
                <w:rFonts w:ascii="宋体" w:eastAsia="宋体" w:hAnsi="宋体" w:cs="宋体"/>
                <w:sz w:val="18"/>
                <w:szCs w:val="18"/>
              </w:rPr>
            </w:pPr>
            <w:r w:rsidRPr="00831C3C">
              <w:rPr>
                <w:rFonts w:ascii="宋体" w:eastAsia="宋体" w:hAnsi="宋体" w:cs="宋体" w:hint="eastAsia"/>
                <w:sz w:val="18"/>
                <w:szCs w:val="18"/>
              </w:rPr>
              <w:t>在某一时点转让</w:t>
            </w:r>
          </w:p>
        </w:tc>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785C45">
            <w:pPr>
              <w:spacing w:line="240" w:lineRule="exac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785C45">
            <w:pPr>
              <w:spacing w:line="240" w:lineRule="exac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785C45">
            <w:pPr>
              <w:spacing w:line="240" w:lineRule="exac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785C45">
            <w:pPr>
              <w:spacing w:line="240" w:lineRule="exac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785C45">
            <w:pPr>
              <w:spacing w:line="240" w:lineRule="exact"/>
              <w:rPr>
                <w:rFonts w:ascii="宋体" w:eastAsia="宋体" w:hAnsi="宋体" w:cs="宋体"/>
                <w:sz w:val="18"/>
                <w:szCs w:val="18"/>
              </w:rPr>
            </w:pPr>
            <w:r w:rsidRPr="00831C3C">
              <w:rPr>
                <w:rFonts w:ascii="宋体" w:eastAsia="宋体" w:hAnsi="宋体" w:cs="宋体" w:hint="eastAsia"/>
                <w:sz w:val="18"/>
                <w:szCs w:val="18"/>
              </w:rPr>
              <w:t>10,723,077,894.68</w:t>
            </w:r>
          </w:p>
        </w:tc>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785C45">
            <w:pPr>
              <w:spacing w:line="240" w:lineRule="exact"/>
              <w:rPr>
                <w:rFonts w:ascii="宋体" w:eastAsia="宋体" w:hAnsi="宋体" w:cs="宋体"/>
                <w:sz w:val="18"/>
                <w:szCs w:val="18"/>
              </w:rPr>
            </w:pPr>
            <w:r w:rsidRPr="00831C3C">
              <w:rPr>
                <w:rFonts w:ascii="宋体" w:eastAsia="宋体" w:hAnsi="宋体" w:cs="宋体" w:hint="eastAsia"/>
                <w:sz w:val="18"/>
                <w:szCs w:val="18"/>
              </w:rPr>
              <w:t>13,635,227,351.90</w:t>
            </w:r>
          </w:p>
        </w:tc>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785C45">
            <w:pPr>
              <w:spacing w:line="240" w:lineRule="exact"/>
              <w:rPr>
                <w:rFonts w:ascii="宋体" w:eastAsia="宋体" w:hAnsi="宋体" w:cs="宋体"/>
                <w:sz w:val="18"/>
                <w:szCs w:val="18"/>
              </w:rPr>
            </w:pPr>
            <w:r w:rsidRPr="00831C3C">
              <w:rPr>
                <w:rFonts w:ascii="宋体" w:eastAsia="宋体" w:hAnsi="宋体" w:cs="宋体" w:hint="eastAsia"/>
                <w:sz w:val="18"/>
                <w:szCs w:val="18"/>
              </w:rPr>
              <w:t>10,723,077,894.68</w:t>
            </w:r>
          </w:p>
        </w:tc>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785C45">
            <w:pPr>
              <w:spacing w:line="240" w:lineRule="exact"/>
              <w:rPr>
                <w:rFonts w:ascii="宋体" w:eastAsia="宋体" w:hAnsi="宋体" w:cs="宋体"/>
                <w:sz w:val="18"/>
                <w:szCs w:val="18"/>
              </w:rPr>
            </w:pPr>
            <w:r w:rsidRPr="00831C3C">
              <w:rPr>
                <w:rFonts w:ascii="宋体" w:eastAsia="宋体" w:hAnsi="宋体" w:cs="宋体" w:hint="eastAsia"/>
                <w:sz w:val="18"/>
                <w:szCs w:val="18"/>
              </w:rPr>
              <w:t>13,635,227,351.90</w:t>
            </w:r>
          </w:p>
        </w:tc>
      </w:tr>
      <w:tr w:rsidR="00831C3C" w:rsidRPr="00831C3C" w:rsidTr="00535B5A">
        <w:trPr>
          <w:trHeight w:val="240"/>
        </w:trPr>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785C45">
            <w:pPr>
              <w:spacing w:line="240" w:lineRule="exact"/>
              <w:rPr>
                <w:rFonts w:ascii="宋体" w:eastAsia="宋体" w:hAnsi="宋体" w:cs="宋体"/>
                <w:sz w:val="18"/>
                <w:szCs w:val="18"/>
              </w:rPr>
            </w:pPr>
            <w:r w:rsidRPr="00831C3C">
              <w:rPr>
                <w:rFonts w:ascii="宋体" w:eastAsia="宋体" w:hAnsi="宋体" w:cs="宋体" w:hint="eastAsia"/>
                <w:sz w:val="18"/>
                <w:szCs w:val="18"/>
              </w:rPr>
              <w:t>在某一时段内转让</w:t>
            </w:r>
          </w:p>
        </w:tc>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785C45">
            <w:pPr>
              <w:spacing w:line="240" w:lineRule="exac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785C45">
            <w:pPr>
              <w:spacing w:line="240" w:lineRule="exac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785C45">
            <w:pPr>
              <w:spacing w:line="240" w:lineRule="exac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785C45">
            <w:pPr>
              <w:spacing w:line="240" w:lineRule="exac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785C45">
            <w:pPr>
              <w:spacing w:line="240" w:lineRule="exact"/>
              <w:rPr>
                <w:rFonts w:ascii="宋体" w:eastAsia="宋体" w:hAnsi="宋体" w:cs="宋体"/>
                <w:sz w:val="18"/>
                <w:szCs w:val="18"/>
              </w:rPr>
            </w:pPr>
            <w:r w:rsidRPr="00831C3C">
              <w:rPr>
                <w:rFonts w:ascii="宋体" w:eastAsia="宋体" w:hAnsi="宋体" w:cs="宋体" w:hint="eastAsia"/>
                <w:sz w:val="18"/>
                <w:szCs w:val="18"/>
              </w:rPr>
              <w:t>38,874,070.64</w:t>
            </w:r>
          </w:p>
        </w:tc>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785C45">
            <w:pPr>
              <w:spacing w:line="240" w:lineRule="exact"/>
              <w:rPr>
                <w:rFonts w:ascii="宋体" w:eastAsia="宋体" w:hAnsi="宋体" w:cs="宋体"/>
                <w:sz w:val="18"/>
                <w:szCs w:val="18"/>
              </w:rPr>
            </w:pPr>
            <w:r w:rsidRPr="00831C3C">
              <w:rPr>
                <w:rFonts w:ascii="宋体" w:eastAsia="宋体" w:hAnsi="宋体" w:cs="宋体" w:hint="eastAsia"/>
                <w:sz w:val="18"/>
                <w:szCs w:val="18"/>
              </w:rPr>
              <w:t>28,241,973.78</w:t>
            </w:r>
          </w:p>
        </w:tc>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785C45">
            <w:pPr>
              <w:spacing w:line="240" w:lineRule="exact"/>
              <w:rPr>
                <w:rFonts w:ascii="宋体" w:eastAsia="宋体" w:hAnsi="宋体" w:cs="宋体"/>
                <w:sz w:val="18"/>
                <w:szCs w:val="18"/>
              </w:rPr>
            </w:pPr>
            <w:r w:rsidRPr="00831C3C">
              <w:rPr>
                <w:rFonts w:ascii="宋体" w:eastAsia="宋体" w:hAnsi="宋体" w:cs="宋体" w:hint="eastAsia"/>
                <w:sz w:val="18"/>
                <w:szCs w:val="18"/>
              </w:rPr>
              <w:t>38,874,070.64</w:t>
            </w:r>
          </w:p>
        </w:tc>
        <w:tc>
          <w:tcPr>
            <w:tcW w:w="1071" w:type="dxa"/>
            <w:tcBorders>
              <w:top w:val="single" w:sz="2" w:space="0" w:color="auto"/>
              <w:left w:val="single" w:sz="2" w:space="0" w:color="auto"/>
              <w:bottom w:val="single" w:sz="2" w:space="0" w:color="auto"/>
              <w:right w:val="single" w:sz="2" w:space="0" w:color="auto"/>
            </w:tcBorders>
          </w:tcPr>
          <w:p w:rsidR="00785C45" w:rsidRPr="00831C3C" w:rsidRDefault="00785C45" w:rsidP="00785C45">
            <w:pPr>
              <w:spacing w:line="240" w:lineRule="exact"/>
              <w:rPr>
                <w:rFonts w:ascii="宋体" w:eastAsia="宋体" w:hAnsi="宋体" w:cs="宋体"/>
                <w:sz w:val="18"/>
                <w:szCs w:val="18"/>
              </w:rPr>
            </w:pPr>
            <w:r w:rsidRPr="00831C3C">
              <w:rPr>
                <w:rFonts w:ascii="宋体" w:eastAsia="宋体" w:hAnsi="宋体" w:cs="宋体" w:hint="eastAsia"/>
                <w:sz w:val="18"/>
                <w:szCs w:val="18"/>
              </w:rPr>
              <w:t>28,241,973.78</w:t>
            </w: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按合同期限分类</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 xml:space="preserve">　其中：</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按销售渠道分类</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 xml:space="preserve">　其中：</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线上销售</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122,063,862.95</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68,549,658.24</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122,063,862.95</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68,549,658.24</w:t>
            </w: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直营销售</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10,639,888,102.37</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10,114,562,088.99</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10,639,888,102.37</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10,114,562,088.99</w:t>
            </w: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10,761,951,965.32</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10,183,111,747.23</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10,761,951,965.32</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10,183,111,747.23</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与履约义务相关的信息：</w:t>
      </w:r>
    </w:p>
    <w:p w:rsidR="00E23A97" w:rsidRPr="00831C3C" w:rsidRDefault="00E23A97">
      <w:pPr>
        <w:spacing w:line="0" w:lineRule="atLeast"/>
      </w:pP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履行履约义务的时间</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重要的支付条款</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公司承诺转让商品的性质</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是否为主要责任人</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公司承担的预期将退还给客户的款项</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公司提供的质量保证类型及相关义务</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与分摊至剩余履约义务的交易价格相关的信息：</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本报告</w:t>
      </w:r>
      <w:proofErr w:type="gramStart"/>
      <w:r w:rsidRPr="00831C3C">
        <w:rPr>
          <w:rFonts w:ascii="宋体" w:eastAsia="宋体" w:hAnsi="宋体" w:cs="宋体"/>
          <w:sz w:val="18"/>
          <w:szCs w:val="18"/>
        </w:rPr>
        <w:t>期末已</w:t>
      </w:r>
      <w:proofErr w:type="gramEnd"/>
      <w:r w:rsidRPr="00831C3C">
        <w:rPr>
          <w:rFonts w:ascii="宋体" w:eastAsia="宋体" w:hAnsi="宋体" w:cs="宋体"/>
          <w:sz w:val="18"/>
          <w:szCs w:val="18"/>
        </w:rPr>
        <w:t>签订合同、但尚未履行或尚未履行完毕的履约义务所对应的收入金额为0.00元，其中，元预计将于年度确认收入，元预计将于年度确认收入，元预计将于年度确认收入。</w:t>
      </w:r>
    </w:p>
    <w:p w:rsidR="00E23A97" w:rsidRPr="00831C3C" w:rsidRDefault="00C65FD5">
      <w:pPr>
        <w:pStyle w:val="3"/>
        <w:spacing w:line="280" w:lineRule="exact"/>
        <w:jc w:val="left"/>
        <w:rPr>
          <w:rFonts w:ascii="宋体" w:hAnsi="宋体" w:cs="宋体"/>
          <w:b/>
          <w:bCs/>
        </w:rPr>
      </w:pPr>
      <w:bookmarkStart w:id="432" w:name="_Toc989313"/>
      <w:r w:rsidRPr="00831C3C">
        <w:rPr>
          <w:rFonts w:ascii="宋体" w:hAnsi="宋体" w:cs="宋体"/>
          <w:b/>
          <w:bCs/>
        </w:rPr>
        <w:t>62、税金及附加</w:t>
      </w:r>
      <w:bookmarkEnd w:id="432"/>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上期发生额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城市维护建设税</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7,366,872.24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9,387,888.82</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教育费附加</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5,360,862.46</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6,740,351.34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房产税</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24,960,408.56</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25,466,924.58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土地使用税</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22,646,750.02</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22,711,382.77</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车船使用税</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60,419.62</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59,243.04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印花税</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19,017,976.10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15,156,721.48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1,119,615.37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895,512.79</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80,532,904.37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80,418,024.82</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p>
    <w:p w:rsidR="00C65FD5" w:rsidRPr="00831C3C" w:rsidRDefault="00C65FD5">
      <w:pPr>
        <w:divId w:val="204950900"/>
        <w:rPr>
          <w:sz w:val="18"/>
          <w:szCs w:val="18"/>
        </w:rPr>
      </w:pPr>
    </w:p>
    <w:p w:rsidR="00E23A97" w:rsidRPr="00831C3C" w:rsidRDefault="00C65FD5">
      <w:pPr>
        <w:pStyle w:val="3"/>
        <w:spacing w:line="280" w:lineRule="exact"/>
        <w:jc w:val="left"/>
        <w:rPr>
          <w:rFonts w:ascii="宋体" w:hAnsi="宋体" w:cs="宋体"/>
          <w:b/>
          <w:bCs/>
        </w:rPr>
      </w:pPr>
      <w:bookmarkStart w:id="433" w:name="_Toc989314"/>
      <w:r w:rsidRPr="00831C3C">
        <w:rPr>
          <w:rFonts w:ascii="宋体" w:hAnsi="宋体" w:cs="宋体"/>
          <w:b/>
          <w:bCs/>
        </w:rPr>
        <w:t>63、管理费用</w:t>
      </w:r>
      <w:bookmarkEnd w:id="433"/>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上期发生额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工资及相关费用</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157,404,578.51</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181,315,250.15</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办公费用</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23,342,910.60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23,994,684.01</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低值易耗品</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3,740,003.52</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4,806,654.97</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修理费</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3,422,079.76</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4,394,941.94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折旧费</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74,061,393.35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78,500,815.61</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费用摊销</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6,639,109.70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8,854,865.21</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差旅费</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3,212,342.53</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4,292,311.61</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业务招待费</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4,939,255.65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4,970,944.99</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保险费</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2,186,717.75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2,018,684.49</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14,901,054.53</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12,692,076.90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长期待摊费用摊销</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626,583.39</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1,750,209.98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租赁费</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6,223,839.40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4,904,214.61</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中介机构费</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18,406,610.92</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20,296,195.53</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319,106,479.61</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352,791,850.00</w:t>
            </w:r>
          </w:p>
        </w:tc>
      </w:tr>
    </w:tbl>
    <w:p w:rsidR="00E23A97" w:rsidRPr="00831C3C" w:rsidRDefault="00C65FD5">
      <w:pPr>
        <w:pStyle w:val="3"/>
        <w:spacing w:line="280" w:lineRule="exact"/>
        <w:jc w:val="left"/>
        <w:rPr>
          <w:rFonts w:ascii="宋体" w:hAnsi="宋体" w:cs="宋体"/>
          <w:b/>
          <w:bCs/>
        </w:rPr>
      </w:pPr>
      <w:bookmarkStart w:id="434" w:name="_Toc989315"/>
      <w:r w:rsidRPr="00831C3C">
        <w:rPr>
          <w:rFonts w:ascii="宋体" w:hAnsi="宋体" w:cs="宋体"/>
          <w:b/>
          <w:bCs/>
        </w:rPr>
        <w:t>64、销售费用</w:t>
      </w:r>
      <w:bookmarkEnd w:id="434"/>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上期发生额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工资及相关费用</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35,624,592.53</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36,579,737.02</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办公费用</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964,192.17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1,267,863.65</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租赁费</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27,105,240.31</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29,512,278.89</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低值易耗品</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4,763,809.30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1,944,800.80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修理费</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742,078.88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582,725.83</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折旧费</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8,233,901.15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6,664,881.15</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差旅费</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1,117,780.25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1,486,525.08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业务招待费</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739,698.59</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1,060,527.59</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电商平台服务费</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24,335,883.02</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31,585,723.69</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8,741,327.25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4,174,957.47</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112,368,503.45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114,860,021.17</w:t>
            </w:r>
          </w:p>
        </w:tc>
      </w:tr>
    </w:tbl>
    <w:p w:rsidR="00E23A97" w:rsidRPr="00831C3C" w:rsidRDefault="00C65FD5">
      <w:pPr>
        <w:pStyle w:val="3"/>
        <w:spacing w:line="280" w:lineRule="exact"/>
        <w:jc w:val="left"/>
        <w:rPr>
          <w:rFonts w:ascii="宋体" w:hAnsi="宋体" w:cs="宋体"/>
          <w:b/>
          <w:bCs/>
        </w:rPr>
      </w:pPr>
      <w:bookmarkStart w:id="435" w:name="_Toc989316"/>
      <w:r w:rsidRPr="00831C3C">
        <w:rPr>
          <w:rFonts w:ascii="宋体" w:hAnsi="宋体" w:cs="宋体"/>
          <w:b/>
          <w:bCs/>
        </w:rPr>
        <w:t>65、研发费用</w:t>
      </w:r>
      <w:bookmarkEnd w:id="435"/>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上期发生额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工资及奖金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40,404,608.59</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20,558,132.59</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燃料及动力</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9,429,929.25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12,110,143.71</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原材料</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79,950,105.26</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65,452,630.06</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折旧及摊销</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12,317,830.36</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7,418,176.16</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8,704,038.98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7,674,286.07</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150,806,512.44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113,213,368.59</w:t>
            </w:r>
          </w:p>
        </w:tc>
      </w:tr>
    </w:tbl>
    <w:p w:rsidR="00E23A97" w:rsidRPr="00831C3C" w:rsidRDefault="00C65FD5">
      <w:pPr>
        <w:pStyle w:val="3"/>
        <w:spacing w:line="280" w:lineRule="exact"/>
        <w:jc w:val="left"/>
        <w:rPr>
          <w:rFonts w:ascii="宋体" w:hAnsi="宋体" w:cs="宋体"/>
          <w:b/>
          <w:bCs/>
        </w:rPr>
      </w:pPr>
      <w:bookmarkStart w:id="436" w:name="_Toc989317"/>
      <w:r w:rsidRPr="00831C3C">
        <w:rPr>
          <w:rFonts w:ascii="宋体" w:hAnsi="宋体" w:cs="宋体"/>
          <w:b/>
          <w:bCs/>
        </w:rPr>
        <w:t>66、财务费用</w:t>
      </w:r>
      <w:bookmarkEnd w:id="436"/>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lastRenderedPageBreak/>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上期发生额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利息支出</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243,842,867.60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297,635,396.87</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减：利息收入</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-68,519,896.21</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-86,056,151.87</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汇兑损益</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19,660,004.98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-35,563,027.92</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未确认融资费用摊销</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489,741.81</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205,233.03</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5,589,281.82</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4,501,617.95</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201,062,000.00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180,723,068.06</w:t>
            </w:r>
          </w:p>
        </w:tc>
      </w:tr>
    </w:tbl>
    <w:p w:rsidR="00E23A97" w:rsidRPr="00831C3C" w:rsidRDefault="00C65FD5">
      <w:pPr>
        <w:pStyle w:val="3"/>
        <w:spacing w:line="280" w:lineRule="exact"/>
        <w:jc w:val="left"/>
        <w:rPr>
          <w:rFonts w:ascii="宋体" w:hAnsi="宋体" w:cs="宋体"/>
          <w:b/>
          <w:bCs/>
        </w:rPr>
      </w:pPr>
      <w:bookmarkStart w:id="437" w:name="_Toc989318"/>
      <w:r w:rsidRPr="00831C3C">
        <w:rPr>
          <w:rFonts w:ascii="宋体" w:hAnsi="宋体" w:cs="宋体"/>
          <w:b/>
          <w:bCs/>
        </w:rPr>
        <w:t>67、其他收益</w:t>
      </w:r>
      <w:bookmarkEnd w:id="437"/>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产生其他收益的来源</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上期发生额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政府补助</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112,509,107.28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163,566,708.82</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增值税减免</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19,691,262.35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33,745,256.13</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个人所得税手续费返还</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131,551.72</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429,231.77</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132,331,921.35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197,741,196.72</w:t>
            </w:r>
          </w:p>
        </w:tc>
      </w:tr>
    </w:tbl>
    <w:p w:rsidR="00E23A97" w:rsidRPr="00831C3C" w:rsidRDefault="00C65FD5">
      <w:pPr>
        <w:pStyle w:val="3"/>
        <w:spacing w:line="280" w:lineRule="exact"/>
        <w:jc w:val="left"/>
        <w:rPr>
          <w:rFonts w:ascii="宋体" w:hAnsi="宋体" w:cs="宋体"/>
          <w:b/>
          <w:bCs/>
        </w:rPr>
      </w:pPr>
      <w:bookmarkStart w:id="438" w:name="_Toc989319"/>
      <w:r w:rsidRPr="00831C3C">
        <w:rPr>
          <w:rFonts w:ascii="宋体" w:hAnsi="宋体" w:cs="宋体"/>
          <w:b/>
          <w:bCs/>
        </w:rPr>
        <w:t>68、净敞口套期收益</w:t>
      </w:r>
      <w:bookmarkEnd w:id="438"/>
    </w:p>
    <w:p w:rsidR="00E23A97" w:rsidRPr="00831C3C" w:rsidRDefault="00C65FD5">
      <w:pPr>
        <w:pStyle w:val="3"/>
        <w:spacing w:line="280" w:lineRule="exact"/>
        <w:jc w:val="left"/>
        <w:rPr>
          <w:rFonts w:ascii="宋体" w:hAnsi="宋体" w:cs="宋体"/>
          <w:b/>
          <w:bCs/>
        </w:rPr>
      </w:pPr>
      <w:bookmarkStart w:id="439" w:name="_Toc989320"/>
      <w:r w:rsidRPr="00831C3C">
        <w:rPr>
          <w:rFonts w:ascii="宋体" w:hAnsi="宋体" w:cs="宋体"/>
          <w:b/>
          <w:bCs/>
        </w:rPr>
        <w:t>69、公允价值变动收益</w:t>
      </w:r>
      <w:bookmarkEnd w:id="439"/>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产生公允价值变动收益的来源</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上期发生额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交易性金融资产</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246,581.13</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-13,329,546.28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交易性金融负债</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-39,462.74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-3,095,551.47</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207,118.39</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-16,425,097.75</w:t>
            </w:r>
          </w:p>
        </w:tc>
      </w:tr>
    </w:tbl>
    <w:p w:rsidR="00E23A97" w:rsidRPr="00831C3C" w:rsidRDefault="00C65FD5">
      <w:pPr>
        <w:pStyle w:val="3"/>
        <w:spacing w:line="280" w:lineRule="exact"/>
        <w:jc w:val="left"/>
        <w:rPr>
          <w:rFonts w:ascii="宋体" w:hAnsi="宋体" w:cs="宋体"/>
          <w:b/>
          <w:bCs/>
        </w:rPr>
      </w:pPr>
      <w:bookmarkStart w:id="440" w:name="_Toc989321"/>
      <w:r w:rsidRPr="00831C3C">
        <w:rPr>
          <w:rFonts w:ascii="宋体" w:hAnsi="宋体" w:cs="宋体"/>
          <w:b/>
          <w:bCs/>
        </w:rPr>
        <w:t>70、投资收益</w:t>
      </w:r>
      <w:bookmarkEnd w:id="440"/>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上期发生额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权益法核算的长期股权投资收益</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7,325,415.78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7,932,426.95</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处置长期股权投资产生的投资收益</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7,067,840.02</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21,554,648.12</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处置交易性金融资产取得的投资收益</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11,735,128.65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-134,216.33</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其他权益工具投资在持有期间取得的股利收入</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4,614,639.48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6,896,343.59</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委托理财收益</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7,044,505.62</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7,232,674.31</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37,787,529.55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43,481,876.64</w:t>
            </w:r>
          </w:p>
        </w:tc>
      </w:tr>
    </w:tbl>
    <w:p w:rsidR="00E23A97" w:rsidRPr="00831C3C" w:rsidRDefault="00C65FD5">
      <w:pPr>
        <w:pStyle w:val="3"/>
        <w:spacing w:line="280" w:lineRule="exact"/>
        <w:jc w:val="left"/>
        <w:rPr>
          <w:rFonts w:ascii="宋体" w:hAnsi="宋体" w:cs="宋体"/>
          <w:b/>
          <w:bCs/>
        </w:rPr>
      </w:pPr>
      <w:bookmarkStart w:id="441" w:name="_Toc989322"/>
      <w:r w:rsidRPr="00831C3C">
        <w:rPr>
          <w:rFonts w:ascii="宋体" w:hAnsi="宋体" w:cs="宋体"/>
          <w:b/>
          <w:bCs/>
        </w:rPr>
        <w:t>71、信用减值损失</w:t>
      </w:r>
      <w:bookmarkEnd w:id="441"/>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上期发生额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应收票据坏账损失</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-336,876.37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282,860.80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应收账款坏账损失</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-29,565,347.85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-10,737,427.38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其他应收款坏账损失</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-20,763,493.75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-25,576,766.14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长期应收款坏账损失</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-154,608.69</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1,930,180.14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lastRenderedPageBreak/>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-50,820,326.66</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-34,101,152.58</w:t>
            </w:r>
          </w:p>
        </w:tc>
      </w:tr>
    </w:tbl>
    <w:p w:rsidR="00E23A97" w:rsidRPr="00831C3C" w:rsidRDefault="00C65FD5">
      <w:pPr>
        <w:pStyle w:val="3"/>
        <w:spacing w:line="280" w:lineRule="exact"/>
        <w:jc w:val="left"/>
        <w:rPr>
          <w:rFonts w:ascii="宋体" w:hAnsi="宋体" w:cs="宋体"/>
          <w:b/>
          <w:bCs/>
        </w:rPr>
      </w:pPr>
      <w:bookmarkStart w:id="442" w:name="_Toc989323"/>
      <w:r w:rsidRPr="00831C3C">
        <w:rPr>
          <w:rFonts w:ascii="宋体" w:hAnsi="宋体" w:cs="宋体"/>
          <w:b/>
          <w:bCs/>
        </w:rPr>
        <w:t>72、资产减值损失</w:t>
      </w:r>
      <w:bookmarkEnd w:id="442"/>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上期发生额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一、存货跌价损失及合同履约成本减值损失</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-66,291,361.85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26,310,983.35</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十、商誉减值损失</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-19,831,313.14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-86,122,674.99</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26,310,983.35</w:t>
            </w:r>
          </w:p>
        </w:tc>
      </w:tr>
    </w:tbl>
    <w:p w:rsidR="00E23A97" w:rsidRPr="00831C3C" w:rsidRDefault="00C65FD5">
      <w:pPr>
        <w:pStyle w:val="3"/>
        <w:spacing w:line="280" w:lineRule="exact"/>
        <w:jc w:val="left"/>
        <w:rPr>
          <w:rFonts w:ascii="宋体" w:hAnsi="宋体" w:cs="宋体"/>
          <w:b/>
          <w:bCs/>
        </w:rPr>
      </w:pPr>
      <w:bookmarkStart w:id="443" w:name="_Toc989324"/>
      <w:r w:rsidRPr="00831C3C">
        <w:rPr>
          <w:rFonts w:ascii="宋体" w:hAnsi="宋体" w:cs="宋体"/>
          <w:b/>
          <w:bCs/>
        </w:rPr>
        <w:t>73、资产处置收益</w:t>
      </w:r>
      <w:bookmarkEnd w:id="443"/>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资产处置收益的来源</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上期发生额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固定资产处置利得或损失</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-2,230,527.02</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110,597,846.63</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在建工程处置利得或损失</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34,493,989.18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35,863,782.42</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无形资产处置利得或损失</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6,467,411.18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使用权资产处置利得或损失</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1,205,846.63</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33,469,308.79</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152,929,040.23</w:t>
            </w:r>
          </w:p>
        </w:tc>
      </w:tr>
    </w:tbl>
    <w:p w:rsidR="00E23A97" w:rsidRPr="00831C3C" w:rsidRDefault="00C65FD5">
      <w:pPr>
        <w:pStyle w:val="3"/>
        <w:spacing w:line="280" w:lineRule="exact"/>
        <w:jc w:val="left"/>
        <w:rPr>
          <w:rFonts w:ascii="宋体" w:hAnsi="宋体" w:cs="宋体"/>
          <w:b/>
          <w:bCs/>
        </w:rPr>
      </w:pPr>
      <w:bookmarkStart w:id="444" w:name="_Toc989325"/>
      <w:r w:rsidRPr="00831C3C">
        <w:rPr>
          <w:rFonts w:ascii="宋体" w:hAnsi="宋体" w:cs="宋体"/>
          <w:b/>
          <w:bCs/>
        </w:rPr>
        <w:t>74、营业外收入</w:t>
      </w:r>
      <w:bookmarkEnd w:id="444"/>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本期发生额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上期发生额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计入当期非经常性损益的金额</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无法支付的债务</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4,151,909.85</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6,082,763.60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4,151,909.85</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赔偿金</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4,925,747.73</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2,760,294.40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4,925,747.73</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其他</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2,728,323.67</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7,269,626.70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2,728,323.67</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11,805,981.25</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16,112,684.70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11,805,981.25</w:t>
            </w:r>
          </w:p>
        </w:tc>
      </w:tr>
    </w:tbl>
    <w:p w:rsidR="00E23A97" w:rsidRPr="00831C3C" w:rsidRDefault="00C65FD5">
      <w:pPr>
        <w:pStyle w:val="3"/>
        <w:spacing w:line="280" w:lineRule="exact"/>
        <w:jc w:val="left"/>
        <w:rPr>
          <w:rFonts w:ascii="宋体" w:hAnsi="宋体" w:cs="宋体"/>
          <w:b/>
          <w:bCs/>
        </w:rPr>
      </w:pPr>
      <w:bookmarkStart w:id="445" w:name="_Toc989326"/>
      <w:r w:rsidRPr="00831C3C">
        <w:rPr>
          <w:rFonts w:ascii="宋体" w:hAnsi="宋体" w:cs="宋体"/>
          <w:b/>
          <w:bCs/>
        </w:rPr>
        <w:t>75、营业外支出</w:t>
      </w:r>
      <w:bookmarkEnd w:id="445"/>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本期发生额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上期发生额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计入当期非经常性损益的金额</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固定资产报废损失</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420,801.38</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594,587.71</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420,801.38</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罚款滞纳金支出</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1,999,070.62</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907,152.04</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1,999,070.62</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捐赠支出</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925,046.82</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934,540.22</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925,046.82</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赔偿支出</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460,881.53</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394,382.04</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460,881.53</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其他</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583,039.55</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2,231,557.80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583,039.55</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4,388,839.90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5,062,219.81</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4,388,839.90</w:t>
            </w:r>
          </w:p>
        </w:tc>
      </w:tr>
    </w:tbl>
    <w:p w:rsidR="00E23A97" w:rsidRPr="00831C3C" w:rsidRDefault="00C65FD5">
      <w:pPr>
        <w:pStyle w:val="3"/>
        <w:spacing w:line="280" w:lineRule="exact"/>
        <w:jc w:val="left"/>
        <w:rPr>
          <w:rFonts w:ascii="宋体" w:hAnsi="宋体" w:cs="宋体"/>
          <w:b/>
          <w:bCs/>
        </w:rPr>
      </w:pPr>
      <w:bookmarkStart w:id="446" w:name="_Toc989327"/>
      <w:r w:rsidRPr="00831C3C">
        <w:rPr>
          <w:rFonts w:ascii="宋体" w:hAnsi="宋体" w:cs="宋体"/>
          <w:b/>
          <w:bCs/>
        </w:rPr>
        <w:t>76、所得税费用</w:t>
      </w:r>
      <w:bookmarkEnd w:id="446"/>
    </w:p>
    <w:p w:rsidR="00E23A97" w:rsidRPr="00831C3C" w:rsidRDefault="00C65FD5">
      <w:pPr>
        <w:keepNext/>
        <w:keepLines/>
        <w:spacing w:before="300" w:after="300" w:line="280" w:lineRule="exact"/>
        <w:outlineLvl w:val="3"/>
        <w:rPr>
          <w:rFonts w:ascii="宋体" w:eastAsia="宋体" w:hAnsi="宋体" w:cs="宋体"/>
          <w:b/>
          <w:bCs/>
          <w:szCs w:val="21"/>
        </w:rPr>
      </w:pPr>
      <w:bookmarkStart w:id="447" w:name="_Toc989328"/>
      <w:r w:rsidRPr="00831C3C">
        <w:rPr>
          <w:rFonts w:ascii="宋体" w:eastAsia="宋体" w:hAnsi="宋体" w:cs="宋体"/>
          <w:b/>
          <w:bCs/>
          <w:szCs w:val="21"/>
        </w:rPr>
        <w:t>（1）所得税费用表</w:t>
      </w:r>
      <w:bookmarkEnd w:id="447"/>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上期发生额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lastRenderedPageBreak/>
              <w:t>当期所得税费用</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12,954,989.23</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35,648,805.34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递延所得税费用</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-28,642,842.27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13,881,854.59</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-15,687,853.04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49,530,659.93</w:t>
            </w:r>
          </w:p>
        </w:tc>
      </w:tr>
    </w:tbl>
    <w:p w:rsidR="00E23A97" w:rsidRPr="00831C3C" w:rsidRDefault="00C65FD5">
      <w:pPr>
        <w:keepNext/>
        <w:keepLines/>
        <w:spacing w:before="300" w:after="300" w:line="280" w:lineRule="exact"/>
        <w:outlineLvl w:val="3"/>
        <w:rPr>
          <w:rFonts w:ascii="宋体" w:eastAsia="宋体" w:hAnsi="宋体" w:cs="宋体"/>
          <w:b/>
          <w:bCs/>
          <w:szCs w:val="21"/>
        </w:rPr>
      </w:pPr>
      <w:bookmarkStart w:id="448" w:name="_Toc989329"/>
      <w:r w:rsidRPr="00831C3C">
        <w:rPr>
          <w:rFonts w:ascii="宋体" w:eastAsia="宋体" w:hAnsi="宋体" w:cs="宋体"/>
          <w:b/>
          <w:bCs/>
          <w:szCs w:val="21"/>
        </w:rPr>
        <w:t>（2）会计利润与所得税费用调整过程</w:t>
      </w:r>
      <w:bookmarkEnd w:id="448"/>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4820"/>
        <w:gridCol w:w="4819"/>
      </w:tblGrid>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本期发生额</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利润总额</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-210,766,164.00</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按法定/适用税率计算的所得税费用</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-31,614,924.60</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子公司适用不同税率的影响</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-13,013,861.49</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调整以前期间所得税的影响</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2,975,230.61</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非应税收入的影响</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-1,230,331.37</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不可抵扣的成本、费用和损失的影响</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-2,683,868.21</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使用前期未确认递延所得税资产的可抵扣亏损的影响</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8,517,759.73</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proofErr w:type="gramStart"/>
            <w:r w:rsidRPr="00831C3C">
              <w:rPr>
                <w:rFonts w:ascii="宋体" w:eastAsia="宋体" w:hAnsi="宋体" w:cs="宋体"/>
                <w:sz w:val="18"/>
                <w:szCs w:val="18"/>
              </w:rPr>
              <w:t>本期未</w:t>
            </w:r>
            <w:proofErr w:type="gramEnd"/>
            <w:r w:rsidRPr="00831C3C">
              <w:rPr>
                <w:rFonts w:ascii="宋体" w:eastAsia="宋体" w:hAnsi="宋体" w:cs="宋体"/>
                <w:sz w:val="18"/>
                <w:szCs w:val="18"/>
              </w:rPr>
              <w:t>确认递延所得税资产的可抵扣暂时性差异或可抵扣亏损的影响</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31,696,857.88</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本公司税收优惠的影响</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89,331.95</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税率变动对</w:t>
            </w:r>
            <w:proofErr w:type="gramStart"/>
            <w:r w:rsidRPr="00831C3C">
              <w:rPr>
                <w:rFonts w:ascii="宋体" w:eastAsia="宋体" w:hAnsi="宋体" w:cs="宋体"/>
                <w:sz w:val="18"/>
                <w:szCs w:val="18"/>
              </w:rPr>
              <w:t>期初递延</w:t>
            </w:r>
            <w:proofErr w:type="gramEnd"/>
            <w:r w:rsidRPr="00831C3C">
              <w:rPr>
                <w:rFonts w:ascii="宋体" w:eastAsia="宋体" w:hAnsi="宋体" w:cs="宋体"/>
                <w:sz w:val="18"/>
                <w:szCs w:val="18"/>
              </w:rPr>
              <w:t>所得税余额的影响</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1,258,119.26</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研发费用加计扣除</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-11,682,166.80</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所得税费用</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-15,687,853.04</w:t>
            </w:r>
          </w:p>
        </w:tc>
      </w:tr>
    </w:tbl>
    <w:p w:rsidR="00E23A97" w:rsidRPr="00831C3C" w:rsidRDefault="00C65FD5">
      <w:pPr>
        <w:pStyle w:val="3"/>
        <w:spacing w:line="280" w:lineRule="exact"/>
        <w:jc w:val="left"/>
        <w:rPr>
          <w:rFonts w:ascii="宋体" w:hAnsi="宋体" w:cs="宋体"/>
          <w:b/>
          <w:bCs/>
        </w:rPr>
      </w:pPr>
      <w:bookmarkStart w:id="449" w:name="_Toc989330"/>
      <w:r w:rsidRPr="00831C3C">
        <w:rPr>
          <w:rFonts w:ascii="宋体" w:hAnsi="宋体" w:cs="宋体"/>
          <w:b/>
          <w:bCs/>
        </w:rPr>
        <w:t>77、其他综合收益</w:t>
      </w:r>
      <w:bookmarkEnd w:id="449"/>
    </w:p>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详见附注</w:t>
      </w:r>
      <w:r w:rsidR="00785C45" w:rsidRPr="00831C3C">
        <w:rPr>
          <w:rFonts w:ascii="宋体" w:eastAsia="宋体" w:hAnsi="宋体" w:cs="宋体" w:hint="eastAsia"/>
          <w:sz w:val="18"/>
          <w:szCs w:val="18"/>
        </w:rPr>
        <w:t>57</w:t>
      </w:r>
      <w:r w:rsidRPr="00831C3C">
        <w:rPr>
          <w:rFonts w:ascii="宋体" w:eastAsia="宋体" w:hAnsi="宋体" w:cs="宋体"/>
          <w:sz w:val="18"/>
          <w:szCs w:val="18"/>
        </w:rPr>
        <w:t>。</w:t>
      </w:r>
    </w:p>
    <w:p w:rsidR="00E23A97" w:rsidRPr="00831C3C" w:rsidRDefault="00C65FD5">
      <w:pPr>
        <w:pStyle w:val="3"/>
        <w:spacing w:line="280" w:lineRule="exact"/>
        <w:jc w:val="left"/>
        <w:rPr>
          <w:rFonts w:ascii="宋体" w:hAnsi="宋体" w:cs="宋体"/>
          <w:b/>
          <w:bCs/>
        </w:rPr>
      </w:pPr>
      <w:bookmarkStart w:id="450" w:name="_Toc989331"/>
      <w:r w:rsidRPr="00831C3C">
        <w:rPr>
          <w:rFonts w:ascii="宋体" w:hAnsi="宋体" w:cs="宋体"/>
          <w:b/>
          <w:bCs/>
        </w:rPr>
        <w:t>78、现金流量表项目</w:t>
      </w:r>
      <w:bookmarkEnd w:id="450"/>
    </w:p>
    <w:p w:rsidR="00E23A97" w:rsidRPr="00831C3C" w:rsidRDefault="00C65FD5">
      <w:pPr>
        <w:keepNext/>
        <w:keepLines/>
        <w:spacing w:before="300" w:after="300" w:line="280" w:lineRule="exact"/>
        <w:outlineLvl w:val="3"/>
        <w:rPr>
          <w:rFonts w:ascii="宋体" w:eastAsia="宋体" w:hAnsi="宋体" w:cs="宋体"/>
          <w:b/>
          <w:bCs/>
          <w:szCs w:val="21"/>
        </w:rPr>
      </w:pPr>
      <w:bookmarkStart w:id="451" w:name="_Toc989332"/>
      <w:r w:rsidRPr="00831C3C">
        <w:rPr>
          <w:rFonts w:ascii="宋体" w:eastAsia="宋体" w:hAnsi="宋体" w:cs="宋体"/>
          <w:b/>
          <w:bCs/>
          <w:szCs w:val="21"/>
        </w:rPr>
        <w:t>（1）与经营活动有关的现金</w:t>
      </w:r>
      <w:bookmarkEnd w:id="451"/>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收到的其他与经营活动有关的现金</w:t>
      </w:r>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上期发生额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利息收入</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68,519,896.21</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86,056,151.87</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政府补助</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378,492,613.11</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226,940,179.38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往来款及其他</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29,282,889.46</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70,500,780.77</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476,295,398.78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383,497,112.02</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收到的其他与经营活动有关的现金说明：</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支付的其他与经营活动有关的现金</w:t>
      </w:r>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上期发生额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费用类支出</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274,157,750.05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175,793,783.74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往来款及其他</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28,376,678.98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49,682,720.88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302,534,429.03</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225,476,504.62</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支付的其他与经营活动有关的现金说明：</w:t>
      </w:r>
    </w:p>
    <w:p w:rsidR="00C65FD5" w:rsidRPr="00831C3C" w:rsidRDefault="00C65FD5">
      <w:pPr>
        <w:divId w:val="1367147011"/>
        <w:rPr>
          <w:sz w:val="18"/>
          <w:szCs w:val="18"/>
        </w:rPr>
      </w:pPr>
    </w:p>
    <w:p w:rsidR="00E23A97" w:rsidRPr="00831C3C" w:rsidRDefault="00C65FD5">
      <w:pPr>
        <w:keepNext/>
        <w:keepLines/>
        <w:spacing w:before="300" w:after="300" w:line="280" w:lineRule="exact"/>
        <w:outlineLvl w:val="3"/>
        <w:rPr>
          <w:rFonts w:ascii="宋体" w:eastAsia="宋体" w:hAnsi="宋体" w:cs="宋体"/>
          <w:b/>
          <w:bCs/>
          <w:szCs w:val="21"/>
        </w:rPr>
      </w:pPr>
      <w:bookmarkStart w:id="452" w:name="_Toc989333"/>
      <w:r w:rsidRPr="00831C3C">
        <w:rPr>
          <w:rFonts w:ascii="宋体" w:eastAsia="宋体" w:hAnsi="宋体" w:cs="宋体"/>
          <w:b/>
          <w:bCs/>
          <w:szCs w:val="21"/>
        </w:rPr>
        <w:lastRenderedPageBreak/>
        <w:t>（2）与投资活动有关的现金</w:t>
      </w:r>
      <w:bookmarkEnd w:id="452"/>
    </w:p>
    <w:p w:rsidR="00E23A97" w:rsidRPr="00831C3C" w:rsidRDefault="00C65FD5">
      <w:pPr>
        <w:keepNext/>
        <w:keepLines/>
        <w:spacing w:before="300" w:after="300" w:line="280" w:lineRule="exact"/>
        <w:outlineLvl w:val="3"/>
        <w:rPr>
          <w:rFonts w:ascii="宋体" w:eastAsia="宋体" w:hAnsi="宋体" w:cs="宋体"/>
          <w:b/>
          <w:bCs/>
          <w:szCs w:val="21"/>
        </w:rPr>
      </w:pPr>
      <w:bookmarkStart w:id="453" w:name="_Toc989334"/>
      <w:r w:rsidRPr="00831C3C">
        <w:rPr>
          <w:rFonts w:ascii="宋体" w:eastAsia="宋体" w:hAnsi="宋体" w:cs="宋体"/>
          <w:b/>
          <w:bCs/>
          <w:szCs w:val="21"/>
        </w:rPr>
        <w:t>（3）与筹资活动有关的现金</w:t>
      </w:r>
      <w:bookmarkEnd w:id="453"/>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收到的其他与筹资活动有关的现金</w:t>
      </w:r>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上期发生额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受限的货币资金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113,457,176.61</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421,199,728.41</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113,457,176.61</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421,199,728.41</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支付的其他与筹资活动有关的现金</w:t>
      </w:r>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上期发生额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关联往来</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689,297.11</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3,174,491.18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回购公司股票</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100,033,114.48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153,096,733.44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支付租赁负债</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19,685,977.65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3,163,248.95</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120,408,389.24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159,434,473.57</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筹资活动产生的各项负债变动情况</w:t>
      </w:r>
    </w:p>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keepNext/>
        <w:keepLines/>
        <w:spacing w:before="300" w:after="300" w:line="280" w:lineRule="exact"/>
        <w:outlineLvl w:val="3"/>
        <w:rPr>
          <w:rFonts w:ascii="宋体" w:eastAsia="宋体" w:hAnsi="宋体" w:cs="宋体"/>
          <w:b/>
          <w:bCs/>
          <w:szCs w:val="21"/>
        </w:rPr>
      </w:pPr>
      <w:bookmarkStart w:id="454" w:name="_Toc989335"/>
      <w:r w:rsidRPr="00831C3C">
        <w:rPr>
          <w:rFonts w:ascii="宋体" w:eastAsia="宋体" w:hAnsi="宋体" w:cs="宋体"/>
          <w:b/>
          <w:bCs/>
          <w:szCs w:val="21"/>
        </w:rPr>
        <w:t>（4）以净额列报现金流量的说明</w:t>
      </w:r>
      <w:bookmarkEnd w:id="454"/>
    </w:p>
    <w:p w:rsidR="00E23A97" w:rsidRPr="00831C3C" w:rsidRDefault="00C65FD5">
      <w:pPr>
        <w:keepNext/>
        <w:keepLines/>
        <w:spacing w:before="300" w:after="300" w:line="280" w:lineRule="exact"/>
        <w:outlineLvl w:val="3"/>
        <w:rPr>
          <w:rFonts w:ascii="宋体" w:eastAsia="宋体" w:hAnsi="宋体" w:cs="宋体"/>
          <w:b/>
          <w:bCs/>
          <w:szCs w:val="21"/>
        </w:rPr>
      </w:pPr>
      <w:bookmarkStart w:id="455" w:name="_Toc989336"/>
      <w:r w:rsidRPr="00831C3C">
        <w:rPr>
          <w:rFonts w:ascii="宋体" w:eastAsia="宋体" w:hAnsi="宋体" w:cs="宋体"/>
          <w:b/>
          <w:bCs/>
          <w:szCs w:val="21"/>
        </w:rPr>
        <w:t>（5）不涉及当期现金收支、但影响企业财务状况或在未来可能影响企业现金流量的重大活动及财务影响</w:t>
      </w:r>
      <w:bookmarkEnd w:id="455"/>
    </w:p>
    <w:p w:rsidR="00E23A97" w:rsidRPr="00831C3C" w:rsidRDefault="00C65FD5">
      <w:pPr>
        <w:pStyle w:val="3"/>
        <w:spacing w:line="280" w:lineRule="exact"/>
        <w:jc w:val="left"/>
        <w:rPr>
          <w:rFonts w:ascii="宋体" w:hAnsi="宋体" w:cs="宋体"/>
          <w:b/>
          <w:bCs/>
        </w:rPr>
      </w:pPr>
      <w:bookmarkStart w:id="456" w:name="_Toc989337"/>
      <w:r w:rsidRPr="00831C3C">
        <w:rPr>
          <w:rFonts w:ascii="宋体" w:hAnsi="宋体" w:cs="宋体"/>
          <w:b/>
          <w:bCs/>
        </w:rPr>
        <w:t>79、现金流量表补充资料</w:t>
      </w:r>
      <w:bookmarkEnd w:id="456"/>
    </w:p>
    <w:p w:rsidR="00E23A97" w:rsidRPr="00831C3C" w:rsidRDefault="00C65FD5">
      <w:pPr>
        <w:keepNext/>
        <w:keepLines/>
        <w:spacing w:before="300" w:after="300" w:line="280" w:lineRule="exact"/>
        <w:outlineLvl w:val="3"/>
        <w:rPr>
          <w:rFonts w:ascii="宋体" w:eastAsia="宋体" w:hAnsi="宋体" w:cs="宋体"/>
          <w:b/>
          <w:bCs/>
          <w:szCs w:val="21"/>
        </w:rPr>
      </w:pPr>
      <w:bookmarkStart w:id="457" w:name="_Toc989338"/>
      <w:r w:rsidRPr="00831C3C">
        <w:rPr>
          <w:rFonts w:ascii="宋体" w:eastAsia="宋体" w:hAnsi="宋体" w:cs="宋体"/>
          <w:b/>
          <w:bCs/>
          <w:szCs w:val="21"/>
        </w:rPr>
        <w:t>（1）现金流量表补充资料</w:t>
      </w:r>
      <w:bookmarkEnd w:id="457"/>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补充资料</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本期金额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上期金额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1．将净利润调节为经营活动现金流量</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净利润</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-195,078,310.96</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69,103,559.98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加：资产减值准备</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136,943,001.65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7,790,169.23</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300" w:firstLine="540"/>
              <w:rPr>
                <w:rFonts w:ascii="宋体" w:eastAsia="宋体" w:hAnsi="宋体" w:cs="宋体"/>
                <w:sz w:val="18"/>
                <w:szCs w:val="18"/>
              </w:rPr>
            </w:pPr>
            <w:r w:rsidRPr="00831C3C">
              <w:rPr>
                <w:rFonts w:ascii="宋体" w:eastAsia="宋体" w:hAnsi="宋体" w:cs="宋体"/>
                <w:sz w:val="18"/>
                <w:szCs w:val="18"/>
              </w:rPr>
              <w:t>固定资产折旧、油气资产折耗、生产性生物资产折旧</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523,453,099.27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521,060,248.62</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300" w:firstLine="540"/>
              <w:rPr>
                <w:rFonts w:ascii="宋体" w:eastAsia="宋体" w:hAnsi="宋体" w:cs="宋体"/>
                <w:sz w:val="18"/>
                <w:szCs w:val="18"/>
              </w:rPr>
            </w:pPr>
            <w:r w:rsidRPr="00831C3C">
              <w:rPr>
                <w:rFonts w:ascii="宋体" w:eastAsia="宋体" w:hAnsi="宋体" w:cs="宋体"/>
                <w:sz w:val="18"/>
                <w:szCs w:val="18"/>
              </w:rPr>
              <w:t>使用权资产折旧</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9,227,055.63</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9,037,555.53</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300" w:firstLine="540"/>
              <w:rPr>
                <w:rFonts w:ascii="宋体" w:eastAsia="宋体" w:hAnsi="宋体" w:cs="宋体"/>
                <w:sz w:val="18"/>
                <w:szCs w:val="18"/>
              </w:rPr>
            </w:pPr>
            <w:r w:rsidRPr="00831C3C">
              <w:rPr>
                <w:rFonts w:ascii="宋体" w:eastAsia="宋体" w:hAnsi="宋体" w:cs="宋体"/>
                <w:sz w:val="18"/>
                <w:szCs w:val="18"/>
              </w:rPr>
              <w:t>无形资产摊销</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24,665,201.85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29,174,866.50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300" w:firstLine="540"/>
              <w:rPr>
                <w:rFonts w:ascii="宋体" w:eastAsia="宋体" w:hAnsi="宋体" w:cs="宋体"/>
                <w:sz w:val="18"/>
                <w:szCs w:val="18"/>
              </w:rPr>
            </w:pPr>
            <w:r w:rsidRPr="00831C3C">
              <w:rPr>
                <w:rFonts w:ascii="宋体" w:eastAsia="宋体" w:hAnsi="宋体" w:cs="宋体"/>
                <w:sz w:val="18"/>
                <w:szCs w:val="18"/>
              </w:rPr>
              <w:t>长期待摊费用摊销</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15,396,680.41</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19,387,225.65</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300" w:firstLine="540"/>
              <w:rPr>
                <w:rFonts w:ascii="宋体" w:eastAsia="宋体" w:hAnsi="宋体" w:cs="宋体"/>
                <w:sz w:val="18"/>
                <w:szCs w:val="18"/>
              </w:rPr>
            </w:pPr>
            <w:r w:rsidRPr="00831C3C">
              <w:rPr>
                <w:rFonts w:ascii="宋体" w:eastAsia="宋体" w:hAnsi="宋体" w:cs="宋体"/>
                <w:sz w:val="18"/>
                <w:szCs w:val="18"/>
              </w:rPr>
              <w:t>处置固定资产、无形资产和其他长期资产的损失（收益以“－”号填列）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-33,469,308.79</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-152,929,040.23</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300" w:firstLine="540"/>
              <w:rPr>
                <w:rFonts w:ascii="宋体" w:eastAsia="宋体" w:hAnsi="宋体" w:cs="宋体"/>
                <w:sz w:val="18"/>
                <w:szCs w:val="18"/>
              </w:rPr>
            </w:pPr>
            <w:r w:rsidRPr="00831C3C">
              <w:rPr>
                <w:rFonts w:ascii="宋体" w:eastAsia="宋体" w:hAnsi="宋体" w:cs="宋体"/>
                <w:sz w:val="18"/>
                <w:szCs w:val="18"/>
              </w:rPr>
              <w:t>固定资产报废损失（收益以“－”号填列）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420,801.38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594,587.71</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300" w:firstLine="540"/>
              <w:rPr>
                <w:rFonts w:ascii="宋体" w:eastAsia="宋体" w:hAnsi="宋体" w:cs="宋体"/>
                <w:sz w:val="18"/>
                <w:szCs w:val="18"/>
              </w:rPr>
            </w:pPr>
            <w:r w:rsidRPr="00831C3C">
              <w:rPr>
                <w:rFonts w:ascii="宋体" w:eastAsia="宋体" w:hAnsi="宋体" w:cs="宋体"/>
                <w:sz w:val="18"/>
                <w:szCs w:val="18"/>
              </w:rPr>
              <w:t>公允价值变动损失（收益以“－”号填列）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-207,118.39</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16,425,097.75</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300" w:firstLine="540"/>
              <w:rPr>
                <w:rFonts w:ascii="宋体" w:eastAsia="宋体" w:hAnsi="宋体" w:cs="宋体"/>
                <w:sz w:val="18"/>
                <w:szCs w:val="18"/>
              </w:rPr>
            </w:pPr>
            <w:r w:rsidRPr="00831C3C">
              <w:rPr>
                <w:rFonts w:ascii="宋体" w:eastAsia="宋体" w:hAnsi="宋体" w:cs="宋体"/>
                <w:sz w:val="18"/>
                <w:szCs w:val="18"/>
              </w:rPr>
              <w:t>财务费用（收益以“－”号填</w:t>
            </w:r>
            <w:r w:rsidRPr="00831C3C">
              <w:rPr>
                <w:rFonts w:ascii="宋体" w:eastAsia="宋体" w:hAnsi="宋体" w:cs="宋体"/>
                <w:sz w:val="18"/>
                <w:szCs w:val="18"/>
              </w:rPr>
              <w:lastRenderedPageBreak/>
              <w:t>列）</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lastRenderedPageBreak/>
              <w:t>264,699,302.85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215,178,392.07</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300" w:firstLine="540"/>
              <w:rPr>
                <w:rFonts w:ascii="宋体" w:eastAsia="宋体" w:hAnsi="宋体" w:cs="宋体"/>
                <w:sz w:val="18"/>
                <w:szCs w:val="18"/>
              </w:rPr>
            </w:pPr>
            <w:r w:rsidRPr="00831C3C">
              <w:rPr>
                <w:rFonts w:ascii="宋体" w:eastAsia="宋体" w:hAnsi="宋体" w:cs="宋体"/>
                <w:sz w:val="18"/>
                <w:szCs w:val="18"/>
              </w:rPr>
              <w:lastRenderedPageBreak/>
              <w:t>投资损失（收益以“－”号填列）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-37,787,529.55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-43,481,876.64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300" w:firstLine="540"/>
              <w:rPr>
                <w:rFonts w:ascii="宋体" w:eastAsia="宋体" w:hAnsi="宋体" w:cs="宋体"/>
                <w:sz w:val="18"/>
                <w:szCs w:val="18"/>
              </w:rPr>
            </w:pPr>
            <w:r w:rsidRPr="00831C3C">
              <w:rPr>
                <w:rFonts w:ascii="宋体" w:eastAsia="宋体" w:hAnsi="宋体" w:cs="宋体"/>
                <w:sz w:val="18"/>
                <w:szCs w:val="18"/>
              </w:rPr>
              <w:t>递延所得税资产减少（增加以“－”号填列）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-29,095,808.81</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18,899,969.65</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300" w:firstLine="540"/>
              <w:rPr>
                <w:rFonts w:ascii="宋体" w:eastAsia="宋体" w:hAnsi="宋体" w:cs="宋体"/>
                <w:sz w:val="18"/>
                <w:szCs w:val="18"/>
              </w:rPr>
            </w:pPr>
            <w:r w:rsidRPr="00831C3C">
              <w:rPr>
                <w:rFonts w:ascii="宋体" w:eastAsia="宋体" w:hAnsi="宋体" w:cs="宋体"/>
                <w:sz w:val="18"/>
                <w:szCs w:val="18"/>
              </w:rPr>
              <w:t>递延所得税负债增加（减少以“－”号填列）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257,746.67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-11,069,066.55</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300" w:firstLine="540"/>
              <w:rPr>
                <w:rFonts w:ascii="宋体" w:eastAsia="宋体" w:hAnsi="宋体" w:cs="宋体"/>
                <w:sz w:val="18"/>
                <w:szCs w:val="18"/>
              </w:rPr>
            </w:pPr>
            <w:r w:rsidRPr="00831C3C">
              <w:rPr>
                <w:rFonts w:ascii="宋体" w:eastAsia="宋体" w:hAnsi="宋体" w:cs="宋体"/>
                <w:sz w:val="18"/>
                <w:szCs w:val="18"/>
              </w:rPr>
              <w:t>存货的减少（增加以“－”号填列）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179,518,621.45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358,731,876.33</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300" w:firstLine="540"/>
              <w:rPr>
                <w:rFonts w:ascii="宋体" w:eastAsia="宋体" w:hAnsi="宋体" w:cs="宋体"/>
                <w:sz w:val="18"/>
                <w:szCs w:val="18"/>
              </w:rPr>
            </w:pPr>
            <w:r w:rsidRPr="00831C3C">
              <w:rPr>
                <w:rFonts w:ascii="宋体" w:eastAsia="宋体" w:hAnsi="宋体" w:cs="宋体"/>
                <w:sz w:val="18"/>
                <w:szCs w:val="18"/>
              </w:rPr>
              <w:t>经营性应收项目的减少（增加以“－”号填列）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-866,975,815.88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-452,692,465.13</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300" w:firstLine="540"/>
              <w:rPr>
                <w:rFonts w:ascii="宋体" w:eastAsia="宋体" w:hAnsi="宋体" w:cs="宋体"/>
                <w:sz w:val="18"/>
                <w:szCs w:val="18"/>
              </w:rPr>
            </w:pPr>
            <w:r w:rsidRPr="00831C3C">
              <w:rPr>
                <w:rFonts w:ascii="宋体" w:eastAsia="宋体" w:hAnsi="宋体" w:cs="宋体"/>
                <w:sz w:val="18"/>
                <w:szCs w:val="18"/>
              </w:rPr>
              <w:t>经营性应付项目的增加（减少以“－”号填列）</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280,246,816.61</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252,562,120.92</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300" w:firstLine="540"/>
              <w:rPr>
                <w:rFonts w:ascii="宋体" w:eastAsia="宋体" w:hAnsi="宋体" w:cs="宋体"/>
                <w:sz w:val="18"/>
                <w:szCs w:val="18"/>
              </w:rPr>
            </w:pPr>
            <w:r w:rsidRPr="00831C3C">
              <w:rPr>
                <w:rFonts w:ascii="宋体" w:eastAsia="宋体" w:hAnsi="宋体" w:cs="宋体"/>
                <w:sz w:val="18"/>
                <w:szCs w:val="18"/>
              </w:rPr>
              <w:t>其他</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300" w:firstLine="540"/>
              <w:rPr>
                <w:rFonts w:ascii="宋体" w:eastAsia="宋体" w:hAnsi="宋体" w:cs="宋体"/>
                <w:sz w:val="18"/>
                <w:szCs w:val="18"/>
              </w:rPr>
            </w:pPr>
            <w:r w:rsidRPr="00831C3C">
              <w:rPr>
                <w:rFonts w:ascii="宋体" w:eastAsia="宋体" w:hAnsi="宋体" w:cs="宋体"/>
                <w:sz w:val="18"/>
                <w:szCs w:val="18"/>
              </w:rPr>
              <w:t>经营活动产生的现金流量净额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272,214,435.39</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857,773,221.39</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2．不涉及现金收支的重大投资和筹资活动</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债务转为资本</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一年内到期的可转换公司债</w:t>
            </w:r>
            <w:proofErr w:type="gramStart"/>
            <w:r w:rsidRPr="00831C3C">
              <w:rPr>
                <w:rFonts w:ascii="宋体" w:eastAsia="宋体" w:hAnsi="宋体" w:cs="宋体"/>
                <w:sz w:val="18"/>
                <w:szCs w:val="18"/>
              </w:rPr>
              <w:t>券</w:t>
            </w:r>
            <w:proofErr w:type="gramEnd"/>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融资租入固定资产</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3．现金及现金等价物净变动情况：</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现金的期末余额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2,157,207,946.09</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2,183,880,557.50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减：现金的期初余额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2,183,880,557.50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1,841,818,553.58</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加：现金等价物的期末余额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减：现金等价物的期初余额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现金及现金等价物净增加额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-26,672,611.41</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342,062,003.92</w:t>
            </w:r>
          </w:p>
        </w:tc>
      </w:tr>
    </w:tbl>
    <w:p w:rsidR="00E23A97" w:rsidRPr="00831C3C" w:rsidRDefault="00C65FD5">
      <w:pPr>
        <w:keepNext/>
        <w:keepLines/>
        <w:spacing w:before="300" w:after="300" w:line="280" w:lineRule="exact"/>
        <w:outlineLvl w:val="3"/>
        <w:rPr>
          <w:rFonts w:ascii="宋体" w:eastAsia="宋体" w:hAnsi="宋体" w:cs="宋体"/>
          <w:b/>
          <w:bCs/>
          <w:szCs w:val="21"/>
        </w:rPr>
      </w:pPr>
      <w:bookmarkStart w:id="458" w:name="_Toc989339"/>
      <w:r w:rsidRPr="00831C3C">
        <w:rPr>
          <w:rFonts w:ascii="宋体" w:eastAsia="宋体" w:hAnsi="宋体" w:cs="宋体"/>
          <w:b/>
          <w:bCs/>
          <w:szCs w:val="21"/>
        </w:rPr>
        <w:t>（2）本期支付的取得子公司的现金净额</w:t>
      </w:r>
      <w:bookmarkEnd w:id="458"/>
    </w:p>
    <w:p w:rsidR="00E23A97" w:rsidRPr="00831C3C" w:rsidRDefault="00C65FD5">
      <w:pPr>
        <w:keepNext/>
        <w:keepLines/>
        <w:spacing w:before="300" w:after="300" w:line="280" w:lineRule="exact"/>
        <w:outlineLvl w:val="3"/>
        <w:rPr>
          <w:rFonts w:ascii="宋体" w:eastAsia="宋体" w:hAnsi="宋体" w:cs="宋体"/>
          <w:b/>
          <w:bCs/>
          <w:szCs w:val="21"/>
        </w:rPr>
      </w:pPr>
      <w:bookmarkStart w:id="459" w:name="_Toc989340"/>
      <w:r w:rsidRPr="00831C3C">
        <w:rPr>
          <w:rFonts w:ascii="宋体" w:eastAsia="宋体" w:hAnsi="宋体" w:cs="宋体"/>
          <w:b/>
          <w:bCs/>
          <w:szCs w:val="21"/>
        </w:rPr>
        <w:t>（3）本期收到的处置子公司的现金净额</w:t>
      </w:r>
      <w:bookmarkEnd w:id="459"/>
    </w:p>
    <w:p w:rsidR="00E23A97" w:rsidRPr="00831C3C" w:rsidRDefault="00C65FD5">
      <w:pPr>
        <w:keepNext/>
        <w:keepLines/>
        <w:spacing w:before="300" w:after="300" w:line="280" w:lineRule="exact"/>
        <w:outlineLvl w:val="3"/>
        <w:rPr>
          <w:rFonts w:ascii="宋体" w:eastAsia="宋体" w:hAnsi="宋体" w:cs="宋体"/>
          <w:b/>
          <w:bCs/>
          <w:szCs w:val="21"/>
        </w:rPr>
      </w:pPr>
      <w:bookmarkStart w:id="460" w:name="_Toc989341"/>
      <w:r w:rsidRPr="00831C3C">
        <w:rPr>
          <w:rFonts w:ascii="宋体" w:eastAsia="宋体" w:hAnsi="宋体" w:cs="宋体"/>
          <w:b/>
          <w:bCs/>
          <w:szCs w:val="21"/>
        </w:rPr>
        <w:t>（4）现金和现金等价物的构成</w:t>
      </w:r>
      <w:bookmarkEnd w:id="460"/>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一、现金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2,157,207,946.09</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2,183,880,557.50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其中：库存现金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69,644.90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70,994.31</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300" w:firstLine="540"/>
              <w:rPr>
                <w:rFonts w:ascii="宋体" w:eastAsia="宋体" w:hAnsi="宋体" w:cs="宋体"/>
                <w:sz w:val="18"/>
                <w:szCs w:val="18"/>
              </w:rPr>
            </w:pPr>
            <w:r w:rsidRPr="00831C3C">
              <w:rPr>
                <w:rFonts w:ascii="宋体" w:eastAsia="宋体" w:hAnsi="宋体" w:cs="宋体"/>
                <w:sz w:val="18"/>
                <w:szCs w:val="18"/>
              </w:rPr>
              <w:t>可随时用于支付的银行存款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1,840,496,250.51</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1,837,036,749.85</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300" w:firstLine="540"/>
              <w:rPr>
                <w:rFonts w:ascii="宋体" w:eastAsia="宋体" w:hAnsi="宋体" w:cs="宋体"/>
                <w:sz w:val="18"/>
                <w:szCs w:val="18"/>
              </w:rPr>
            </w:pPr>
            <w:r w:rsidRPr="00831C3C">
              <w:rPr>
                <w:rFonts w:ascii="宋体" w:eastAsia="宋体" w:hAnsi="宋体" w:cs="宋体"/>
                <w:sz w:val="18"/>
                <w:szCs w:val="18"/>
              </w:rPr>
              <w:t>可随时用于支付的其他货币资金</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316,642,050.68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346,772,813.34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三、期末现金及现金等价物余额</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2,157,207,946.09</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2,183,880,557.50</w:t>
            </w:r>
          </w:p>
        </w:tc>
      </w:tr>
    </w:tbl>
    <w:p w:rsidR="00E23A97" w:rsidRPr="00831C3C" w:rsidRDefault="00C65FD5">
      <w:pPr>
        <w:keepNext/>
        <w:keepLines/>
        <w:spacing w:before="300" w:after="300" w:line="280" w:lineRule="exact"/>
        <w:outlineLvl w:val="3"/>
        <w:rPr>
          <w:rFonts w:ascii="宋体" w:eastAsia="宋体" w:hAnsi="宋体" w:cs="宋体"/>
          <w:b/>
          <w:bCs/>
          <w:szCs w:val="21"/>
        </w:rPr>
      </w:pPr>
      <w:bookmarkStart w:id="461" w:name="_Toc989342"/>
      <w:r w:rsidRPr="00831C3C">
        <w:rPr>
          <w:rFonts w:ascii="宋体" w:eastAsia="宋体" w:hAnsi="宋体" w:cs="宋体"/>
          <w:b/>
          <w:bCs/>
          <w:szCs w:val="21"/>
        </w:rPr>
        <w:lastRenderedPageBreak/>
        <w:t>（5）使用范围受限但仍属于现金及现金等价物列示的情况</w:t>
      </w:r>
      <w:bookmarkEnd w:id="461"/>
    </w:p>
    <w:p w:rsidR="00E23A97" w:rsidRPr="00831C3C" w:rsidRDefault="00C65FD5">
      <w:pPr>
        <w:keepNext/>
        <w:keepLines/>
        <w:spacing w:before="300" w:after="300" w:line="280" w:lineRule="exact"/>
        <w:outlineLvl w:val="3"/>
        <w:rPr>
          <w:rFonts w:ascii="宋体" w:eastAsia="宋体" w:hAnsi="宋体" w:cs="宋体"/>
          <w:b/>
          <w:bCs/>
          <w:szCs w:val="21"/>
        </w:rPr>
      </w:pPr>
      <w:bookmarkStart w:id="462" w:name="_Toc989343"/>
      <w:r w:rsidRPr="00831C3C">
        <w:rPr>
          <w:rFonts w:ascii="宋体" w:eastAsia="宋体" w:hAnsi="宋体" w:cs="宋体"/>
          <w:b/>
          <w:bCs/>
          <w:szCs w:val="21"/>
        </w:rPr>
        <w:t>（6）不属于现金及现金等价物的货币资金</w:t>
      </w:r>
      <w:bookmarkEnd w:id="462"/>
    </w:p>
    <w:p w:rsidR="00E23A97" w:rsidRPr="00831C3C" w:rsidRDefault="00C65FD5">
      <w:pPr>
        <w:keepNext/>
        <w:keepLines/>
        <w:spacing w:before="300" w:after="300" w:line="280" w:lineRule="exact"/>
        <w:outlineLvl w:val="3"/>
        <w:rPr>
          <w:rFonts w:ascii="宋体" w:eastAsia="宋体" w:hAnsi="宋体" w:cs="宋体"/>
          <w:b/>
          <w:bCs/>
          <w:szCs w:val="21"/>
        </w:rPr>
      </w:pPr>
      <w:bookmarkStart w:id="463" w:name="_Toc989344"/>
      <w:r w:rsidRPr="00831C3C">
        <w:rPr>
          <w:rFonts w:ascii="宋体" w:eastAsia="宋体" w:hAnsi="宋体" w:cs="宋体"/>
          <w:b/>
          <w:bCs/>
          <w:szCs w:val="21"/>
        </w:rPr>
        <w:t>（7）其他重大活动说明</w:t>
      </w:r>
      <w:bookmarkEnd w:id="463"/>
    </w:p>
    <w:p w:rsidR="00E23A97" w:rsidRPr="00831C3C" w:rsidRDefault="00C65FD5">
      <w:pPr>
        <w:pStyle w:val="3"/>
        <w:spacing w:line="280" w:lineRule="exact"/>
        <w:jc w:val="left"/>
        <w:rPr>
          <w:rFonts w:ascii="宋体" w:hAnsi="宋体" w:cs="宋体"/>
          <w:b/>
          <w:bCs/>
        </w:rPr>
      </w:pPr>
      <w:bookmarkStart w:id="464" w:name="_Toc989345"/>
      <w:r w:rsidRPr="00831C3C">
        <w:rPr>
          <w:rFonts w:ascii="宋体" w:hAnsi="宋体" w:cs="宋体"/>
          <w:b/>
          <w:bCs/>
        </w:rPr>
        <w:t>80、所有者权益变动</w:t>
      </w:r>
      <w:proofErr w:type="gramStart"/>
      <w:r w:rsidRPr="00831C3C">
        <w:rPr>
          <w:rFonts w:ascii="宋体" w:hAnsi="宋体" w:cs="宋体"/>
          <w:b/>
          <w:bCs/>
        </w:rPr>
        <w:t>表项目</w:t>
      </w:r>
      <w:proofErr w:type="gramEnd"/>
      <w:r w:rsidRPr="00831C3C">
        <w:rPr>
          <w:rFonts w:ascii="宋体" w:hAnsi="宋体" w:cs="宋体"/>
          <w:b/>
          <w:bCs/>
        </w:rPr>
        <w:t>注释</w:t>
      </w:r>
      <w:bookmarkEnd w:id="464"/>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说明对上年年末余额进行调整的“其他”项目名称及调整金额等事项：</w:t>
      </w:r>
    </w:p>
    <w:p w:rsidR="00E23A97" w:rsidRPr="00831C3C" w:rsidRDefault="00C65FD5">
      <w:pPr>
        <w:pStyle w:val="3"/>
        <w:spacing w:line="280" w:lineRule="exact"/>
        <w:jc w:val="left"/>
        <w:rPr>
          <w:rFonts w:ascii="宋体" w:hAnsi="宋体" w:cs="宋体"/>
          <w:b/>
          <w:bCs/>
        </w:rPr>
      </w:pPr>
      <w:bookmarkStart w:id="465" w:name="_Toc989346"/>
      <w:r w:rsidRPr="00831C3C">
        <w:rPr>
          <w:rFonts w:ascii="宋体" w:hAnsi="宋体" w:cs="宋体"/>
          <w:b/>
          <w:bCs/>
        </w:rPr>
        <w:t>81、外币货币性项目</w:t>
      </w:r>
      <w:bookmarkEnd w:id="465"/>
    </w:p>
    <w:p w:rsidR="00E23A97" w:rsidRPr="00831C3C" w:rsidRDefault="00C65FD5">
      <w:pPr>
        <w:keepNext/>
        <w:keepLines/>
        <w:spacing w:before="300" w:after="300" w:line="280" w:lineRule="exact"/>
        <w:outlineLvl w:val="3"/>
        <w:rPr>
          <w:rFonts w:ascii="宋体" w:eastAsia="宋体" w:hAnsi="宋体" w:cs="宋体"/>
          <w:b/>
          <w:bCs/>
          <w:szCs w:val="21"/>
        </w:rPr>
      </w:pPr>
      <w:bookmarkStart w:id="466" w:name="_Toc989347"/>
      <w:r w:rsidRPr="00831C3C">
        <w:rPr>
          <w:rFonts w:ascii="宋体" w:eastAsia="宋体" w:hAnsi="宋体" w:cs="宋体"/>
          <w:b/>
          <w:bCs/>
          <w:szCs w:val="21"/>
        </w:rPr>
        <w:t>（1）外币货币性项目</w:t>
      </w:r>
      <w:bookmarkEnd w:id="466"/>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期末外币余额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折算汇率</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期末折算人民币余额</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货币资金</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其中：美元</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13,457,494.12</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7.18840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96,737,851.14</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300" w:firstLine="540"/>
              <w:rPr>
                <w:rFonts w:ascii="宋体" w:eastAsia="宋体" w:hAnsi="宋体" w:cs="宋体"/>
                <w:sz w:val="18"/>
                <w:szCs w:val="18"/>
              </w:rPr>
            </w:pPr>
            <w:r w:rsidRPr="00831C3C">
              <w:rPr>
                <w:rFonts w:ascii="宋体" w:eastAsia="宋体" w:hAnsi="宋体" w:cs="宋体"/>
                <w:sz w:val="18"/>
                <w:szCs w:val="18"/>
              </w:rPr>
              <w:t>欧元</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6,385.15</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7.52570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48,052.73</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300" w:firstLine="540"/>
              <w:rPr>
                <w:rFonts w:ascii="宋体" w:eastAsia="宋体" w:hAnsi="宋体" w:cs="宋体"/>
                <w:sz w:val="18"/>
                <w:szCs w:val="18"/>
              </w:rPr>
            </w:pPr>
            <w:r w:rsidRPr="00831C3C">
              <w:rPr>
                <w:rFonts w:ascii="宋体" w:eastAsia="宋体" w:hAnsi="宋体" w:cs="宋体"/>
                <w:sz w:val="18"/>
                <w:szCs w:val="18"/>
              </w:rPr>
              <w:t>港币</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19,922,401.77</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0.92604</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18,448,940.93</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越南盾</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428,471,839,976.62</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0.00029</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122,808,088.58</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韩元</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140,970.00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0.00494</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696.39</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泰铢</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87.50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0.21269</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18.61</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印度尼西亚卢比</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3,000.00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0.00045</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1.35</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埃及镑</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50.00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0.14140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7.07</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台币</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0.22000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0.44</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新加坡元</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22,055.07</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5.32140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117,363.83</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巴基斯坦卢比</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14,200.00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0.02624</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372.58</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应收账款</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其中：美元</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136,566.35</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7.18840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981,693.58</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300" w:firstLine="540"/>
              <w:rPr>
                <w:rFonts w:ascii="宋体" w:eastAsia="宋体" w:hAnsi="宋体" w:cs="宋体"/>
                <w:sz w:val="18"/>
                <w:szCs w:val="18"/>
              </w:rPr>
            </w:pPr>
            <w:r w:rsidRPr="00831C3C">
              <w:rPr>
                <w:rFonts w:ascii="宋体" w:eastAsia="宋体" w:hAnsi="宋体" w:cs="宋体"/>
                <w:sz w:val="18"/>
                <w:szCs w:val="18"/>
              </w:rPr>
              <w:t>欧元</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300" w:firstLine="540"/>
              <w:rPr>
                <w:rFonts w:ascii="宋体" w:eastAsia="宋体" w:hAnsi="宋体" w:cs="宋体"/>
                <w:sz w:val="18"/>
                <w:szCs w:val="18"/>
              </w:rPr>
            </w:pPr>
            <w:r w:rsidRPr="00831C3C">
              <w:rPr>
                <w:rFonts w:ascii="宋体" w:eastAsia="宋体" w:hAnsi="宋体" w:cs="宋体"/>
                <w:sz w:val="18"/>
                <w:szCs w:val="18"/>
              </w:rPr>
              <w:t>港币</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791,417.74</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0.92604</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732,884.49</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越南盾</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2,356,842,408,557.00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0.00029</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678,024,356.44</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长期借款</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其中：美元</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300" w:firstLine="540"/>
              <w:rPr>
                <w:rFonts w:ascii="宋体" w:eastAsia="宋体" w:hAnsi="宋体" w:cs="宋体"/>
                <w:sz w:val="18"/>
                <w:szCs w:val="18"/>
              </w:rPr>
            </w:pPr>
            <w:r w:rsidRPr="00831C3C">
              <w:rPr>
                <w:rFonts w:ascii="宋体" w:eastAsia="宋体" w:hAnsi="宋体" w:cs="宋体"/>
                <w:sz w:val="18"/>
                <w:szCs w:val="18"/>
              </w:rPr>
              <w:t>欧元</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300" w:firstLine="540"/>
              <w:rPr>
                <w:rFonts w:ascii="宋体" w:eastAsia="宋体" w:hAnsi="宋体" w:cs="宋体"/>
                <w:sz w:val="18"/>
                <w:szCs w:val="18"/>
              </w:rPr>
            </w:pPr>
            <w:r w:rsidRPr="00831C3C">
              <w:rPr>
                <w:rFonts w:ascii="宋体" w:eastAsia="宋体" w:hAnsi="宋体" w:cs="宋体"/>
                <w:sz w:val="18"/>
                <w:szCs w:val="18"/>
              </w:rPr>
              <w:t>港币</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其他应收款</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其中：美元</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21,292.14</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7.18840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153,056.42</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港币</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13,984,236.00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0.92604</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12,949,961.91</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越南盾</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857,321,029,006.00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0.00029</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245,777,486.67</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短期借款</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其中：美元</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12,865,098.06</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7.18840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92,479,470.89</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越南盾</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231,835,414,014.01</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0.00029</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66,462,764.18</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应付账款</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其中：美元</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118,136.05</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7.18840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849,209.18</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越南盾</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120,164,281,255.00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0.00029</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34,448,793.43</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其他应付款</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其中：美元</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2,671,266.84</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7.18840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19,202,134.55</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港币</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7,656,817.08</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0.92604</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7,090,518.89</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lastRenderedPageBreak/>
              <w:t>越南盾</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1,748,353,784,772.55</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0.00029</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501,219,478.47</w:t>
            </w:r>
          </w:p>
        </w:tc>
      </w:tr>
    </w:tbl>
    <w:p w:rsidR="00E23A97" w:rsidRPr="00831C3C" w:rsidRDefault="00C65FD5">
      <w:pPr>
        <w:keepNext/>
        <w:keepLines/>
        <w:spacing w:before="300" w:after="300" w:line="280" w:lineRule="exact"/>
        <w:outlineLvl w:val="3"/>
        <w:rPr>
          <w:rFonts w:ascii="宋体" w:eastAsia="宋体" w:hAnsi="宋体" w:cs="宋体"/>
          <w:b/>
          <w:bCs/>
          <w:szCs w:val="21"/>
        </w:rPr>
      </w:pPr>
      <w:bookmarkStart w:id="467" w:name="_Toc989348"/>
      <w:r w:rsidRPr="00831C3C">
        <w:rPr>
          <w:rFonts w:ascii="宋体" w:eastAsia="宋体" w:hAnsi="宋体" w:cs="宋体"/>
          <w:b/>
          <w:bCs/>
          <w:szCs w:val="21"/>
        </w:rPr>
        <w:t>（2）境外经营实体说明，包括对于重要的境外经营实体，应披露其境外主要经营地、记账本位币及选择依据，记账本位币发生变化的还应披露原因。</w:t>
      </w:r>
      <w:bookmarkEnd w:id="467"/>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pStyle w:val="3"/>
        <w:spacing w:line="280" w:lineRule="exact"/>
        <w:jc w:val="left"/>
        <w:rPr>
          <w:rFonts w:ascii="宋体" w:hAnsi="宋体" w:cs="宋体"/>
          <w:b/>
          <w:bCs/>
        </w:rPr>
      </w:pPr>
      <w:bookmarkStart w:id="468" w:name="_Toc989349"/>
      <w:r w:rsidRPr="00831C3C">
        <w:rPr>
          <w:rFonts w:ascii="宋体" w:hAnsi="宋体" w:cs="宋体"/>
          <w:b/>
          <w:bCs/>
        </w:rPr>
        <w:t>82、租赁</w:t>
      </w:r>
      <w:bookmarkEnd w:id="468"/>
    </w:p>
    <w:p w:rsidR="00E23A97" w:rsidRPr="00831C3C" w:rsidRDefault="00C65FD5">
      <w:pPr>
        <w:keepNext/>
        <w:keepLines/>
        <w:spacing w:before="300" w:after="300" w:line="280" w:lineRule="exact"/>
        <w:outlineLvl w:val="3"/>
        <w:rPr>
          <w:rFonts w:ascii="宋体" w:eastAsia="宋体" w:hAnsi="宋体" w:cs="宋体"/>
          <w:b/>
          <w:bCs/>
          <w:szCs w:val="21"/>
        </w:rPr>
      </w:pPr>
      <w:bookmarkStart w:id="469" w:name="_Toc989350"/>
      <w:r w:rsidRPr="00831C3C">
        <w:rPr>
          <w:rFonts w:ascii="宋体" w:eastAsia="宋体" w:hAnsi="宋体" w:cs="宋体"/>
          <w:b/>
          <w:bCs/>
          <w:szCs w:val="21"/>
        </w:rPr>
        <w:t>（1）本公司作为承租方</w:t>
      </w:r>
      <w:bookmarkEnd w:id="469"/>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适用□不适用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未纳入租赁负债计量的可变租赁付款额</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简化处理的短期租赁或低价值资产的租赁费用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涉及售后租回交易的情况</w:t>
      </w:r>
    </w:p>
    <w:p w:rsidR="00E23A97" w:rsidRPr="00831C3C" w:rsidRDefault="00C65FD5">
      <w:pPr>
        <w:keepNext/>
        <w:keepLines/>
        <w:spacing w:before="300" w:after="300" w:line="280" w:lineRule="exact"/>
        <w:outlineLvl w:val="3"/>
        <w:rPr>
          <w:rFonts w:ascii="宋体" w:eastAsia="宋体" w:hAnsi="宋体" w:cs="宋体"/>
          <w:b/>
          <w:bCs/>
          <w:szCs w:val="21"/>
        </w:rPr>
      </w:pPr>
      <w:bookmarkStart w:id="470" w:name="_Toc989351"/>
      <w:r w:rsidRPr="00831C3C">
        <w:rPr>
          <w:rFonts w:ascii="宋体" w:eastAsia="宋体" w:hAnsi="宋体" w:cs="宋体"/>
          <w:b/>
          <w:bCs/>
          <w:szCs w:val="21"/>
        </w:rPr>
        <w:t>（2）本公司作为出租方</w:t>
      </w:r>
      <w:bookmarkEnd w:id="470"/>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作为出租人的经营租赁</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适用□不适用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作为出租人的融资租赁</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未来五年每年未折现</w:t>
      </w:r>
      <w:proofErr w:type="gramStart"/>
      <w:r w:rsidRPr="00831C3C">
        <w:rPr>
          <w:rFonts w:ascii="宋体" w:eastAsia="宋体" w:hAnsi="宋体" w:cs="宋体"/>
          <w:sz w:val="18"/>
          <w:szCs w:val="18"/>
        </w:rPr>
        <w:t>租赁收</w:t>
      </w:r>
      <w:proofErr w:type="gramEnd"/>
      <w:r w:rsidRPr="00831C3C">
        <w:rPr>
          <w:rFonts w:ascii="宋体" w:eastAsia="宋体" w:hAnsi="宋体" w:cs="宋体"/>
          <w:sz w:val="18"/>
          <w:szCs w:val="18"/>
        </w:rPr>
        <w:t>款额</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未折现</w:t>
      </w:r>
      <w:proofErr w:type="gramStart"/>
      <w:r w:rsidRPr="00831C3C">
        <w:rPr>
          <w:rFonts w:ascii="宋体" w:eastAsia="宋体" w:hAnsi="宋体" w:cs="宋体"/>
          <w:sz w:val="18"/>
          <w:szCs w:val="18"/>
        </w:rPr>
        <w:t>租赁收</w:t>
      </w:r>
      <w:proofErr w:type="gramEnd"/>
      <w:r w:rsidRPr="00831C3C">
        <w:rPr>
          <w:rFonts w:ascii="宋体" w:eastAsia="宋体" w:hAnsi="宋体" w:cs="宋体"/>
          <w:sz w:val="18"/>
          <w:szCs w:val="18"/>
        </w:rPr>
        <w:t>款额与租赁投资净额的调节表</w:t>
      </w:r>
    </w:p>
    <w:p w:rsidR="00E23A97" w:rsidRPr="00831C3C" w:rsidRDefault="00C65FD5">
      <w:pPr>
        <w:keepNext/>
        <w:keepLines/>
        <w:spacing w:before="300" w:after="300" w:line="280" w:lineRule="exact"/>
        <w:outlineLvl w:val="3"/>
        <w:rPr>
          <w:rFonts w:ascii="宋体" w:eastAsia="宋体" w:hAnsi="宋体" w:cs="宋体"/>
          <w:b/>
          <w:bCs/>
          <w:szCs w:val="21"/>
        </w:rPr>
      </w:pPr>
      <w:bookmarkStart w:id="471" w:name="_Toc989352"/>
      <w:r w:rsidRPr="00831C3C">
        <w:rPr>
          <w:rFonts w:ascii="宋体" w:eastAsia="宋体" w:hAnsi="宋体" w:cs="宋体"/>
          <w:b/>
          <w:bCs/>
          <w:szCs w:val="21"/>
        </w:rPr>
        <w:t>（3）作为生产商或经销商确认融资租赁销售损益</w:t>
      </w:r>
      <w:bookmarkEnd w:id="471"/>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pStyle w:val="3"/>
        <w:spacing w:line="280" w:lineRule="exact"/>
        <w:jc w:val="left"/>
        <w:rPr>
          <w:rFonts w:ascii="宋体" w:hAnsi="宋体" w:cs="宋体"/>
          <w:b/>
          <w:bCs/>
        </w:rPr>
      </w:pPr>
      <w:bookmarkStart w:id="472" w:name="_Toc989353"/>
      <w:r w:rsidRPr="00831C3C">
        <w:rPr>
          <w:rFonts w:ascii="宋体" w:hAnsi="宋体" w:cs="宋体"/>
          <w:b/>
          <w:bCs/>
        </w:rPr>
        <w:t>83、数据资源</w:t>
      </w:r>
      <w:bookmarkEnd w:id="472"/>
    </w:p>
    <w:p w:rsidR="00E23A97" w:rsidRPr="00831C3C" w:rsidRDefault="00C65FD5">
      <w:pPr>
        <w:pStyle w:val="3"/>
        <w:spacing w:line="280" w:lineRule="exact"/>
        <w:jc w:val="left"/>
        <w:rPr>
          <w:rFonts w:ascii="宋体" w:hAnsi="宋体" w:cs="宋体"/>
          <w:b/>
          <w:bCs/>
        </w:rPr>
      </w:pPr>
      <w:bookmarkStart w:id="473" w:name="_Toc989354"/>
      <w:r w:rsidRPr="00831C3C">
        <w:rPr>
          <w:rFonts w:ascii="宋体" w:hAnsi="宋体" w:cs="宋体"/>
          <w:b/>
          <w:bCs/>
        </w:rPr>
        <w:t>84、其他</w:t>
      </w:r>
      <w:bookmarkEnd w:id="473"/>
    </w:p>
    <w:p w:rsidR="00E23A97" w:rsidRPr="00831C3C" w:rsidRDefault="00C65FD5">
      <w:pPr>
        <w:pStyle w:val="2"/>
        <w:spacing w:before="300" w:after="300" w:line="320" w:lineRule="exact"/>
        <w:rPr>
          <w:rFonts w:ascii="宋体" w:eastAsia="宋体" w:hAnsi="宋体" w:cs="宋体"/>
          <w:b/>
          <w:bCs/>
          <w:sz w:val="24"/>
          <w:szCs w:val="24"/>
        </w:rPr>
      </w:pPr>
      <w:bookmarkStart w:id="474" w:name="_Toc989355"/>
      <w:r w:rsidRPr="00831C3C">
        <w:rPr>
          <w:rFonts w:ascii="宋体" w:eastAsia="宋体" w:hAnsi="宋体" w:cs="宋体"/>
          <w:b/>
          <w:bCs/>
          <w:sz w:val="24"/>
          <w:szCs w:val="24"/>
        </w:rPr>
        <w:t>八、研发支出</w:t>
      </w:r>
      <w:bookmarkEnd w:id="474"/>
    </w:p>
    <w:p w:rsidR="00E23A97" w:rsidRPr="00831C3C" w:rsidRDefault="00C65FD5">
      <w:pPr>
        <w:pStyle w:val="3"/>
        <w:spacing w:line="280" w:lineRule="exact"/>
        <w:jc w:val="left"/>
        <w:rPr>
          <w:rFonts w:ascii="宋体" w:hAnsi="宋体" w:cs="宋体"/>
          <w:b/>
          <w:bCs/>
        </w:rPr>
      </w:pPr>
      <w:bookmarkStart w:id="475" w:name="_Toc989356"/>
      <w:r w:rsidRPr="00831C3C">
        <w:rPr>
          <w:rFonts w:ascii="宋体" w:hAnsi="宋体" w:cs="宋体"/>
          <w:b/>
          <w:bCs/>
        </w:rPr>
        <w:t>1、符合资本化条件的研发项目</w:t>
      </w:r>
      <w:bookmarkEnd w:id="475"/>
    </w:p>
    <w:p w:rsidR="00E23A97" w:rsidRPr="00831C3C" w:rsidRDefault="00C65FD5">
      <w:pPr>
        <w:pStyle w:val="3"/>
        <w:spacing w:line="280" w:lineRule="exact"/>
        <w:jc w:val="left"/>
        <w:rPr>
          <w:rFonts w:ascii="宋体" w:hAnsi="宋体" w:cs="宋体"/>
          <w:b/>
          <w:bCs/>
        </w:rPr>
      </w:pPr>
      <w:bookmarkStart w:id="476" w:name="_Toc989357"/>
      <w:r w:rsidRPr="00831C3C">
        <w:rPr>
          <w:rFonts w:ascii="宋体" w:hAnsi="宋体" w:cs="宋体"/>
          <w:b/>
          <w:bCs/>
        </w:rPr>
        <w:t>2、重要外购在</w:t>
      </w:r>
      <w:proofErr w:type="gramStart"/>
      <w:r w:rsidRPr="00831C3C">
        <w:rPr>
          <w:rFonts w:ascii="宋体" w:hAnsi="宋体" w:cs="宋体"/>
          <w:b/>
          <w:bCs/>
        </w:rPr>
        <w:t>研</w:t>
      </w:r>
      <w:proofErr w:type="gramEnd"/>
      <w:r w:rsidRPr="00831C3C">
        <w:rPr>
          <w:rFonts w:ascii="宋体" w:hAnsi="宋体" w:cs="宋体"/>
          <w:b/>
          <w:bCs/>
        </w:rPr>
        <w:t>项目</w:t>
      </w:r>
      <w:bookmarkEnd w:id="476"/>
    </w:p>
    <w:p w:rsidR="00C65FD5" w:rsidRPr="00831C3C" w:rsidRDefault="00C65FD5">
      <w:pPr>
        <w:divId w:val="827407105"/>
        <w:rPr>
          <w:sz w:val="18"/>
          <w:szCs w:val="18"/>
        </w:rPr>
      </w:pPr>
    </w:p>
    <w:p w:rsidR="00E23A97" w:rsidRPr="00831C3C" w:rsidRDefault="00C65FD5">
      <w:pPr>
        <w:pStyle w:val="2"/>
        <w:spacing w:before="300" w:after="300" w:line="320" w:lineRule="exact"/>
        <w:rPr>
          <w:rFonts w:ascii="宋体" w:eastAsia="宋体" w:hAnsi="宋体" w:cs="宋体"/>
          <w:b/>
          <w:bCs/>
          <w:sz w:val="24"/>
          <w:szCs w:val="24"/>
        </w:rPr>
      </w:pPr>
      <w:bookmarkStart w:id="477" w:name="_Toc989358"/>
      <w:r w:rsidRPr="00831C3C">
        <w:rPr>
          <w:rFonts w:ascii="宋体" w:eastAsia="宋体" w:hAnsi="宋体" w:cs="宋体"/>
          <w:b/>
          <w:bCs/>
          <w:sz w:val="24"/>
          <w:szCs w:val="24"/>
        </w:rPr>
        <w:lastRenderedPageBreak/>
        <w:t>九、合并范围的变更</w:t>
      </w:r>
      <w:bookmarkEnd w:id="477"/>
    </w:p>
    <w:p w:rsidR="00E23A97" w:rsidRPr="00831C3C" w:rsidRDefault="00C65FD5">
      <w:pPr>
        <w:pStyle w:val="3"/>
        <w:spacing w:line="280" w:lineRule="exact"/>
        <w:jc w:val="left"/>
        <w:rPr>
          <w:rFonts w:ascii="宋体" w:hAnsi="宋体" w:cs="宋体"/>
          <w:b/>
          <w:bCs/>
        </w:rPr>
      </w:pPr>
      <w:bookmarkStart w:id="478" w:name="_Toc989359"/>
      <w:r w:rsidRPr="00831C3C">
        <w:rPr>
          <w:rFonts w:ascii="宋体" w:hAnsi="宋体" w:cs="宋体"/>
          <w:b/>
          <w:bCs/>
        </w:rPr>
        <w:t>1、非同</w:t>
      </w:r>
      <w:proofErr w:type="gramStart"/>
      <w:r w:rsidRPr="00831C3C">
        <w:rPr>
          <w:rFonts w:ascii="宋体" w:hAnsi="宋体" w:cs="宋体"/>
          <w:b/>
          <w:bCs/>
        </w:rPr>
        <w:t>一控制</w:t>
      </w:r>
      <w:proofErr w:type="gramEnd"/>
      <w:r w:rsidRPr="00831C3C">
        <w:rPr>
          <w:rFonts w:ascii="宋体" w:hAnsi="宋体" w:cs="宋体"/>
          <w:b/>
          <w:bCs/>
        </w:rPr>
        <w:t>下企业合并</w:t>
      </w:r>
      <w:bookmarkEnd w:id="478"/>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479" w:name="_Toc989360"/>
      <w:r w:rsidRPr="00831C3C">
        <w:rPr>
          <w:rFonts w:ascii="宋体" w:eastAsia="宋体" w:hAnsi="宋体" w:cs="宋体"/>
          <w:b/>
          <w:bCs/>
          <w:sz w:val="18"/>
          <w:szCs w:val="18"/>
        </w:rPr>
        <w:t>（1）本期发生的非同</w:t>
      </w:r>
      <w:proofErr w:type="gramStart"/>
      <w:r w:rsidRPr="00831C3C">
        <w:rPr>
          <w:rFonts w:ascii="宋体" w:eastAsia="宋体" w:hAnsi="宋体" w:cs="宋体"/>
          <w:b/>
          <w:bCs/>
          <w:sz w:val="18"/>
          <w:szCs w:val="18"/>
        </w:rPr>
        <w:t>一控制</w:t>
      </w:r>
      <w:proofErr w:type="gramEnd"/>
      <w:r w:rsidRPr="00831C3C">
        <w:rPr>
          <w:rFonts w:ascii="宋体" w:eastAsia="宋体" w:hAnsi="宋体" w:cs="宋体"/>
          <w:b/>
          <w:bCs/>
          <w:sz w:val="18"/>
          <w:szCs w:val="18"/>
        </w:rPr>
        <w:t>下企业合并</w:t>
      </w:r>
      <w:bookmarkEnd w:id="479"/>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480" w:name="_Toc989361"/>
      <w:r w:rsidRPr="00831C3C">
        <w:rPr>
          <w:rFonts w:ascii="宋体" w:eastAsia="宋体" w:hAnsi="宋体" w:cs="宋体"/>
          <w:b/>
          <w:bCs/>
          <w:sz w:val="18"/>
          <w:szCs w:val="18"/>
        </w:rPr>
        <w:t>（2）合并成本及商誉</w:t>
      </w:r>
      <w:bookmarkEnd w:id="480"/>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481" w:name="_Toc989362"/>
      <w:r w:rsidRPr="00831C3C">
        <w:rPr>
          <w:rFonts w:ascii="宋体" w:eastAsia="宋体" w:hAnsi="宋体" w:cs="宋体"/>
          <w:b/>
          <w:bCs/>
          <w:sz w:val="18"/>
          <w:szCs w:val="18"/>
        </w:rPr>
        <w:t>（3）被购买方于购买日可辨认资产、负债</w:t>
      </w:r>
      <w:bookmarkEnd w:id="481"/>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可辨认资产、负债公允价值的确定方法：</w:t>
      </w:r>
    </w:p>
    <w:p w:rsidR="00C65FD5" w:rsidRPr="00831C3C" w:rsidRDefault="00C65FD5">
      <w:pPr>
        <w:pStyle w:val="a3"/>
        <w:divId w:val="49618791"/>
        <w:rPr>
          <w:sz w:val="18"/>
          <w:szCs w:val="18"/>
        </w:rPr>
      </w:pPr>
      <w:r w:rsidRPr="00831C3C">
        <w:rPr>
          <w:rFonts w:hint="eastAsia"/>
          <w:sz w:val="18"/>
          <w:szCs w:val="18"/>
        </w:rPr>
        <w:t>无。</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企业合并中承担的被购买方的或有负债：</w:t>
      </w:r>
    </w:p>
    <w:p w:rsidR="00C65FD5" w:rsidRPr="00831C3C" w:rsidRDefault="00C65FD5">
      <w:pPr>
        <w:pStyle w:val="a3"/>
        <w:divId w:val="1212619588"/>
        <w:rPr>
          <w:sz w:val="18"/>
          <w:szCs w:val="18"/>
        </w:rPr>
      </w:pPr>
      <w:r w:rsidRPr="00831C3C">
        <w:rPr>
          <w:rFonts w:hint="eastAsia"/>
          <w:sz w:val="18"/>
          <w:szCs w:val="18"/>
        </w:rPr>
        <w:t>无。</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p>
    <w:p w:rsidR="00C65FD5" w:rsidRPr="00831C3C" w:rsidRDefault="00C65FD5">
      <w:pPr>
        <w:pStyle w:val="a3"/>
        <w:divId w:val="250630151"/>
        <w:rPr>
          <w:sz w:val="18"/>
          <w:szCs w:val="18"/>
        </w:rPr>
      </w:pPr>
      <w:r w:rsidRPr="00831C3C">
        <w:rPr>
          <w:rFonts w:hint="eastAsia"/>
          <w:sz w:val="18"/>
          <w:szCs w:val="18"/>
        </w:rPr>
        <w:t>无。</w:t>
      </w:r>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482" w:name="_Toc989363"/>
      <w:r w:rsidRPr="00831C3C">
        <w:rPr>
          <w:rFonts w:ascii="宋体" w:eastAsia="宋体" w:hAnsi="宋体" w:cs="宋体"/>
          <w:b/>
          <w:bCs/>
          <w:sz w:val="18"/>
          <w:szCs w:val="18"/>
        </w:rPr>
        <w:t>（4）购买日之前持有的股权按照公允价值重新计量产生的利得或损失</w:t>
      </w:r>
      <w:bookmarkEnd w:id="482"/>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是否存在通过多次交易分步实现企业合并且在报告期内取得控制权的交易</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□是</w:t>
      </w:r>
      <w:r w:rsidRPr="00831C3C">
        <w:rPr>
          <w:rFonts w:ascii="宋体" w:eastAsia="宋体" w:hAnsi="宋体" w:cs="宋体"/>
          <w:sz w:val="18"/>
          <w:szCs w:val="18"/>
        </w:rPr>
        <w:sym w:font="Wingdings 2" w:char="F052"/>
      </w:r>
      <w:r w:rsidRPr="00831C3C">
        <w:rPr>
          <w:rFonts w:ascii="宋体" w:eastAsia="宋体" w:hAnsi="宋体" w:cs="宋体"/>
          <w:sz w:val="18"/>
          <w:szCs w:val="18"/>
        </w:rPr>
        <w:t>否</w:t>
      </w:r>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483" w:name="_Toc989364"/>
      <w:r w:rsidRPr="00831C3C">
        <w:rPr>
          <w:rFonts w:ascii="宋体" w:eastAsia="宋体" w:hAnsi="宋体" w:cs="宋体"/>
          <w:b/>
          <w:bCs/>
          <w:sz w:val="18"/>
          <w:szCs w:val="18"/>
        </w:rPr>
        <w:t>（5）购买日或合并当期期末无法合理确定合并对价或被购买方可辨认资产、负债公允价值的相关说明</w:t>
      </w:r>
      <w:bookmarkEnd w:id="483"/>
    </w:p>
    <w:p w:rsidR="00C65FD5" w:rsidRPr="00831C3C" w:rsidRDefault="00C65FD5">
      <w:pPr>
        <w:pStyle w:val="a3"/>
        <w:divId w:val="1147353619"/>
        <w:rPr>
          <w:sz w:val="18"/>
          <w:szCs w:val="18"/>
        </w:rPr>
      </w:pPr>
      <w:r w:rsidRPr="00831C3C">
        <w:rPr>
          <w:rFonts w:hint="eastAsia"/>
          <w:sz w:val="18"/>
          <w:szCs w:val="18"/>
        </w:rPr>
        <w:t>无。</w:t>
      </w:r>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484" w:name="_Toc989365"/>
      <w:r w:rsidRPr="00831C3C">
        <w:rPr>
          <w:rFonts w:ascii="宋体" w:eastAsia="宋体" w:hAnsi="宋体" w:cs="宋体"/>
          <w:b/>
          <w:bCs/>
          <w:sz w:val="18"/>
          <w:szCs w:val="18"/>
        </w:rPr>
        <w:t>（6）其他说明</w:t>
      </w:r>
      <w:bookmarkEnd w:id="484"/>
    </w:p>
    <w:p w:rsidR="00C65FD5" w:rsidRPr="00831C3C" w:rsidRDefault="00C65FD5">
      <w:pPr>
        <w:pStyle w:val="a3"/>
        <w:divId w:val="200096524"/>
        <w:rPr>
          <w:sz w:val="18"/>
          <w:szCs w:val="18"/>
        </w:rPr>
      </w:pPr>
      <w:r w:rsidRPr="00831C3C">
        <w:rPr>
          <w:rFonts w:hint="eastAsia"/>
          <w:sz w:val="18"/>
          <w:szCs w:val="18"/>
        </w:rPr>
        <w:t>无。</w:t>
      </w:r>
    </w:p>
    <w:p w:rsidR="00E23A97" w:rsidRPr="00831C3C" w:rsidRDefault="00C65FD5">
      <w:pPr>
        <w:pStyle w:val="3"/>
        <w:spacing w:line="280" w:lineRule="exact"/>
        <w:jc w:val="left"/>
        <w:rPr>
          <w:rFonts w:ascii="宋体" w:hAnsi="宋体" w:cs="宋体"/>
          <w:b/>
          <w:bCs/>
        </w:rPr>
      </w:pPr>
      <w:bookmarkStart w:id="485" w:name="_Toc989366"/>
      <w:r w:rsidRPr="00831C3C">
        <w:rPr>
          <w:rFonts w:ascii="宋体" w:hAnsi="宋体" w:cs="宋体"/>
          <w:b/>
          <w:bCs/>
        </w:rPr>
        <w:t>2、同</w:t>
      </w:r>
      <w:proofErr w:type="gramStart"/>
      <w:r w:rsidRPr="00831C3C">
        <w:rPr>
          <w:rFonts w:ascii="宋体" w:hAnsi="宋体" w:cs="宋体"/>
          <w:b/>
          <w:bCs/>
        </w:rPr>
        <w:t>一控制</w:t>
      </w:r>
      <w:proofErr w:type="gramEnd"/>
      <w:r w:rsidRPr="00831C3C">
        <w:rPr>
          <w:rFonts w:ascii="宋体" w:hAnsi="宋体" w:cs="宋体"/>
          <w:b/>
          <w:bCs/>
        </w:rPr>
        <w:t>下企业合并</w:t>
      </w:r>
      <w:bookmarkEnd w:id="485"/>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486" w:name="_Toc989367"/>
      <w:r w:rsidRPr="00831C3C">
        <w:rPr>
          <w:rFonts w:ascii="宋体" w:eastAsia="宋体" w:hAnsi="宋体" w:cs="宋体"/>
          <w:b/>
          <w:bCs/>
          <w:sz w:val="18"/>
          <w:szCs w:val="18"/>
        </w:rPr>
        <w:t>（1）本期发生的同</w:t>
      </w:r>
      <w:proofErr w:type="gramStart"/>
      <w:r w:rsidRPr="00831C3C">
        <w:rPr>
          <w:rFonts w:ascii="宋体" w:eastAsia="宋体" w:hAnsi="宋体" w:cs="宋体"/>
          <w:b/>
          <w:bCs/>
          <w:sz w:val="18"/>
          <w:szCs w:val="18"/>
        </w:rPr>
        <w:t>一控制</w:t>
      </w:r>
      <w:proofErr w:type="gramEnd"/>
      <w:r w:rsidRPr="00831C3C">
        <w:rPr>
          <w:rFonts w:ascii="宋体" w:eastAsia="宋体" w:hAnsi="宋体" w:cs="宋体"/>
          <w:b/>
          <w:bCs/>
          <w:sz w:val="18"/>
          <w:szCs w:val="18"/>
        </w:rPr>
        <w:t>下企业合并</w:t>
      </w:r>
      <w:bookmarkEnd w:id="486"/>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071"/>
        <w:gridCol w:w="1071"/>
        <w:gridCol w:w="1071"/>
        <w:gridCol w:w="1071"/>
        <w:gridCol w:w="1071"/>
        <w:gridCol w:w="1071"/>
        <w:gridCol w:w="1071"/>
        <w:gridCol w:w="1071"/>
        <w:gridCol w:w="1071"/>
      </w:tblGrid>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被合并方名称</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企业合并中取得的权益比例</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构成同</w:t>
            </w:r>
            <w:proofErr w:type="gramStart"/>
            <w:r w:rsidRPr="00831C3C">
              <w:rPr>
                <w:rFonts w:ascii="宋体" w:eastAsia="宋体" w:hAnsi="宋体" w:cs="宋体"/>
                <w:sz w:val="18"/>
                <w:szCs w:val="18"/>
              </w:rPr>
              <w:t>一控制</w:t>
            </w:r>
            <w:proofErr w:type="gramEnd"/>
            <w:r w:rsidRPr="00831C3C">
              <w:rPr>
                <w:rFonts w:ascii="宋体" w:eastAsia="宋体" w:hAnsi="宋体" w:cs="宋体"/>
                <w:sz w:val="18"/>
                <w:szCs w:val="18"/>
              </w:rPr>
              <w:t>下企业合并的依据</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proofErr w:type="gramStart"/>
            <w:r w:rsidRPr="00831C3C">
              <w:rPr>
                <w:rFonts w:ascii="宋体" w:eastAsia="宋体" w:hAnsi="宋体" w:cs="宋体"/>
                <w:sz w:val="18"/>
                <w:szCs w:val="18"/>
              </w:rPr>
              <w:t>合并日</w:t>
            </w:r>
            <w:proofErr w:type="gramEnd"/>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proofErr w:type="gramStart"/>
            <w:r w:rsidRPr="00831C3C">
              <w:rPr>
                <w:rFonts w:ascii="宋体" w:eastAsia="宋体" w:hAnsi="宋体" w:cs="宋体"/>
                <w:sz w:val="18"/>
                <w:szCs w:val="18"/>
              </w:rPr>
              <w:t>合并日</w:t>
            </w:r>
            <w:proofErr w:type="gramEnd"/>
            <w:r w:rsidRPr="00831C3C">
              <w:rPr>
                <w:rFonts w:ascii="宋体" w:eastAsia="宋体" w:hAnsi="宋体" w:cs="宋体"/>
                <w:sz w:val="18"/>
                <w:szCs w:val="18"/>
              </w:rPr>
              <w:t>的确定依据</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合并当期期初至</w:t>
            </w:r>
            <w:proofErr w:type="gramStart"/>
            <w:r w:rsidRPr="00831C3C">
              <w:rPr>
                <w:rFonts w:ascii="宋体" w:eastAsia="宋体" w:hAnsi="宋体" w:cs="宋体"/>
                <w:sz w:val="18"/>
                <w:szCs w:val="18"/>
              </w:rPr>
              <w:t>合并日</w:t>
            </w:r>
            <w:proofErr w:type="gramEnd"/>
            <w:r w:rsidRPr="00831C3C">
              <w:rPr>
                <w:rFonts w:ascii="宋体" w:eastAsia="宋体" w:hAnsi="宋体" w:cs="宋体"/>
                <w:sz w:val="18"/>
                <w:szCs w:val="18"/>
              </w:rPr>
              <w:t>被合并方的收入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合并当期期初至</w:t>
            </w:r>
            <w:proofErr w:type="gramStart"/>
            <w:r w:rsidRPr="00831C3C">
              <w:rPr>
                <w:rFonts w:ascii="宋体" w:eastAsia="宋体" w:hAnsi="宋体" w:cs="宋体"/>
                <w:sz w:val="18"/>
                <w:szCs w:val="18"/>
              </w:rPr>
              <w:t>合并日</w:t>
            </w:r>
            <w:proofErr w:type="gramEnd"/>
            <w:r w:rsidRPr="00831C3C">
              <w:rPr>
                <w:rFonts w:ascii="宋体" w:eastAsia="宋体" w:hAnsi="宋体" w:cs="宋体"/>
                <w:sz w:val="18"/>
                <w:szCs w:val="18"/>
              </w:rPr>
              <w:t>被合并方的净利润</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比较期间被合并方的收入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比较期间被合并方的净利润</w:t>
            </w:r>
          </w:p>
        </w:tc>
      </w:tr>
    </w:tbl>
    <w:p w:rsidR="00C65FD5" w:rsidRPr="00831C3C" w:rsidRDefault="00C65FD5" w:rsidP="00BE6F3B">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r w:rsidRPr="00831C3C">
        <w:rPr>
          <w:rFonts w:hint="eastAsia"/>
          <w:sz w:val="18"/>
          <w:szCs w:val="18"/>
        </w:rPr>
        <w:t>无。</w:t>
      </w:r>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487" w:name="_Toc989368"/>
      <w:r w:rsidRPr="00831C3C">
        <w:rPr>
          <w:rFonts w:ascii="宋体" w:eastAsia="宋体" w:hAnsi="宋体" w:cs="宋体"/>
          <w:b/>
          <w:bCs/>
          <w:sz w:val="18"/>
          <w:szCs w:val="18"/>
        </w:rPr>
        <w:lastRenderedPageBreak/>
        <w:t>（2）合并成本</w:t>
      </w:r>
      <w:bookmarkEnd w:id="487"/>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488" w:name="_Toc989369"/>
      <w:r w:rsidRPr="00831C3C">
        <w:rPr>
          <w:rFonts w:ascii="宋体" w:eastAsia="宋体" w:hAnsi="宋体" w:cs="宋体"/>
          <w:b/>
          <w:bCs/>
          <w:sz w:val="18"/>
          <w:szCs w:val="18"/>
        </w:rPr>
        <w:t>（3）</w:t>
      </w:r>
      <w:proofErr w:type="gramStart"/>
      <w:r w:rsidRPr="00831C3C">
        <w:rPr>
          <w:rFonts w:ascii="宋体" w:eastAsia="宋体" w:hAnsi="宋体" w:cs="宋体"/>
          <w:b/>
          <w:bCs/>
          <w:sz w:val="18"/>
          <w:szCs w:val="18"/>
        </w:rPr>
        <w:t>合并日</w:t>
      </w:r>
      <w:proofErr w:type="gramEnd"/>
      <w:r w:rsidRPr="00831C3C">
        <w:rPr>
          <w:rFonts w:ascii="宋体" w:eastAsia="宋体" w:hAnsi="宋体" w:cs="宋体"/>
          <w:b/>
          <w:bCs/>
          <w:sz w:val="18"/>
          <w:szCs w:val="18"/>
        </w:rPr>
        <w:t>被合并方资产、负债的账面价值</w:t>
      </w:r>
      <w:bookmarkEnd w:id="488"/>
    </w:p>
    <w:p w:rsidR="00C65FD5" w:rsidRPr="00831C3C" w:rsidRDefault="00C65FD5" w:rsidP="00BE6F3B">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r w:rsidRPr="00831C3C">
        <w:rPr>
          <w:rFonts w:hint="eastAsia"/>
          <w:sz w:val="18"/>
          <w:szCs w:val="18"/>
        </w:rPr>
        <w:t>无。</w:t>
      </w:r>
    </w:p>
    <w:p w:rsidR="00E23A97" w:rsidRPr="00831C3C" w:rsidRDefault="00C65FD5">
      <w:pPr>
        <w:pStyle w:val="3"/>
        <w:spacing w:line="280" w:lineRule="exact"/>
        <w:jc w:val="left"/>
        <w:rPr>
          <w:rFonts w:ascii="宋体" w:hAnsi="宋体" w:cs="宋体"/>
          <w:b/>
          <w:bCs/>
        </w:rPr>
      </w:pPr>
      <w:bookmarkStart w:id="489" w:name="_Toc989370"/>
      <w:r w:rsidRPr="00831C3C">
        <w:rPr>
          <w:rFonts w:ascii="宋体" w:hAnsi="宋体" w:cs="宋体"/>
          <w:b/>
          <w:bCs/>
        </w:rPr>
        <w:t>3、反向购买</w:t>
      </w:r>
      <w:bookmarkEnd w:id="489"/>
    </w:p>
    <w:p w:rsidR="00C65FD5" w:rsidRPr="00831C3C" w:rsidRDefault="00C65FD5" w:rsidP="00BE6F3B">
      <w:pPr>
        <w:spacing w:before="100" w:after="100" w:line="240" w:lineRule="exact"/>
        <w:rPr>
          <w:rFonts w:ascii="宋体" w:eastAsia="宋体" w:hAnsi="宋体" w:cs="宋体"/>
          <w:sz w:val="18"/>
          <w:szCs w:val="18"/>
        </w:rPr>
      </w:pPr>
      <w:r w:rsidRPr="00831C3C">
        <w:rPr>
          <w:rFonts w:ascii="宋体" w:eastAsia="宋体" w:hAnsi="宋体" w:cs="宋体"/>
          <w:sz w:val="18"/>
          <w:szCs w:val="18"/>
        </w:rPr>
        <w:t>交易基本信息、交易构成反向购买的依据、上市公司保留的资产、负债是否构成业务及其依据、合并成本的确定、按照权益性交易处理时调整权益的金额及其计算：</w:t>
      </w:r>
      <w:r w:rsidRPr="00831C3C">
        <w:rPr>
          <w:rFonts w:hint="eastAsia"/>
          <w:sz w:val="18"/>
          <w:szCs w:val="18"/>
        </w:rPr>
        <w:t>无。</w:t>
      </w:r>
    </w:p>
    <w:p w:rsidR="00E23A97" w:rsidRPr="00831C3C" w:rsidRDefault="00C65FD5">
      <w:pPr>
        <w:pStyle w:val="3"/>
        <w:spacing w:line="280" w:lineRule="exact"/>
        <w:jc w:val="left"/>
        <w:rPr>
          <w:rFonts w:ascii="宋体" w:hAnsi="宋体" w:cs="宋体"/>
          <w:b/>
          <w:bCs/>
        </w:rPr>
      </w:pPr>
      <w:bookmarkStart w:id="490" w:name="_Toc989371"/>
      <w:r w:rsidRPr="00831C3C">
        <w:rPr>
          <w:rFonts w:ascii="宋体" w:hAnsi="宋体" w:cs="宋体"/>
          <w:b/>
          <w:bCs/>
        </w:rPr>
        <w:t>4、处置子公司</w:t>
      </w:r>
      <w:bookmarkEnd w:id="490"/>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本期是否存在丧失子公司控制权的交易或事项</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是□否</w:t>
      </w:r>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742"/>
        <w:gridCol w:w="742"/>
        <w:gridCol w:w="742"/>
        <w:gridCol w:w="742"/>
        <w:gridCol w:w="742"/>
        <w:gridCol w:w="742"/>
        <w:gridCol w:w="741"/>
        <w:gridCol w:w="741"/>
        <w:gridCol w:w="741"/>
        <w:gridCol w:w="741"/>
        <w:gridCol w:w="741"/>
        <w:gridCol w:w="741"/>
        <w:gridCol w:w="741"/>
      </w:tblGrid>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子公司名称</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丧失控制权时点的处置价款</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丧失控制权时点的处置比例</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丧失控制权时点的处置方式</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丧失控制权的时点</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丧失控制权时点的判断依据</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处置价款与处置投资对应的合并财务报表层面享有该子公司净资产份额的差额</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丧失控制权之日剩余股权的比例</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丧失控制权之日合并财务报表层面剩余股权的账面价值</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丧失控制权之日合并财务报表层面剩余股权的公允价值</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按照公允价值重新计量剩余股权产生的利得或损失</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丧失控制权之日合并财务报表层面剩余股权公允价值的确定方法及主要假设</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与原子公司股权投资相关的其他综合收益转入投资损益或留存收益的金额</w:t>
            </w: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深圳市天计数</w:t>
            </w:r>
            <w:proofErr w:type="gramStart"/>
            <w:r w:rsidRPr="00831C3C">
              <w:rPr>
                <w:rFonts w:ascii="宋体" w:eastAsia="宋体" w:hAnsi="宋体" w:cs="宋体"/>
                <w:sz w:val="18"/>
                <w:szCs w:val="18"/>
              </w:rPr>
              <w:t>智科技</w:t>
            </w:r>
            <w:proofErr w:type="gramEnd"/>
            <w:r w:rsidRPr="00831C3C">
              <w:rPr>
                <w:rFonts w:ascii="宋体" w:eastAsia="宋体" w:hAnsi="宋体" w:cs="宋体"/>
                <w:sz w:val="18"/>
                <w:szCs w:val="18"/>
              </w:rPr>
              <w:t>有限公司</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5,100,000.00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51.00%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非同控转让</w:t>
            </w:r>
            <w:proofErr w:type="gramEnd"/>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2024年04月30日</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合同约定交割日</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122,455.54</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新疆泽孚棉花有限公司</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18,219,218.39</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51.00%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非同控转让</w:t>
            </w:r>
            <w:proofErr w:type="gramEnd"/>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2024年10月31日</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合同约定交割日</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-4,505,340.82</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喀什</w:t>
            </w:r>
            <w:proofErr w:type="gramStart"/>
            <w:r w:rsidRPr="00831C3C">
              <w:rPr>
                <w:rFonts w:ascii="宋体" w:eastAsia="宋体" w:hAnsi="宋体" w:cs="宋体"/>
                <w:sz w:val="18"/>
                <w:szCs w:val="18"/>
              </w:rPr>
              <w:t>暄</w:t>
            </w:r>
            <w:proofErr w:type="gramEnd"/>
            <w:r w:rsidRPr="00831C3C">
              <w:rPr>
                <w:rFonts w:ascii="宋体" w:eastAsia="宋体" w:hAnsi="宋体" w:cs="宋体"/>
                <w:sz w:val="18"/>
                <w:szCs w:val="18"/>
              </w:rPr>
              <w:t>纺纺棉花有限公司</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26,500,000.00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非同控转让</w:t>
            </w:r>
            <w:proofErr w:type="gramEnd"/>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2024年09月30日</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合同约定交割日</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12,360,384.82</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p>
    <w:p w:rsidR="00C65FD5" w:rsidRPr="00831C3C" w:rsidRDefault="00C65FD5">
      <w:pPr>
        <w:pStyle w:val="a3"/>
        <w:divId w:val="489294654"/>
        <w:rPr>
          <w:sz w:val="18"/>
          <w:szCs w:val="18"/>
        </w:rPr>
      </w:pPr>
      <w:r w:rsidRPr="00831C3C">
        <w:rPr>
          <w:rFonts w:hint="eastAsia"/>
          <w:sz w:val="18"/>
          <w:szCs w:val="18"/>
        </w:rPr>
        <w:lastRenderedPageBreak/>
        <w:t>无。</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是否存在通过多次交易分步处置对子公司投资且在本期丧失控制权的情形</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□是</w:t>
      </w:r>
      <w:r w:rsidRPr="00831C3C">
        <w:rPr>
          <w:rFonts w:ascii="宋体" w:eastAsia="宋体" w:hAnsi="宋体" w:cs="宋体"/>
          <w:sz w:val="18"/>
          <w:szCs w:val="18"/>
        </w:rPr>
        <w:sym w:font="Wingdings 2" w:char="F052"/>
      </w:r>
      <w:r w:rsidRPr="00831C3C">
        <w:rPr>
          <w:rFonts w:ascii="宋体" w:eastAsia="宋体" w:hAnsi="宋体" w:cs="宋体"/>
          <w:sz w:val="18"/>
          <w:szCs w:val="18"/>
        </w:rPr>
        <w:t>否</w:t>
      </w:r>
    </w:p>
    <w:p w:rsidR="00E23A97" w:rsidRPr="00831C3C" w:rsidRDefault="00C65FD5">
      <w:pPr>
        <w:pStyle w:val="3"/>
        <w:spacing w:line="280" w:lineRule="exact"/>
        <w:jc w:val="left"/>
        <w:rPr>
          <w:rFonts w:ascii="宋体" w:hAnsi="宋体" w:cs="宋体"/>
          <w:b/>
          <w:bCs/>
        </w:rPr>
      </w:pPr>
      <w:bookmarkStart w:id="491" w:name="_Toc989372"/>
      <w:r w:rsidRPr="00831C3C">
        <w:rPr>
          <w:rFonts w:ascii="宋体" w:hAnsi="宋体" w:cs="宋体"/>
          <w:b/>
          <w:bCs/>
        </w:rPr>
        <w:t>5、其他原因的合并范围变动</w:t>
      </w:r>
      <w:bookmarkEnd w:id="491"/>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说明其他原因导致的合并范围变动（如，新设子公司、清算子公司等）及其相关情况：</w:t>
      </w:r>
    </w:p>
    <w:tbl>
      <w:tblPr>
        <w:tblW w:w="9298" w:type="dxa"/>
        <w:jc w:val="center"/>
        <w:tblInd w:w="-623" w:type="dxa"/>
        <w:tblLayout w:type="fixed"/>
        <w:tblCellMar>
          <w:left w:w="0" w:type="dxa"/>
          <w:right w:w="0" w:type="dxa"/>
        </w:tblCellMar>
        <w:tblLook w:val="04A0" w:firstRow="1" w:lastRow="0" w:firstColumn="1" w:lastColumn="0" w:noHBand="0" w:noVBand="1"/>
      </w:tblPr>
      <w:tblGrid>
        <w:gridCol w:w="4649"/>
        <w:gridCol w:w="4649"/>
      </w:tblGrid>
      <w:tr w:rsidR="00831C3C" w:rsidRPr="00831C3C" w:rsidTr="00BE6F3B">
        <w:trPr>
          <w:divId w:val="212690942"/>
          <w:trHeight w:val="240"/>
          <w:jc w:val="center"/>
        </w:trPr>
        <w:tc>
          <w:tcPr>
            <w:tcW w:w="464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18"/>
                <w:szCs w:val="18"/>
              </w:rPr>
            </w:pPr>
            <w:r w:rsidRPr="00831C3C">
              <w:rPr>
                <w:rFonts w:hint="eastAsia"/>
                <w:sz w:val="18"/>
                <w:szCs w:val="18"/>
              </w:rPr>
              <w:t>名称</w:t>
            </w:r>
          </w:p>
        </w:tc>
        <w:tc>
          <w:tcPr>
            <w:tcW w:w="4649"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18"/>
                <w:szCs w:val="18"/>
              </w:rPr>
            </w:pPr>
            <w:r w:rsidRPr="00831C3C">
              <w:rPr>
                <w:rFonts w:hint="eastAsia"/>
                <w:sz w:val="18"/>
                <w:szCs w:val="18"/>
              </w:rPr>
              <w:t>变更原因</w:t>
            </w:r>
          </w:p>
        </w:tc>
      </w:tr>
      <w:tr w:rsidR="00831C3C" w:rsidRPr="00831C3C" w:rsidTr="00BE6F3B">
        <w:trPr>
          <w:divId w:val="212690942"/>
          <w:trHeight w:val="240"/>
          <w:jc w:val="center"/>
        </w:trPr>
        <w:tc>
          <w:tcPr>
            <w:tcW w:w="4649"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18"/>
                <w:szCs w:val="18"/>
              </w:rPr>
            </w:pPr>
            <w:r w:rsidRPr="00831C3C">
              <w:rPr>
                <w:rFonts w:hint="eastAsia"/>
                <w:sz w:val="18"/>
                <w:szCs w:val="18"/>
              </w:rPr>
              <w:t>华</w:t>
            </w:r>
            <w:proofErr w:type="gramStart"/>
            <w:r w:rsidRPr="00831C3C">
              <w:rPr>
                <w:rFonts w:hint="eastAsia"/>
                <w:sz w:val="18"/>
                <w:szCs w:val="18"/>
              </w:rPr>
              <w:t>孚智算</w:t>
            </w:r>
            <w:proofErr w:type="gramEnd"/>
            <w:r w:rsidRPr="00831C3C">
              <w:rPr>
                <w:rFonts w:hint="eastAsia"/>
                <w:sz w:val="18"/>
                <w:szCs w:val="18"/>
              </w:rPr>
              <w:t>（上海）网络有限公司</w:t>
            </w:r>
          </w:p>
        </w:tc>
        <w:tc>
          <w:tcPr>
            <w:tcW w:w="464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18"/>
                <w:szCs w:val="18"/>
              </w:rPr>
            </w:pPr>
            <w:r w:rsidRPr="00831C3C">
              <w:rPr>
                <w:rFonts w:hint="eastAsia"/>
                <w:sz w:val="18"/>
                <w:szCs w:val="18"/>
              </w:rPr>
              <w:t>新设</w:t>
            </w:r>
          </w:p>
        </w:tc>
      </w:tr>
      <w:tr w:rsidR="00831C3C" w:rsidRPr="00831C3C" w:rsidTr="00BE6F3B">
        <w:trPr>
          <w:divId w:val="212690942"/>
          <w:trHeight w:val="240"/>
          <w:jc w:val="center"/>
        </w:trPr>
        <w:tc>
          <w:tcPr>
            <w:tcW w:w="4649"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18"/>
                <w:szCs w:val="18"/>
              </w:rPr>
            </w:pPr>
            <w:r w:rsidRPr="00831C3C">
              <w:rPr>
                <w:rFonts w:hint="eastAsia"/>
                <w:sz w:val="18"/>
                <w:szCs w:val="18"/>
              </w:rPr>
              <w:t>新疆华孚人工智能科技有限公司</w:t>
            </w:r>
          </w:p>
        </w:tc>
        <w:tc>
          <w:tcPr>
            <w:tcW w:w="464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18"/>
                <w:szCs w:val="18"/>
              </w:rPr>
            </w:pPr>
            <w:r w:rsidRPr="00831C3C">
              <w:rPr>
                <w:rFonts w:hint="eastAsia"/>
                <w:sz w:val="18"/>
                <w:szCs w:val="18"/>
              </w:rPr>
              <w:t>新设</w:t>
            </w:r>
          </w:p>
        </w:tc>
      </w:tr>
      <w:tr w:rsidR="00831C3C" w:rsidRPr="00831C3C" w:rsidTr="00BE6F3B">
        <w:trPr>
          <w:divId w:val="212690942"/>
          <w:trHeight w:val="240"/>
          <w:jc w:val="center"/>
        </w:trPr>
        <w:tc>
          <w:tcPr>
            <w:tcW w:w="4649"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18"/>
                <w:szCs w:val="18"/>
              </w:rPr>
            </w:pPr>
            <w:r w:rsidRPr="00831C3C">
              <w:rPr>
                <w:rFonts w:hint="eastAsia"/>
                <w:sz w:val="18"/>
                <w:szCs w:val="18"/>
              </w:rPr>
              <w:t>绍兴</w:t>
            </w:r>
            <w:proofErr w:type="gramStart"/>
            <w:r w:rsidRPr="00831C3C">
              <w:rPr>
                <w:rFonts w:hint="eastAsia"/>
                <w:sz w:val="18"/>
                <w:szCs w:val="18"/>
              </w:rPr>
              <w:t>智宽科技</w:t>
            </w:r>
            <w:proofErr w:type="gramEnd"/>
            <w:r w:rsidRPr="00831C3C">
              <w:rPr>
                <w:rFonts w:hint="eastAsia"/>
                <w:sz w:val="18"/>
                <w:szCs w:val="18"/>
              </w:rPr>
              <w:t>有限公司</w:t>
            </w:r>
          </w:p>
        </w:tc>
        <w:tc>
          <w:tcPr>
            <w:tcW w:w="464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18"/>
                <w:szCs w:val="18"/>
              </w:rPr>
            </w:pPr>
            <w:r w:rsidRPr="00831C3C">
              <w:rPr>
                <w:rFonts w:hint="eastAsia"/>
                <w:sz w:val="18"/>
                <w:szCs w:val="18"/>
              </w:rPr>
              <w:t>新设</w:t>
            </w:r>
          </w:p>
        </w:tc>
      </w:tr>
      <w:tr w:rsidR="00831C3C" w:rsidRPr="00831C3C" w:rsidTr="00BE6F3B">
        <w:trPr>
          <w:divId w:val="212690942"/>
          <w:trHeight w:val="240"/>
          <w:jc w:val="center"/>
        </w:trPr>
        <w:tc>
          <w:tcPr>
            <w:tcW w:w="4649"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18"/>
                <w:szCs w:val="18"/>
              </w:rPr>
            </w:pPr>
            <w:r w:rsidRPr="00831C3C">
              <w:rPr>
                <w:rFonts w:hint="eastAsia"/>
                <w:sz w:val="18"/>
                <w:szCs w:val="18"/>
              </w:rPr>
              <w:t>新疆华孚智算科技有限公司</w:t>
            </w:r>
          </w:p>
        </w:tc>
        <w:tc>
          <w:tcPr>
            <w:tcW w:w="464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18"/>
                <w:szCs w:val="18"/>
              </w:rPr>
            </w:pPr>
            <w:r w:rsidRPr="00831C3C">
              <w:rPr>
                <w:rFonts w:hint="eastAsia"/>
                <w:sz w:val="18"/>
                <w:szCs w:val="18"/>
              </w:rPr>
              <w:t>新设</w:t>
            </w:r>
          </w:p>
        </w:tc>
      </w:tr>
      <w:tr w:rsidR="00831C3C" w:rsidRPr="00831C3C" w:rsidTr="00BE6F3B">
        <w:trPr>
          <w:divId w:val="212690942"/>
          <w:trHeight w:val="240"/>
          <w:jc w:val="center"/>
        </w:trPr>
        <w:tc>
          <w:tcPr>
            <w:tcW w:w="4649"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18"/>
                <w:szCs w:val="18"/>
              </w:rPr>
            </w:pPr>
            <w:proofErr w:type="gramStart"/>
            <w:r w:rsidRPr="00831C3C">
              <w:rPr>
                <w:rFonts w:hint="eastAsia"/>
                <w:sz w:val="18"/>
                <w:szCs w:val="18"/>
              </w:rPr>
              <w:t>绍兴华孚智算</w:t>
            </w:r>
            <w:proofErr w:type="gramEnd"/>
            <w:r w:rsidRPr="00831C3C">
              <w:rPr>
                <w:rFonts w:hint="eastAsia"/>
                <w:sz w:val="18"/>
                <w:szCs w:val="18"/>
              </w:rPr>
              <w:t>科技有限公司</w:t>
            </w:r>
          </w:p>
        </w:tc>
        <w:tc>
          <w:tcPr>
            <w:tcW w:w="464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18"/>
                <w:szCs w:val="18"/>
              </w:rPr>
            </w:pPr>
            <w:r w:rsidRPr="00831C3C">
              <w:rPr>
                <w:rFonts w:hint="eastAsia"/>
                <w:sz w:val="18"/>
                <w:szCs w:val="18"/>
              </w:rPr>
              <w:t>新设</w:t>
            </w:r>
          </w:p>
        </w:tc>
      </w:tr>
      <w:tr w:rsidR="00831C3C" w:rsidRPr="00831C3C" w:rsidTr="00BE6F3B">
        <w:trPr>
          <w:divId w:val="212690942"/>
          <w:trHeight w:val="240"/>
          <w:jc w:val="center"/>
        </w:trPr>
        <w:tc>
          <w:tcPr>
            <w:tcW w:w="4649"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18"/>
                <w:szCs w:val="18"/>
              </w:rPr>
            </w:pPr>
            <w:r w:rsidRPr="00831C3C">
              <w:rPr>
                <w:rFonts w:hint="eastAsia"/>
                <w:sz w:val="18"/>
                <w:szCs w:val="18"/>
              </w:rPr>
              <w:t>喀什</w:t>
            </w:r>
            <w:proofErr w:type="gramStart"/>
            <w:r w:rsidRPr="00831C3C">
              <w:rPr>
                <w:rFonts w:hint="eastAsia"/>
                <w:sz w:val="18"/>
                <w:szCs w:val="18"/>
              </w:rPr>
              <w:t>暄</w:t>
            </w:r>
            <w:proofErr w:type="gramEnd"/>
            <w:r w:rsidRPr="00831C3C">
              <w:rPr>
                <w:rFonts w:hint="eastAsia"/>
                <w:sz w:val="18"/>
                <w:szCs w:val="18"/>
              </w:rPr>
              <w:t>纺棉花有限公司</w:t>
            </w:r>
          </w:p>
        </w:tc>
        <w:tc>
          <w:tcPr>
            <w:tcW w:w="464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18"/>
                <w:szCs w:val="18"/>
              </w:rPr>
            </w:pPr>
            <w:r w:rsidRPr="00831C3C">
              <w:rPr>
                <w:rFonts w:hint="eastAsia"/>
                <w:sz w:val="18"/>
                <w:szCs w:val="18"/>
              </w:rPr>
              <w:t>新设</w:t>
            </w:r>
          </w:p>
        </w:tc>
      </w:tr>
      <w:tr w:rsidR="00831C3C" w:rsidRPr="00831C3C" w:rsidTr="00BE6F3B">
        <w:trPr>
          <w:divId w:val="212690942"/>
          <w:trHeight w:val="240"/>
          <w:jc w:val="center"/>
        </w:trPr>
        <w:tc>
          <w:tcPr>
            <w:tcW w:w="4649"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18"/>
                <w:szCs w:val="18"/>
              </w:rPr>
            </w:pPr>
            <w:r w:rsidRPr="00831C3C">
              <w:rPr>
                <w:rFonts w:hint="eastAsia"/>
                <w:sz w:val="18"/>
                <w:szCs w:val="18"/>
              </w:rPr>
              <w:t>兰溪市</w:t>
            </w:r>
            <w:proofErr w:type="gramStart"/>
            <w:r w:rsidRPr="00831C3C">
              <w:rPr>
                <w:rFonts w:hint="eastAsia"/>
                <w:sz w:val="18"/>
                <w:szCs w:val="18"/>
              </w:rPr>
              <w:t>菁英数字</w:t>
            </w:r>
            <w:proofErr w:type="gramEnd"/>
            <w:r w:rsidRPr="00831C3C">
              <w:rPr>
                <w:rFonts w:hint="eastAsia"/>
                <w:sz w:val="18"/>
                <w:szCs w:val="18"/>
              </w:rPr>
              <w:t>产业发展有限公司</w:t>
            </w:r>
          </w:p>
        </w:tc>
        <w:tc>
          <w:tcPr>
            <w:tcW w:w="464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18"/>
                <w:szCs w:val="18"/>
              </w:rPr>
            </w:pPr>
            <w:r w:rsidRPr="00831C3C">
              <w:rPr>
                <w:rFonts w:hint="eastAsia"/>
                <w:sz w:val="18"/>
                <w:szCs w:val="18"/>
              </w:rPr>
              <w:t>新设</w:t>
            </w:r>
          </w:p>
        </w:tc>
      </w:tr>
      <w:tr w:rsidR="00831C3C" w:rsidRPr="00831C3C" w:rsidTr="00BE6F3B">
        <w:trPr>
          <w:divId w:val="212690942"/>
          <w:trHeight w:val="240"/>
          <w:jc w:val="center"/>
        </w:trPr>
        <w:tc>
          <w:tcPr>
            <w:tcW w:w="4649"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18"/>
                <w:szCs w:val="18"/>
              </w:rPr>
            </w:pPr>
            <w:r w:rsidRPr="00831C3C">
              <w:rPr>
                <w:rFonts w:hint="eastAsia"/>
                <w:sz w:val="18"/>
                <w:szCs w:val="18"/>
              </w:rPr>
              <w:t>新疆华孚种业科技股份有限公司</w:t>
            </w:r>
          </w:p>
        </w:tc>
        <w:tc>
          <w:tcPr>
            <w:tcW w:w="464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18"/>
                <w:szCs w:val="18"/>
              </w:rPr>
            </w:pPr>
            <w:r w:rsidRPr="00831C3C">
              <w:rPr>
                <w:rFonts w:hint="eastAsia"/>
                <w:sz w:val="18"/>
                <w:szCs w:val="18"/>
              </w:rPr>
              <w:t>新设</w:t>
            </w:r>
          </w:p>
        </w:tc>
      </w:tr>
      <w:tr w:rsidR="00831C3C" w:rsidRPr="00831C3C" w:rsidTr="00BE6F3B">
        <w:trPr>
          <w:divId w:val="212690942"/>
          <w:trHeight w:val="240"/>
          <w:jc w:val="center"/>
        </w:trPr>
        <w:tc>
          <w:tcPr>
            <w:tcW w:w="4649"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18"/>
                <w:szCs w:val="18"/>
              </w:rPr>
            </w:pPr>
            <w:r w:rsidRPr="00831C3C">
              <w:rPr>
                <w:rFonts w:hint="eastAsia"/>
                <w:sz w:val="18"/>
                <w:szCs w:val="18"/>
              </w:rPr>
              <w:t>东阳市广厦</w:t>
            </w:r>
            <w:proofErr w:type="gramStart"/>
            <w:r w:rsidRPr="00831C3C">
              <w:rPr>
                <w:rFonts w:hint="eastAsia"/>
                <w:sz w:val="18"/>
                <w:szCs w:val="18"/>
              </w:rPr>
              <w:t>菁英创业</w:t>
            </w:r>
            <w:proofErr w:type="gramEnd"/>
            <w:r w:rsidRPr="00831C3C">
              <w:rPr>
                <w:rFonts w:hint="eastAsia"/>
                <w:sz w:val="18"/>
                <w:szCs w:val="18"/>
              </w:rPr>
              <w:t>服务有限公司</w:t>
            </w:r>
          </w:p>
        </w:tc>
        <w:tc>
          <w:tcPr>
            <w:tcW w:w="464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18"/>
                <w:szCs w:val="18"/>
              </w:rPr>
            </w:pPr>
            <w:r w:rsidRPr="00831C3C">
              <w:rPr>
                <w:rFonts w:hint="eastAsia"/>
                <w:sz w:val="18"/>
                <w:szCs w:val="18"/>
              </w:rPr>
              <w:t>新设</w:t>
            </w:r>
          </w:p>
        </w:tc>
      </w:tr>
      <w:tr w:rsidR="00831C3C" w:rsidRPr="00831C3C" w:rsidTr="00BE6F3B">
        <w:trPr>
          <w:divId w:val="212690942"/>
          <w:trHeight w:val="240"/>
          <w:jc w:val="center"/>
        </w:trPr>
        <w:tc>
          <w:tcPr>
            <w:tcW w:w="4649"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18"/>
                <w:szCs w:val="18"/>
              </w:rPr>
            </w:pPr>
            <w:r w:rsidRPr="00831C3C">
              <w:rPr>
                <w:rFonts w:hint="eastAsia"/>
                <w:sz w:val="18"/>
                <w:szCs w:val="18"/>
              </w:rPr>
              <w:t>浙江尚春酒店有限公司</w:t>
            </w:r>
          </w:p>
        </w:tc>
        <w:tc>
          <w:tcPr>
            <w:tcW w:w="464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18"/>
                <w:szCs w:val="18"/>
              </w:rPr>
            </w:pPr>
            <w:r w:rsidRPr="00831C3C">
              <w:rPr>
                <w:rFonts w:hint="eastAsia"/>
                <w:sz w:val="18"/>
                <w:szCs w:val="18"/>
              </w:rPr>
              <w:t>新设</w:t>
            </w:r>
          </w:p>
        </w:tc>
      </w:tr>
      <w:tr w:rsidR="00831C3C" w:rsidRPr="00831C3C" w:rsidTr="00BE6F3B">
        <w:trPr>
          <w:divId w:val="212690942"/>
          <w:trHeight w:val="240"/>
          <w:jc w:val="center"/>
        </w:trPr>
        <w:tc>
          <w:tcPr>
            <w:tcW w:w="4649"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18"/>
                <w:szCs w:val="18"/>
              </w:rPr>
            </w:pPr>
            <w:r w:rsidRPr="00831C3C">
              <w:rPr>
                <w:rFonts w:hint="eastAsia"/>
                <w:sz w:val="18"/>
                <w:szCs w:val="18"/>
              </w:rPr>
              <w:t>阿瓦提华</w:t>
            </w:r>
            <w:proofErr w:type="gramStart"/>
            <w:r w:rsidRPr="00831C3C">
              <w:rPr>
                <w:rFonts w:hint="eastAsia"/>
                <w:sz w:val="18"/>
                <w:szCs w:val="18"/>
              </w:rPr>
              <w:t>孚</w:t>
            </w:r>
            <w:proofErr w:type="gramEnd"/>
            <w:r w:rsidRPr="00831C3C">
              <w:rPr>
                <w:rFonts w:hint="eastAsia"/>
                <w:sz w:val="18"/>
                <w:szCs w:val="18"/>
              </w:rPr>
              <w:t>纺织有限公司</w:t>
            </w:r>
          </w:p>
        </w:tc>
        <w:tc>
          <w:tcPr>
            <w:tcW w:w="464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18"/>
                <w:szCs w:val="18"/>
              </w:rPr>
            </w:pPr>
            <w:r w:rsidRPr="00831C3C">
              <w:rPr>
                <w:rFonts w:hint="eastAsia"/>
                <w:sz w:val="18"/>
                <w:szCs w:val="18"/>
              </w:rPr>
              <w:t>注销</w:t>
            </w:r>
          </w:p>
        </w:tc>
      </w:tr>
      <w:tr w:rsidR="00831C3C" w:rsidRPr="00831C3C" w:rsidTr="00BE6F3B">
        <w:trPr>
          <w:divId w:val="212690942"/>
          <w:trHeight w:val="240"/>
          <w:jc w:val="center"/>
        </w:trPr>
        <w:tc>
          <w:tcPr>
            <w:tcW w:w="4649"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18"/>
                <w:szCs w:val="18"/>
              </w:rPr>
            </w:pPr>
            <w:r w:rsidRPr="00831C3C">
              <w:rPr>
                <w:rFonts w:hint="eastAsia"/>
                <w:sz w:val="18"/>
                <w:szCs w:val="18"/>
              </w:rPr>
              <w:t>浙江缙云华孚纺织有限公司</w:t>
            </w:r>
          </w:p>
        </w:tc>
        <w:tc>
          <w:tcPr>
            <w:tcW w:w="464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18"/>
                <w:szCs w:val="18"/>
              </w:rPr>
            </w:pPr>
            <w:r w:rsidRPr="00831C3C">
              <w:rPr>
                <w:rFonts w:hint="eastAsia"/>
                <w:sz w:val="18"/>
                <w:szCs w:val="18"/>
              </w:rPr>
              <w:t>注销</w:t>
            </w:r>
          </w:p>
        </w:tc>
      </w:tr>
      <w:tr w:rsidR="00831C3C" w:rsidRPr="00831C3C" w:rsidTr="00BE6F3B">
        <w:trPr>
          <w:divId w:val="212690942"/>
          <w:trHeight w:val="60"/>
          <w:jc w:val="center"/>
        </w:trPr>
        <w:tc>
          <w:tcPr>
            <w:tcW w:w="4649"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18"/>
                <w:szCs w:val="18"/>
              </w:rPr>
            </w:pPr>
            <w:r w:rsidRPr="00831C3C">
              <w:rPr>
                <w:rFonts w:hint="eastAsia"/>
                <w:sz w:val="18"/>
                <w:szCs w:val="18"/>
              </w:rPr>
              <w:t>余姚华</w:t>
            </w:r>
            <w:proofErr w:type="gramStart"/>
            <w:r w:rsidRPr="00831C3C">
              <w:rPr>
                <w:rFonts w:hint="eastAsia"/>
                <w:sz w:val="18"/>
                <w:szCs w:val="18"/>
              </w:rPr>
              <w:t>孚</w:t>
            </w:r>
            <w:proofErr w:type="gramEnd"/>
            <w:r w:rsidRPr="00831C3C">
              <w:rPr>
                <w:rFonts w:hint="eastAsia"/>
                <w:sz w:val="18"/>
                <w:szCs w:val="18"/>
              </w:rPr>
              <w:t>纺织有限公司</w:t>
            </w:r>
          </w:p>
        </w:tc>
        <w:tc>
          <w:tcPr>
            <w:tcW w:w="464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18"/>
                <w:szCs w:val="18"/>
              </w:rPr>
            </w:pPr>
            <w:r w:rsidRPr="00831C3C">
              <w:rPr>
                <w:rFonts w:hint="eastAsia"/>
                <w:sz w:val="18"/>
                <w:szCs w:val="18"/>
              </w:rPr>
              <w:t>注销</w:t>
            </w:r>
          </w:p>
        </w:tc>
      </w:tr>
      <w:tr w:rsidR="00831C3C" w:rsidRPr="00831C3C" w:rsidTr="00BE6F3B">
        <w:trPr>
          <w:divId w:val="212690942"/>
          <w:trHeight w:val="240"/>
          <w:jc w:val="center"/>
        </w:trPr>
        <w:tc>
          <w:tcPr>
            <w:tcW w:w="4649"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18"/>
                <w:szCs w:val="18"/>
              </w:rPr>
            </w:pPr>
            <w:r w:rsidRPr="00831C3C">
              <w:rPr>
                <w:rFonts w:hint="eastAsia"/>
                <w:sz w:val="18"/>
                <w:szCs w:val="18"/>
              </w:rPr>
              <w:t>浙江服人网络科技有限公司</w:t>
            </w:r>
          </w:p>
        </w:tc>
        <w:tc>
          <w:tcPr>
            <w:tcW w:w="464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18"/>
                <w:szCs w:val="18"/>
              </w:rPr>
            </w:pPr>
            <w:r w:rsidRPr="00831C3C">
              <w:rPr>
                <w:rFonts w:hint="eastAsia"/>
                <w:sz w:val="18"/>
                <w:szCs w:val="18"/>
              </w:rPr>
              <w:t>注销</w:t>
            </w:r>
          </w:p>
        </w:tc>
      </w:tr>
      <w:tr w:rsidR="00831C3C" w:rsidRPr="00831C3C" w:rsidTr="00BE6F3B">
        <w:trPr>
          <w:divId w:val="212690942"/>
          <w:trHeight w:val="240"/>
          <w:jc w:val="center"/>
        </w:trPr>
        <w:tc>
          <w:tcPr>
            <w:tcW w:w="4649"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18"/>
                <w:szCs w:val="18"/>
              </w:rPr>
            </w:pPr>
            <w:r w:rsidRPr="00831C3C">
              <w:rPr>
                <w:rFonts w:hint="eastAsia"/>
                <w:sz w:val="18"/>
                <w:szCs w:val="18"/>
              </w:rPr>
              <w:t>上海清澄时尚生活用品有限公司</w:t>
            </w:r>
          </w:p>
        </w:tc>
        <w:tc>
          <w:tcPr>
            <w:tcW w:w="464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18"/>
                <w:szCs w:val="18"/>
              </w:rPr>
            </w:pPr>
            <w:r w:rsidRPr="00831C3C">
              <w:rPr>
                <w:rFonts w:hint="eastAsia"/>
                <w:sz w:val="18"/>
                <w:szCs w:val="18"/>
              </w:rPr>
              <w:t>注销</w:t>
            </w:r>
          </w:p>
        </w:tc>
      </w:tr>
      <w:tr w:rsidR="00831C3C" w:rsidRPr="00831C3C" w:rsidTr="00BE6F3B">
        <w:trPr>
          <w:divId w:val="212690942"/>
          <w:trHeight w:val="240"/>
          <w:jc w:val="center"/>
        </w:trPr>
        <w:tc>
          <w:tcPr>
            <w:tcW w:w="4649"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18"/>
                <w:szCs w:val="18"/>
              </w:rPr>
            </w:pPr>
            <w:r w:rsidRPr="00831C3C">
              <w:rPr>
                <w:rFonts w:hint="eastAsia"/>
                <w:sz w:val="18"/>
                <w:szCs w:val="18"/>
              </w:rPr>
              <w:t>江苏</w:t>
            </w:r>
            <w:proofErr w:type="gramStart"/>
            <w:r w:rsidRPr="00831C3C">
              <w:rPr>
                <w:rFonts w:hint="eastAsia"/>
                <w:sz w:val="18"/>
                <w:szCs w:val="18"/>
              </w:rPr>
              <w:t>清澄家</w:t>
            </w:r>
            <w:proofErr w:type="gramEnd"/>
            <w:r w:rsidRPr="00831C3C">
              <w:rPr>
                <w:rFonts w:hint="eastAsia"/>
                <w:sz w:val="18"/>
                <w:szCs w:val="18"/>
              </w:rPr>
              <w:t>生活用品有限公司</w:t>
            </w:r>
          </w:p>
        </w:tc>
        <w:tc>
          <w:tcPr>
            <w:tcW w:w="464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18"/>
                <w:szCs w:val="18"/>
              </w:rPr>
            </w:pPr>
            <w:r w:rsidRPr="00831C3C">
              <w:rPr>
                <w:rFonts w:hint="eastAsia"/>
                <w:sz w:val="18"/>
                <w:szCs w:val="18"/>
              </w:rPr>
              <w:t>注销</w:t>
            </w:r>
          </w:p>
        </w:tc>
      </w:tr>
      <w:tr w:rsidR="00831C3C" w:rsidRPr="00831C3C" w:rsidTr="00BE6F3B">
        <w:trPr>
          <w:divId w:val="212690942"/>
          <w:trHeight w:val="240"/>
          <w:jc w:val="center"/>
        </w:trPr>
        <w:tc>
          <w:tcPr>
            <w:tcW w:w="4649"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18"/>
                <w:szCs w:val="18"/>
              </w:rPr>
            </w:pPr>
            <w:r w:rsidRPr="00831C3C">
              <w:rPr>
                <w:rFonts w:hint="eastAsia"/>
                <w:sz w:val="18"/>
                <w:szCs w:val="18"/>
              </w:rPr>
              <w:t>喀什</w:t>
            </w:r>
            <w:proofErr w:type="gramStart"/>
            <w:r w:rsidRPr="00831C3C">
              <w:rPr>
                <w:rFonts w:hint="eastAsia"/>
                <w:sz w:val="18"/>
                <w:szCs w:val="18"/>
              </w:rPr>
              <w:t>暄</w:t>
            </w:r>
            <w:proofErr w:type="gramEnd"/>
            <w:r w:rsidRPr="00831C3C">
              <w:rPr>
                <w:rFonts w:hint="eastAsia"/>
                <w:sz w:val="18"/>
                <w:szCs w:val="18"/>
              </w:rPr>
              <w:t>纺棉花有限公司</w:t>
            </w:r>
          </w:p>
        </w:tc>
        <w:tc>
          <w:tcPr>
            <w:tcW w:w="464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18"/>
                <w:szCs w:val="18"/>
              </w:rPr>
            </w:pPr>
            <w:proofErr w:type="gramStart"/>
            <w:r w:rsidRPr="00831C3C">
              <w:rPr>
                <w:rFonts w:hint="eastAsia"/>
                <w:sz w:val="18"/>
                <w:szCs w:val="18"/>
              </w:rPr>
              <w:t>非同控转让</w:t>
            </w:r>
            <w:proofErr w:type="gramEnd"/>
          </w:p>
        </w:tc>
      </w:tr>
      <w:tr w:rsidR="00831C3C" w:rsidRPr="00831C3C" w:rsidTr="00BE6F3B">
        <w:trPr>
          <w:divId w:val="212690942"/>
          <w:trHeight w:val="240"/>
          <w:jc w:val="center"/>
        </w:trPr>
        <w:tc>
          <w:tcPr>
            <w:tcW w:w="4649"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18"/>
                <w:szCs w:val="18"/>
              </w:rPr>
            </w:pPr>
            <w:r w:rsidRPr="00831C3C">
              <w:rPr>
                <w:rFonts w:hint="eastAsia"/>
                <w:sz w:val="18"/>
                <w:szCs w:val="18"/>
              </w:rPr>
              <w:t>深圳市天计数</w:t>
            </w:r>
            <w:proofErr w:type="gramStart"/>
            <w:r w:rsidRPr="00831C3C">
              <w:rPr>
                <w:rFonts w:hint="eastAsia"/>
                <w:sz w:val="18"/>
                <w:szCs w:val="18"/>
              </w:rPr>
              <w:t>智科技</w:t>
            </w:r>
            <w:proofErr w:type="gramEnd"/>
            <w:r w:rsidRPr="00831C3C">
              <w:rPr>
                <w:rFonts w:hint="eastAsia"/>
                <w:sz w:val="18"/>
                <w:szCs w:val="18"/>
              </w:rPr>
              <w:t>有限公司</w:t>
            </w:r>
          </w:p>
        </w:tc>
        <w:tc>
          <w:tcPr>
            <w:tcW w:w="464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18"/>
                <w:szCs w:val="18"/>
              </w:rPr>
            </w:pPr>
            <w:proofErr w:type="gramStart"/>
            <w:r w:rsidRPr="00831C3C">
              <w:rPr>
                <w:rFonts w:hint="eastAsia"/>
                <w:sz w:val="18"/>
                <w:szCs w:val="18"/>
              </w:rPr>
              <w:t>非同控转让</w:t>
            </w:r>
            <w:proofErr w:type="gramEnd"/>
          </w:p>
        </w:tc>
      </w:tr>
      <w:tr w:rsidR="00831C3C" w:rsidRPr="00831C3C" w:rsidTr="00BE6F3B">
        <w:trPr>
          <w:divId w:val="212690942"/>
          <w:trHeight w:val="240"/>
          <w:jc w:val="center"/>
        </w:trPr>
        <w:tc>
          <w:tcPr>
            <w:tcW w:w="4649"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hideMark/>
          </w:tcPr>
          <w:p w:rsidR="00C65FD5" w:rsidRPr="00831C3C" w:rsidRDefault="00C65FD5">
            <w:pPr>
              <w:rPr>
                <w:rFonts w:ascii="宋体" w:eastAsia="宋体" w:hAnsi="宋体" w:cs="宋体"/>
                <w:sz w:val="18"/>
                <w:szCs w:val="18"/>
              </w:rPr>
            </w:pPr>
            <w:r w:rsidRPr="00831C3C">
              <w:rPr>
                <w:rFonts w:hint="eastAsia"/>
                <w:sz w:val="18"/>
                <w:szCs w:val="18"/>
              </w:rPr>
              <w:t>新疆泽孚棉花有限公司</w:t>
            </w:r>
          </w:p>
        </w:tc>
        <w:tc>
          <w:tcPr>
            <w:tcW w:w="4649" w:type="dxa"/>
            <w:tcBorders>
              <w:top w:val="nil"/>
              <w:left w:val="nil"/>
              <w:bottom w:val="single" w:sz="8" w:space="0" w:color="auto"/>
              <w:right w:val="single" w:sz="8" w:space="0" w:color="auto"/>
            </w:tcBorders>
            <w:tcMar>
              <w:top w:w="15" w:type="dxa"/>
              <w:left w:w="15" w:type="dxa"/>
              <w:bottom w:w="0" w:type="dxa"/>
              <w:right w:w="15" w:type="dxa"/>
            </w:tcMar>
            <w:vAlign w:val="center"/>
            <w:hideMark/>
          </w:tcPr>
          <w:p w:rsidR="00C65FD5" w:rsidRPr="00831C3C" w:rsidRDefault="00C65FD5">
            <w:pPr>
              <w:jc w:val="center"/>
              <w:rPr>
                <w:rFonts w:ascii="宋体" w:eastAsia="宋体" w:hAnsi="宋体" w:cs="宋体"/>
                <w:sz w:val="18"/>
                <w:szCs w:val="18"/>
              </w:rPr>
            </w:pPr>
            <w:proofErr w:type="gramStart"/>
            <w:r w:rsidRPr="00831C3C">
              <w:rPr>
                <w:rFonts w:hint="eastAsia"/>
                <w:sz w:val="18"/>
                <w:szCs w:val="18"/>
              </w:rPr>
              <w:t>非同控转让</w:t>
            </w:r>
            <w:proofErr w:type="gramEnd"/>
          </w:p>
        </w:tc>
      </w:tr>
    </w:tbl>
    <w:p w:rsidR="00E23A97" w:rsidRPr="00831C3C" w:rsidRDefault="00C65FD5">
      <w:pPr>
        <w:pStyle w:val="3"/>
        <w:spacing w:line="280" w:lineRule="exact"/>
        <w:jc w:val="left"/>
        <w:rPr>
          <w:rFonts w:ascii="宋体" w:hAnsi="宋体" w:cs="宋体"/>
          <w:b/>
          <w:bCs/>
        </w:rPr>
      </w:pPr>
      <w:bookmarkStart w:id="492" w:name="_Toc989373"/>
      <w:r w:rsidRPr="00831C3C">
        <w:rPr>
          <w:rFonts w:ascii="宋体" w:hAnsi="宋体" w:cs="宋体"/>
          <w:b/>
          <w:bCs/>
        </w:rPr>
        <w:t>6、其他</w:t>
      </w:r>
      <w:bookmarkEnd w:id="492"/>
    </w:p>
    <w:p w:rsidR="00C65FD5" w:rsidRPr="00831C3C" w:rsidRDefault="00C65FD5">
      <w:pPr>
        <w:pStyle w:val="a3"/>
        <w:divId w:val="837043189"/>
        <w:rPr>
          <w:sz w:val="18"/>
          <w:szCs w:val="18"/>
        </w:rPr>
      </w:pPr>
      <w:r w:rsidRPr="00831C3C">
        <w:rPr>
          <w:rFonts w:hint="eastAsia"/>
          <w:sz w:val="18"/>
          <w:szCs w:val="18"/>
        </w:rPr>
        <w:t>无。</w:t>
      </w:r>
    </w:p>
    <w:p w:rsidR="00E23A97" w:rsidRPr="00831C3C" w:rsidRDefault="00C65FD5">
      <w:pPr>
        <w:pStyle w:val="2"/>
        <w:spacing w:before="300" w:after="300" w:line="320" w:lineRule="exact"/>
        <w:rPr>
          <w:rFonts w:ascii="宋体" w:eastAsia="宋体" w:hAnsi="宋体" w:cs="宋体"/>
          <w:b/>
          <w:bCs/>
          <w:sz w:val="24"/>
          <w:szCs w:val="24"/>
        </w:rPr>
      </w:pPr>
      <w:bookmarkStart w:id="493" w:name="_Toc989374"/>
      <w:r w:rsidRPr="00831C3C">
        <w:rPr>
          <w:rFonts w:ascii="宋体" w:eastAsia="宋体" w:hAnsi="宋体" w:cs="宋体"/>
          <w:b/>
          <w:bCs/>
          <w:sz w:val="24"/>
          <w:szCs w:val="24"/>
        </w:rPr>
        <w:t>十、在其他主体中的权益</w:t>
      </w:r>
      <w:bookmarkEnd w:id="493"/>
    </w:p>
    <w:p w:rsidR="00E23A97" w:rsidRPr="00831C3C" w:rsidRDefault="00C65FD5">
      <w:pPr>
        <w:pStyle w:val="3"/>
        <w:spacing w:line="280" w:lineRule="exact"/>
        <w:jc w:val="left"/>
        <w:rPr>
          <w:rFonts w:ascii="宋体" w:hAnsi="宋体" w:cs="宋体"/>
          <w:b/>
          <w:bCs/>
        </w:rPr>
      </w:pPr>
      <w:bookmarkStart w:id="494" w:name="_Toc989375"/>
      <w:r w:rsidRPr="00831C3C">
        <w:rPr>
          <w:rFonts w:ascii="宋体" w:hAnsi="宋体" w:cs="宋体"/>
          <w:b/>
          <w:bCs/>
        </w:rPr>
        <w:t>1、在子公司中的权益</w:t>
      </w:r>
      <w:bookmarkEnd w:id="494"/>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495" w:name="_Toc989376"/>
      <w:r w:rsidRPr="00831C3C">
        <w:rPr>
          <w:rFonts w:ascii="宋体" w:eastAsia="宋体" w:hAnsi="宋体" w:cs="宋体"/>
          <w:b/>
          <w:bCs/>
          <w:sz w:val="18"/>
          <w:szCs w:val="18"/>
        </w:rPr>
        <w:t>（1）企业集团的构成</w:t>
      </w:r>
      <w:bookmarkEnd w:id="495"/>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204"/>
        <w:gridCol w:w="1205"/>
        <w:gridCol w:w="1205"/>
        <w:gridCol w:w="1205"/>
        <w:gridCol w:w="1205"/>
        <w:gridCol w:w="1205"/>
        <w:gridCol w:w="1205"/>
        <w:gridCol w:w="1205"/>
      </w:tblGrid>
      <w:tr w:rsidR="00831C3C" w:rsidRPr="00831C3C" w:rsidTr="00191723">
        <w:trPr>
          <w:trHeight w:val="240"/>
        </w:trPr>
        <w:tc>
          <w:tcPr>
            <w:tcW w:w="1204"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子公司名称</w:t>
            </w:r>
          </w:p>
          <w:p w:rsidR="00191723" w:rsidRPr="00831C3C" w:rsidRDefault="00191723" w:rsidP="00191723">
            <w:pPr>
              <w:jc w:val="center"/>
              <w:rPr>
                <w:rFonts w:asciiTheme="minorEastAsia" w:hAnsiTheme="minorEastAsia"/>
                <w:sz w:val="18"/>
                <w:szCs w:val="18"/>
              </w:rPr>
            </w:pPr>
          </w:p>
        </w:tc>
        <w:tc>
          <w:tcPr>
            <w:tcW w:w="120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注册资本</w:t>
            </w:r>
          </w:p>
          <w:p w:rsidR="00191723" w:rsidRPr="00831C3C" w:rsidRDefault="00191723" w:rsidP="00191723">
            <w:pPr>
              <w:jc w:val="center"/>
              <w:rPr>
                <w:rFonts w:asciiTheme="minorEastAsia" w:hAnsiTheme="minorEastAsia"/>
                <w:sz w:val="18"/>
                <w:szCs w:val="18"/>
              </w:rPr>
            </w:pPr>
          </w:p>
        </w:tc>
        <w:tc>
          <w:tcPr>
            <w:tcW w:w="120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主要经营地</w:t>
            </w:r>
          </w:p>
          <w:p w:rsidR="00191723" w:rsidRPr="00831C3C" w:rsidRDefault="00191723" w:rsidP="00191723">
            <w:pPr>
              <w:jc w:val="center"/>
              <w:rPr>
                <w:rFonts w:asciiTheme="minorEastAsia" w:hAnsiTheme="minorEastAsia"/>
                <w:sz w:val="18"/>
                <w:szCs w:val="18"/>
              </w:rPr>
            </w:pPr>
          </w:p>
        </w:tc>
        <w:tc>
          <w:tcPr>
            <w:tcW w:w="120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注册地</w:t>
            </w:r>
          </w:p>
          <w:p w:rsidR="00191723" w:rsidRPr="00831C3C" w:rsidRDefault="00191723" w:rsidP="00191723">
            <w:pPr>
              <w:jc w:val="center"/>
              <w:rPr>
                <w:rFonts w:asciiTheme="minorEastAsia" w:hAnsiTheme="minorEastAsia"/>
                <w:sz w:val="18"/>
                <w:szCs w:val="18"/>
              </w:rPr>
            </w:pPr>
          </w:p>
        </w:tc>
        <w:tc>
          <w:tcPr>
            <w:tcW w:w="120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业务性质</w:t>
            </w:r>
          </w:p>
          <w:p w:rsidR="00191723" w:rsidRPr="00831C3C" w:rsidRDefault="00191723" w:rsidP="00191723">
            <w:pPr>
              <w:jc w:val="center"/>
              <w:rPr>
                <w:rFonts w:asciiTheme="minorEastAsia" w:hAnsiTheme="minorEastAsia"/>
                <w:sz w:val="18"/>
                <w:szCs w:val="18"/>
              </w:rPr>
            </w:pPr>
          </w:p>
        </w:tc>
        <w:tc>
          <w:tcPr>
            <w:tcW w:w="2410"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持股比例</w:t>
            </w:r>
          </w:p>
        </w:tc>
        <w:tc>
          <w:tcPr>
            <w:tcW w:w="1205"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取得方式</w:t>
            </w:r>
          </w:p>
          <w:p w:rsidR="00191723" w:rsidRPr="00831C3C" w:rsidRDefault="00191723" w:rsidP="00191723">
            <w:pPr>
              <w:jc w:val="center"/>
              <w:rPr>
                <w:rFonts w:asciiTheme="minorEastAsia" w:hAnsiTheme="minorEastAsia"/>
                <w:sz w:val="18"/>
                <w:szCs w:val="18"/>
              </w:rPr>
            </w:pPr>
          </w:p>
        </w:tc>
      </w:tr>
      <w:tr w:rsidR="00831C3C" w:rsidRPr="00831C3C" w:rsidTr="00191723">
        <w:trPr>
          <w:trHeight w:val="240"/>
        </w:trPr>
        <w:tc>
          <w:tcPr>
            <w:tcW w:w="1204"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191723" w:rsidRPr="00831C3C" w:rsidRDefault="00191723" w:rsidP="00191723">
            <w:pPr>
              <w:jc w:val="center"/>
              <w:rPr>
                <w:rFonts w:asciiTheme="minorEastAsia" w:hAnsiTheme="minorEastAsia"/>
                <w:sz w:val="18"/>
                <w:szCs w:val="18"/>
              </w:rPr>
            </w:pPr>
          </w:p>
        </w:tc>
        <w:tc>
          <w:tcPr>
            <w:tcW w:w="1205" w:type="dxa"/>
            <w:vMerge/>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191723" w:rsidRPr="00831C3C" w:rsidRDefault="00191723" w:rsidP="00191723">
            <w:pPr>
              <w:jc w:val="center"/>
              <w:rPr>
                <w:rFonts w:asciiTheme="minorEastAsia" w:hAnsiTheme="minorEastAsia"/>
                <w:sz w:val="18"/>
                <w:szCs w:val="18"/>
              </w:rPr>
            </w:pPr>
          </w:p>
        </w:tc>
        <w:tc>
          <w:tcPr>
            <w:tcW w:w="1205"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191723" w:rsidRPr="00831C3C" w:rsidRDefault="00191723" w:rsidP="00191723">
            <w:pPr>
              <w:jc w:val="center"/>
              <w:rPr>
                <w:rFonts w:asciiTheme="minorEastAsia" w:hAnsiTheme="minorEastAsia"/>
                <w:sz w:val="18"/>
                <w:szCs w:val="18"/>
              </w:rPr>
            </w:pPr>
          </w:p>
        </w:tc>
        <w:tc>
          <w:tcPr>
            <w:tcW w:w="1205"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191723" w:rsidRPr="00831C3C" w:rsidRDefault="00191723" w:rsidP="00191723">
            <w:pPr>
              <w:spacing w:before="40" w:after="40" w:line="240" w:lineRule="exact"/>
              <w:jc w:val="center"/>
              <w:rPr>
                <w:rFonts w:asciiTheme="minorEastAsia" w:hAnsiTheme="minorEastAsia" w:cs="宋体"/>
                <w:sz w:val="18"/>
                <w:szCs w:val="18"/>
              </w:rPr>
            </w:pPr>
            <w:r w:rsidRPr="00831C3C">
              <w:rPr>
                <w:rFonts w:asciiTheme="minorEastAsia" w:hAnsiTheme="minorEastAsia" w:hint="eastAsia"/>
                <w:sz w:val="18"/>
                <w:szCs w:val="18"/>
              </w:rPr>
              <w:t>直接</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191723" w:rsidRPr="00831C3C" w:rsidRDefault="00191723" w:rsidP="00191723">
            <w:pPr>
              <w:spacing w:before="40" w:after="40" w:line="240" w:lineRule="exact"/>
              <w:jc w:val="center"/>
              <w:rPr>
                <w:rFonts w:asciiTheme="minorEastAsia" w:hAnsiTheme="minorEastAsia" w:cs="宋体"/>
                <w:sz w:val="18"/>
                <w:szCs w:val="18"/>
              </w:rPr>
            </w:pPr>
            <w:r w:rsidRPr="00831C3C">
              <w:rPr>
                <w:rFonts w:asciiTheme="minorEastAsia" w:hAnsiTheme="minorEastAsia" w:hint="eastAsia"/>
                <w:sz w:val="18"/>
                <w:szCs w:val="18"/>
              </w:rPr>
              <w:t>间接</w:t>
            </w:r>
          </w:p>
        </w:tc>
        <w:tc>
          <w:tcPr>
            <w:tcW w:w="1205"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191723" w:rsidRPr="00831C3C" w:rsidRDefault="00191723" w:rsidP="00191723">
            <w:pPr>
              <w:jc w:val="center"/>
              <w:rPr>
                <w:rFonts w:asciiTheme="minorEastAsia" w:hAnsiTheme="minorEastAsia"/>
                <w:sz w:val="18"/>
                <w:szCs w:val="18"/>
              </w:rPr>
            </w:pP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深圳市华孚进出口有限公司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1,500,000,000.00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广东省深圳市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广东省深圳市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同</w:t>
            </w:r>
            <w:proofErr w:type="gramStart"/>
            <w:r w:rsidRPr="00831C3C">
              <w:rPr>
                <w:rFonts w:asciiTheme="minorEastAsia" w:hAnsiTheme="minorEastAsia" w:hint="eastAsia"/>
                <w:sz w:val="18"/>
                <w:szCs w:val="18"/>
              </w:rPr>
              <w:t>一控制</w:t>
            </w:r>
            <w:proofErr w:type="gramEnd"/>
            <w:r w:rsidRPr="00831C3C">
              <w:rPr>
                <w:rFonts w:asciiTheme="minorEastAsia" w:hAnsiTheme="minorEastAsia" w:hint="eastAsia"/>
                <w:sz w:val="18"/>
                <w:szCs w:val="18"/>
              </w:rPr>
              <w:t>下企业合并</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香港华孚有限公司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887,849,696.34</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香港</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香港</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同</w:t>
            </w:r>
            <w:proofErr w:type="gramStart"/>
            <w:r w:rsidRPr="00831C3C">
              <w:rPr>
                <w:rFonts w:asciiTheme="minorEastAsia" w:hAnsiTheme="minorEastAsia" w:hint="eastAsia"/>
                <w:sz w:val="18"/>
                <w:szCs w:val="18"/>
              </w:rPr>
              <w:t>一控制</w:t>
            </w:r>
            <w:proofErr w:type="gramEnd"/>
            <w:r w:rsidRPr="00831C3C">
              <w:rPr>
                <w:rFonts w:asciiTheme="minorEastAsia" w:hAnsiTheme="minorEastAsia" w:hint="eastAsia"/>
                <w:sz w:val="18"/>
                <w:szCs w:val="18"/>
              </w:rPr>
              <w:t>下企业合并</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香港天成贸易有限公司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香港</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香港</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投资管理</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非同</w:t>
            </w:r>
            <w:proofErr w:type="gramStart"/>
            <w:r w:rsidRPr="00831C3C">
              <w:rPr>
                <w:rFonts w:asciiTheme="minorEastAsia" w:hAnsiTheme="minorEastAsia" w:hint="eastAsia"/>
                <w:sz w:val="18"/>
                <w:szCs w:val="18"/>
              </w:rPr>
              <w:t>一控制</w:t>
            </w:r>
            <w:proofErr w:type="gramEnd"/>
            <w:r w:rsidRPr="00831C3C">
              <w:rPr>
                <w:rFonts w:asciiTheme="minorEastAsia" w:hAnsiTheme="minorEastAsia" w:hint="eastAsia"/>
                <w:sz w:val="18"/>
                <w:szCs w:val="18"/>
              </w:rPr>
              <w:t>下企业合并</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越南隆安英鸿投资股份</w:t>
            </w:r>
            <w:r w:rsidRPr="00831C3C">
              <w:rPr>
                <w:rFonts w:asciiTheme="minorEastAsia" w:hAnsiTheme="minorEastAsia" w:hint="eastAsia"/>
                <w:sz w:val="18"/>
                <w:szCs w:val="18"/>
              </w:rPr>
              <w:lastRenderedPageBreak/>
              <w:t>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lastRenderedPageBreak/>
              <w:t>88,200,000.00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越南</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越南</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90.00%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roofErr w:type="gramStart"/>
            <w:r w:rsidRPr="00831C3C">
              <w:rPr>
                <w:rFonts w:asciiTheme="minorEastAsia" w:hAnsiTheme="minorEastAsia" w:hint="eastAsia"/>
                <w:sz w:val="18"/>
                <w:szCs w:val="18"/>
              </w:rPr>
              <w:t>非同控合并</w:t>
            </w:r>
            <w:proofErr w:type="gramEnd"/>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lastRenderedPageBreak/>
              <w:t>新加坡耀佳国际贸易有限公司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4,722,789.00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新加坡</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新加坡</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投资管理</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香港华孚贸易有限公司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香港</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香港</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宁海华孚纺织有限公司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182,757,749.00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浙江省宁波市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浙江省宁波市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同</w:t>
            </w:r>
            <w:proofErr w:type="gramStart"/>
            <w:r w:rsidRPr="00831C3C">
              <w:rPr>
                <w:rFonts w:asciiTheme="minorEastAsia" w:hAnsiTheme="minorEastAsia" w:hint="eastAsia"/>
                <w:sz w:val="18"/>
                <w:szCs w:val="18"/>
              </w:rPr>
              <w:t>一控制</w:t>
            </w:r>
            <w:proofErr w:type="gramEnd"/>
            <w:r w:rsidRPr="00831C3C">
              <w:rPr>
                <w:rFonts w:asciiTheme="minorEastAsia" w:hAnsiTheme="minorEastAsia" w:hint="eastAsia"/>
                <w:sz w:val="18"/>
                <w:szCs w:val="18"/>
              </w:rPr>
              <w:t>下企业合并</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浙江华孚色纺有限公司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620,560,889.03</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浙江省上虞市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浙江省上虞市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同</w:t>
            </w:r>
            <w:proofErr w:type="gramStart"/>
            <w:r w:rsidRPr="00831C3C">
              <w:rPr>
                <w:rFonts w:asciiTheme="minorEastAsia" w:hAnsiTheme="minorEastAsia" w:hint="eastAsia"/>
                <w:sz w:val="18"/>
                <w:szCs w:val="18"/>
              </w:rPr>
              <w:t>一控制</w:t>
            </w:r>
            <w:proofErr w:type="gramEnd"/>
            <w:r w:rsidRPr="00831C3C">
              <w:rPr>
                <w:rFonts w:asciiTheme="minorEastAsia" w:hAnsiTheme="minorEastAsia" w:hint="eastAsia"/>
                <w:sz w:val="18"/>
                <w:szCs w:val="18"/>
              </w:rPr>
              <w:t>下企业合并</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余姚华</w:t>
            </w:r>
            <w:proofErr w:type="gramStart"/>
            <w:r w:rsidRPr="00831C3C">
              <w:rPr>
                <w:rFonts w:asciiTheme="minorEastAsia" w:hAnsiTheme="minorEastAsia" w:hint="eastAsia"/>
                <w:sz w:val="18"/>
                <w:szCs w:val="18"/>
              </w:rPr>
              <w:t>孚</w:t>
            </w:r>
            <w:proofErr w:type="gramEnd"/>
            <w:r w:rsidRPr="00831C3C">
              <w:rPr>
                <w:rFonts w:asciiTheme="minorEastAsia" w:hAnsiTheme="minorEastAsia" w:hint="eastAsia"/>
                <w:sz w:val="18"/>
                <w:szCs w:val="18"/>
              </w:rPr>
              <w:t>纺织有限公司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144,110,000.00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浙江省余姚市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浙江省余姚市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同</w:t>
            </w:r>
            <w:proofErr w:type="gramStart"/>
            <w:r w:rsidRPr="00831C3C">
              <w:rPr>
                <w:rFonts w:asciiTheme="minorEastAsia" w:hAnsiTheme="minorEastAsia" w:hint="eastAsia"/>
                <w:sz w:val="18"/>
                <w:szCs w:val="18"/>
              </w:rPr>
              <w:t>一控制</w:t>
            </w:r>
            <w:proofErr w:type="gramEnd"/>
            <w:r w:rsidRPr="00831C3C">
              <w:rPr>
                <w:rFonts w:asciiTheme="minorEastAsia" w:hAnsiTheme="minorEastAsia" w:hint="eastAsia"/>
                <w:sz w:val="18"/>
                <w:szCs w:val="18"/>
              </w:rPr>
              <w:t>下企业合并</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浙江社标纤维有限公司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50,000,000.00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w:t>
            </w:r>
            <w:proofErr w:type="gramStart"/>
            <w:r w:rsidRPr="00831C3C">
              <w:rPr>
                <w:rFonts w:asciiTheme="minorEastAsia" w:hAnsiTheme="minorEastAsia" w:hint="eastAsia"/>
                <w:sz w:val="18"/>
                <w:szCs w:val="18"/>
              </w:rPr>
              <w:t>绍</w:t>
            </w:r>
            <w:proofErr w:type="gramEnd"/>
            <w:r w:rsidRPr="00831C3C">
              <w:rPr>
                <w:rFonts w:asciiTheme="minorEastAsia" w:hAnsiTheme="minorEastAsia" w:hint="eastAsia"/>
                <w:sz w:val="18"/>
                <w:szCs w:val="18"/>
              </w:rPr>
              <w:t>省兴市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浙江省绍兴市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阿克苏</w:t>
            </w:r>
            <w:proofErr w:type="gramStart"/>
            <w:r w:rsidRPr="00831C3C">
              <w:rPr>
                <w:rFonts w:asciiTheme="minorEastAsia" w:hAnsiTheme="minorEastAsia" w:hint="eastAsia"/>
                <w:sz w:val="18"/>
                <w:szCs w:val="18"/>
              </w:rPr>
              <w:t>标信纤维</w:t>
            </w:r>
            <w:proofErr w:type="gramEnd"/>
            <w:r w:rsidRPr="00831C3C">
              <w:rPr>
                <w:rFonts w:asciiTheme="minorEastAsia" w:hAnsiTheme="minorEastAsia" w:hint="eastAsia"/>
                <w:sz w:val="18"/>
                <w:szCs w:val="18"/>
              </w:rPr>
              <w:t>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220,000,000.00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新疆阿克苏市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新疆阿克苏市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roofErr w:type="gramStart"/>
            <w:r w:rsidRPr="00831C3C">
              <w:rPr>
                <w:rFonts w:asciiTheme="minorEastAsia" w:hAnsiTheme="minorEastAsia" w:hint="eastAsia"/>
                <w:sz w:val="18"/>
                <w:szCs w:val="18"/>
              </w:rPr>
              <w:t>石河子标配纤维</w:t>
            </w:r>
            <w:proofErr w:type="gramEnd"/>
            <w:r w:rsidRPr="00831C3C">
              <w:rPr>
                <w:rFonts w:asciiTheme="minorEastAsia" w:hAnsiTheme="minorEastAsia" w:hint="eastAsia"/>
                <w:sz w:val="18"/>
                <w:szCs w:val="18"/>
              </w:rPr>
              <w:t>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新疆石河子市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新疆石河子市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同</w:t>
            </w:r>
            <w:proofErr w:type="gramStart"/>
            <w:r w:rsidRPr="00831C3C">
              <w:rPr>
                <w:rFonts w:asciiTheme="minorEastAsia" w:hAnsiTheme="minorEastAsia" w:hint="eastAsia"/>
                <w:sz w:val="18"/>
                <w:szCs w:val="18"/>
              </w:rPr>
              <w:t>一控制</w:t>
            </w:r>
            <w:proofErr w:type="gramEnd"/>
            <w:r w:rsidRPr="00831C3C">
              <w:rPr>
                <w:rFonts w:asciiTheme="minorEastAsia" w:hAnsiTheme="minorEastAsia" w:hint="eastAsia"/>
                <w:sz w:val="18"/>
                <w:szCs w:val="18"/>
              </w:rPr>
              <w:t>下企业合并</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浙江昇孚贸易有限公司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49,497,897.00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浙江省上虞</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浙江省上虞</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宁波华孚东</w:t>
            </w:r>
            <w:proofErr w:type="gramStart"/>
            <w:r w:rsidRPr="00831C3C">
              <w:rPr>
                <w:rFonts w:asciiTheme="minorEastAsia" w:hAnsiTheme="minorEastAsia" w:hint="eastAsia"/>
                <w:sz w:val="18"/>
                <w:szCs w:val="18"/>
              </w:rPr>
              <w:t>浩</w:t>
            </w:r>
            <w:proofErr w:type="gramEnd"/>
            <w:r w:rsidRPr="00831C3C">
              <w:rPr>
                <w:rFonts w:asciiTheme="minorEastAsia" w:hAnsiTheme="minorEastAsia" w:hint="eastAsia"/>
                <w:sz w:val="18"/>
                <w:szCs w:val="18"/>
              </w:rPr>
              <w:t>实业有限公司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50,000,000.00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浙江宁波</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浙江宁波</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九江中</w:t>
            </w:r>
            <w:proofErr w:type="gramStart"/>
            <w:r w:rsidRPr="00831C3C">
              <w:rPr>
                <w:rFonts w:asciiTheme="minorEastAsia" w:hAnsiTheme="minorEastAsia" w:hint="eastAsia"/>
                <w:sz w:val="18"/>
                <w:szCs w:val="18"/>
              </w:rPr>
              <w:t>浩</w:t>
            </w:r>
            <w:proofErr w:type="gramEnd"/>
            <w:r w:rsidRPr="00831C3C">
              <w:rPr>
                <w:rFonts w:asciiTheme="minorEastAsia" w:hAnsiTheme="minorEastAsia" w:hint="eastAsia"/>
                <w:sz w:val="18"/>
                <w:szCs w:val="18"/>
              </w:rPr>
              <w:t>纺织有限公司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65,808,000.00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江西省九江市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江西省九江市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浙江金华华孚纺织有限公司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浙江省金华市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浙江省金华市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同</w:t>
            </w:r>
            <w:proofErr w:type="gramStart"/>
            <w:r w:rsidRPr="00831C3C">
              <w:rPr>
                <w:rFonts w:asciiTheme="minorEastAsia" w:hAnsiTheme="minorEastAsia" w:hint="eastAsia"/>
                <w:sz w:val="18"/>
                <w:szCs w:val="18"/>
              </w:rPr>
              <w:t>一控制</w:t>
            </w:r>
            <w:proofErr w:type="gramEnd"/>
            <w:r w:rsidRPr="00831C3C">
              <w:rPr>
                <w:rFonts w:asciiTheme="minorEastAsia" w:hAnsiTheme="minorEastAsia" w:hint="eastAsia"/>
                <w:sz w:val="18"/>
                <w:szCs w:val="18"/>
              </w:rPr>
              <w:t>下企业合并</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平湖市华孚金瓶纺织有限公司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浙江省平湖市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浙江省平湖市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同</w:t>
            </w:r>
            <w:proofErr w:type="gramStart"/>
            <w:r w:rsidRPr="00831C3C">
              <w:rPr>
                <w:rFonts w:asciiTheme="minorEastAsia" w:hAnsiTheme="minorEastAsia" w:hint="eastAsia"/>
                <w:sz w:val="18"/>
                <w:szCs w:val="18"/>
              </w:rPr>
              <w:t>一控制</w:t>
            </w:r>
            <w:proofErr w:type="gramEnd"/>
            <w:r w:rsidRPr="00831C3C">
              <w:rPr>
                <w:rFonts w:asciiTheme="minorEastAsia" w:hAnsiTheme="minorEastAsia" w:hint="eastAsia"/>
                <w:sz w:val="18"/>
                <w:szCs w:val="18"/>
              </w:rPr>
              <w:t>下企业合并</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上海华孚色纺贸易有限公司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50,000,000.00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上海市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上海市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阿克苏华孚色纺有限公司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2,634,516,140.00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新疆阿克苏市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新疆阿克苏市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新疆华孚算网科技有限公司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新疆乌鲁木齐</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新疆乌鲁木齐</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科技推广和应用服务业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roofErr w:type="gramStart"/>
            <w:r w:rsidRPr="00831C3C">
              <w:rPr>
                <w:rFonts w:asciiTheme="minorEastAsia" w:hAnsiTheme="minorEastAsia" w:hint="eastAsia"/>
                <w:sz w:val="18"/>
                <w:szCs w:val="18"/>
              </w:rPr>
              <w:t>新疆六孚纺织工业</w:t>
            </w:r>
            <w:proofErr w:type="gramEnd"/>
            <w:r w:rsidRPr="00831C3C">
              <w:rPr>
                <w:rFonts w:asciiTheme="minorEastAsia" w:hAnsiTheme="minorEastAsia" w:hint="eastAsia"/>
                <w:sz w:val="18"/>
                <w:szCs w:val="18"/>
              </w:rPr>
              <w:t>园有限公司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338,250,000.00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新疆五家渠市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新疆五家渠市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新疆天宏新</w:t>
            </w:r>
            <w:proofErr w:type="gramStart"/>
            <w:r w:rsidRPr="00831C3C">
              <w:rPr>
                <w:rFonts w:asciiTheme="minorEastAsia" w:hAnsiTheme="minorEastAsia" w:hint="eastAsia"/>
                <w:sz w:val="18"/>
                <w:szCs w:val="18"/>
              </w:rPr>
              <w:t>八棉产业</w:t>
            </w:r>
            <w:proofErr w:type="gramEnd"/>
            <w:r w:rsidRPr="00831C3C">
              <w:rPr>
                <w:rFonts w:asciiTheme="minorEastAsia" w:hAnsiTheme="minorEastAsia" w:hint="eastAsia"/>
                <w:sz w:val="18"/>
                <w:szCs w:val="18"/>
              </w:rPr>
              <w:t>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48,710,000.00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新疆石河子市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新疆石河子市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非同</w:t>
            </w:r>
            <w:proofErr w:type="gramStart"/>
            <w:r w:rsidRPr="00831C3C">
              <w:rPr>
                <w:rFonts w:asciiTheme="minorEastAsia" w:hAnsiTheme="minorEastAsia" w:hint="eastAsia"/>
                <w:sz w:val="18"/>
                <w:szCs w:val="18"/>
              </w:rPr>
              <w:t>一控制</w:t>
            </w:r>
            <w:proofErr w:type="gramEnd"/>
            <w:r w:rsidRPr="00831C3C">
              <w:rPr>
                <w:rFonts w:asciiTheme="minorEastAsia" w:hAnsiTheme="minorEastAsia" w:hint="eastAsia"/>
                <w:sz w:val="18"/>
                <w:szCs w:val="18"/>
              </w:rPr>
              <w:t>下企业合并</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阿克苏华孚新能源有限公司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新疆阿克苏市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新疆阿克苏市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光</w:t>
            </w:r>
            <w:proofErr w:type="gramStart"/>
            <w:r w:rsidRPr="00831C3C">
              <w:rPr>
                <w:rFonts w:asciiTheme="minorEastAsia" w:hAnsiTheme="minorEastAsia" w:hint="eastAsia"/>
                <w:sz w:val="18"/>
                <w:szCs w:val="18"/>
              </w:rPr>
              <w:t>伏销售</w:t>
            </w:r>
            <w:proofErr w:type="gramEnd"/>
            <w:r w:rsidRPr="00831C3C">
              <w:rPr>
                <w:rFonts w:asciiTheme="minorEastAsia" w:hAnsiTheme="minorEastAsia" w:hint="eastAsia"/>
                <w:sz w:val="18"/>
                <w:szCs w:val="18"/>
              </w:rPr>
              <w:t>及技术服务</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新疆华孚纺织有限公司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50,000,000.00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新疆阿克苏市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新疆阿克苏市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同</w:t>
            </w:r>
            <w:proofErr w:type="gramStart"/>
            <w:r w:rsidRPr="00831C3C">
              <w:rPr>
                <w:rFonts w:asciiTheme="minorEastAsia" w:hAnsiTheme="minorEastAsia" w:hint="eastAsia"/>
                <w:sz w:val="18"/>
                <w:szCs w:val="18"/>
              </w:rPr>
              <w:t>一控制</w:t>
            </w:r>
            <w:proofErr w:type="gramEnd"/>
            <w:r w:rsidRPr="00831C3C">
              <w:rPr>
                <w:rFonts w:asciiTheme="minorEastAsia" w:hAnsiTheme="minorEastAsia" w:hint="eastAsia"/>
                <w:sz w:val="18"/>
                <w:szCs w:val="18"/>
              </w:rPr>
              <w:t>下企业合并</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阿瓦提华</w:t>
            </w:r>
            <w:proofErr w:type="gramStart"/>
            <w:r w:rsidRPr="00831C3C">
              <w:rPr>
                <w:rFonts w:asciiTheme="minorEastAsia" w:hAnsiTheme="minorEastAsia" w:hint="eastAsia"/>
                <w:sz w:val="18"/>
                <w:szCs w:val="18"/>
              </w:rPr>
              <w:t>孚</w:t>
            </w:r>
            <w:proofErr w:type="gramEnd"/>
            <w:r w:rsidRPr="00831C3C">
              <w:rPr>
                <w:rFonts w:asciiTheme="minorEastAsia" w:hAnsiTheme="minorEastAsia" w:hint="eastAsia"/>
                <w:sz w:val="18"/>
                <w:szCs w:val="18"/>
              </w:rPr>
              <w:t>纺织有限公司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5,000,000.00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新疆阿瓦提县</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新疆阿瓦提县</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同</w:t>
            </w:r>
            <w:proofErr w:type="gramStart"/>
            <w:r w:rsidRPr="00831C3C">
              <w:rPr>
                <w:rFonts w:asciiTheme="minorEastAsia" w:hAnsiTheme="minorEastAsia" w:hint="eastAsia"/>
                <w:sz w:val="18"/>
                <w:szCs w:val="18"/>
              </w:rPr>
              <w:t>一控制</w:t>
            </w:r>
            <w:proofErr w:type="gramEnd"/>
            <w:r w:rsidRPr="00831C3C">
              <w:rPr>
                <w:rFonts w:asciiTheme="minorEastAsia" w:hAnsiTheme="minorEastAsia" w:hint="eastAsia"/>
                <w:sz w:val="18"/>
                <w:szCs w:val="18"/>
              </w:rPr>
              <w:t>下企业合并</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新疆华孚棉业集团有限公司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新疆乌鲁木齐</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新疆乌鲁木齐</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lastRenderedPageBreak/>
              <w:t>新疆</w:t>
            </w:r>
            <w:proofErr w:type="gramStart"/>
            <w:r w:rsidRPr="00831C3C">
              <w:rPr>
                <w:rFonts w:asciiTheme="minorEastAsia" w:hAnsiTheme="minorEastAsia" w:hint="eastAsia"/>
                <w:sz w:val="18"/>
                <w:szCs w:val="18"/>
              </w:rPr>
              <w:t>华孚恒丰棉业</w:t>
            </w:r>
            <w:proofErr w:type="gramEnd"/>
            <w:r w:rsidRPr="00831C3C">
              <w:rPr>
                <w:rFonts w:asciiTheme="minorEastAsia" w:hAnsiTheme="minorEastAsia" w:hint="eastAsia"/>
                <w:sz w:val="18"/>
                <w:szCs w:val="18"/>
              </w:rPr>
              <w:t>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50,000,000.00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新疆阿克苏地区</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新疆阿克苏地区</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同</w:t>
            </w:r>
            <w:proofErr w:type="gramStart"/>
            <w:r w:rsidRPr="00831C3C">
              <w:rPr>
                <w:rFonts w:asciiTheme="minorEastAsia" w:hAnsiTheme="minorEastAsia" w:hint="eastAsia"/>
                <w:sz w:val="18"/>
                <w:szCs w:val="18"/>
              </w:rPr>
              <w:t>一控制</w:t>
            </w:r>
            <w:proofErr w:type="gramEnd"/>
            <w:r w:rsidRPr="00831C3C">
              <w:rPr>
                <w:rFonts w:asciiTheme="minorEastAsia" w:hAnsiTheme="minorEastAsia" w:hint="eastAsia"/>
                <w:sz w:val="18"/>
                <w:szCs w:val="18"/>
              </w:rPr>
              <w:t>下企业合并</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库车纵横棉业有限责任公司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新疆阿克苏地区</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新疆阿克苏地区</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同</w:t>
            </w:r>
            <w:proofErr w:type="gramStart"/>
            <w:r w:rsidRPr="00831C3C">
              <w:rPr>
                <w:rFonts w:asciiTheme="minorEastAsia" w:hAnsiTheme="minorEastAsia" w:hint="eastAsia"/>
                <w:sz w:val="18"/>
                <w:szCs w:val="18"/>
              </w:rPr>
              <w:t>一控制</w:t>
            </w:r>
            <w:proofErr w:type="gramEnd"/>
            <w:r w:rsidRPr="00831C3C">
              <w:rPr>
                <w:rFonts w:asciiTheme="minorEastAsia" w:hAnsiTheme="minorEastAsia" w:hint="eastAsia"/>
                <w:sz w:val="18"/>
                <w:szCs w:val="18"/>
              </w:rPr>
              <w:t>下企业合并</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roofErr w:type="gramStart"/>
            <w:r w:rsidRPr="00831C3C">
              <w:rPr>
                <w:rFonts w:asciiTheme="minorEastAsia" w:hAnsiTheme="minorEastAsia" w:hint="eastAsia"/>
                <w:sz w:val="18"/>
                <w:szCs w:val="18"/>
              </w:rPr>
              <w:t>沙雅银花棉业</w:t>
            </w:r>
            <w:proofErr w:type="gramEnd"/>
            <w:r w:rsidRPr="00831C3C">
              <w:rPr>
                <w:rFonts w:asciiTheme="minorEastAsia" w:hAnsiTheme="minorEastAsia" w:hint="eastAsia"/>
                <w:sz w:val="18"/>
                <w:szCs w:val="18"/>
              </w:rPr>
              <w:t>有限责任公司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7,960,000.00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新疆阿克苏地区</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新疆阿克苏地区</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同</w:t>
            </w:r>
            <w:proofErr w:type="gramStart"/>
            <w:r w:rsidRPr="00831C3C">
              <w:rPr>
                <w:rFonts w:asciiTheme="minorEastAsia" w:hAnsiTheme="minorEastAsia" w:hint="eastAsia"/>
                <w:sz w:val="18"/>
                <w:szCs w:val="18"/>
              </w:rPr>
              <w:t>一控制</w:t>
            </w:r>
            <w:proofErr w:type="gramEnd"/>
            <w:r w:rsidRPr="00831C3C">
              <w:rPr>
                <w:rFonts w:asciiTheme="minorEastAsia" w:hAnsiTheme="minorEastAsia" w:hint="eastAsia"/>
                <w:sz w:val="18"/>
                <w:szCs w:val="18"/>
              </w:rPr>
              <w:t>下企业合并</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roofErr w:type="gramStart"/>
            <w:r w:rsidRPr="00831C3C">
              <w:rPr>
                <w:rFonts w:asciiTheme="minorEastAsia" w:hAnsiTheme="minorEastAsia" w:hint="eastAsia"/>
                <w:sz w:val="18"/>
                <w:szCs w:val="18"/>
              </w:rPr>
              <w:t>胡杨河华孚宏盛棉</w:t>
            </w:r>
            <w:proofErr w:type="gramEnd"/>
            <w:r w:rsidRPr="00831C3C">
              <w:rPr>
                <w:rFonts w:asciiTheme="minorEastAsia" w:hAnsiTheme="minorEastAsia" w:hint="eastAsia"/>
                <w:sz w:val="18"/>
                <w:szCs w:val="18"/>
              </w:rPr>
              <w:t>业有限公司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50,000,000.00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w:t>
            </w:r>
            <w:proofErr w:type="gramStart"/>
            <w:r w:rsidRPr="00831C3C">
              <w:rPr>
                <w:rFonts w:asciiTheme="minorEastAsia" w:hAnsiTheme="minorEastAsia" w:hint="eastAsia"/>
                <w:sz w:val="18"/>
                <w:szCs w:val="18"/>
              </w:rPr>
              <w:t>胡杨河</w:t>
            </w:r>
            <w:proofErr w:type="gramEnd"/>
            <w:r w:rsidRPr="00831C3C">
              <w:rPr>
                <w:rFonts w:asciiTheme="minorEastAsia" w:hAnsiTheme="minorEastAsia" w:hint="eastAsia"/>
                <w:sz w:val="18"/>
                <w:szCs w:val="18"/>
              </w:rPr>
              <w:t>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w:t>
            </w:r>
            <w:proofErr w:type="gramStart"/>
            <w:r w:rsidRPr="00831C3C">
              <w:rPr>
                <w:rFonts w:asciiTheme="minorEastAsia" w:hAnsiTheme="minorEastAsia" w:hint="eastAsia"/>
                <w:sz w:val="18"/>
                <w:szCs w:val="18"/>
              </w:rPr>
              <w:t>胡杨河</w:t>
            </w:r>
            <w:proofErr w:type="gramEnd"/>
            <w:r w:rsidRPr="00831C3C">
              <w:rPr>
                <w:rFonts w:asciiTheme="minorEastAsia" w:hAnsiTheme="minorEastAsia" w:hint="eastAsia"/>
                <w:sz w:val="18"/>
                <w:szCs w:val="18"/>
              </w:rPr>
              <w:t>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浙江聚丰贸易有限公司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50,000,000.00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浙江省杭州市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浙江省杭州市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同</w:t>
            </w:r>
            <w:proofErr w:type="gramStart"/>
            <w:r w:rsidRPr="00831C3C">
              <w:rPr>
                <w:rFonts w:asciiTheme="minorEastAsia" w:hAnsiTheme="minorEastAsia" w:hint="eastAsia"/>
                <w:sz w:val="18"/>
                <w:szCs w:val="18"/>
              </w:rPr>
              <w:t>一控制</w:t>
            </w:r>
            <w:proofErr w:type="gramEnd"/>
            <w:r w:rsidRPr="00831C3C">
              <w:rPr>
                <w:rFonts w:asciiTheme="minorEastAsia" w:hAnsiTheme="minorEastAsia" w:hint="eastAsia"/>
                <w:sz w:val="18"/>
                <w:szCs w:val="18"/>
              </w:rPr>
              <w:t>下企业合并</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石河子华</w:t>
            </w:r>
            <w:proofErr w:type="gramStart"/>
            <w:r w:rsidRPr="00831C3C">
              <w:rPr>
                <w:rFonts w:asciiTheme="minorEastAsia" w:hAnsiTheme="minorEastAsia" w:hint="eastAsia"/>
                <w:sz w:val="18"/>
                <w:szCs w:val="18"/>
              </w:rPr>
              <w:t>孚宏盛棉</w:t>
            </w:r>
            <w:proofErr w:type="gramEnd"/>
            <w:r w:rsidRPr="00831C3C">
              <w:rPr>
                <w:rFonts w:asciiTheme="minorEastAsia" w:hAnsiTheme="minorEastAsia" w:hint="eastAsia"/>
                <w:sz w:val="18"/>
                <w:szCs w:val="18"/>
              </w:rPr>
              <w:t>业有限公司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50,000,000.00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新疆石河子市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新疆石河子市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石河子市华</w:t>
            </w:r>
            <w:proofErr w:type="gramStart"/>
            <w:r w:rsidRPr="00831C3C">
              <w:rPr>
                <w:rFonts w:asciiTheme="minorEastAsia" w:hAnsiTheme="minorEastAsia" w:hint="eastAsia"/>
                <w:sz w:val="18"/>
                <w:szCs w:val="18"/>
              </w:rPr>
              <w:t>孚宏丰棉</w:t>
            </w:r>
            <w:proofErr w:type="gramEnd"/>
            <w:r w:rsidRPr="00831C3C">
              <w:rPr>
                <w:rFonts w:asciiTheme="minorEastAsia" w:hAnsiTheme="minorEastAsia" w:hint="eastAsia"/>
                <w:sz w:val="18"/>
                <w:szCs w:val="18"/>
              </w:rPr>
              <w:t>业有限公司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20,000,000.00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新疆石河子市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新疆石河子市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浙江维新贸易有限公司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30,000,000.00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浙江省宁波市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浙江省宁波市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浙江恒孚贸易有限公司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浙江省杭州市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浙江省杭州市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新疆棉花交易市场有限责任公司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50,000,000.00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新疆乌鲁木齐</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新疆乌鲁木齐</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70.40%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非同</w:t>
            </w:r>
            <w:proofErr w:type="gramStart"/>
            <w:r w:rsidRPr="00831C3C">
              <w:rPr>
                <w:rFonts w:asciiTheme="minorEastAsia" w:hAnsiTheme="minorEastAsia" w:hint="eastAsia"/>
                <w:sz w:val="18"/>
                <w:szCs w:val="18"/>
              </w:rPr>
              <w:t>一控制</w:t>
            </w:r>
            <w:proofErr w:type="gramEnd"/>
            <w:r w:rsidRPr="00831C3C">
              <w:rPr>
                <w:rFonts w:asciiTheme="minorEastAsia" w:hAnsiTheme="minorEastAsia" w:hint="eastAsia"/>
                <w:sz w:val="18"/>
                <w:szCs w:val="18"/>
              </w:rPr>
              <w:t>下企业合并</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阿克苏银星物流有限公司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80,000,000.00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新疆阿克苏地区</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新疆阿克苏地区</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物流运输业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40.80%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非同</w:t>
            </w:r>
            <w:proofErr w:type="gramStart"/>
            <w:r w:rsidRPr="00831C3C">
              <w:rPr>
                <w:rFonts w:asciiTheme="minorEastAsia" w:hAnsiTheme="minorEastAsia" w:hint="eastAsia"/>
                <w:sz w:val="18"/>
                <w:szCs w:val="18"/>
              </w:rPr>
              <w:t>一控制</w:t>
            </w:r>
            <w:proofErr w:type="gramEnd"/>
            <w:r w:rsidRPr="00831C3C">
              <w:rPr>
                <w:rFonts w:asciiTheme="minorEastAsia" w:hAnsiTheme="minorEastAsia" w:hint="eastAsia"/>
                <w:sz w:val="18"/>
                <w:szCs w:val="18"/>
              </w:rPr>
              <w:t>下企业合并</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深圳华孚网链投资有限公司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500,000,000.00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广东省深圳市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广东省深圳市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roofErr w:type="gramStart"/>
            <w:r w:rsidRPr="00831C3C">
              <w:rPr>
                <w:rFonts w:asciiTheme="minorEastAsia" w:hAnsiTheme="minorEastAsia" w:hint="eastAsia"/>
                <w:sz w:val="18"/>
                <w:szCs w:val="18"/>
              </w:rPr>
              <w:t>淮北华孚供应</w:t>
            </w:r>
            <w:proofErr w:type="gramEnd"/>
            <w:r w:rsidRPr="00831C3C">
              <w:rPr>
                <w:rFonts w:asciiTheme="minorEastAsia" w:hAnsiTheme="minorEastAsia" w:hint="eastAsia"/>
                <w:sz w:val="18"/>
                <w:szCs w:val="18"/>
              </w:rPr>
              <w:t>链管理有限公司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200,000,000.00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安徽省淮北市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安徽省淮北市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浙江服人网络科技有限公司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50,000,000.00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浙江省杭州市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浙江省杭州市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阿克苏华</w:t>
            </w:r>
            <w:proofErr w:type="gramStart"/>
            <w:r w:rsidRPr="00831C3C">
              <w:rPr>
                <w:rFonts w:asciiTheme="minorEastAsia" w:hAnsiTheme="minorEastAsia" w:hint="eastAsia"/>
                <w:sz w:val="18"/>
                <w:szCs w:val="18"/>
              </w:rPr>
              <w:t>孚科技</w:t>
            </w:r>
            <w:proofErr w:type="gramEnd"/>
            <w:r w:rsidRPr="00831C3C">
              <w:rPr>
                <w:rFonts w:asciiTheme="minorEastAsia" w:hAnsiTheme="minorEastAsia" w:hint="eastAsia"/>
                <w:sz w:val="18"/>
                <w:szCs w:val="18"/>
              </w:rPr>
              <w:t>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新疆阿克苏地区</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新疆阿克苏地区</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上海清澄时尚生活用品有限公司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roofErr w:type="gramStart"/>
            <w:r w:rsidRPr="00831C3C">
              <w:rPr>
                <w:rFonts w:asciiTheme="minorEastAsia" w:hAnsiTheme="minorEastAsia" w:hint="eastAsia"/>
                <w:sz w:val="18"/>
                <w:szCs w:val="18"/>
              </w:rPr>
              <w:t>上海市上海市</w:t>
            </w:r>
            <w:proofErr w:type="gramEnd"/>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roofErr w:type="gramStart"/>
            <w:r w:rsidRPr="00831C3C">
              <w:rPr>
                <w:rFonts w:asciiTheme="minorEastAsia" w:hAnsiTheme="minorEastAsia" w:hint="eastAsia"/>
                <w:sz w:val="18"/>
                <w:szCs w:val="18"/>
              </w:rPr>
              <w:t>上海市上海市</w:t>
            </w:r>
            <w:proofErr w:type="gramEnd"/>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批发业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66.70%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江苏</w:t>
            </w:r>
            <w:proofErr w:type="gramStart"/>
            <w:r w:rsidRPr="00831C3C">
              <w:rPr>
                <w:rFonts w:asciiTheme="minorEastAsia" w:hAnsiTheme="minorEastAsia" w:hint="eastAsia"/>
                <w:sz w:val="18"/>
                <w:szCs w:val="18"/>
              </w:rPr>
              <w:t>清澄家</w:t>
            </w:r>
            <w:proofErr w:type="gramEnd"/>
            <w:r w:rsidRPr="00831C3C">
              <w:rPr>
                <w:rFonts w:asciiTheme="minorEastAsia" w:hAnsiTheme="minorEastAsia" w:hint="eastAsia"/>
                <w:sz w:val="18"/>
                <w:szCs w:val="18"/>
              </w:rPr>
              <w:t>生活用品有限公司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20,000,000.00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江苏省无锡市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江苏省无锡市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批发业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66.70%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浙江阿大互联科技有限公司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45,472,700.00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科技推广和应用服务业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50.94%</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roofErr w:type="gramStart"/>
            <w:r w:rsidRPr="00831C3C">
              <w:rPr>
                <w:rFonts w:asciiTheme="minorEastAsia" w:hAnsiTheme="minorEastAsia" w:hint="eastAsia"/>
                <w:sz w:val="18"/>
                <w:szCs w:val="18"/>
              </w:rPr>
              <w:t>非同控合并</w:t>
            </w:r>
            <w:proofErr w:type="gramEnd"/>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新疆阿大数字科技产业园有限公司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50,000,000.00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新疆阿克苏地区</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新疆阿克苏地区</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浙江昊载科技有限公司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科技推广和应用服务业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诸暨中</w:t>
            </w:r>
            <w:proofErr w:type="gramStart"/>
            <w:r w:rsidRPr="00831C3C">
              <w:rPr>
                <w:rFonts w:asciiTheme="minorEastAsia" w:hAnsiTheme="minorEastAsia" w:hint="eastAsia"/>
                <w:sz w:val="18"/>
                <w:szCs w:val="18"/>
              </w:rPr>
              <w:t>昊</w:t>
            </w:r>
            <w:proofErr w:type="gramEnd"/>
            <w:r w:rsidRPr="00831C3C">
              <w:rPr>
                <w:rFonts w:asciiTheme="minorEastAsia" w:hAnsiTheme="minorEastAsia" w:hint="eastAsia"/>
                <w:sz w:val="18"/>
                <w:szCs w:val="18"/>
              </w:rPr>
              <w:t>投资管理有限公司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投资管理</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roofErr w:type="gramStart"/>
            <w:r w:rsidRPr="00831C3C">
              <w:rPr>
                <w:rFonts w:asciiTheme="minorEastAsia" w:hAnsiTheme="minorEastAsia" w:hint="eastAsia"/>
                <w:sz w:val="18"/>
                <w:szCs w:val="18"/>
              </w:rPr>
              <w:t>非同控合并</w:t>
            </w:r>
            <w:proofErr w:type="gramEnd"/>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lastRenderedPageBreak/>
              <w:t>诸暨市承影电子商务有限公司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零售业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roofErr w:type="gramStart"/>
            <w:r w:rsidRPr="00831C3C">
              <w:rPr>
                <w:rFonts w:asciiTheme="minorEastAsia" w:hAnsiTheme="minorEastAsia" w:hint="eastAsia"/>
                <w:sz w:val="18"/>
                <w:szCs w:val="18"/>
              </w:rPr>
              <w:t>非同控合并</w:t>
            </w:r>
            <w:proofErr w:type="gramEnd"/>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roofErr w:type="gramStart"/>
            <w:r w:rsidRPr="00831C3C">
              <w:rPr>
                <w:rFonts w:asciiTheme="minorEastAsia" w:hAnsiTheme="minorEastAsia" w:hint="eastAsia"/>
                <w:sz w:val="18"/>
                <w:szCs w:val="18"/>
              </w:rPr>
              <w:t>诸暨市渊虹电子商务</w:t>
            </w:r>
            <w:proofErr w:type="gramEnd"/>
            <w:r w:rsidRPr="00831C3C">
              <w:rPr>
                <w:rFonts w:asciiTheme="minorEastAsia" w:hAnsiTheme="minorEastAsia" w:hint="eastAsia"/>
                <w:sz w:val="18"/>
                <w:szCs w:val="18"/>
              </w:rPr>
              <w:t>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零售业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roofErr w:type="gramStart"/>
            <w:r w:rsidRPr="00831C3C">
              <w:rPr>
                <w:rFonts w:asciiTheme="minorEastAsia" w:hAnsiTheme="minorEastAsia" w:hint="eastAsia"/>
                <w:sz w:val="18"/>
                <w:szCs w:val="18"/>
              </w:rPr>
              <w:t>非同控合并</w:t>
            </w:r>
            <w:proofErr w:type="gramEnd"/>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杭州名</w:t>
            </w:r>
            <w:proofErr w:type="gramStart"/>
            <w:r w:rsidRPr="00831C3C">
              <w:rPr>
                <w:rFonts w:asciiTheme="minorEastAsia" w:hAnsiTheme="minorEastAsia" w:hint="eastAsia"/>
                <w:sz w:val="18"/>
                <w:szCs w:val="18"/>
              </w:rPr>
              <w:t>鲲</w:t>
            </w:r>
            <w:proofErr w:type="gramEnd"/>
            <w:r w:rsidRPr="00831C3C">
              <w:rPr>
                <w:rFonts w:asciiTheme="minorEastAsia" w:hAnsiTheme="minorEastAsia" w:hint="eastAsia"/>
                <w:sz w:val="18"/>
                <w:szCs w:val="18"/>
              </w:rPr>
              <w:t>科技有限公司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5,000,000.00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浙江省杭州市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浙江省杭州市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软件开发</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80.00%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诸暨市卡拉美拉科技有限公司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8,345,295.00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零售业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roofErr w:type="gramStart"/>
            <w:r w:rsidRPr="00831C3C">
              <w:rPr>
                <w:rFonts w:asciiTheme="minorEastAsia" w:hAnsiTheme="minorEastAsia" w:hint="eastAsia"/>
                <w:sz w:val="18"/>
                <w:szCs w:val="18"/>
              </w:rPr>
              <w:t>非同控合并</w:t>
            </w:r>
            <w:proofErr w:type="gramEnd"/>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诸暨市龙渊电子商务有限公司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2,000,000.00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零售业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roofErr w:type="gramStart"/>
            <w:r w:rsidRPr="00831C3C">
              <w:rPr>
                <w:rFonts w:asciiTheme="minorEastAsia" w:hAnsiTheme="minorEastAsia" w:hint="eastAsia"/>
                <w:sz w:val="18"/>
                <w:szCs w:val="18"/>
              </w:rPr>
              <w:t>非同控合并</w:t>
            </w:r>
            <w:proofErr w:type="gramEnd"/>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诸暨市湛</w:t>
            </w:r>
            <w:proofErr w:type="gramStart"/>
            <w:r w:rsidRPr="00831C3C">
              <w:rPr>
                <w:rFonts w:asciiTheme="minorEastAsia" w:hAnsiTheme="minorEastAsia" w:hint="eastAsia"/>
                <w:sz w:val="18"/>
                <w:szCs w:val="18"/>
              </w:rPr>
              <w:t>泸</w:t>
            </w:r>
            <w:proofErr w:type="gramEnd"/>
            <w:r w:rsidRPr="00831C3C">
              <w:rPr>
                <w:rFonts w:asciiTheme="minorEastAsia" w:hAnsiTheme="minorEastAsia" w:hint="eastAsia"/>
                <w:sz w:val="18"/>
                <w:szCs w:val="18"/>
              </w:rPr>
              <w:t>电子商务有限公司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2,000,000.00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零售业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roofErr w:type="gramStart"/>
            <w:r w:rsidRPr="00831C3C">
              <w:rPr>
                <w:rFonts w:asciiTheme="minorEastAsia" w:hAnsiTheme="minorEastAsia" w:hint="eastAsia"/>
                <w:sz w:val="18"/>
                <w:szCs w:val="18"/>
              </w:rPr>
              <w:t>非同控合并</w:t>
            </w:r>
            <w:proofErr w:type="gramEnd"/>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诸暨市</w:t>
            </w:r>
            <w:proofErr w:type="gramStart"/>
            <w:r w:rsidRPr="00831C3C">
              <w:rPr>
                <w:rFonts w:asciiTheme="minorEastAsia" w:hAnsiTheme="minorEastAsia" w:hint="eastAsia"/>
                <w:sz w:val="18"/>
                <w:szCs w:val="18"/>
              </w:rPr>
              <w:t>赤</w:t>
            </w:r>
            <w:proofErr w:type="gramEnd"/>
            <w:r w:rsidRPr="00831C3C">
              <w:rPr>
                <w:rFonts w:asciiTheme="minorEastAsia" w:hAnsiTheme="minorEastAsia" w:hint="eastAsia"/>
                <w:sz w:val="18"/>
                <w:szCs w:val="18"/>
              </w:rPr>
              <w:t>霄电子商务有限公司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批发业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roofErr w:type="gramStart"/>
            <w:r w:rsidRPr="00831C3C">
              <w:rPr>
                <w:rFonts w:asciiTheme="minorEastAsia" w:hAnsiTheme="minorEastAsia" w:hint="eastAsia"/>
                <w:sz w:val="18"/>
                <w:szCs w:val="18"/>
              </w:rPr>
              <w:t>非同控合并</w:t>
            </w:r>
            <w:proofErr w:type="gramEnd"/>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诸暨市新亭电子商务有限公司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批发业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roofErr w:type="gramStart"/>
            <w:r w:rsidRPr="00831C3C">
              <w:rPr>
                <w:rFonts w:asciiTheme="minorEastAsia" w:hAnsiTheme="minorEastAsia" w:hint="eastAsia"/>
                <w:sz w:val="18"/>
                <w:szCs w:val="18"/>
              </w:rPr>
              <w:t>非同控合并</w:t>
            </w:r>
            <w:proofErr w:type="gramEnd"/>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roofErr w:type="gramStart"/>
            <w:r w:rsidRPr="00831C3C">
              <w:rPr>
                <w:rFonts w:asciiTheme="minorEastAsia" w:hAnsiTheme="minorEastAsia" w:hint="eastAsia"/>
                <w:sz w:val="18"/>
                <w:szCs w:val="18"/>
              </w:rPr>
              <w:t>诸暨市纯钧电子商务</w:t>
            </w:r>
            <w:proofErr w:type="gramEnd"/>
            <w:r w:rsidRPr="00831C3C">
              <w:rPr>
                <w:rFonts w:asciiTheme="minorEastAsia" w:hAnsiTheme="minorEastAsia" w:hint="eastAsia"/>
                <w:sz w:val="18"/>
                <w:szCs w:val="18"/>
              </w:rPr>
              <w:t>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零售业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roofErr w:type="gramStart"/>
            <w:r w:rsidRPr="00831C3C">
              <w:rPr>
                <w:rFonts w:asciiTheme="minorEastAsia" w:hAnsiTheme="minorEastAsia" w:hint="eastAsia"/>
                <w:sz w:val="18"/>
                <w:szCs w:val="18"/>
              </w:rPr>
              <w:t>非同控合并</w:t>
            </w:r>
            <w:proofErr w:type="gramEnd"/>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诸暨市雪霁电子商务有限公司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零售业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roofErr w:type="gramStart"/>
            <w:r w:rsidRPr="00831C3C">
              <w:rPr>
                <w:rFonts w:asciiTheme="minorEastAsia" w:hAnsiTheme="minorEastAsia" w:hint="eastAsia"/>
                <w:sz w:val="18"/>
                <w:szCs w:val="18"/>
              </w:rPr>
              <w:t>非同控合并</w:t>
            </w:r>
            <w:proofErr w:type="gramEnd"/>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诸暨市胜跃纺织有限公司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500,000.00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纺织业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roofErr w:type="gramStart"/>
            <w:r w:rsidRPr="00831C3C">
              <w:rPr>
                <w:rFonts w:asciiTheme="minorEastAsia" w:hAnsiTheme="minorEastAsia" w:hint="eastAsia"/>
                <w:sz w:val="18"/>
                <w:szCs w:val="18"/>
              </w:rPr>
              <w:t>非同控合并</w:t>
            </w:r>
            <w:proofErr w:type="gramEnd"/>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杭州</w:t>
            </w:r>
            <w:proofErr w:type="gramStart"/>
            <w:r w:rsidRPr="00831C3C">
              <w:rPr>
                <w:rFonts w:asciiTheme="minorEastAsia" w:hAnsiTheme="minorEastAsia" w:hint="eastAsia"/>
                <w:sz w:val="18"/>
                <w:szCs w:val="18"/>
              </w:rPr>
              <w:t>一</w:t>
            </w:r>
            <w:proofErr w:type="gramEnd"/>
            <w:r w:rsidRPr="00831C3C">
              <w:rPr>
                <w:rFonts w:asciiTheme="minorEastAsia" w:hAnsiTheme="minorEastAsia" w:hint="eastAsia"/>
                <w:sz w:val="18"/>
                <w:szCs w:val="18"/>
              </w:rPr>
              <w:t>酷服饰有限公司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浙江省杭州市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浙江省杭州市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批发业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90.00%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roofErr w:type="gramStart"/>
            <w:r w:rsidRPr="00831C3C">
              <w:rPr>
                <w:rFonts w:asciiTheme="minorEastAsia" w:hAnsiTheme="minorEastAsia" w:hint="eastAsia"/>
                <w:sz w:val="18"/>
                <w:szCs w:val="18"/>
              </w:rPr>
              <w:t>非同控合并</w:t>
            </w:r>
            <w:proofErr w:type="gramEnd"/>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浙江昊驰信息咨询有限公司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批发业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浙江昊创贸易有限公司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批发业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浙江广孚色纺有限公司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批发业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浙江易孚贸易有限公司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15,500,000.00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90.32%</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roofErr w:type="gramStart"/>
            <w:r w:rsidRPr="00831C3C">
              <w:rPr>
                <w:rFonts w:asciiTheme="minorEastAsia" w:hAnsiTheme="minorEastAsia" w:hint="eastAsia"/>
                <w:sz w:val="18"/>
                <w:szCs w:val="18"/>
              </w:rPr>
              <w:t>新疆天孚棉花</w:t>
            </w:r>
            <w:proofErr w:type="gramEnd"/>
            <w:r w:rsidRPr="00831C3C">
              <w:rPr>
                <w:rFonts w:asciiTheme="minorEastAsia" w:hAnsiTheme="minorEastAsia" w:hint="eastAsia"/>
                <w:sz w:val="18"/>
                <w:szCs w:val="18"/>
              </w:rPr>
              <w:t>供应链股份有限公司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80,000,000.00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新疆喀什地区</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新疆喀什地区</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51.00%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新疆棉花产业集团岳普湖棉业有限公司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20,000,000.00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新疆喀什地区</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新疆喀什地区</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非同</w:t>
            </w:r>
            <w:proofErr w:type="gramStart"/>
            <w:r w:rsidRPr="00831C3C">
              <w:rPr>
                <w:rFonts w:asciiTheme="minorEastAsia" w:hAnsiTheme="minorEastAsia" w:hint="eastAsia"/>
                <w:sz w:val="18"/>
                <w:szCs w:val="18"/>
              </w:rPr>
              <w:t>一控制</w:t>
            </w:r>
            <w:proofErr w:type="gramEnd"/>
            <w:r w:rsidRPr="00831C3C">
              <w:rPr>
                <w:rFonts w:asciiTheme="minorEastAsia" w:hAnsiTheme="minorEastAsia" w:hint="eastAsia"/>
                <w:sz w:val="18"/>
                <w:szCs w:val="18"/>
              </w:rPr>
              <w:t>下企业合并</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新疆棉花产业集团伽师棉业有限公司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20,000,000.00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新疆喀什地区</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新疆喀什地区</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非同</w:t>
            </w:r>
            <w:proofErr w:type="gramStart"/>
            <w:r w:rsidRPr="00831C3C">
              <w:rPr>
                <w:rFonts w:asciiTheme="minorEastAsia" w:hAnsiTheme="minorEastAsia" w:hint="eastAsia"/>
                <w:sz w:val="18"/>
                <w:szCs w:val="18"/>
              </w:rPr>
              <w:t>一控制</w:t>
            </w:r>
            <w:proofErr w:type="gramEnd"/>
            <w:r w:rsidRPr="00831C3C">
              <w:rPr>
                <w:rFonts w:asciiTheme="minorEastAsia" w:hAnsiTheme="minorEastAsia" w:hint="eastAsia"/>
                <w:sz w:val="18"/>
                <w:szCs w:val="18"/>
              </w:rPr>
              <w:t>下企业合并</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w:t>
            </w:r>
            <w:proofErr w:type="gramStart"/>
            <w:r w:rsidRPr="00831C3C">
              <w:rPr>
                <w:rFonts w:asciiTheme="minorEastAsia" w:hAnsiTheme="minorEastAsia" w:hint="eastAsia"/>
                <w:sz w:val="18"/>
                <w:szCs w:val="18"/>
              </w:rPr>
              <w:t>菁英电商管理</w:t>
            </w:r>
            <w:proofErr w:type="gramEnd"/>
            <w:r w:rsidRPr="00831C3C">
              <w:rPr>
                <w:rFonts w:asciiTheme="minorEastAsia" w:hAnsiTheme="minorEastAsia" w:hint="eastAsia"/>
                <w:sz w:val="18"/>
                <w:szCs w:val="18"/>
              </w:rPr>
              <w:t>服务有限公司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浙江省金华市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浙江省金华市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51.00%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金华市</w:t>
            </w:r>
            <w:proofErr w:type="gramStart"/>
            <w:r w:rsidRPr="00831C3C">
              <w:rPr>
                <w:rFonts w:asciiTheme="minorEastAsia" w:hAnsiTheme="minorEastAsia" w:hint="eastAsia"/>
                <w:sz w:val="18"/>
                <w:szCs w:val="18"/>
              </w:rPr>
              <w:t>菁</w:t>
            </w:r>
            <w:proofErr w:type="gramEnd"/>
            <w:r w:rsidRPr="00831C3C">
              <w:rPr>
                <w:rFonts w:asciiTheme="minorEastAsia" w:hAnsiTheme="minorEastAsia" w:hint="eastAsia"/>
                <w:sz w:val="18"/>
                <w:szCs w:val="18"/>
              </w:rPr>
              <w:t>英职业技能培</w:t>
            </w:r>
            <w:r w:rsidRPr="00831C3C">
              <w:rPr>
                <w:rFonts w:asciiTheme="minorEastAsia" w:hAnsiTheme="minorEastAsia" w:hint="eastAsia"/>
                <w:sz w:val="18"/>
                <w:szCs w:val="18"/>
              </w:rPr>
              <w:lastRenderedPageBreak/>
              <w:t>训学校有限公司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lastRenderedPageBreak/>
              <w:t>500,000.00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浙江省金华市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浙江省金华市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综合服务</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lastRenderedPageBreak/>
              <w:t>金华市</w:t>
            </w:r>
            <w:proofErr w:type="gramStart"/>
            <w:r w:rsidRPr="00831C3C">
              <w:rPr>
                <w:rFonts w:asciiTheme="minorEastAsia" w:hAnsiTheme="minorEastAsia" w:hint="eastAsia"/>
                <w:sz w:val="18"/>
                <w:szCs w:val="18"/>
              </w:rPr>
              <w:t>菁</w:t>
            </w:r>
            <w:proofErr w:type="gramEnd"/>
            <w:r w:rsidRPr="00831C3C">
              <w:rPr>
                <w:rFonts w:asciiTheme="minorEastAsia" w:hAnsiTheme="minorEastAsia" w:hint="eastAsia"/>
                <w:sz w:val="18"/>
                <w:szCs w:val="18"/>
              </w:rPr>
              <w:t>英物业发展有限公司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200,000.00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浙江省金华市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浙江省金华市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综合服务</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w:t>
            </w:r>
            <w:proofErr w:type="gramStart"/>
            <w:r w:rsidRPr="00831C3C">
              <w:rPr>
                <w:rFonts w:asciiTheme="minorEastAsia" w:hAnsiTheme="minorEastAsia" w:hint="eastAsia"/>
                <w:sz w:val="18"/>
                <w:szCs w:val="18"/>
              </w:rPr>
              <w:t>菁英创业</w:t>
            </w:r>
            <w:proofErr w:type="gramEnd"/>
            <w:r w:rsidRPr="00831C3C">
              <w:rPr>
                <w:rFonts w:asciiTheme="minorEastAsia" w:hAnsiTheme="minorEastAsia" w:hint="eastAsia"/>
                <w:sz w:val="18"/>
                <w:szCs w:val="18"/>
              </w:rPr>
              <w:t>服务有限公司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浙江省金华市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浙江省金华市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商务服务业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70.00%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浙江铭孚针纺有限公司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纺织业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51.00%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深圳市天计数</w:t>
            </w:r>
            <w:proofErr w:type="gramStart"/>
            <w:r w:rsidRPr="00831C3C">
              <w:rPr>
                <w:rFonts w:asciiTheme="minorEastAsia" w:hAnsiTheme="minorEastAsia" w:hint="eastAsia"/>
                <w:sz w:val="18"/>
                <w:szCs w:val="18"/>
              </w:rPr>
              <w:t>智科技</w:t>
            </w:r>
            <w:proofErr w:type="gramEnd"/>
            <w:r w:rsidRPr="00831C3C">
              <w:rPr>
                <w:rFonts w:asciiTheme="minorEastAsia" w:hAnsiTheme="minorEastAsia" w:hint="eastAsia"/>
                <w:sz w:val="18"/>
                <w:szCs w:val="18"/>
              </w:rPr>
              <w:t>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4,600,000.00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广东省深圳市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广东省深圳市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软件和信息技术服务业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51.00%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淮北中新纺织有限公司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200,000,000.00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安徽省淮北市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安徽省淮北市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同</w:t>
            </w:r>
            <w:proofErr w:type="gramStart"/>
            <w:r w:rsidRPr="00831C3C">
              <w:rPr>
                <w:rFonts w:asciiTheme="minorEastAsia" w:hAnsiTheme="minorEastAsia" w:hint="eastAsia"/>
                <w:sz w:val="18"/>
                <w:szCs w:val="18"/>
              </w:rPr>
              <w:t>一控制</w:t>
            </w:r>
            <w:proofErr w:type="gramEnd"/>
            <w:r w:rsidRPr="00831C3C">
              <w:rPr>
                <w:rFonts w:asciiTheme="minorEastAsia" w:hAnsiTheme="minorEastAsia" w:hint="eastAsia"/>
                <w:sz w:val="18"/>
                <w:szCs w:val="18"/>
              </w:rPr>
              <w:t>下企业合并</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高可续（上海）棉花有限公司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上海市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上海市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奎屯锦孚纺织有限公司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230,343,900.00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新疆奎屯市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新疆奎屯市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67.00%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非同</w:t>
            </w:r>
            <w:proofErr w:type="gramStart"/>
            <w:r w:rsidRPr="00831C3C">
              <w:rPr>
                <w:rFonts w:asciiTheme="minorEastAsia" w:hAnsiTheme="minorEastAsia" w:hint="eastAsia"/>
                <w:sz w:val="18"/>
                <w:szCs w:val="18"/>
              </w:rPr>
              <w:t>一控制</w:t>
            </w:r>
            <w:proofErr w:type="gramEnd"/>
            <w:r w:rsidRPr="00831C3C">
              <w:rPr>
                <w:rFonts w:asciiTheme="minorEastAsia" w:hAnsiTheme="minorEastAsia" w:hint="eastAsia"/>
                <w:sz w:val="18"/>
                <w:szCs w:val="18"/>
              </w:rPr>
              <w:t>下企业合并</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浙江果实设计有限公司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浙江省绍兴市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浙江省绍兴市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设计</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浙江果实纺织科技有限公司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浙江省绍兴市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浙江省绍兴市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批发业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浙江其实科技有限公司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浙江省绍兴市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浙江省绍兴市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批发业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新疆华孚宏丰农业开发有限公司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50,000,000.00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新疆维吾尔自治区阿克苏地区</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新疆维吾尔自治区阿克苏地区</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新疆泽孚棉花有限公司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8,000,000.00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新疆维吾尔自治区喀什地区</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新疆维吾尔自治区喀什地区</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51.00%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新疆盛孚棉业有限公司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500,000.00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新疆维吾尔自治区喀什地区</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新疆维吾尔自治区喀什地区</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roofErr w:type="gramStart"/>
            <w:r w:rsidRPr="00831C3C">
              <w:rPr>
                <w:rFonts w:asciiTheme="minorEastAsia" w:hAnsiTheme="minorEastAsia" w:hint="eastAsia"/>
                <w:sz w:val="18"/>
                <w:szCs w:val="18"/>
              </w:rPr>
              <w:t>淮北华</w:t>
            </w:r>
            <w:proofErr w:type="gramEnd"/>
            <w:r w:rsidRPr="00831C3C">
              <w:rPr>
                <w:rFonts w:asciiTheme="minorEastAsia" w:hAnsiTheme="minorEastAsia" w:hint="eastAsia"/>
                <w:sz w:val="18"/>
                <w:szCs w:val="18"/>
              </w:rPr>
              <w:t>孚新能源有限公司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5,000,000.00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安徽省淮北市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安徽省淮北市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平湖市科新贸易有限公司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浙江省嘉兴市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浙江省嘉兴市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物资贸易业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新疆华孚种业科技股份有限公司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新疆昌吉</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新疆昌吉</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纺织制造业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60.00%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浙江达米安品牌管理有限公司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浙江省诸暨市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批发业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华</w:t>
            </w:r>
            <w:proofErr w:type="gramStart"/>
            <w:r w:rsidRPr="00831C3C">
              <w:rPr>
                <w:rFonts w:asciiTheme="minorEastAsia" w:hAnsiTheme="minorEastAsia" w:hint="eastAsia"/>
                <w:sz w:val="18"/>
                <w:szCs w:val="18"/>
              </w:rPr>
              <w:t>孚智算</w:t>
            </w:r>
            <w:proofErr w:type="gramEnd"/>
            <w:r w:rsidRPr="00831C3C">
              <w:rPr>
                <w:rFonts w:asciiTheme="minorEastAsia" w:hAnsiTheme="minorEastAsia" w:hint="eastAsia"/>
                <w:sz w:val="18"/>
                <w:szCs w:val="18"/>
              </w:rPr>
              <w:t>（上海）网络有限公司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50,000,000.00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上海市普陀区</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上海市普陀区</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科技推广和应用服务业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新疆华孚人工智能科技有限公司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新疆阿克苏</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新疆阿克苏</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科技推广和应用服务业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绍兴</w:t>
            </w:r>
            <w:proofErr w:type="gramStart"/>
            <w:r w:rsidRPr="00831C3C">
              <w:rPr>
                <w:rFonts w:asciiTheme="minorEastAsia" w:hAnsiTheme="minorEastAsia" w:hint="eastAsia"/>
                <w:sz w:val="18"/>
                <w:szCs w:val="18"/>
              </w:rPr>
              <w:t>智宽科技</w:t>
            </w:r>
            <w:proofErr w:type="gramEnd"/>
            <w:r w:rsidRPr="00831C3C">
              <w:rPr>
                <w:rFonts w:asciiTheme="minorEastAsia" w:hAnsiTheme="minorEastAsia" w:hint="eastAsia"/>
                <w:sz w:val="18"/>
                <w:szCs w:val="18"/>
              </w:rPr>
              <w:t>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20,000,000.00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浙江省绍兴市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浙江省绍兴市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科技推广和应用服务业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51.00%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roofErr w:type="gramStart"/>
            <w:r w:rsidRPr="00831C3C">
              <w:rPr>
                <w:rFonts w:asciiTheme="minorEastAsia" w:hAnsiTheme="minorEastAsia" w:hint="eastAsia"/>
                <w:sz w:val="18"/>
                <w:szCs w:val="18"/>
              </w:rPr>
              <w:t>绍兴华孚智算</w:t>
            </w:r>
            <w:proofErr w:type="gramEnd"/>
            <w:r w:rsidRPr="00831C3C">
              <w:rPr>
                <w:rFonts w:asciiTheme="minorEastAsia" w:hAnsiTheme="minorEastAsia" w:hint="eastAsia"/>
                <w:sz w:val="18"/>
                <w:szCs w:val="18"/>
              </w:rPr>
              <w:t>科技有限公司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20,000,000.00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浙江省绍兴市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浙江省绍兴市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科技推广和应用服务业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lastRenderedPageBreak/>
              <w:t>新疆华孚智算科技有限公司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新疆阿克苏</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新疆阿克苏</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科技推广和应用服务业</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兰溪市</w:t>
            </w:r>
            <w:proofErr w:type="gramStart"/>
            <w:r w:rsidRPr="00831C3C">
              <w:rPr>
                <w:rFonts w:asciiTheme="minorEastAsia" w:hAnsiTheme="minorEastAsia" w:hint="eastAsia"/>
                <w:sz w:val="18"/>
                <w:szCs w:val="18"/>
              </w:rPr>
              <w:t>菁英数字</w:t>
            </w:r>
            <w:proofErr w:type="gramEnd"/>
            <w:r w:rsidRPr="00831C3C">
              <w:rPr>
                <w:rFonts w:asciiTheme="minorEastAsia" w:hAnsiTheme="minorEastAsia" w:hint="eastAsia"/>
                <w:sz w:val="18"/>
                <w:szCs w:val="18"/>
              </w:rPr>
              <w:t>产业发展有限公司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5,000,000.00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浙江省金华市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浙江省金华市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综合服务</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东阳市广厦</w:t>
            </w:r>
            <w:proofErr w:type="gramStart"/>
            <w:r w:rsidRPr="00831C3C">
              <w:rPr>
                <w:rFonts w:asciiTheme="minorEastAsia" w:hAnsiTheme="minorEastAsia" w:hint="eastAsia"/>
                <w:sz w:val="18"/>
                <w:szCs w:val="18"/>
              </w:rPr>
              <w:t>菁英创业</w:t>
            </w:r>
            <w:proofErr w:type="gramEnd"/>
            <w:r w:rsidRPr="00831C3C">
              <w:rPr>
                <w:rFonts w:asciiTheme="minorEastAsia" w:hAnsiTheme="minorEastAsia" w:hint="eastAsia"/>
                <w:sz w:val="18"/>
                <w:szCs w:val="18"/>
              </w:rPr>
              <w:t>服务有限公司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5,000,000.00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浙江省金华市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浙江省金华市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综合服务</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49.00%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r w:rsidR="00831C3C" w:rsidRPr="00831C3C" w:rsidTr="00191723">
        <w:trPr>
          <w:trHeight w:val="240"/>
        </w:trPr>
        <w:tc>
          <w:tcPr>
            <w:tcW w:w="1204"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浙江尚春酒店有限公司</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10,000,000.00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浙江省绍兴市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浙江省绍兴市</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综合服务</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100.00%</w:t>
            </w:r>
          </w:p>
        </w:tc>
        <w:tc>
          <w:tcPr>
            <w:tcW w:w="1205" w:type="dxa"/>
            <w:tcBorders>
              <w:top w:val="single" w:sz="2" w:space="0" w:color="auto"/>
              <w:left w:val="single" w:sz="2" w:space="0" w:color="auto"/>
              <w:bottom w:val="single" w:sz="2" w:space="0" w:color="auto"/>
              <w:right w:val="single" w:sz="2" w:space="0" w:color="auto"/>
            </w:tcBorders>
            <w:vAlign w:val="center"/>
          </w:tcPr>
          <w:p w:rsidR="00191723" w:rsidRPr="00831C3C" w:rsidRDefault="00191723" w:rsidP="00191723">
            <w:pPr>
              <w:jc w:val="center"/>
              <w:rPr>
                <w:rFonts w:asciiTheme="minorEastAsia" w:hAnsiTheme="minorEastAsia"/>
                <w:sz w:val="18"/>
                <w:szCs w:val="18"/>
              </w:rPr>
            </w:pPr>
            <w:r w:rsidRPr="00831C3C">
              <w:rPr>
                <w:rFonts w:asciiTheme="minorEastAsia" w:hAnsiTheme="minorEastAsia" w:hint="eastAsia"/>
                <w:sz w:val="18"/>
                <w:szCs w:val="18"/>
              </w:rPr>
              <w:t>投资设立</w:t>
            </w:r>
          </w:p>
        </w:tc>
      </w:tr>
    </w:tbl>
    <w:p w:rsidR="00C65FD5" w:rsidRPr="00831C3C" w:rsidRDefault="00C65FD5" w:rsidP="00BE6F3B">
      <w:pPr>
        <w:spacing w:before="100" w:after="100" w:line="240" w:lineRule="exact"/>
        <w:rPr>
          <w:rFonts w:ascii="宋体" w:eastAsia="宋体" w:hAnsi="宋体" w:cs="宋体"/>
          <w:sz w:val="18"/>
          <w:szCs w:val="18"/>
        </w:rPr>
      </w:pPr>
      <w:r w:rsidRPr="00831C3C">
        <w:rPr>
          <w:rFonts w:ascii="宋体" w:eastAsia="宋体" w:hAnsi="宋体" w:cs="宋体"/>
          <w:sz w:val="18"/>
          <w:szCs w:val="18"/>
        </w:rPr>
        <w:t>在子公司的持股比例不同于表决权比例的说明：</w:t>
      </w:r>
      <w:r w:rsidRPr="00831C3C">
        <w:rPr>
          <w:rFonts w:hint="eastAsia"/>
          <w:sz w:val="18"/>
          <w:szCs w:val="18"/>
        </w:rPr>
        <w:t>无。</w:t>
      </w:r>
    </w:p>
    <w:p w:rsidR="00C65FD5" w:rsidRPr="00831C3C" w:rsidRDefault="00C65FD5" w:rsidP="00BE6F3B">
      <w:pPr>
        <w:spacing w:before="100" w:after="100" w:line="240" w:lineRule="exact"/>
        <w:rPr>
          <w:rFonts w:ascii="宋体" w:eastAsia="宋体" w:hAnsi="宋体" w:cs="宋体"/>
          <w:sz w:val="18"/>
          <w:szCs w:val="18"/>
        </w:rPr>
      </w:pPr>
      <w:r w:rsidRPr="00831C3C">
        <w:rPr>
          <w:rFonts w:ascii="宋体" w:eastAsia="宋体" w:hAnsi="宋体" w:cs="宋体"/>
          <w:sz w:val="18"/>
          <w:szCs w:val="18"/>
        </w:rPr>
        <w:t>持有半数或以下表决权但仍控制被投资单位、以及持有半数以上表决权但不控制被投资单位的依据：</w:t>
      </w:r>
      <w:r w:rsidRPr="00831C3C">
        <w:rPr>
          <w:rFonts w:hint="eastAsia"/>
          <w:sz w:val="18"/>
          <w:szCs w:val="18"/>
        </w:rPr>
        <w:t>无。</w:t>
      </w:r>
    </w:p>
    <w:p w:rsidR="00C65FD5" w:rsidRPr="00831C3C" w:rsidRDefault="00C65FD5" w:rsidP="00BE6F3B">
      <w:pPr>
        <w:spacing w:before="100" w:after="100" w:line="240" w:lineRule="exact"/>
        <w:rPr>
          <w:rFonts w:ascii="宋体" w:eastAsia="宋体" w:hAnsi="宋体" w:cs="宋体"/>
          <w:sz w:val="18"/>
          <w:szCs w:val="18"/>
        </w:rPr>
      </w:pPr>
      <w:r w:rsidRPr="00831C3C">
        <w:rPr>
          <w:rFonts w:ascii="宋体" w:eastAsia="宋体" w:hAnsi="宋体" w:cs="宋体"/>
          <w:sz w:val="18"/>
          <w:szCs w:val="18"/>
        </w:rPr>
        <w:t>对于纳入合并范围的重要的结构化主体，控制的依据：</w:t>
      </w:r>
      <w:r w:rsidRPr="00831C3C">
        <w:rPr>
          <w:rFonts w:hint="eastAsia"/>
          <w:sz w:val="18"/>
          <w:szCs w:val="18"/>
        </w:rPr>
        <w:t>无。</w:t>
      </w:r>
    </w:p>
    <w:p w:rsidR="00C65FD5" w:rsidRPr="00831C3C" w:rsidRDefault="00C65FD5" w:rsidP="00BE6F3B">
      <w:pPr>
        <w:spacing w:before="100" w:after="100" w:line="240" w:lineRule="exact"/>
        <w:rPr>
          <w:rFonts w:ascii="宋体" w:eastAsia="宋体" w:hAnsi="宋体" w:cs="宋体"/>
          <w:sz w:val="18"/>
          <w:szCs w:val="18"/>
        </w:rPr>
      </w:pPr>
      <w:r w:rsidRPr="00831C3C">
        <w:rPr>
          <w:rFonts w:ascii="宋体" w:eastAsia="宋体" w:hAnsi="宋体" w:cs="宋体"/>
          <w:sz w:val="18"/>
          <w:szCs w:val="18"/>
        </w:rPr>
        <w:t>确定公司是代理人还是委托人的依据：</w:t>
      </w:r>
      <w:r w:rsidRPr="00831C3C">
        <w:rPr>
          <w:rFonts w:hint="eastAsia"/>
          <w:sz w:val="18"/>
          <w:szCs w:val="18"/>
        </w:rPr>
        <w:t>无。</w:t>
      </w:r>
    </w:p>
    <w:p w:rsidR="00C65FD5" w:rsidRPr="00831C3C" w:rsidRDefault="00C65FD5" w:rsidP="00BE6F3B">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r w:rsidRPr="00831C3C">
        <w:rPr>
          <w:rFonts w:hint="eastAsia"/>
          <w:sz w:val="18"/>
          <w:szCs w:val="18"/>
        </w:rPr>
        <w:t>无。</w:t>
      </w:r>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496" w:name="_Toc989377"/>
      <w:r w:rsidRPr="00831C3C">
        <w:rPr>
          <w:rFonts w:ascii="宋体" w:eastAsia="宋体" w:hAnsi="宋体" w:cs="宋体"/>
          <w:b/>
          <w:bCs/>
          <w:sz w:val="18"/>
          <w:szCs w:val="18"/>
        </w:rPr>
        <w:t>（2）重要的非全资子公司</w:t>
      </w:r>
      <w:bookmarkEnd w:id="496"/>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子公司名称</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少数股东持股比例</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本期归属于少数股东的损益</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本期向少数股东宣告分派的股利</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期末少数股东权益余额</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浙江阿大互联科技有限公司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21.63%</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4,067,221.65</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114,155,985.46</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新疆天孚棉花</w:t>
            </w:r>
            <w:proofErr w:type="gramEnd"/>
            <w:r w:rsidRPr="00831C3C">
              <w:rPr>
                <w:rFonts w:ascii="宋体" w:eastAsia="宋体" w:hAnsi="宋体" w:cs="宋体"/>
                <w:sz w:val="18"/>
                <w:szCs w:val="18"/>
              </w:rPr>
              <w:t>供应链股份有限公司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49.00%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-6,644,512.66</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57,658,527.83</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新疆棉花交易市场有限责任公司</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29.60%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1,125,013.85</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21,444,986.30</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阿克苏银星物流有限公司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59.20%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8,240,437.95</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10,132,400.00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71,585,842.33</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越南隆安英鸿投资股份有限公司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-562,911.72</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19,028,639.54</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6,225,249.07</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10,132,400.00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283,873,981.46</w:t>
            </w:r>
          </w:p>
        </w:tc>
      </w:tr>
    </w:tbl>
    <w:p w:rsidR="00C65FD5" w:rsidRPr="00831C3C" w:rsidRDefault="00C65FD5" w:rsidP="00BE6F3B">
      <w:pPr>
        <w:spacing w:before="100" w:after="100" w:line="240" w:lineRule="exact"/>
        <w:rPr>
          <w:rFonts w:ascii="宋体" w:eastAsia="宋体" w:hAnsi="宋体" w:cs="宋体"/>
          <w:sz w:val="18"/>
          <w:szCs w:val="18"/>
        </w:rPr>
      </w:pPr>
      <w:r w:rsidRPr="00831C3C">
        <w:rPr>
          <w:rFonts w:ascii="宋体" w:eastAsia="宋体" w:hAnsi="宋体" w:cs="宋体"/>
          <w:sz w:val="18"/>
          <w:szCs w:val="18"/>
        </w:rPr>
        <w:t>子公司少数股东的持股比例不同于表决权比例的说明：</w:t>
      </w:r>
      <w:r w:rsidRPr="00831C3C">
        <w:rPr>
          <w:rFonts w:hint="eastAsia"/>
          <w:sz w:val="18"/>
          <w:szCs w:val="18"/>
        </w:rPr>
        <w:t>无。</w:t>
      </w:r>
    </w:p>
    <w:p w:rsidR="00BE6F3B" w:rsidRPr="00831C3C" w:rsidRDefault="00BE6F3B" w:rsidP="00BE6F3B">
      <w:pPr>
        <w:spacing w:before="100" w:after="100" w:line="240" w:lineRule="exact"/>
        <w:rPr>
          <w:rFonts w:ascii="宋体" w:eastAsia="宋体" w:hAnsi="宋体" w:cs="宋体"/>
          <w:sz w:val="18"/>
          <w:szCs w:val="18"/>
        </w:rPr>
      </w:pPr>
    </w:p>
    <w:p w:rsidR="00C65FD5" w:rsidRPr="00831C3C" w:rsidRDefault="00C65FD5" w:rsidP="00BE6F3B">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r w:rsidRPr="00831C3C">
        <w:rPr>
          <w:rFonts w:hint="eastAsia"/>
          <w:sz w:val="18"/>
          <w:szCs w:val="18"/>
        </w:rPr>
        <w:t>无。</w:t>
      </w:r>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497" w:name="_Toc989378"/>
      <w:r w:rsidRPr="00831C3C">
        <w:rPr>
          <w:rFonts w:ascii="宋体" w:eastAsia="宋体" w:hAnsi="宋体" w:cs="宋体"/>
          <w:b/>
          <w:bCs/>
          <w:sz w:val="18"/>
          <w:szCs w:val="18"/>
        </w:rPr>
        <w:t>（3）重要非全资子公司的主要财务信息</w:t>
      </w:r>
      <w:bookmarkEnd w:id="497"/>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741"/>
        <w:gridCol w:w="741"/>
        <w:gridCol w:w="741"/>
        <w:gridCol w:w="741"/>
        <w:gridCol w:w="741"/>
        <w:gridCol w:w="741"/>
        <w:gridCol w:w="744"/>
        <w:gridCol w:w="741"/>
        <w:gridCol w:w="741"/>
        <w:gridCol w:w="741"/>
        <w:gridCol w:w="741"/>
        <w:gridCol w:w="741"/>
        <w:gridCol w:w="744"/>
      </w:tblGrid>
      <w:tr w:rsidR="00831C3C" w:rsidRPr="00831C3C">
        <w:trPr>
          <w:trHeight w:val="240"/>
        </w:trPr>
        <w:tc>
          <w:tcPr>
            <w:tcW w:w="74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子公司名称</w:t>
            </w:r>
          </w:p>
        </w:tc>
        <w:tc>
          <w:tcPr>
            <w:tcW w:w="4449"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4449" w:type="dxa"/>
            <w:gridSpan w:val="6"/>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r>
      <w:tr w:rsidR="00831C3C" w:rsidRPr="00831C3C">
        <w:trPr>
          <w:trHeight w:val="240"/>
        </w:trPr>
        <w:tc>
          <w:tcPr>
            <w:tcW w:w="74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流动资产</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非流动资产</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资产合计</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流动负债</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非流动负债</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负债合计</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流动资产</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非流动资产</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资产合计</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流动负债</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非流动负债</w:t>
            </w:r>
          </w:p>
        </w:tc>
        <w:tc>
          <w:tcPr>
            <w:tcW w:w="74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负债合计</w:t>
            </w: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浙江阿大互联科技有限公司</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581,157,883.14</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246,495,156.90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827,653,040.04</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274,662,063.26</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6,410,284.16</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281,072,347.42</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552,295,039.16</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246,463,417.32</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798,758,456.48</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256,790,788.22</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6,649,651.90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263,440,440.12</w:t>
            </w: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新疆天孚</w:t>
            </w:r>
            <w:r w:rsidRPr="00831C3C">
              <w:rPr>
                <w:rFonts w:ascii="宋体" w:eastAsia="宋体" w:hAnsi="宋体" w:cs="宋体"/>
                <w:sz w:val="18"/>
                <w:szCs w:val="18"/>
              </w:rPr>
              <w:lastRenderedPageBreak/>
              <w:t>棉花</w:t>
            </w:r>
            <w:proofErr w:type="gramEnd"/>
            <w:r w:rsidRPr="00831C3C">
              <w:rPr>
                <w:rFonts w:ascii="宋体" w:eastAsia="宋体" w:hAnsi="宋体" w:cs="宋体"/>
                <w:sz w:val="18"/>
                <w:szCs w:val="18"/>
              </w:rPr>
              <w:t>供应链股份有限公司</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lastRenderedPageBreak/>
              <w:t>48,384,422</w:t>
            </w:r>
            <w:r w:rsidRPr="00831C3C">
              <w:rPr>
                <w:rFonts w:ascii="宋体" w:eastAsia="宋体" w:hAnsi="宋体" w:cs="宋体"/>
                <w:sz w:val="18"/>
                <w:szCs w:val="18"/>
              </w:rPr>
              <w:lastRenderedPageBreak/>
              <w:t>.07</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lastRenderedPageBreak/>
              <w:t>126,275,60</w:t>
            </w:r>
            <w:r w:rsidRPr="00831C3C">
              <w:rPr>
                <w:rFonts w:ascii="宋体" w:eastAsia="宋体" w:hAnsi="宋体" w:cs="宋体"/>
                <w:sz w:val="18"/>
                <w:szCs w:val="18"/>
              </w:rPr>
              <w:lastRenderedPageBreak/>
              <w:t>8.38</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lastRenderedPageBreak/>
              <w:t>174,660,03</w:t>
            </w:r>
            <w:r w:rsidRPr="00831C3C">
              <w:rPr>
                <w:rFonts w:ascii="宋体" w:eastAsia="宋体" w:hAnsi="宋体" w:cs="宋体"/>
                <w:sz w:val="18"/>
                <w:szCs w:val="18"/>
              </w:rPr>
              <w:lastRenderedPageBreak/>
              <w:t>0.45</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lastRenderedPageBreak/>
              <w:t>56,989,565</w:t>
            </w:r>
            <w:r w:rsidRPr="00831C3C">
              <w:rPr>
                <w:rFonts w:ascii="宋体" w:eastAsia="宋体" w:hAnsi="宋体" w:cs="宋体"/>
                <w:sz w:val="18"/>
                <w:szCs w:val="18"/>
              </w:rPr>
              <w:lastRenderedPageBreak/>
              <w:t>.46</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56,989,565</w:t>
            </w:r>
            <w:r w:rsidRPr="00831C3C">
              <w:rPr>
                <w:rFonts w:ascii="宋体" w:eastAsia="宋体" w:hAnsi="宋体" w:cs="宋体"/>
                <w:sz w:val="18"/>
                <w:szCs w:val="18"/>
              </w:rPr>
              <w:lastRenderedPageBreak/>
              <w:t>.46</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lastRenderedPageBreak/>
              <w:t>130,172,35</w:t>
            </w:r>
            <w:r w:rsidRPr="00831C3C">
              <w:rPr>
                <w:rFonts w:ascii="宋体" w:eastAsia="宋体" w:hAnsi="宋体" w:cs="宋体"/>
                <w:sz w:val="18"/>
                <w:szCs w:val="18"/>
              </w:rPr>
              <w:lastRenderedPageBreak/>
              <w:t>8.30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lastRenderedPageBreak/>
              <w:t>281,338,16</w:t>
            </w:r>
            <w:r w:rsidRPr="00831C3C">
              <w:rPr>
                <w:rFonts w:ascii="宋体" w:eastAsia="宋体" w:hAnsi="宋体" w:cs="宋体"/>
                <w:sz w:val="18"/>
                <w:szCs w:val="18"/>
              </w:rPr>
              <w:lastRenderedPageBreak/>
              <w:t>9.39</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lastRenderedPageBreak/>
              <w:t>411,510,52</w:t>
            </w:r>
            <w:r w:rsidRPr="00831C3C">
              <w:rPr>
                <w:rFonts w:ascii="宋体" w:eastAsia="宋体" w:hAnsi="宋体" w:cs="宋体"/>
                <w:sz w:val="18"/>
                <w:szCs w:val="18"/>
              </w:rPr>
              <w:lastRenderedPageBreak/>
              <w:t>7.69</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lastRenderedPageBreak/>
              <w:t>280,279,83</w:t>
            </w:r>
            <w:r w:rsidRPr="00831C3C">
              <w:rPr>
                <w:rFonts w:ascii="宋体" w:eastAsia="宋体" w:hAnsi="宋体" w:cs="宋体"/>
                <w:sz w:val="18"/>
                <w:szCs w:val="18"/>
              </w:rPr>
              <w:lastRenderedPageBreak/>
              <w:t>2.79</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280,279,83</w:t>
            </w:r>
            <w:r w:rsidRPr="00831C3C">
              <w:rPr>
                <w:rFonts w:ascii="宋体" w:eastAsia="宋体" w:hAnsi="宋体" w:cs="宋体"/>
                <w:sz w:val="18"/>
                <w:szCs w:val="18"/>
              </w:rPr>
              <w:lastRenderedPageBreak/>
              <w:t>2.79</w:t>
            </w: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lastRenderedPageBreak/>
              <w:t>新疆棉花交易市场有限责任公司</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282,018,228.05</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5,905,859.01</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287,924,087.06</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213,720,881.74</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213,720,881.74</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264,668,726.60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6,438,863.73</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271,107,590.33</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200,705,107.46</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200,705,107.46</w:t>
            </w: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阿克苏银星物流有限公司</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56,622,904.13</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79,856,481.40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136,479,385.53</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13,587,261.85</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13,587,261.85</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61,592,716.82</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79,567,302.68</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141,160,019.50</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15,072,030.52</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15,072,030.52</w:t>
            </w:r>
          </w:p>
        </w:tc>
      </w:tr>
      <w:tr w:rsidR="00831C3C" w:rsidRPr="00831C3C">
        <w:trPr>
          <w:trHeight w:val="240"/>
        </w:trPr>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越南隆安英鸿投资股份有限公司</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187,634,665.04</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134,319,827.44</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321,954,492.48</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222,498,546.63</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222,498,546.63</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199,123,715.76</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157,379,060.16</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356,502,775.92</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250,219,974.37</w:t>
            </w: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74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250,219,974.37</w:t>
            </w:r>
          </w:p>
        </w:tc>
      </w:tr>
    </w:tbl>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071"/>
        <w:gridCol w:w="1071"/>
        <w:gridCol w:w="1071"/>
        <w:gridCol w:w="1071"/>
        <w:gridCol w:w="1071"/>
        <w:gridCol w:w="1071"/>
        <w:gridCol w:w="1071"/>
        <w:gridCol w:w="1071"/>
        <w:gridCol w:w="1071"/>
      </w:tblGrid>
      <w:tr w:rsidR="00831C3C" w:rsidRPr="00831C3C">
        <w:trPr>
          <w:trHeight w:val="240"/>
        </w:trPr>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子公司名称</w:t>
            </w:r>
          </w:p>
        </w:tc>
        <w:tc>
          <w:tcPr>
            <w:tcW w:w="4284"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本期发生额</w:t>
            </w:r>
          </w:p>
        </w:tc>
        <w:tc>
          <w:tcPr>
            <w:tcW w:w="4284"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上期发生额</w:t>
            </w:r>
          </w:p>
        </w:tc>
      </w:tr>
      <w:tr w:rsidR="00831C3C" w:rsidRPr="00831C3C">
        <w:trPr>
          <w:trHeight w:val="240"/>
        </w:trPr>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营业收入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净利润</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综合收益总额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经营活动现金流量</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营业收入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净利润</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综合收益总额</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经营活动现金流量</w:t>
            </w: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浙江阿大互联科技有限公司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358,002,201.02</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11,666,793.56</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11,666,793.56</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-4,615,593.50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534,098,986.91</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-8,058,799.03</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-8,058,799.03</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79,535,371.68</w:t>
            </w: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新疆天孚棉花</w:t>
            </w:r>
            <w:proofErr w:type="gramEnd"/>
            <w:r w:rsidRPr="00831C3C">
              <w:rPr>
                <w:rFonts w:ascii="宋体" w:eastAsia="宋体" w:hAnsi="宋体" w:cs="宋体"/>
                <w:sz w:val="18"/>
                <w:szCs w:val="18"/>
              </w:rPr>
              <w:t>供应链股份有限公司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19,851,034.70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-13,560,229.91</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-13,560,229.91</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-39,051,947.62</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67,401,803.39</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203,138,787.61</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203,138,787.61</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218,374,704.94</w:t>
            </w: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新疆棉花交易市场有限责任公司</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1,450,093,737.80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3,800,722.45</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3,800,722.45</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45,053,214.74</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3,302,270,964.31</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-2,532,130.15</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-2,532,130.15</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12,847,356.18</w:t>
            </w: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阿克苏银星物流有限公司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37,121,611.05</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13,919,658.70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13,919,658.70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298,051.56</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31,304,410.38</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8,951,765.48</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8,951,765.48</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14,294,401.71</w:t>
            </w: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越南隆安英鸿投资股份有限公司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24,841,228.58</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-5,629,117.20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-5,629,117.20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-1,368,667.37</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165,295,867.50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21,880,866.36</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21,880,866.36</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-17,005,733.89</w:t>
            </w:r>
          </w:p>
        </w:tc>
      </w:tr>
    </w:tbl>
    <w:p w:rsidR="00C65FD5" w:rsidRPr="00831C3C" w:rsidRDefault="00C65FD5" w:rsidP="00BE6F3B">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r w:rsidRPr="00831C3C">
        <w:rPr>
          <w:rFonts w:hint="eastAsia"/>
          <w:sz w:val="18"/>
          <w:szCs w:val="18"/>
        </w:rPr>
        <w:t>无。</w:t>
      </w:r>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498" w:name="_Toc989379"/>
      <w:r w:rsidRPr="00831C3C">
        <w:rPr>
          <w:rFonts w:ascii="宋体" w:eastAsia="宋体" w:hAnsi="宋体" w:cs="宋体"/>
          <w:b/>
          <w:bCs/>
          <w:sz w:val="18"/>
          <w:szCs w:val="18"/>
        </w:rPr>
        <w:t>（4）使用企业集团资产和清偿企业集团债务的重大限制</w:t>
      </w:r>
      <w:bookmarkEnd w:id="498"/>
    </w:p>
    <w:p w:rsidR="00C65FD5" w:rsidRPr="00831C3C" w:rsidRDefault="00C65FD5">
      <w:pPr>
        <w:pStyle w:val="a3"/>
        <w:divId w:val="80806440"/>
        <w:rPr>
          <w:sz w:val="18"/>
          <w:szCs w:val="18"/>
        </w:rPr>
      </w:pPr>
      <w:r w:rsidRPr="00831C3C">
        <w:rPr>
          <w:rFonts w:hint="eastAsia"/>
          <w:sz w:val="18"/>
          <w:szCs w:val="18"/>
        </w:rPr>
        <w:t>无。</w:t>
      </w:r>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499" w:name="_Toc989380"/>
      <w:r w:rsidRPr="00831C3C">
        <w:rPr>
          <w:rFonts w:ascii="宋体" w:eastAsia="宋体" w:hAnsi="宋体" w:cs="宋体"/>
          <w:b/>
          <w:bCs/>
          <w:sz w:val="18"/>
          <w:szCs w:val="18"/>
        </w:rPr>
        <w:lastRenderedPageBreak/>
        <w:t>（5）向纳入合并财务报表范围的结构化主体提供的财务支持或其他支持</w:t>
      </w:r>
      <w:bookmarkEnd w:id="499"/>
    </w:p>
    <w:p w:rsidR="00C65FD5" w:rsidRPr="00831C3C" w:rsidRDefault="00C65FD5" w:rsidP="00BE6F3B">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r w:rsidRPr="00831C3C">
        <w:rPr>
          <w:rFonts w:hint="eastAsia"/>
          <w:sz w:val="18"/>
          <w:szCs w:val="18"/>
        </w:rPr>
        <w:t>无。</w:t>
      </w:r>
    </w:p>
    <w:p w:rsidR="00E23A97" w:rsidRPr="00831C3C" w:rsidRDefault="00C65FD5">
      <w:pPr>
        <w:pStyle w:val="3"/>
        <w:spacing w:line="280" w:lineRule="exact"/>
        <w:jc w:val="left"/>
        <w:rPr>
          <w:rFonts w:ascii="宋体" w:hAnsi="宋体" w:cs="宋体"/>
          <w:b/>
          <w:bCs/>
        </w:rPr>
      </w:pPr>
      <w:bookmarkStart w:id="500" w:name="_Toc989381"/>
      <w:r w:rsidRPr="00831C3C">
        <w:rPr>
          <w:rFonts w:ascii="宋体" w:hAnsi="宋体" w:cs="宋体"/>
          <w:b/>
          <w:bCs/>
        </w:rPr>
        <w:t>2、在子公司的所有者权益份额发生变化且仍控制子公司的交易</w:t>
      </w:r>
      <w:bookmarkEnd w:id="500"/>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501" w:name="_Toc989382"/>
      <w:r w:rsidRPr="00831C3C">
        <w:rPr>
          <w:rFonts w:ascii="宋体" w:eastAsia="宋体" w:hAnsi="宋体" w:cs="宋体"/>
          <w:b/>
          <w:bCs/>
          <w:sz w:val="18"/>
          <w:szCs w:val="18"/>
        </w:rPr>
        <w:t>（1）在子公司所有者权益份额发生变化的情况说明</w:t>
      </w:r>
      <w:bookmarkEnd w:id="501"/>
    </w:p>
    <w:p w:rsidR="00C65FD5" w:rsidRPr="00831C3C" w:rsidRDefault="00C65FD5">
      <w:pPr>
        <w:pStyle w:val="a3"/>
        <w:divId w:val="348067000"/>
        <w:rPr>
          <w:sz w:val="18"/>
          <w:szCs w:val="18"/>
        </w:rPr>
      </w:pPr>
      <w:r w:rsidRPr="00831C3C">
        <w:rPr>
          <w:rFonts w:hint="eastAsia"/>
          <w:sz w:val="18"/>
          <w:szCs w:val="18"/>
        </w:rPr>
        <w:t>无。</w:t>
      </w:r>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502" w:name="_Toc989383"/>
      <w:r w:rsidRPr="00831C3C">
        <w:rPr>
          <w:rFonts w:ascii="宋体" w:eastAsia="宋体" w:hAnsi="宋体" w:cs="宋体"/>
          <w:b/>
          <w:bCs/>
          <w:sz w:val="18"/>
          <w:szCs w:val="18"/>
        </w:rPr>
        <w:t>（2）交易对于少数股东权益及归属于母公司所有者权益的影响</w:t>
      </w:r>
      <w:bookmarkEnd w:id="502"/>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4820"/>
        <w:gridCol w:w="4819"/>
      </w:tblGrid>
      <w:tr w:rsidR="00831C3C" w:rsidRPr="00831C3C" w:rsidTr="00BE6F3B">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481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center"/>
              <w:rPr>
                <w:rFonts w:ascii="宋体" w:eastAsia="宋体" w:hAnsi="宋体" w:cs="宋体"/>
                <w:sz w:val="18"/>
                <w:szCs w:val="18"/>
              </w:rPr>
            </w:pPr>
          </w:p>
        </w:tc>
      </w:tr>
      <w:tr w:rsidR="00831C3C" w:rsidRPr="00831C3C" w:rsidTr="00BE6F3B">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购买成本/处置对价</w:t>
            </w:r>
          </w:p>
        </w:tc>
        <w:tc>
          <w:tcPr>
            <w:tcW w:w="481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rsidTr="00BE6F3B">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--现金</w:t>
            </w:r>
          </w:p>
        </w:tc>
        <w:tc>
          <w:tcPr>
            <w:tcW w:w="481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rsidTr="00BE6F3B">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--非现金资产的公允价值</w:t>
            </w:r>
          </w:p>
        </w:tc>
        <w:tc>
          <w:tcPr>
            <w:tcW w:w="481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rsidTr="00BE6F3B">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购买成本/处置对价合计</w:t>
            </w:r>
          </w:p>
        </w:tc>
        <w:tc>
          <w:tcPr>
            <w:tcW w:w="481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rsidTr="00BE6F3B">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减：按取得/处置的股权比例计算的子公司净资产份额</w:t>
            </w:r>
          </w:p>
        </w:tc>
        <w:tc>
          <w:tcPr>
            <w:tcW w:w="481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rsidTr="00BE6F3B">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差额</w:t>
            </w:r>
          </w:p>
        </w:tc>
        <w:tc>
          <w:tcPr>
            <w:tcW w:w="481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rsidTr="00BE6F3B">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其中：调整资本公积</w:t>
            </w:r>
          </w:p>
        </w:tc>
        <w:tc>
          <w:tcPr>
            <w:tcW w:w="481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rsidTr="00BE6F3B">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300" w:firstLine="540"/>
              <w:rPr>
                <w:rFonts w:ascii="宋体" w:eastAsia="宋体" w:hAnsi="宋体" w:cs="宋体"/>
                <w:sz w:val="18"/>
                <w:szCs w:val="18"/>
              </w:rPr>
            </w:pPr>
            <w:r w:rsidRPr="00831C3C">
              <w:rPr>
                <w:rFonts w:ascii="宋体" w:eastAsia="宋体" w:hAnsi="宋体" w:cs="宋体"/>
                <w:sz w:val="18"/>
                <w:szCs w:val="18"/>
              </w:rPr>
              <w:t>调整盈余公积</w:t>
            </w:r>
          </w:p>
        </w:tc>
        <w:tc>
          <w:tcPr>
            <w:tcW w:w="481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rsidTr="00BE6F3B">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300" w:firstLine="540"/>
              <w:rPr>
                <w:rFonts w:ascii="宋体" w:eastAsia="宋体" w:hAnsi="宋体" w:cs="宋体"/>
                <w:sz w:val="18"/>
                <w:szCs w:val="18"/>
              </w:rPr>
            </w:pPr>
            <w:r w:rsidRPr="00831C3C">
              <w:rPr>
                <w:rFonts w:ascii="宋体" w:eastAsia="宋体" w:hAnsi="宋体" w:cs="宋体"/>
                <w:sz w:val="18"/>
                <w:szCs w:val="18"/>
              </w:rPr>
              <w:t>调整未分配利润</w:t>
            </w:r>
          </w:p>
        </w:tc>
        <w:tc>
          <w:tcPr>
            <w:tcW w:w="4819"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bl>
    <w:p w:rsidR="00C65FD5" w:rsidRPr="00831C3C" w:rsidRDefault="00C65FD5" w:rsidP="00BE6F3B">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r w:rsidRPr="00831C3C">
        <w:rPr>
          <w:rFonts w:hint="eastAsia"/>
          <w:sz w:val="18"/>
          <w:szCs w:val="18"/>
        </w:rPr>
        <w:t>无。</w:t>
      </w:r>
    </w:p>
    <w:p w:rsidR="00E23A97" w:rsidRPr="00831C3C" w:rsidRDefault="00C65FD5">
      <w:pPr>
        <w:pStyle w:val="3"/>
        <w:spacing w:line="280" w:lineRule="exact"/>
        <w:jc w:val="left"/>
        <w:rPr>
          <w:rFonts w:ascii="宋体" w:hAnsi="宋体" w:cs="宋体"/>
          <w:b/>
          <w:bCs/>
        </w:rPr>
      </w:pPr>
      <w:bookmarkStart w:id="503" w:name="_Toc989384"/>
      <w:r w:rsidRPr="00831C3C">
        <w:rPr>
          <w:rFonts w:ascii="宋体" w:hAnsi="宋体" w:cs="宋体"/>
          <w:b/>
          <w:bCs/>
        </w:rPr>
        <w:t>3、在合营企业或联营企业中的权益</w:t>
      </w:r>
      <w:bookmarkEnd w:id="503"/>
    </w:p>
    <w:p w:rsidR="00E23A97" w:rsidRPr="00831C3C" w:rsidRDefault="00C65FD5">
      <w:pPr>
        <w:keepNext/>
        <w:keepLines/>
        <w:spacing w:before="300" w:after="300" w:line="280" w:lineRule="exact"/>
        <w:outlineLvl w:val="3"/>
        <w:rPr>
          <w:rFonts w:ascii="宋体" w:eastAsia="宋体" w:hAnsi="宋体" w:cs="宋体"/>
          <w:b/>
          <w:bCs/>
          <w:szCs w:val="21"/>
        </w:rPr>
      </w:pPr>
      <w:bookmarkStart w:id="504" w:name="_Toc989385"/>
      <w:r w:rsidRPr="00831C3C">
        <w:rPr>
          <w:rFonts w:ascii="宋体" w:eastAsia="宋体" w:hAnsi="宋体" w:cs="宋体"/>
          <w:b/>
          <w:bCs/>
          <w:szCs w:val="21"/>
        </w:rPr>
        <w:t>（1）重要的合营企业或联营企业</w:t>
      </w:r>
      <w:bookmarkEnd w:id="504"/>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31C3C" w:rsidRPr="00831C3C">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合营企业或联营企业名称</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主要经营地</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注册地</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业务性质</w:t>
            </w:r>
          </w:p>
        </w:tc>
        <w:tc>
          <w:tcPr>
            <w:tcW w:w="2754"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持股比例</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对合营企业或联营企业投资的会计处理方法</w:t>
            </w:r>
          </w:p>
        </w:tc>
      </w:tr>
      <w:tr w:rsidR="00831C3C" w:rsidRPr="00831C3C">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直接</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间接</w:t>
            </w:r>
          </w:p>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福田实业（集团）有限公司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境内外</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香港</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纱线生产贸易</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17.30%</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权益法核算</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江苏科孚纺织品贸易有限公司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江苏省常州市</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江苏省常州市</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批发业</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45.00%</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权益法核算</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浙江华</w:t>
            </w:r>
            <w:proofErr w:type="gramStart"/>
            <w:r w:rsidRPr="00831C3C">
              <w:rPr>
                <w:rFonts w:ascii="宋体" w:eastAsia="宋体" w:hAnsi="宋体" w:cs="宋体"/>
                <w:sz w:val="18"/>
                <w:szCs w:val="18"/>
              </w:rPr>
              <w:t>孚产业</w:t>
            </w:r>
            <w:proofErr w:type="gramEnd"/>
            <w:r w:rsidRPr="00831C3C">
              <w:rPr>
                <w:rFonts w:ascii="宋体" w:eastAsia="宋体" w:hAnsi="宋体" w:cs="宋体"/>
                <w:sz w:val="18"/>
                <w:szCs w:val="18"/>
              </w:rPr>
              <w:t>运营有限公司</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浙江省绍兴市</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浙江省绍兴市</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园区管理及供应链</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40.00%</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权益法核算</w:t>
            </w:r>
          </w:p>
        </w:tc>
      </w:tr>
    </w:tbl>
    <w:p w:rsidR="00E23A97" w:rsidRPr="00831C3C" w:rsidRDefault="00C65FD5" w:rsidP="00BE6F3B">
      <w:pPr>
        <w:spacing w:before="100" w:after="100"/>
        <w:rPr>
          <w:rFonts w:ascii="宋体" w:eastAsia="宋体" w:hAnsi="宋体" w:cs="宋体"/>
          <w:sz w:val="18"/>
          <w:szCs w:val="18"/>
        </w:rPr>
      </w:pPr>
      <w:r w:rsidRPr="00831C3C">
        <w:rPr>
          <w:rFonts w:ascii="宋体" w:eastAsia="宋体" w:hAnsi="宋体" w:cs="宋体"/>
          <w:sz w:val="18"/>
          <w:szCs w:val="18"/>
        </w:rPr>
        <w:t>在合营企业或联营企业的持股比例不同于表决权比例的说明：</w:t>
      </w:r>
    </w:p>
    <w:p w:rsidR="00C65FD5" w:rsidRPr="00831C3C" w:rsidRDefault="00C65FD5" w:rsidP="00BE6F3B">
      <w:pPr>
        <w:pStyle w:val="a3"/>
        <w:divId w:val="950939395"/>
        <w:rPr>
          <w:sz w:val="18"/>
          <w:szCs w:val="18"/>
        </w:rPr>
      </w:pPr>
      <w:r w:rsidRPr="00831C3C">
        <w:rPr>
          <w:rFonts w:hint="eastAsia"/>
          <w:sz w:val="18"/>
          <w:szCs w:val="18"/>
        </w:rPr>
        <w:t>无。</w:t>
      </w:r>
    </w:p>
    <w:p w:rsidR="00E23A97" w:rsidRPr="00831C3C" w:rsidRDefault="00C65FD5" w:rsidP="00BE6F3B">
      <w:pPr>
        <w:spacing w:before="100" w:after="100"/>
        <w:rPr>
          <w:rFonts w:ascii="宋体" w:eastAsia="宋体" w:hAnsi="宋体" w:cs="宋体"/>
          <w:sz w:val="18"/>
          <w:szCs w:val="18"/>
        </w:rPr>
      </w:pPr>
      <w:r w:rsidRPr="00831C3C">
        <w:rPr>
          <w:rFonts w:ascii="宋体" w:eastAsia="宋体" w:hAnsi="宋体" w:cs="宋体"/>
          <w:sz w:val="18"/>
          <w:szCs w:val="18"/>
        </w:rPr>
        <w:t>持有20%以下表决权但具有重大影响，或者持有20%或以上表决权但不具有重大影响的依据：</w:t>
      </w:r>
    </w:p>
    <w:p w:rsidR="00C65FD5" w:rsidRPr="00831C3C" w:rsidRDefault="00C65FD5" w:rsidP="00BE6F3B">
      <w:pPr>
        <w:pStyle w:val="a3"/>
        <w:spacing w:before="120" w:beforeAutospacing="0" w:after="120" w:afterAutospacing="0"/>
        <w:ind w:firstLine="420"/>
        <w:divId w:val="598876622"/>
        <w:rPr>
          <w:rFonts w:ascii="Times New Roman" w:hAnsi="Times New Roman" w:cs="Times New Roman"/>
          <w:sz w:val="21"/>
          <w:szCs w:val="21"/>
        </w:rPr>
      </w:pPr>
      <w:r w:rsidRPr="00831C3C">
        <w:rPr>
          <w:rFonts w:cs="Times New Roman" w:hint="eastAsia"/>
          <w:sz w:val="18"/>
          <w:szCs w:val="18"/>
        </w:rPr>
        <w:lastRenderedPageBreak/>
        <w:t>本公司子公司香港天成持有福田实业（集团）有限公司（以下简称福田实业，股票代码：</w:t>
      </w:r>
      <w:r w:rsidRPr="00831C3C">
        <w:rPr>
          <w:rFonts w:ascii="Times New Roman" w:hAnsi="Times New Roman" w:cs="Times New Roman"/>
          <w:sz w:val="18"/>
          <w:szCs w:val="18"/>
        </w:rPr>
        <w:t>HK0420</w:t>
      </w:r>
      <w:r w:rsidRPr="00831C3C">
        <w:rPr>
          <w:rFonts w:cs="Times New Roman" w:hint="eastAsia"/>
          <w:sz w:val="18"/>
          <w:szCs w:val="18"/>
        </w:rPr>
        <w:t>）</w:t>
      </w:r>
      <w:r w:rsidRPr="00831C3C">
        <w:rPr>
          <w:rFonts w:ascii="Times New Roman" w:hAnsi="Times New Roman" w:cs="Times New Roman"/>
          <w:sz w:val="18"/>
          <w:szCs w:val="18"/>
        </w:rPr>
        <w:t>17.30%</w:t>
      </w:r>
      <w:r w:rsidRPr="00831C3C">
        <w:rPr>
          <w:rFonts w:cs="Times New Roman" w:hint="eastAsia"/>
          <w:sz w:val="18"/>
          <w:szCs w:val="18"/>
        </w:rPr>
        <w:t>的股权及表决权。虽然该比例低于</w:t>
      </w:r>
      <w:r w:rsidRPr="00831C3C">
        <w:rPr>
          <w:rFonts w:ascii="Times New Roman" w:hAnsi="Times New Roman" w:cs="Times New Roman"/>
          <w:sz w:val="18"/>
          <w:szCs w:val="18"/>
        </w:rPr>
        <w:t>20%</w:t>
      </w:r>
      <w:r w:rsidRPr="00831C3C">
        <w:rPr>
          <w:rFonts w:cs="Times New Roman" w:hint="eastAsia"/>
          <w:sz w:val="18"/>
          <w:szCs w:val="18"/>
        </w:rPr>
        <w:t>，但由于本公司在福田实业董事会中派有代表并参与财务和经营政策的决策，所以本公司能够对福田实业施加重大影响。</w:t>
      </w:r>
    </w:p>
    <w:p w:rsidR="00E23A97" w:rsidRPr="00831C3C" w:rsidRDefault="00C65FD5">
      <w:pPr>
        <w:keepNext/>
        <w:keepLines/>
        <w:spacing w:before="300" w:after="300" w:line="280" w:lineRule="exact"/>
        <w:outlineLvl w:val="3"/>
        <w:rPr>
          <w:rFonts w:ascii="宋体" w:eastAsia="宋体" w:hAnsi="宋体" w:cs="宋体"/>
          <w:b/>
          <w:bCs/>
          <w:szCs w:val="21"/>
        </w:rPr>
      </w:pPr>
      <w:bookmarkStart w:id="505" w:name="_Toc989386"/>
      <w:r w:rsidRPr="00831C3C">
        <w:rPr>
          <w:rFonts w:ascii="宋体" w:eastAsia="宋体" w:hAnsi="宋体" w:cs="宋体"/>
          <w:b/>
          <w:bCs/>
          <w:szCs w:val="21"/>
        </w:rPr>
        <w:t>（2）重要合营企业的主要财务信息</w:t>
      </w:r>
      <w:bookmarkEnd w:id="505"/>
    </w:p>
    <w:p w:rsidR="00E23A97" w:rsidRPr="00831C3C" w:rsidRDefault="00C65FD5">
      <w:pPr>
        <w:keepNext/>
        <w:keepLines/>
        <w:spacing w:before="300" w:after="300" w:line="280" w:lineRule="exact"/>
        <w:outlineLvl w:val="3"/>
        <w:rPr>
          <w:rFonts w:ascii="宋体" w:eastAsia="宋体" w:hAnsi="宋体" w:cs="宋体"/>
          <w:b/>
          <w:bCs/>
          <w:szCs w:val="21"/>
        </w:rPr>
      </w:pPr>
      <w:bookmarkStart w:id="506" w:name="_Toc989387"/>
      <w:r w:rsidRPr="00831C3C">
        <w:rPr>
          <w:rFonts w:ascii="宋体" w:eastAsia="宋体" w:hAnsi="宋体" w:cs="宋体"/>
          <w:b/>
          <w:bCs/>
          <w:szCs w:val="21"/>
        </w:rPr>
        <w:t>（3）重要联营企业的主要财务信息</w:t>
      </w:r>
      <w:bookmarkEnd w:id="506"/>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31C3C" w:rsidRPr="00831C3C">
        <w:trPr>
          <w:trHeight w:val="240"/>
        </w:trPr>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期末余额/本期发生额</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期初余额/上期发生额</w:t>
            </w:r>
          </w:p>
        </w:tc>
      </w:tr>
      <w:tr w:rsidR="00831C3C" w:rsidRPr="00831C3C">
        <w:trPr>
          <w:trHeight w:val="240"/>
        </w:trPr>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center"/>
              <w:rPr>
                <w:rFonts w:ascii="宋体" w:eastAsia="宋体" w:hAnsi="宋体" w:cs="宋体"/>
                <w:sz w:val="18"/>
                <w:szCs w:val="18"/>
              </w:rPr>
            </w:pPr>
            <w:r w:rsidRPr="00831C3C">
              <w:rPr>
                <w:rFonts w:ascii="宋体" w:eastAsia="宋体" w:hAnsi="宋体" w:cs="宋体"/>
                <w:sz w:val="18"/>
                <w:szCs w:val="18"/>
              </w:rPr>
              <w:t>江苏科孚纺织品贸易有限公司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center"/>
              <w:rPr>
                <w:rFonts w:ascii="宋体" w:eastAsia="宋体" w:hAnsi="宋体" w:cs="宋体"/>
                <w:sz w:val="18"/>
                <w:szCs w:val="18"/>
              </w:rPr>
            </w:pPr>
            <w:r w:rsidRPr="00831C3C">
              <w:rPr>
                <w:rFonts w:ascii="宋体" w:eastAsia="宋体" w:hAnsi="宋体" w:cs="宋体"/>
                <w:sz w:val="18"/>
                <w:szCs w:val="18"/>
              </w:rPr>
              <w:t>浙江华尚产业运营有限公司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center"/>
              <w:rPr>
                <w:rFonts w:ascii="宋体" w:eastAsia="宋体" w:hAnsi="宋体" w:cs="宋体"/>
                <w:sz w:val="18"/>
                <w:szCs w:val="18"/>
              </w:rPr>
            </w:pPr>
            <w:r w:rsidRPr="00831C3C">
              <w:rPr>
                <w:rFonts w:ascii="宋体" w:eastAsia="宋体" w:hAnsi="宋体" w:cs="宋体"/>
                <w:sz w:val="18"/>
                <w:szCs w:val="18"/>
              </w:rPr>
              <w:t>江苏科孚纺织品贸易有限公司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center"/>
              <w:rPr>
                <w:rFonts w:ascii="宋体" w:eastAsia="宋体" w:hAnsi="宋体" w:cs="宋体"/>
                <w:sz w:val="18"/>
                <w:szCs w:val="18"/>
              </w:rPr>
            </w:pPr>
            <w:r w:rsidRPr="00831C3C">
              <w:rPr>
                <w:rFonts w:ascii="宋体" w:eastAsia="宋体" w:hAnsi="宋体" w:cs="宋体"/>
                <w:sz w:val="18"/>
                <w:szCs w:val="18"/>
              </w:rPr>
              <w:t>浙江华尚产业运营有限公司</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流动资产</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45,019,406.59</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133,203,768.77</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47,415,975.74</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100,123,998.46</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非流动资产</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33,038.38</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215,404.72</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47,197.66</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资产合计</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45,052,444.97</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133,419,173.49</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47,463,173.40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100,123,998.46</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流动负债</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36,637,303.56</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2,416,713.87</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136,622.31</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非流动负债</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负债合计</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36,637,303.56</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2,416,713.87</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136,622.31</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少数股东权益</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归属于母公司股东权益</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45,052,444.97</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96,781,869.93</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45,046,459.53</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99,987,376.15</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按持股比例计算的净资产份额</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31,190,150.47</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38,712,747.97</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31,176,654.64</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39,994,950.46</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调整事项</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--商誉</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--内部交易未实现利润</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--其他</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对联营企业权益投资的账面价值</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45,046,641.47</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38,588,747.98</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45,040,232.91</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39,994,950.46</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存在公开报价的联营企业权益投资的公允价值</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营业收入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189,293,144.07</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83,090,212.75</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241,679,258.52</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117,618.45</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净利润</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9,256.81</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-3,515,506.21</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7,634.74</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-102.16</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终止经营的净利润</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其他综合收益</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综合收益总额</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本年度收到的来自联营企业的股利</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p>
    <w:p w:rsidR="00C65FD5" w:rsidRPr="00831C3C" w:rsidRDefault="00C65FD5" w:rsidP="00BE6F3B">
      <w:pPr>
        <w:spacing w:before="100" w:after="100" w:line="240" w:lineRule="exact"/>
        <w:divId w:val="2104911602"/>
        <w:rPr>
          <w:rFonts w:ascii="宋体" w:eastAsia="宋体" w:hAnsi="宋体" w:cs="宋体"/>
          <w:sz w:val="18"/>
          <w:szCs w:val="18"/>
        </w:rPr>
      </w:pPr>
      <w:r w:rsidRPr="00831C3C">
        <w:rPr>
          <w:rFonts w:ascii="宋体" w:eastAsia="宋体" w:hAnsi="宋体" w:cs="宋体" w:hint="eastAsia"/>
          <w:sz w:val="18"/>
          <w:szCs w:val="18"/>
        </w:rPr>
        <w:t>联营企业福田实业</w:t>
      </w:r>
      <w:r w:rsidRPr="00831C3C">
        <w:rPr>
          <w:rFonts w:ascii="宋体" w:eastAsia="宋体" w:hAnsi="宋体" w:cs="宋体"/>
          <w:sz w:val="18"/>
          <w:szCs w:val="18"/>
        </w:rPr>
        <w:t>(</w:t>
      </w:r>
      <w:r w:rsidRPr="00831C3C">
        <w:rPr>
          <w:rFonts w:ascii="宋体" w:eastAsia="宋体" w:hAnsi="宋体" w:cs="宋体" w:hint="eastAsia"/>
          <w:sz w:val="18"/>
          <w:szCs w:val="18"/>
        </w:rPr>
        <w:t>集团</w:t>
      </w:r>
      <w:r w:rsidRPr="00831C3C">
        <w:rPr>
          <w:rFonts w:ascii="宋体" w:eastAsia="宋体" w:hAnsi="宋体" w:cs="宋体"/>
          <w:sz w:val="18"/>
          <w:szCs w:val="18"/>
        </w:rPr>
        <w:t>)</w:t>
      </w:r>
      <w:r w:rsidRPr="00831C3C">
        <w:rPr>
          <w:rFonts w:ascii="宋体" w:eastAsia="宋体" w:hAnsi="宋体" w:cs="宋体" w:hint="eastAsia"/>
          <w:sz w:val="18"/>
          <w:szCs w:val="18"/>
        </w:rPr>
        <w:t>有限公司（代码：</w:t>
      </w:r>
      <w:r w:rsidRPr="00831C3C">
        <w:rPr>
          <w:rFonts w:ascii="宋体" w:eastAsia="宋体" w:hAnsi="宋体" w:cs="宋体"/>
          <w:sz w:val="18"/>
          <w:szCs w:val="18"/>
        </w:rPr>
        <w:t>HK0420</w:t>
      </w:r>
      <w:r w:rsidRPr="00831C3C">
        <w:rPr>
          <w:rFonts w:ascii="宋体" w:eastAsia="宋体" w:hAnsi="宋体" w:cs="宋体" w:hint="eastAsia"/>
          <w:sz w:val="18"/>
          <w:szCs w:val="18"/>
        </w:rPr>
        <w:t>）主要财务信息详见香港披露易：</w:t>
      </w:r>
    </w:p>
    <w:p w:rsidR="00C65FD5" w:rsidRPr="00831C3C" w:rsidRDefault="00C65FD5" w:rsidP="00BE6F3B">
      <w:pPr>
        <w:spacing w:before="100" w:after="100" w:line="240" w:lineRule="exact"/>
        <w:divId w:val="2104911602"/>
        <w:rPr>
          <w:rFonts w:ascii="宋体" w:eastAsia="宋体" w:hAnsi="宋体" w:cs="宋体"/>
          <w:sz w:val="18"/>
          <w:szCs w:val="18"/>
        </w:rPr>
      </w:pPr>
      <w:r w:rsidRPr="00831C3C">
        <w:rPr>
          <w:rFonts w:ascii="宋体" w:eastAsia="宋体" w:hAnsi="宋体" w:cs="宋体"/>
          <w:sz w:val="18"/>
          <w:szCs w:val="18"/>
        </w:rPr>
        <w:t>https://www1.hkexnews.hk/listedco/listconews/sehk/2025/0321/2025032101538_c.pdf</w:t>
      </w:r>
    </w:p>
    <w:p w:rsidR="00E23A97" w:rsidRPr="00831C3C" w:rsidRDefault="00C65FD5">
      <w:pPr>
        <w:keepNext/>
        <w:keepLines/>
        <w:spacing w:before="300" w:after="300" w:line="280" w:lineRule="exact"/>
        <w:outlineLvl w:val="3"/>
        <w:rPr>
          <w:rFonts w:ascii="宋体" w:eastAsia="宋体" w:hAnsi="宋体" w:cs="宋体"/>
          <w:b/>
          <w:bCs/>
          <w:szCs w:val="21"/>
        </w:rPr>
      </w:pPr>
      <w:bookmarkStart w:id="507" w:name="_Toc989388"/>
      <w:r w:rsidRPr="00831C3C">
        <w:rPr>
          <w:rFonts w:ascii="宋体" w:eastAsia="宋体" w:hAnsi="宋体" w:cs="宋体"/>
          <w:b/>
          <w:bCs/>
          <w:szCs w:val="21"/>
        </w:rPr>
        <w:lastRenderedPageBreak/>
        <w:t>（4）不重要的合营企业和联营企业的汇总财务信息</w:t>
      </w:r>
      <w:bookmarkEnd w:id="507"/>
    </w:p>
    <w:p w:rsidR="00E23A97" w:rsidRPr="00831C3C" w:rsidRDefault="00C65FD5">
      <w:pPr>
        <w:keepNext/>
        <w:keepLines/>
        <w:spacing w:before="300" w:after="300" w:line="280" w:lineRule="exact"/>
        <w:outlineLvl w:val="3"/>
        <w:rPr>
          <w:rFonts w:ascii="宋体" w:eastAsia="宋体" w:hAnsi="宋体" w:cs="宋体"/>
          <w:b/>
          <w:bCs/>
          <w:szCs w:val="21"/>
        </w:rPr>
      </w:pPr>
      <w:bookmarkStart w:id="508" w:name="_Toc989389"/>
      <w:r w:rsidRPr="00831C3C">
        <w:rPr>
          <w:rFonts w:ascii="宋体" w:eastAsia="宋体" w:hAnsi="宋体" w:cs="宋体"/>
          <w:b/>
          <w:bCs/>
          <w:szCs w:val="21"/>
        </w:rPr>
        <w:t>（5）合营企业或联营企业向本公司转移资金的能力存在重大限制的说明</w:t>
      </w:r>
      <w:bookmarkEnd w:id="508"/>
    </w:p>
    <w:p w:rsidR="00E23A97" w:rsidRPr="00831C3C" w:rsidRDefault="00C65FD5">
      <w:pPr>
        <w:keepNext/>
        <w:keepLines/>
        <w:spacing w:before="300" w:after="300" w:line="280" w:lineRule="exact"/>
        <w:outlineLvl w:val="3"/>
        <w:rPr>
          <w:rFonts w:ascii="宋体" w:eastAsia="宋体" w:hAnsi="宋体" w:cs="宋体"/>
          <w:b/>
          <w:bCs/>
          <w:szCs w:val="21"/>
        </w:rPr>
      </w:pPr>
      <w:bookmarkStart w:id="509" w:name="_Toc989390"/>
      <w:r w:rsidRPr="00831C3C">
        <w:rPr>
          <w:rFonts w:ascii="宋体" w:eastAsia="宋体" w:hAnsi="宋体" w:cs="宋体"/>
          <w:b/>
          <w:bCs/>
          <w:szCs w:val="21"/>
        </w:rPr>
        <w:t>（6）合营企业或联营企业发生的超额亏损</w:t>
      </w:r>
      <w:bookmarkEnd w:id="509"/>
    </w:p>
    <w:p w:rsidR="00E23A97" w:rsidRPr="00831C3C" w:rsidRDefault="00C65FD5">
      <w:pPr>
        <w:keepNext/>
        <w:keepLines/>
        <w:spacing w:before="300" w:after="300" w:line="280" w:lineRule="exact"/>
        <w:outlineLvl w:val="3"/>
        <w:rPr>
          <w:rFonts w:ascii="宋体" w:eastAsia="宋体" w:hAnsi="宋体" w:cs="宋体"/>
          <w:b/>
          <w:bCs/>
          <w:szCs w:val="21"/>
        </w:rPr>
      </w:pPr>
      <w:bookmarkStart w:id="510" w:name="_Toc989391"/>
      <w:r w:rsidRPr="00831C3C">
        <w:rPr>
          <w:rFonts w:ascii="宋体" w:eastAsia="宋体" w:hAnsi="宋体" w:cs="宋体"/>
          <w:b/>
          <w:bCs/>
          <w:szCs w:val="21"/>
        </w:rPr>
        <w:t>（7）与合营企业投资相关的未确认承诺</w:t>
      </w:r>
      <w:bookmarkEnd w:id="510"/>
    </w:p>
    <w:p w:rsidR="00E23A97" w:rsidRPr="00831C3C" w:rsidRDefault="00C65FD5">
      <w:pPr>
        <w:keepNext/>
        <w:keepLines/>
        <w:spacing w:before="300" w:after="300" w:line="280" w:lineRule="exact"/>
        <w:outlineLvl w:val="3"/>
        <w:rPr>
          <w:rFonts w:ascii="宋体" w:eastAsia="宋体" w:hAnsi="宋体" w:cs="宋体"/>
          <w:b/>
          <w:bCs/>
          <w:szCs w:val="21"/>
        </w:rPr>
      </w:pPr>
      <w:bookmarkStart w:id="511" w:name="_Toc989392"/>
      <w:r w:rsidRPr="00831C3C">
        <w:rPr>
          <w:rFonts w:ascii="宋体" w:eastAsia="宋体" w:hAnsi="宋体" w:cs="宋体"/>
          <w:b/>
          <w:bCs/>
          <w:szCs w:val="21"/>
        </w:rPr>
        <w:t>（8）与合营企业或联营企业投资相关的或有负债</w:t>
      </w:r>
      <w:bookmarkEnd w:id="511"/>
    </w:p>
    <w:p w:rsidR="00E23A97" w:rsidRPr="00831C3C" w:rsidRDefault="00C65FD5" w:rsidP="00BE6F3B">
      <w:pPr>
        <w:pStyle w:val="3"/>
        <w:spacing w:line="280" w:lineRule="exact"/>
        <w:jc w:val="left"/>
        <w:rPr>
          <w:rFonts w:ascii="宋体" w:hAnsi="宋体" w:cs="宋体"/>
          <w:sz w:val="18"/>
          <w:szCs w:val="18"/>
        </w:rPr>
      </w:pPr>
      <w:bookmarkStart w:id="512" w:name="_Toc989393"/>
      <w:r w:rsidRPr="00831C3C">
        <w:rPr>
          <w:rFonts w:ascii="宋体" w:hAnsi="宋体" w:cs="宋体"/>
          <w:b/>
          <w:bCs/>
        </w:rPr>
        <w:t>4、重要的共同经营</w:t>
      </w:r>
      <w:bookmarkEnd w:id="512"/>
    </w:p>
    <w:p w:rsidR="00E23A97" w:rsidRPr="00831C3C" w:rsidRDefault="00C65FD5">
      <w:pPr>
        <w:pStyle w:val="3"/>
        <w:spacing w:line="280" w:lineRule="exact"/>
        <w:jc w:val="left"/>
        <w:rPr>
          <w:rFonts w:ascii="宋体" w:hAnsi="宋体" w:cs="宋体"/>
          <w:b/>
          <w:bCs/>
        </w:rPr>
      </w:pPr>
      <w:bookmarkStart w:id="513" w:name="_Toc989394"/>
      <w:r w:rsidRPr="00831C3C">
        <w:rPr>
          <w:rFonts w:ascii="宋体" w:hAnsi="宋体" w:cs="宋体"/>
          <w:b/>
          <w:bCs/>
        </w:rPr>
        <w:t>5、在未纳入合并财务报表范围的结构化主体中的权益</w:t>
      </w:r>
      <w:bookmarkEnd w:id="513"/>
    </w:p>
    <w:p w:rsidR="00C65FD5" w:rsidRPr="00831C3C" w:rsidRDefault="00C65FD5" w:rsidP="00BE6F3B">
      <w:pPr>
        <w:spacing w:before="100" w:after="100" w:line="240" w:lineRule="exact"/>
        <w:rPr>
          <w:rFonts w:ascii="宋体" w:eastAsia="宋体" w:hAnsi="宋体" w:cs="宋体"/>
          <w:sz w:val="18"/>
          <w:szCs w:val="18"/>
        </w:rPr>
      </w:pPr>
      <w:r w:rsidRPr="00831C3C">
        <w:rPr>
          <w:rFonts w:ascii="宋体" w:eastAsia="宋体" w:hAnsi="宋体" w:cs="宋体"/>
          <w:sz w:val="18"/>
          <w:szCs w:val="18"/>
        </w:rPr>
        <w:t>未纳入合并财务报表范围的结构化主体的相关说明：</w:t>
      </w:r>
      <w:r w:rsidRPr="00831C3C">
        <w:rPr>
          <w:rFonts w:hint="eastAsia"/>
          <w:sz w:val="18"/>
          <w:szCs w:val="18"/>
        </w:rPr>
        <w:t>无。</w:t>
      </w:r>
    </w:p>
    <w:p w:rsidR="00E23A97" w:rsidRPr="00831C3C" w:rsidRDefault="00C65FD5">
      <w:pPr>
        <w:pStyle w:val="3"/>
        <w:spacing w:line="280" w:lineRule="exact"/>
        <w:jc w:val="left"/>
        <w:rPr>
          <w:rFonts w:ascii="宋体" w:hAnsi="宋体" w:cs="宋体"/>
          <w:b/>
          <w:bCs/>
        </w:rPr>
      </w:pPr>
      <w:bookmarkStart w:id="514" w:name="_Toc989395"/>
      <w:r w:rsidRPr="00831C3C">
        <w:rPr>
          <w:rFonts w:ascii="宋体" w:hAnsi="宋体" w:cs="宋体"/>
          <w:b/>
          <w:bCs/>
        </w:rPr>
        <w:t>6、其他</w:t>
      </w:r>
      <w:bookmarkEnd w:id="514"/>
    </w:p>
    <w:p w:rsidR="00C65FD5" w:rsidRPr="00831C3C" w:rsidRDefault="00C65FD5">
      <w:pPr>
        <w:pStyle w:val="a3"/>
        <w:divId w:val="658391199"/>
        <w:rPr>
          <w:sz w:val="18"/>
          <w:szCs w:val="18"/>
        </w:rPr>
      </w:pPr>
      <w:r w:rsidRPr="00831C3C">
        <w:rPr>
          <w:rFonts w:hint="eastAsia"/>
          <w:sz w:val="18"/>
          <w:szCs w:val="18"/>
        </w:rPr>
        <w:t>无。</w:t>
      </w:r>
    </w:p>
    <w:p w:rsidR="00E23A97" w:rsidRPr="00831C3C" w:rsidRDefault="00C65FD5">
      <w:pPr>
        <w:pStyle w:val="2"/>
        <w:spacing w:before="300" w:after="300" w:line="320" w:lineRule="exact"/>
        <w:rPr>
          <w:rFonts w:ascii="宋体" w:eastAsia="宋体" w:hAnsi="宋体" w:cs="宋体"/>
          <w:b/>
          <w:bCs/>
          <w:sz w:val="24"/>
          <w:szCs w:val="24"/>
        </w:rPr>
      </w:pPr>
      <w:bookmarkStart w:id="515" w:name="_Toc989396"/>
      <w:r w:rsidRPr="00831C3C">
        <w:rPr>
          <w:rFonts w:ascii="宋体" w:eastAsia="宋体" w:hAnsi="宋体" w:cs="宋体"/>
          <w:b/>
          <w:bCs/>
          <w:sz w:val="24"/>
          <w:szCs w:val="24"/>
        </w:rPr>
        <w:t>十一、政府补助</w:t>
      </w:r>
      <w:bookmarkEnd w:id="515"/>
    </w:p>
    <w:p w:rsidR="00E23A97" w:rsidRPr="00831C3C" w:rsidRDefault="00C65FD5">
      <w:pPr>
        <w:pStyle w:val="3"/>
        <w:spacing w:line="280" w:lineRule="exact"/>
        <w:jc w:val="left"/>
        <w:rPr>
          <w:rFonts w:ascii="宋体" w:hAnsi="宋体" w:cs="宋体"/>
          <w:b/>
          <w:bCs/>
        </w:rPr>
      </w:pPr>
      <w:bookmarkStart w:id="516" w:name="_Toc989397"/>
      <w:r w:rsidRPr="00831C3C">
        <w:rPr>
          <w:rFonts w:ascii="宋体" w:hAnsi="宋体" w:cs="宋体"/>
          <w:b/>
          <w:bCs/>
        </w:rPr>
        <w:t>1、报告期末按应收金额确认的政府补助</w:t>
      </w:r>
      <w:bookmarkEnd w:id="516"/>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适用□不适用</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应收款项的期末余额：151,241,364.94元。</w:t>
      </w:r>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未能在预计时点收到预计金额的政府补助的原因</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pStyle w:val="3"/>
        <w:spacing w:line="280" w:lineRule="exact"/>
        <w:jc w:val="left"/>
        <w:rPr>
          <w:rFonts w:ascii="宋体" w:hAnsi="宋体" w:cs="宋体"/>
          <w:b/>
          <w:bCs/>
        </w:rPr>
      </w:pPr>
      <w:bookmarkStart w:id="517" w:name="_Toc989398"/>
      <w:r w:rsidRPr="00831C3C">
        <w:rPr>
          <w:rFonts w:ascii="宋体" w:hAnsi="宋体" w:cs="宋体"/>
          <w:b/>
          <w:bCs/>
        </w:rPr>
        <w:t>2、涉及政府补助的负债项目</w:t>
      </w:r>
      <w:bookmarkEnd w:id="517"/>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适用□不适用</w:t>
      </w:r>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204"/>
        <w:gridCol w:w="1205"/>
        <w:gridCol w:w="1205"/>
        <w:gridCol w:w="1205"/>
        <w:gridCol w:w="1205"/>
        <w:gridCol w:w="1205"/>
        <w:gridCol w:w="1205"/>
        <w:gridCol w:w="1205"/>
      </w:tblGrid>
      <w:tr w:rsidR="00831C3C" w:rsidRPr="00831C3C">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会计科目</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本期新增补助金额</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本期计入营业外收入金额</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本期转入其他收益金额</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本期其他变动</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与资产/收益相关</w:t>
            </w:r>
          </w:p>
        </w:tc>
      </w:tr>
      <w:tr w:rsidR="00831C3C" w:rsidRPr="00831C3C">
        <w:trPr>
          <w:trHeight w:val="240"/>
        </w:trPr>
        <w:tc>
          <w:tcPr>
            <w:tcW w:w="1205"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递延收益</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35,626,316.46</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44,640,000.00</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6,893,082.96</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73,373,233.50</w:t>
            </w:r>
          </w:p>
        </w:tc>
        <w:tc>
          <w:tcPr>
            <w:tcW w:w="1205"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与资产相关</w:t>
            </w:r>
          </w:p>
        </w:tc>
      </w:tr>
    </w:tbl>
    <w:p w:rsidR="00E23A97" w:rsidRPr="00831C3C" w:rsidRDefault="00C65FD5">
      <w:pPr>
        <w:pStyle w:val="3"/>
        <w:spacing w:line="280" w:lineRule="exact"/>
        <w:jc w:val="left"/>
        <w:rPr>
          <w:rFonts w:ascii="宋体" w:hAnsi="宋体" w:cs="宋体"/>
          <w:b/>
          <w:bCs/>
        </w:rPr>
      </w:pPr>
      <w:bookmarkStart w:id="518" w:name="_Toc989399"/>
      <w:r w:rsidRPr="00831C3C">
        <w:rPr>
          <w:rFonts w:ascii="宋体" w:hAnsi="宋体" w:cs="宋体"/>
          <w:b/>
          <w:bCs/>
        </w:rPr>
        <w:t>3、计入当期损益的政府补助</w:t>
      </w:r>
      <w:bookmarkEnd w:id="518"/>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适用□不适用</w:t>
      </w:r>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rsidTr="00BE6F3B">
        <w:trPr>
          <w:trHeight w:val="240"/>
          <w:jc w:val="center"/>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会计科目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上期发生额</w:t>
            </w:r>
          </w:p>
        </w:tc>
      </w:tr>
      <w:tr w:rsidR="00831C3C" w:rsidRPr="00831C3C" w:rsidTr="00BE6F3B">
        <w:trPr>
          <w:trHeight w:val="240"/>
          <w:jc w:val="center"/>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其他收益</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112,509,107.28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163,566,708.82</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p>
    <w:tbl>
      <w:tblPr>
        <w:tblW w:w="9612" w:type="dxa"/>
        <w:jc w:val="center"/>
        <w:tblInd w:w="-288" w:type="dxa"/>
        <w:tblCellMar>
          <w:left w:w="0" w:type="dxa"/>
          <w:right w:w="0" w:type="dxa"/>
        </w:tblCellMar>
        <w:tblLook w:val="04A0" w:firstRow="1" w:lastRow="0" w:firstColumn="1" w:lastColumn="0" w:noHBand="0" w:noVBand="1"/>
      </w:tblPr>
      <w:tblGrid>
        <w:gridCol w:w="1962"/>
        <w:gridCol w:w="1674"/>
        <w:gridCol w:w="1674"/>
        <w:gridCol w:w="1674"/>
        <w:gridCol w:w="2628"/>
      </w:tblGrid>
      <w:tr w:rsidR="00831C3C" w:rsidRPr="00831C3C" w:rsidTr="00BE6F3B">
        <w:trPr>
          <w:divId w:val="1592472477"/>
          <w:trHeight w:val="340"/>
          <w:tblHeader/>
          <w:jc w:val="center"/>
        </w:trPr>
        <w:tc>
          <w:tcPr>
            <w:tcW w:w="196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lastRenderedPageBreak/>
              <w:t>补助项目</w:t>
            </w:r>
          </w:p>
        </w:tc>
        <w:tc>
          <w:tcPr>
            <w:tcW w:w="16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会计科目</w:t>
            </w:r>
          </w:p>
        </w:tc>
        <w:tc>
          <w:tcPr>
            <w:tcW w:w="16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本期发生额</w:t>
            </w:r>
          </w:p>
        </w:tc>
        <w:tc>
          <w:tcPr>
            <w:tcW w:w="167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上期发生额</w:t>
            </w:r>
          </w:p>
        </w:tc>
        <w:tc>
          <w:tcPr>
            <w:tcW w:w="262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与资产相关</w:t>
            </w:r>
            <w:r w:rsidRPr="00831C3C">
              <w:rPr>
                <w:rFonts w:ascii="Arial Narrow" w:hAnsi="Arial Narrow" w:cs="Times New Roman"/>
                <w:sz w:val="18"/>
                <w:szCs w:val="18"/>
              </w:rPr>
              <w:t>/</w:t>
            </w:r>
          </w:p>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与收益相关</w:t>
            </w:r>
          </w:p>
        </w:tc>
      </w:tr>
      <w:tr w:rsidR="00831C3C" w:rsidRPr="00831C3C" w:rsidTr="00BE6F3B">
        <w:trPr>
          <w:divId w:val="1592472477"/>
          <w:trHeight w:val="340"/>
          <w:jc w:val="center"/>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递延收益摊销</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其他收益</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6,893,082.96</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48,888,049.35</w:t>
            </w:r>
          </w:p>
        </w:tc>
        <w:tc>
          <w:tcPr>
            <w:tcW w:w="26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与资产相关</w:t>
            </w:r>
          </w:p>
        </w:tc>
      </w:tr>
      <w:tr w:rsidR="00831C3C" w:rsidRPr="00831C3C" w:rsidTr="00BE6F3B">
        <w:trPr>
          <w:divId w:val="1592472477"/>
          <w:trHeight w:val="340"/>
          <w:jc w:val="center"/>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用棉补贴</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其他收益</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50,000,000.00</w:t>
            </w:r>
          </w:p>
        </w:tc>
        <w:tc>
          <w:tcPr>
            <w:tcW w:w="26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与收益相关</w:t>
            </w:r>
          </w:p>
        </w:tc>
      </w:tr>
      <w:tr w:rsidR="00831C3C" w:rsidRPr="00831C3C" w:rsidTr="00BE6F3B">
        <w:trPr>
          <w:divId w:val="1592472477"/>
          <w:trHeight w:val="340"/>
          <w:jc w:val="center"/>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生产停工补贴</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其他收益</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20,544,700.34</w:t>
            </w:r>
          </w:p>
        </w:tc>
        <w:tc>
          <w:tcPr>
            <w:tcW w:w="26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与收益相关</w:t>
            </w:r>
          </w:p>
        </w:tc>
      </w:tr>
      <w:tr w:rsidR="00831C3C" w:rsidRPr="00831C3C" w:rsidTr="00BE6F3B">
        <w:trPr>
          <w:divId w:val="1592472477"/>
          <w:trHeight w:val="340"/>
          <w:jc w:val="center"/>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用工补贴</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其他收益</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14,023,156.29</w:t>
            </w:r>
          </w:p>
        </w:tc>
        <w:tc>
          <w:tcPr>
            <w:tcW w:w="26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与收益相关</w:t>
            </w:r>
          </w:p>
        </w:tc>
      </w:tr>
      <w:tr w:rsidR="00831C3C" w:rsidRPr="00831C3C" w:rsidTr="00BE6F3B">
        <w:trPr>
          <w:divId w:val="1592472477"/>
          <w:trHeight w:val="340"/>
          <w:jc w:val="center"/>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社保补贴</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其他收益</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19,377,519.53</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5,738,063.65</w:t>
            </w:r>
          </w:p>
        </w:tc>
        <w:tc>
          <w:tcPr>
            <w:tcW w:w="26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与收益相关</w:t>
            </w:r>
          </w:p>
        </w:tc>
      </w:tr>
      <w:tr w:rsidR="00831C3C" w:rsidRPr="00831C3C" w:rsidTr="00BE6F3B">
        <w:trPr>
          <w:divId w:val="1592472477"/>
          <w:trHeight w:val="340"/>
          <w:jc w:val="center"/>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产业扶持政策奖励</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其他收益</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1,330,000.00</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4,325,600.00</w:t>
            </w:r>
          </w:p>
        </w:tc>
        <w:tc>
          <w:tcPr>
            <w:tcW w:w="26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与收益相关</w:t>
            </w:r>
          </w:p>
        </w:tc>
      </w:tr>
      <w:tr w:rsidR="00831C3C" w:rsidRPr="00831C3C" w:rsidTr="00BE6F3B">
        <w:trPr>
          <w:divId w:val="1592472477"/>
          <w:trHeight w:val="340"/>
          <w:jc w:val="center"/>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水费补贴</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其他收益</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1,263,821.75</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3,565,752.50</w:t>
            </w:r>
          </w:p>
        </w:tc>
        <w:tc>
          <w:tcPr>
            <w:tcW w:w="26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与收益相关</w:t>
            </w:r>
          </w:p>
        </w:tc>
      </w:tr>
      <w:tr w:rsidR="00831C3C" w:rsidRPr="00831C3C" w:rsidTr="00BE6F3B">
        <w:trPr>
          <w:divId w:val="1592472477"/>
          <w:trHeight w:val="340"/>
          <w:jc w:val="center"/>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建设补贴</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其他收益</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2,500,000.00</w:t>
            </w:r>
          </w:p>
        </w:tc>
        <w:tc>
          <w:tcPr>
            <w:tcW w:w="26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与收益相关</w:t>
            </w:r>
          </w:p>
        </w:tc>
      </w:tr>
      <w:tr w:rsidR="00831C3C" w:rsidRPr="00831C3C" w:rsidTr="00BE6F3B">
        <w:trPr>
          <w:divId w:val="1592472477"/>
          <w:trHeight w:val="340"/>
          <w:jc w:val="center"/>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科技企业孵化器奖励</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其他收益</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1,149,400.00</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2,000,000.00</w:t>
            </w:r>
          </w:p>
        </w:tc>
        <w:tc>
          <w:tcPr>
            <w:tcW w:w="26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与收益相关</w:t>
            </w:r>
          </w:p>
        </w:tc>
      </w:tr>
      <w:tr w:rsidR="00831C3C" w:rsidRPr="00831C3C" w:rsidTr="00BE6F3B">
        <w:trPr>
          <w:divId w:val="1592472477"/>
          <w:trHeight w:val="340"/>
          <w:jc w:val="center"/>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专项激励资金</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其他收益</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71,000.00</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1,710,245.00</w:t>
            </w:r>
          </w:p>
        </w:tc>
        <w:tc>
          <w:tcPr>
            <w:tcW w:w="26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与收益相关</w:t>
            </w:r>
          </w:p>
        </w:tc>
      </w:tr>
      <w:tr w:rsidR="00831C3C" w:rsidRPr="00831C3C" w:rsidTr="00BE6F3B">
        <w:trPr>
          <w:divId w:val="1592472477"/>
          <w:trHeight w:val="340"/>
          <w:jc w:val="center"/>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租金补贴</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其他收益</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1,852,445.00</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1,608,745.00</w:t>
            </w:r>
          </w:p>
        </w:tc>
        <w:tc>
          <w:tcPr>
            <w:tcW w:w="26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与收益相关</w:t>
            </w:r>
          </w:p>
        </w:tc>
      </w:tr>
      <w:tr w:rsidR="00831C3C" w:rsidRPr="00831C3C" w:rsidTr="00BE6F3B">
        <w:trPr>
          <w:divId w:val="1592472477"/>
          <w:trHeight w:val="340"/>
          <w:jc w:val="center"/>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科技创新奖励</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其他收益</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38,545,900.00</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1,486,500.00</w:t>
            </w:r>
          </w:p>
        </w:tc>
        <w:tc>
          <w:tcPr>
            <w:tcW w:w="26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与收益相关</w:t>
            </w:r>
          </w:p>
        </w:tc>
      </w:tr>
      <w:tr w:rsidR="00831C3C" w:rsidRPr="00831C3C" w:rsidTr="00BE6F3B">
        <w:trPr>
          <w:divId w:val="1592472477"/>
          <w:trHeight w:val="340"/>
          <w:jc w:val="center"/>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proofErr w:type="gramStart"/>
            <w:r w:rsidRPr="00831C3C">
              <w:rPr>
                <w:rFonts w:cs="Times New Roman" w:hint="eastAsia"/>
                <w:sz w:val="18"/>
                <w:szCs w:val="18"/>
              </w:rPr>
              <w:t>中信保补贴</w:t>
            </w:r>
            <w:proofErr w:type="gramEnd"/>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其他收益</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730,000.00</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1,038,000.00</w:t>
            </w:r>
          </w:p>
        </w:tc>
        <w:tc>
          <w:tcPr>
            <w:tcW w:w="26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与收益相关</w:t>
            </w:r>
          </w:p>
        </w:tc>
      </w:tr>
      <w:tr w:rsidR="00831C3C" w:rsidRPr="00831C3C" w:rsidTr="00BE6F3B">
        <w:trPr>
          <w:divId w:val="1592472477"/>
          <w:trHeight w:val="340"/>
          <w:jc w:val="center"/>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改造补贴</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其他收益</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255,700.00</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981,000.00</w:t>
            </w:r>
          </w:p>
        </w:tc>
        <w:tc>
          <w:tcPr>
            <w:tcW w:w="26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与收益相关</w:t>
            </w:r>
          </w:p>
        </w:tc>
      </w:tr>
      <w:tr w:rsidR="00831C3C" w:rsidRPr="00831C3C" w:rsidTr="00BE6F3B">
        <w:trPr>
          <w:divId w:val="1592472477"/>
          <w:trHeight w:val="340"/>
          <w:jc w:val="center"/>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培训补贴</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其他收益</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1,750,262.71</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980,224.29</w:t>
            </w:r>
          </w:p>
        </w:tc>
        <w:tc>
          <w:tcPr>
            <w:tcW w:w="26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与收益相关</w:t>
            </w:r>
          </w:p>
        </w:tc>
      </w:tr>
      <w:tr w:rsidR="00831C3C" w:rsidRPr="00831C3C" w:rsidTr="00BE6F3B">
        <w:trPr>
          <w:divId w:val="1592472477"/>
          <w:trHeight w:val="340"/>
          <w:jc w:val="center"/>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数字经济企业综合贡献奖励</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其他收益</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714,876.50</w:t>
            </w:r>
          </w:p>
        </w:tc>
        <w:tc>
          <w:tcPr>
            <w:tcW w:w="26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与收益相关</w:t>
            </w:r>
          </w:p>
        </w:tc>
      </w:tr>
      <w:tr w:rsidR="00831C3C" w:rsidRPr="00831C3C" w:rsidTr="00BE6F3B">
        <w:trPr>
          <w:divId w:val="1592472477"/>
          <w:trHeight w:val="340"/>
          <w:jc w:val="center"/>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高</w:t>
            </w:r>
            <w:proofErr w:type="gramStart"/>
            <w:r w:rsidRPr="00831C3C">
              <w:rPr>
                <w:rFonts w:cs="Times New Roman" w:hint="eastAsia"/>
                <w:sz w:val="18"/>
                <w:szCs w:val="18"/>
              </w:rPr>
              <w:t>企发展</w:t>
            </w:r>
            <w:proofErr w:type="gramEnd"/>
            <w:r w:rsidRPr="00831C3C">
              <w:rPr>
                <w:rFonts w:cs="Times New Roman" w:hint="eastAsia"/>
                <w:sz w:val="18"/>
                <w:szCs w:val="18"/>
              </w:rPr>
              <w:t>专项补贴</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其他收益</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600,000.00</w:t>
            </w:r>
          </w:p>
        </w:tc>
        <w:tc>
          <w:tcPr>
            <w:tcW w:w="26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与收益相关</w:t>
            </w:r>
          </w:p>
        </w:tc>
      </w:tr>
      <w:tr w:rsidR="00831C3C" w:rsidRPr="00831C3C" w:rsidTr="00BE6F3B">
        <w:trPr>
          <w:divId w:val="1592472477"/>
          <w:trHeight w:val="340"/>
          <w:jc w:val="center"/>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小</w:t>
            </w:r>
            <w:proofErr w:type="gramStart"/>
            <w:r w:rsidRPr="00831C3C">
              <w:rPr>
                <w:rFonts w:cs="Times New Roman" w:hint="eastAsia"/>
                <w:sz w:val="18"/>
                <w:szCs w:val="18"/>
              </w:rPr>
              <w:t>微企业</w:t>
            </w:r>
            <w:proofErr w:type="gramEnd"/>
            <w:r w:rsidRPr="00831C3C">
              <w:rPr>
                <w:rFonts w:cs="Times New Roman" w:hint="eastAsia"/>
                <w:sz w:val="18"/>
                <w:szCs w:val="18"/>
              </w:rPr>
              <w:t>园补贴</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其他收益</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592,500.00</w:t>
            </w:r>
          </w:p>
        </w:tc>
        <w:tc>
          <w:tcPr>
            <w:tcW w:w="26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与收益相关</w:t>
            </w:r>
          </w:p>
        </w:tc>
      </w:tr>
      <w:tr w:rsidR="00831C3C" w:rsidRPr="00831C3C" w:rsidTr="00BE6F3B">
        <w:trPr>
          <w:divId w:val="1592472477"/>
          <w:trHeight w:val="340"/>
          <w:jc w:val="center"/>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人才补贴</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其他收益</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550,000.00</w:t>
            </w:r>
          </w:p>
        </w:tc>
        <w:tc>
          <w:tcPr>
            <w:tcW w:w="26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与收益相关</w:t>
            </w:r>
          </w:p>
        </w:tc>
      </w:tr>
      <w:tr w:rsidR="00831C3C" w:rsidRPr="00831C3C" w:rsidTr="00BE6F3B">
        <w:trPr>
          <w:divId w:val="1592472477"/>
          <w:trHeight w:val="340"/>
          <w:jc w:val="center"/>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proofErr w:type="gramStart"/>
            <w:r w:rsidRPr="00831C3C">
              <w:rPr>
                <w:rFonts w:cs="Times New Roman" w:hint="eastAsia"/>
                <w:sz w:val="18"/>
                <w:szCs w:val="18"/>
              </w:rPr>
              <w:t>稳岗补贴</w:t>
            </w:r>
            <w:proofErr w:type="gramEnd"/>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其他收益</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1,458,759.27</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452,054.00</w:t>
            </w:r>
          </w:p>
        </w:tc>
        <w:tc>
          <w:tcPr>
            <w:tcW w:w="26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与收益相关</w:t>
            </w:r>
          </w:p>
        </w:tc>
      </w:tr>
      <w:tr w:rsidR="00831C3C" w:rsidRPr="00831C3C" w:rsidTr="00BE6F3B">
        <w:trPr>
          <w:divId w:val="1592472477"/>
          <w:trHeight w:val="340"/>
          <w:jc w:val="center"/>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内网改造补贴</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其他收益</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343,100.00</w:t>
            </w:r>
          </w:p>
        </w:tc>
        <w:tc>
          <w:tcPr>
            <w:tcW w:w="26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与收益相关</w:t>
            </w:r>
          </w:p>
        </w:tc>
      </w:tr>
      <w:tr w:rsidR="00831C3C" w:rsidRPr="00831C3C" w:rsidTr="00BE6F3B">
        <w:trPr>
          <w:divId w:val="1592472477"/>
          <w:trHeight w:val="340"/>
          <w:jc w:val="center"/>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科研补贴</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其他收益</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300,000.00</w:t>
            </w:r>
          </w:p>
        </w:tc>
        <w:tc>
          <w:tcPr>
            <w:tcW w:w="26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与收益相关</w:t>
            </w:r>
          </w:p>
        </w:tc>
      </w:tr>
      <w:tr w:rsidR="00831C3C" w:rsidRPr="00831C3C" w:rsidTr="00BE6F3B">
        <w:trPr>
          <w:divId w:val="1592472477"/>
          <w:trHeight w:val="340"/>
          <w:jc w:val="center"/>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重点人群补贴</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其他收益</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232,700.00</w:t>
            </w:r>
          </w:p>
        </w:tc>
        <w:tc>
          <w:tcPr>
            <w:tcW w:w="26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与收益相关</w:t>
            </w:r>
          </w:p>
        </w:tc>
      </w:tr>
      <w:tr w:rsidR="00831C3C" w:rsidRPr="00831C3C" w:rsidTr="00BE6F3B">
        <w:trPr>
          <w:divId w:val="1592472477"/>
          <w:trHeight w:val="340"/>
          <w:jc w:val="center"/>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智能化补贴</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其他收益</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212,400.00</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200,000.00</w:t>
            </w:r>
          </w:p>
        </w:tc>
        <w:tc>
          <w:tcPr>
            <w:tcW w:w="26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与收益相关</w:t>
            </w:r>
          </w:p>
        </w:tc>
      </w:tr>
      <w:tr w:rsidR="00831C3C" w:rsidRPr="00831C3C" w:rsidTr="00BE6F3B">
        <w:trPr>
          <w:divId w:val="1592472477"/>
          <w:trHeight w:val="340"/>
          <w:jc w:val="center"/>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其他</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其他收益</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399,839.76</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191,441.90</w:t>
            </w:r>
          </w:p>
        </w:tc>
        <w:tc>
          <w:tcPr>
            <w:tcW w:w="26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与收益相关</w:t>
            </w:r>
          </w:p>
        </w:tc>
      </w:tr>
      <w:tr w:rsidR="00831C3C" w:rsidRPr="00831C3C" w:rsidTr="00BE6F3B">
        <w:trPr>
          <w:divId w:val="1592472477"/>
          <w:trHeight w:val="340"/>
          <w:jc w:val="center"/>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去库存，产值小升</w:t>
            </w:r>
            <w:proofErr w:type="gramStart"/>
            <w:r w:rsidRPr="00831C3C">
              <w:rPr>
                <w:rFonts w:cs="Times New Roman" w:hint="eastAsia"/>
                <w:sz w:val="18"/>
                <w:szCs w:val="18"/>
              </w:rPr>
              <w:t>规</w:t>
            </w:r>
            <w:proofErr w:type="gramEnd"/>
            <w:r w:rsidRPr="00831C3C">
              <w:rPr>
                <w:rFonts w:cs="Times New Roman" w:hint="eastAsia"/>
                <w:sz w:val="18"/>
                <w:szCs w:val="18"/>
              </w:rPr>
              <w:t>奖励资金</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其他收益</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2,605,300.00</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p>
        </w:tc>
        <w:tc>
          <w:tcPr>
            <w:tcW w:w="26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与收益相关</w:t>
            </w:r>
          </w:p>
        </w:tc>
      </w:tr>
      <w:tr w:rsidR="00831C3C" w:rsidRPr="00831C3C" w:rsidTr="00BE6F3B">
        <w:trPr>
          <w:divId w:val="1592472477"/>
          <w:trHeight w:val="340"/>
          <w:jc w:val="center"/>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服装等产品销售和设计补贴</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其他收益</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2,445,802.40</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p>
        </w:tc>
        <w:tc>
          <w:tcPr>
            <w:tcW w:w="26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与收益相关</w:t>
            </w:r>
          </w:p>
        </w:tc>
      </w:tr>
      <w:tr w:rsidR="00831C3C" w:rsidRPr="00831C3C" w:rsidTr="00BE6F3B">
        <w:trPr>
          <w:divId w:val="1592472477"/>
          <w:trHeight w:val="340"/>
          <w:jc w:val="center"/>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制造强省专项资金</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其他收益</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500,000.00</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p>
        </w:tc>
        <w:tc>
          <w:tcPr>
            <w:tcW w:w="26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与收益相关</w:t>
            </w:r>
          </w:p>
        </w:tc>
      </w:tr>
      <w:tr w:rsidR="00831C3C" w:rsidRPr="00831C3C" w:rsidTr="00BE6F3B">
        <w:trPr>
          <w:divId w:val="1592472477"/>
          <w:trHeight w:val="340"/>
          <w:jc w:val="center"/>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高质量奖励</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其他收益</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280,000.00</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p>
        </w:tc>
        <w:tc>
          <w:tcPr>
            <w:tcW w:w="26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与收益相关</w:t>
            </w:r>
          </w:p>
        </w:tc>
      </w:tr>
      <w:tr w:rsidR="00831C3C" w:rsidRPr="00831C3C" w:rsidTr="00BE6F3B">
        <w:trPr>
          <w:divId w:val="1592472477"/>
          <w:trHeight w:val="340"/>
          <w:jc w:val="center"/>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电费补贴</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其他收益</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276,423.90</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p>
        </w:tc>
        <w:tc>
          <w:tcPr>
            <w:tcW w:w="26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与收益相关</w:t>
            </w:r>
          </w:p>
        </w:tc>
      </w:tr>
      <w:tr w:rsidR="00831C3C" w:rsidRPr="00831C3C" w:rsidTr="00BE6F3B">
        <w:trPr>
          <w:divId w:val="1592472477"/>
          <w:trHeight w:val="340"/>
          <w:jc w:val="center"/>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proofErr w:type="gramStart"/>
            <w:r w:rsidRPr="00831C3C">
              <w:rPr>
                <w:rFonts w:cs="Times New Roman" w:hint="eastAsia"/>
                <w:sz w:val="18"/>
                <w:szCs w:val="18"/>
              </w:rPr>
              <w:t>税收奖补</w:t>
            </w:r>
            <w:proofErr w:type="gramEnd"/>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其他收益</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182,350.00</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p>
        </w:tc>
        <w:tc>
          <w:tcPr>
            <w:tcW w:w="26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与收益相关</w:t>
            </w:r>
          </w:p>
        </w:tc>
      </w:tr>
      <w:tr w:rsidR="00831C3C" w:rsidRPr="00831C3C" w:rsidTr="00BE6F3B">
        <w:trPr>
          <w:divId w:val="1592472477"/>
          <w:trHeight w:val="340"/>
          <w:jc w:val="center"/>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提</w:t>
            </w:r>
            <w:proofErr w:type="gramStart"/>
            <w:r w:rsidRPr="00831C3C">
              <w:rPr>
                <w:rFonts w:cs="Times New Roman" w:hint="eastAsia"/>
                <w:sz w:val="18"/>
                <w:szCs w:val="18"/>
              </w:rPr>
              <w:t>质扩量奖补</w:t>
            </w:r>
            <w:proofErr w:type="gramEnd"/>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其他收益</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9,750,000.00</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p>
        </w:tc>
        <w:tc>
          <w:tcPr>
            <w:tcW w:w="26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与收益相关</w:t>
            </w:r>
          </w:p>
        </w:tc>
      </w:tr>
      <w:tr w:rsidR="00831C3C" w:rsidRPr="00831C3C" w:rsidTr="00BE6F3B">
        <w:trPr>
          <w:divId w:val="1592472477"/>
          <w:trHeight w:val="340"/>
          <w:jc w:val="center"/>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先进单位奖励金</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其他收益</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30,000.00</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p>
        </w:tc>
        <w:tc>
          <w:tcPr>
            <w:tcW w:w="26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与收益相关</w:t>
            </w:r>
          </w:p>
        </w:tc>
      </w:tr>
      <w:tr w:rsidR="00831C3C" w:rsidRPr="00831C3C" w:rsidTr="00BE6F3B">
        <w:trPr>
          <w:divId w:val="1592472477"/>
          <w:trHeight w:val="340"/>
          <w:jc w:val="center"/>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r w:rsidRPr="00831C3C">
              <w:rPr>
                <w:rFonts w:cs="Times New Roman" w:hint="eastAsia"/>
                <w:sz w:val="18"/>
                <w:szCs w:val="18"/>
              </w:rPr>
              <w:t>农业产业化</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其他收益</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49,100.00</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p>
        </w:tc>
        <w:tc>
          <w:tcPr>
            <w:tcW w:w="26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与收益相关</w:t>
            </w:r>
          </w:p>
        </w:tc>
      </w:tr>
      <w:tr w:rsidR="00831C3C" w:rsidRPr="00831C3C" w:rsidTr="00BE6F3B">
        <w:trPr>
          <w:divId w:val="1592472477"/>
          <w:trHeight w:val="340"/>
          <w:jc w:val="center"/>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imes New Roman" w:hAnsi="Times New Roman" w:cs="Times New Roman"/>
                <w:sz w:val="21"/>
                <w:szCs w:val="21"/>
              </w:rPr>
            </w:pPr>
            <w:proofErr w:type="gramStart"/>
            <w:r w:rsidRPr="00831C3C">
              <w:rPr>
                <w:rFonts w:cs="Times New Roman" w:hint="eastAsia"/>
                <w:sz w:val="18"/>
                <w:szCs w:val="18"/>
              </w:rPr>
              <w:t>延链自主</w:t>
            </w:r>
            <w:proofErr w:type="gramEnd"/>
            <w:r w:rsidRPr="00831C3C">
              <w:rPr>
                <w:rFonts w:cs="Times New Roman" w:hint="eastAsia"/>
                <w:sz w:val="18"/>
                <w:szCs w:val="18"/>
              </w:rPr>
              <w:t>创新补贴</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其他收益</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21,100,000.00</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p>
        </w:tc>
        <w:tc>
          <w:tcPr>
            <w:tcW w:w="26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与收益相关</w:t>
            </w:r>
          </w:p>
        </w:tc>
      </w:tr>
      <w:tr w:rsidR="00831C3C" w:rsidRPr="00831C3C" w:rsidTr="00BE6F3B">
        <w:trPr>
          <w:divId w:val="1592472477"/>
          <w:trHeight w:val="340"/>
          <w:jc w:val="center"/>
        </w:trPr>
        <w:tc>
          <w:tcPr>
            <w:tcW w:w="196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r w:rsidRPr="00831C3C">
              <w:rPr>
                <w:rFonts w:cs="Times New Roman" w:hint="eastAsia"/>
                <w:sz w:val="18"/>
                <w:szCs w:val="18"/>
              </w:rPr>
              <w:t>合计</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112,509,107.28</w:t>
            </w:r>
          </w:p>
        </w:tc>
        <w:tc>
          <w:tcPr>
            <w:tcW w:w="167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21"/>
                <w:szCs w:val="21"/>
              </w:rPr>
            </w:pPr>
            <w:r w:rsidRPr="00831C3C">
              <w:rPr>
                <w:rFonts w:asciiTheme="minorEastAsia" w:eastAsiaTheme="minorEastAsia" w:hAnsiTheme="minorEastAsia" w:cs="Times New Roman"/>
                <w:sz w:val="18"/>
                <w:szCs w:val="18"/>
              </w:rPr>
              <w:t>163,566,708.82</w:t>
            </w:r>
          </w:p>
        </w:tc>
        <w:tc>
          <w:tcPr>
            <w:tcW w:w="262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imes New Roman" w:hAnsi="Times New Roman" w:cs="Times New Roman"/>
                <w:sz w:val="21"/>
                <w:szCs w:val="21"/>
              </w:rPr>
            </w:pPr>
          </w:p>
        </w:tc>
      </w:tr>
    </w:tbl>
    <w:p w:rsidR="00C65FD5" w:rsidRPr="00831C3C" w:rsidRDefault="00C65FD5">
      <w:pPr>
        <w:divId w:val="1592472477"/>
        <w:rPr>
          <w:sz w:val="24"/>
          <w:szCs w:val="24"/>
        </w:rPr>
      </w:pPr>
    </w:p>
    <w:p w:rsidR="00E23A97" w:rsidRPr="00831C3C" w:rsidRDefault="00C65FD5">
      <w:pPr>
        <w:pStyle w:val="2"/>
        <w:spacing w:before="300" w:after="300" w:line="320" w:lineRule="exact"/>
        <w:rPr>
          <w:rFonts w:ascii="宋体" w:eastAsia="宋体" w:hAnsi="宋体" w:cs="宋体"/>
          <w:b/>
          <w:bCs/>
          <w:sz w:val="24"/>
          <w:szCs w:val="24"/>
        </w:rPr>
      </w:pPr>
      <w:bookmarkStart w:id="519" w:name="_Toc989400"/>
      <w:r w:rsidRPr="00831C3C">
        <w:rPr>
          <w:rFonts w:ascii="宋体" w:eastAsia="宋体" w:hAnsi="宋体" w:cs="宋体"/>
          <w:b/>
          <w:bCs/>
          <w:sz w:val="24"/>
          <w:szCs w:val="24"/>
        </w:rPr>
        <w:t>十二、与金融工具相关的风险</w:t>
      </w:r>
      <w:bookmarkEnd w:id="519"/>
    </w:p>
    <w:p w:rsidR="00E23A97" w:rsidRPr="00831C3C" w:rsidRDefault="00C65FD5">
      <w:pPr>
        <w:pStyle w:val="3"/>
        <w:spacing w:line="280" w:lineRule="exact"/>
        <w:jc w:val="left"/>
        <w:rPr>
          <w:rFonts w:ascii="宋体" w:hAnsi="宋体" w:cs="宋体"/>
          <w:b/>
          <w:bCs/>
        </w:rPr>
      </w:pPr>
      <w:bookmarkStart w:id="520" w:name="_Toc989401"/>
      <w:r w:rsidRPr="00831C3C">
        <w:rPr>
          <w:rFonts w:ascii="宋体" w:hAnsi="宋体" w:cs="宋体"/>
          <w:b/>
          <w:bCs/>
        </w:rPr>
        <w:t>1、金融工具产生的各类风险</w:t>
      </w:r>
      <w:bookmarkEnd w:id="520"/>
    </w:p>
    <w:p w:rsidR="00C65FD5" w:rsidRPr="00831C3C" w:rsidRDefault="00C65FD5" w:rsidP="00CC7D91">
      <w:pPr>
        <w:widowControl/>
        <w:numPr>
          <w:ilvl w:val="1"/>
          <w:numId w:val="133"/>
        </w:numPr>
        <w:tabs>
          <w:tab w:val="clear" w:pos="1440"/>
          <w:tab w:val="num" w:pos="426"/>
        </w:tabs>
        <w:spacing w:before="100" w:beforeAutospacing="1" w:after="100" w:afterAutospacing="1"/>
        <w:ind w:left="851"/>
        <w:divId w:val="1473936347"/>
        <w:rPr>
          <w:sz w:val="18"/>
          <w:szCs w:val="18"/>
        </w:rPr>
      </w:pPr>
      <w:r w:rsidRPr="00831C3C">
        <w:rPr>
          <w:rFonts w:hint="eastAsia"/>
          <w:sz w:val="18"/>
          <w:szCs w:val="18"/>
        </w:rPr>
        <w:t>．</w:t>
      </w:r>
      <w:r w:rsidRPr="00831C3C">
        <w:rPr>
          <w:rStyle w:val="a4"/>
          <w:rFonts w:hint="eastAsia"/>
          <w:sz w:val="18"/>
          <w:szCs w:val="18"/>
        </w:rPr>
        <w:t>信用风险</w:t>
      </w:r>
    </w:p>
    <w:p w:rsidR="00C65FD5" w:rsidRPr="00831C3C" w:rsidRDefault="00C65FD5" w:rsidP="00BE6F3B">
      <w:pPr>
        <w:pStyle w:val="a3"/>
        <w:spacing w:before="0" w:beforeAutospacing="0" w:after="0" w:afterAutospacing="0"/>
        <w:ind w:firstLine="420"/>
        <w:jc w:val="both"/>
        <w:divId w:val="1473936347"/>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信用风险是指交易对手未能履行合同义务而导致本公司产生财务损失的风险，管理层已制定适当的信用政策，并且不断监察信用风险的敞口。</w:t>
      </w:r>
    </w:p>
    <w:p w:rsidR="00C65FD5" w:rsidRPr="00831C3C" w:rsidRDefault="00C65FD5" w:rsidP="00BE6F3B">
      <w:pPr>
        <w:pStyle w:val="a3"/>
        <w:spacing w:before="0" w:beforeAutospacing="0" w:after="0" w:afterAutospacing="0"/>
        <w:ind w:firstLine="420"/>
        <w:jc w:val="both"/>
        <w:divId w:val="1473936347"/>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本公司已采取政策只与信用良好的交易对手进行交易。另外，本公司基于对客户的财务状况、从第三方获取担保的可能性、信用记录及其它因素诸如目前市场状况等评估客户的信用资质并设置相应信用期。本公司对应收票据、应收账款余额及收回情况进行持续监控，对于信用记录不良的客户，本公司会采用书面催款、缩短信用期或取消信用期等方式，以确保本公司不致面临重大信用损失。此外，本公司于每个资产负债表日审核金融资产的回收情况，以确保相关金融资产计提了充分的预期信用损失准备。</w:t>
      </w:r>
    </w:p>
    <w:p w:rsidR="00C65FD5" w:rsidRPr="00831C3C" w:rsidRDefault="00C65FD5" w:rsidP="00BE6F3B">
      <w:pPr>
        <w:pStyle w:val="a3"/>
        <w:spacing w:before="0" w:beforeAutospacing="0" w:after="0" w:afterAutospacing="0"/>
        <w:ind w:firstLine="420"/>
        <w:jc w:val="both"/>
        <w:divId w:val="1473936347"/>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本公司其他金融资产包括货币资金、其他应收款、债权投资等，这些金融资产的信用风险源自于交易对手违约，最大信用风险敞口为资产负债表中每项金融资产的账面金额。除附注十一、关联方及关联交易所载本公司</w:t>
      </w:r>
      <w:proofErr w:type="gramStart"/>
      <w:r w:rsidRPr="00831C3C">
        <w:rPr>
          <w:rFonts w:asciiTheme="minorEastAsia" w:eastAsiaTheme="minorEastAsia" w:hAnsiTheme="minorEastAsia" w:cs="Times New Roman" w:hint="eastAsia"/>
          <w:sz w:val="18"/>
          <w:szCs w:val="18"/>
        </w:rPr>
        <w:t>作出</w:t>
      </w:r>
      <w:proofErr w:type="gramEnd"/>
      <w:r w:rsidRPr="00831C3C">
        <w:rPr>
          <w:rFonts w:asciiTheme="minorEastAsia" w:eastAsiaTheme="minorEastAsia" w:hAnsiTheme="minorEastAsia" w:cs="Times New Roman" w:hint="eastAsia"/>
          <w:sz w:val="18"/>
          <w:szCs w:val="18"/>
        </w:rPr>
        <w:t>的财务担保外，本公司没有提供任何其他可能令本公司承受信用风险的担保。</w:t>
      </w:r>
    </w:p>
    <w:p w:rsidR="00C65FD5" w:rsidRPr="00831C3C" w:rsidRDefault="00C65FD5" w:rsidP="00BE6F3B">
      <w:pPr>
        <w:pStyle w:val="a3"/>
        <w:spacing w:before="0" w:beforeAutospacing="0" w:after="0" w:afterAutospacing="0"/>
        <w:ind w:firstLine="420"/>
        <w:jc w:val="both"/>
        <w:divId w:val="1473936347"/>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本公司持有的货币资金主要存放于国有控股银行和其他大中型商业银行等金融机构，管理层认为这些商业银行具备较高信誉和资产状况，不存在重大的信用风险，不会产生因对方单位违约而导致的任何重大损失。本公司的政策是根据各知名金融机构的市场信誉、经营规模及财务背景来控制存放当中的存款金额，以限制对任何单个金融机构的信用风险金额。</w:t>
      </w:r>
    </w:p>
    <w:p w:rsidR="00C65FD5" w:rsidRPr="00831C3C" w:rsidRDefault="00C65FD5" w:rsidP="00BE6F3B">
      <w:pPr>
        <w:pStyle w:val="a3"/>
        <w:spacing w:before="0" w:beforeAutospacing="0" w:after="0" w:afterAutospacing="0"/>
        <w:ind w:firstLine="420"/>
        <w:jc w:val="both"/>
        <w:divId w:val="1473936347"/>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作为本公司信用风险资产管理的一部分，本公司利用账龄来评估应收账款和其他应收款的减值损失。本公司的应收账款和其他应收</w:t>
      </w:r>
      <w:proofErr w:type="gramStart"/>
      <w:r w:rsidRPr="00831C3C">
        <w:rPr>
          <w:rFonts w:asciiTheme="minorEastAsia" w:eastAsiaTheme="minorEastAsia" w:hAnsiTheme="minorEastAsia" w:cs="Times New Roman" w:hint="eastAsia"/>
          <w:sz w:val="18"/>
          <w:szCs w:val="18"/>
        </w:rPr>
        <w:t>款涉及</w:t>
      </w:r>
      <w:proofErr w:type="gramEnd"/>
      <w:r w:rsidRPr="00831C3C">
        <w:rPr>
          <w:rFonts w:asciiTheme="minorEastAsia" w:eastAsiaTheme="minorEastAsia" w:hAnsiTheme="minorEastAsia" w:cs="Times New Roman" w:hint="eastAsia"/>
          <w:sz w:val="18"/>
          <w:szCs w:val="18"/>
        </w:rPr>
        <w:t>大量客户，账</w:t>
      </w:r>
      <w:proofErr w:type="gramStart"/>
      <w:r w:rsidRPr="00831C3C">
        <w:rPr>
          <w:rFonts w:asciiTheme="minorEastAsia" w:eastAsiaTheme="minorEastAsia" w:hAnsiTheme="minorEastAsia" w:cs="Times New Roman" w:hint="eastAsia"/>
          <w:sz w:val="18"/>
          <w:szCs w:val="18"/>
        </w:rPr>
        <w:t>龄信息</w:t>
      </w:r>
      <w:proofErr w:type="gramEnd"/>
      <w:r w:rsidRPr="00831C3C">
        <w:rPr>
          <w:rFonts w:asciiTheme="minorEastAsia" w:eastAsiaTheme="minorEastAsia" w:hAnsiTheme="minorEastAsia" w:cs="Times New Roman" w:hint="eastAsia"/>
          <w:sz w:val="18"/>
          <w:szCs w:val="18"/>
        </w:rPr>
        <w:t>可以反映这些客户对于应收账款和其他应收款的偿付能力和坏账风险。本公司根据历史数据计算不同</w:t>
      </w:r>
      <w:proofErr w:type="gramStart"/>
      <w:r w:rsidRPr="00831C3C">
        <w:rPr>
          <w:rFonts w:asciiTheme="minorEastAsia" w:eastAsiaTheme="minorEastAsia" w:hAnsiTheme="minorEastAsia" w:cs="Times New Roman" w:hint="eastAsia"/>
          <w:sz w:val="18"/>
          <w:szCs w:val="18"/>
        </w:rPr>
        <w:t>账</w:t>
      </w:r>
      <w:proofErr w:type="gramEnd"/>
      <w:r w:rsidRPr="00831C3C">
        <w:rPr>
          <w:rFonts w:asciiTheme="minorEastAsia" w:eastAsiaTheme="minorEastAsia" w:hAnsiTheme="minorEastAsia" w:cs="Times New Roman" w:hint="eastAsia"/>
          <w:sz w:val="18"/>
          <w:szCs w:val="18"/>
        </w:rPr>
        <w:t>龄期间的历史实际坏账率，并考虑了当前及未来经济状况的预测，如国家</w:t>
      </w:r>
      <w:r w:rsidRPr="00831C3C">
        <w:rPr>
          <w:rFonts w:asciiTheme="minorEastAsia" w:eastAsiaTheme="minorEastAsia" w:hAnsiTheme="minorEastAsia" w:cs="Times New Roman"/>
          <w:sz w:val="18"/>
          <w:szCs w:val="18"/>
        </w:rPr>
        <w:t>GDP</w:t>
      </w:r>
      <w:r w:rsidRPr="00831C3C">
        <w:rPr>
          <w:rFonts w:asciiTheme="minorEastAsia" w:eastAsiaTheme="minorEastAsia" w:hAnsiTheme="minorEastAsia" w:cs="Times New Roman" w:hint="eastAsia"/>
          <w:sz w:val="18"/>
          <w:szCs w:val="18"/>
        </w:rPr>
        <w:t>增速、基建投资总额、国家货币政策等前瞻性信息进行调整得出预期损失率。对于长期应收款，本公司综合考虑结算期、合同约定付款期、债务人的财务状况和债务人所处行业的经济形势，并考虑上述前瞻性信息进行调整后对于预期信用损失进行合理评估。</w:t>
      </w:r>
    </w:p>
    <w:p w:rsidR="00C65FD5" w:rsidRPr="00831C3C" w:rsidRDefault="00C65FD5" w:rsidP="00BE6F3B">
      <w:pPr>
        <w:pStyle w:val="a3"/>
        <w:spacing w:before="0" w:beforeAutospacing="0" w:after="0" w:afterAutospacing="0"/>
        <w:ind w:firstLine="420"/>
        <w:jc w:val="both"/>
        <w:divId w:val="1473936347"/>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截止</w:t>
      </w:r>
      <w:r w:rsidRPr="00831C3C">
        <w:rPr>
          <w:rFonts w:asciiTheme="minorEastAsia" w:eastAsiaTheme="minorEastAsia" w:hAnsiTheme="minorEastAsia" w:cs="Times New Roman"/>
          <w:sz w:val="18"/>
          <w:szCs w:val="18"/>
        </w:rPr>
        <w:t>2024</w:t>
      </w:r>
      <w:r w:rsidRPr="00831C3C">
        <w:rPr>
          <w:rFonts w:asciiTheme="minorEastAsia" w:eastAsiaTheme="minorEastAsia" w:hAnsiTheme="minorEastAsia" w:cs="Times New Roman" w:hint="eastAsia"/>
          <w:sz w:val="18"/>
          <w:szCs w:val="18"/>
        </w:rPr>
        <w:t>年</w:t>
      </w:r>
      <w:r w:rsidRPr="00831C3C">
        <w:rPr>
          <w:rFonts w:asciiTheme="minorEastAsia" w:eastAsiaTheme="minorEastAsia" w:hAnsiTheme="minorEastAsia" w:cs="Times New Roman"/>
          <w:sz w:val="18"/>
          <w:szCs w:val="18"/>
        </w:rPr>
        <w:t>12</w:t>
      </w:r>
      <w:r w:rsidRPr="00831C3C">
        <w:rPr>
          <w:rFonts w:asciiTheme="minorEastAsia" w:eastAsiaTheme="minorEastAsia" w:hAnsiTheme="minorEastAsia" w:cs="Times New Roman" w:hint="eastAsia"/>
          <w:sz w:val="18"/>
          <w:szCs w:val="18"/>
        </w:rPr>
        <w:t>月</w:t>
      </w:r>
      <w:r w:rsidRPr="00831C3C">
        <w:rPr>
          <w:rFonts w:asciiTheme="minorEastAsia" w:eastAsiaTheme="minorEastAsia" w:hAnsiTheme="minorEastAsia" w:cs="Times New Roman"/>
          <w:sz w:val="18"/>
          <w:szCs w:val="18"/>
        </w:rPr>
        <w:t>31</w:t>
      </w:r>
      <w:r w:rsidRPr="00831C3C">
        <w:rPr>
          <w:rFonts w:asciiTheme="minorEastAsia" w:eastAsiaTheme="minorEastAsia" w:hAnsiTheme="minorEastAsia" w:cs="Times New Roman" w:hint="eastAsia"/>
          <w:sz w:val="18"/>
          <w:szCs w:val="18"/>
        </w:rPr>
        <w:t>日，相关资产的账面余额与预期信用减值损失情况如下：</w:t>
      </w:r>
    </w:p>
    <w:tbl>
      <w:tblPr>
        <w:tblW w:w="4999" w:type="pct"/>
        <w:tblCellMar>
          <w:left w:w="0" w:type="dxa"/>
          <w:right w:w="0" w:type="dxa"/>
        </w:tblCellMar>
        <w:tblLook w:val="04A0" w:firstRow="1" w:lastRow="0" w:firstColumn="1" w:lastColumn="0" w:noHBand="0" w:noVBand="1"/>
        <w:tblCaption w:val="D:\大华\华孚\2024年度\TB|0-合并TB-华孚时尚股份有限公司-2024年度.xlsx|W附注模板|_jds331|0|desc|||0|1"/>
      </w:tblPr>
      <w:tblGrid>
        <w:gridCol w:w="4386"/>
        <w:gridCol w:w="2451"/>
        <w:gridCol w:w="3014"/>
      </w:tblGrid>
      <w:tr w:rsidR="00831C3C" w:rsidRPr="00831C3C">
        <w:trPr>
          <w:divId w:val="1473936347"/>
          <w:trHeight w:val="340"/>
          <w:tblHeader/>
        </w:trPr>
        <w:tc>
          <w:tcPr>
            <w:tcW w:w="222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项目</w:t>
            </w:r>
          </w:p>
        </w:tc>
        <w:tc>
          <w:tcPr>
            <w:tcW w:w="124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账面余额</w:t>
            </w:r>
          </w:p>
        </w:tc>
        <w:tc>
          <w:tcPr>
            <w:tcW w:w="152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center"/>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减值准备</w:t>
            </w:r>
          </w:p>
        </w:tc>
      </w:tr>
      <w:tr w:rsidR="00831C3C" w:rsidRPr="00831C3C">
        <w:trPr>
          <w:divId w:val="1473936347"/>
          <w:trHeight w:val="340"/>
        </w:trPr>
        <w:tc>
          <w:tcPr>
            <w:tcW w:w="22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应收票据</w:t>
            </w:r>
          </w:p>
        </w:tc>
        <w:tc>
          <w:tcPr>
            <w:tcW w:w="12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18"/>
                <w:szCs w:val="18"/>
              </w:rPr>
            </w:pPr>
            <w:r w:rsidRPr="00831C3C">
              <w:rPr>
                <w:rFonts w:asciiTheme="minorEastAsia" w:eastAsiaTheme="minorEastAsia" w:hAnsiTheme="minorEastAsia" w:cs="Times New Roman"/>
                <w:sz w:val="18"/>
                <w:szCs w:val="18"/>
              </w:rPr>
              <w:t>56,611,922.62</w:t>
            </w:r>
          </w:p>
        </w:tc>
        <w:tc>
          <w:tcPr>
            <w:tcW w:w="15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18"/>
                <w:szCs w:val="18"/>
              </w:rPr>
            </w:pPr>
            <w:r w:rsidRPr="00831C3C">
              <w:rPr>
                <w:rFonts w:asciiTheme="minorEastAsia" w:eastAsiaTheme="minorEastAsia" w:hAnsiTheme="minorEastAsia" w:cs="Times New Roman"/>
                <w:sz w:val="18"/>
                <w:szCs w:val="18"/>
              </w:rPr>
              <w:t>440,918.12</w:t>
            </w:r>
          </w:p>
        </w:tc>
      </w:tr>
      <w:tr w:rsidR="00831C3C" w:rsidRPr="00831C3C">
        <w:trPr>
          <w:divId w:val="1473936347"/>
          <w:trHeight w:val="340"/>
        </w:trPr>
        <w:tc>
          <w:tcPr>
            <w:tcW w:w="22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应收账款</w:t>
            </w:r>
          </w:p>
        </w:tc>
        <w:tc>
          <w:tcPr>
            <w:tcW w:w="12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18"/>
                <w:szCs w:val="18"/>
              </w:rPr>
            </w:pPr>
            <w:r w:rsidRPr="00831C3C">
              <w:rPr>
                <w:rFonts w:asciiTheme="minorEastAsia" w:eastAsiaTheme="minorEastAsia" w:hAnsiTheme="minorEastAsia" w:cs="Times New Roman"/>
                <w:sz w:val="18"/>
                <w:szCs w:val="18"/>
              </w:rPr>
              <w:t>1,548,719,055.71</w:t>
            </w:r>
          </w:p>
        </w:tc>
        <w:tc>
          <w:tcPr>
            <w:tcW w:w="15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18"/>
                <w:szCs w:val="18"/>
              </w:rPr>
            </w:pPr>
            <w:r w:rsidRPr="00831C3C">
              <w:rPr>
                <w:rFonts w:asciiTheme="minorEastAsia" w:eastAsiaTheme="minorEastAsia" w:hAnsiTheme="minorEastAsia" w:cs="Times New Roman"/>
                <w:sz w:val="18"/>
                <w:szCs w:val="18"/>
              </w:rPr>
              <w:t>91,092,979.29</w:t>
            </w:r>
          </w:p>
        </w:tc>
      </w:tr>
      <w:tr w:rsidR="00831C3C" w:rsidRPr="00831C3C">
        <w:trPr>
          <w:divId w:val="1473936347"/>
          <w:trHeight w:val="340"/>
        </w:trPr>
        <w:tc>
          <w:tcPr>
            <w:tcW w:w="22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其他应收款</w:t>
            </w:r>
          </w:p>
        </w:tc>
        <w:tc>
          <w:tcPr>
            <w:tcW w:w="12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18"/>
                <w:szCs w:val="18"/>
              </w:rPr>
            </w:pPr>
            <w:r w:rsidRPr="00831C3C">
              <w:rPr>
                <w:rFonts w:asciiTheme="minorEastAsia" w:eastAsiaTheme="minorEastAsia" w:hAnsiTheme="minorEastAsia" w:cs="Times New Roman"/>
                <w:sz w:val="18"/>
                <w:szCs w:val="18"/>
              </w:rPr>
              <w:t>317,362,872.14</w:t>
            </w:r>
          </w:p>
        </w:tc>
        <w:tc>
          <w:tcPr>
            <w:tcW w:w="15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18"/>
                <w:szCs w:val="18"/>
              </w:rPr>
            </w:pPr>
            <w:r w:rsidRPr="00831C3C">
              <w:rPr>
                <w:rFonts w:asciiTheme="minorEastAsia" w:eastAsiaTheme="minorEastAsia" w:hAnsiTheme="minorEastAsia" w:cs="Times New Roman"/>
                <w:sz w:val="18"/>
                <w:szCs w:val="18"/>
              </w:rPr>
              <w:t>141,916,472.95</w:t>
            </w:r>
          </w:p>
        </w:tc>
      </w:tr>
      <w:tr w:rsidR="00831C3C" w:rsidRPr="00831C3C">
        <w:trPr>
          <w:divId w:val="1473936347"/>
          <w:trHeight w:val="340"/>
        </w:trPr>
        <w:tc>
          <w:tcPr>
            <w:tcW w:w="22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长期应收款（含一年内到期的款项）</w:t>
            </w:r>
          </w:p>
        </w:tc>
        <w:tc>
          <w:tcPr>
            <w:tcW w:w="12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18"/>
                <w:szCs w:val="18"/>
              </w:rPr>
            </w:pPr>
            <w:r w:rsidRPr="00831C3C">
              <w:rPr>
                <w:rFonts w:asciiTheme="minorEastAsia" w:eastAsiaTheme="minorEastAsia" w:hAnsiTheme="minorEastAsia" w:cs="Times New Roman"/>
                <w:sz w:val="18"/>
                <w:szCs w:val="18"/>
              </w:rPr>
              <w:t>3,580,581.72</w:t>
            </w:r>
          </w:p>
        </w:tc>
        <w:tc>
          <w:tcPr>
            <w:tcW w:w="15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18"/>
                <w:szCs w:val="18"/>
              </w:rPr>
            </w:pPr>
            <w:r w:rsidRPr="00831C3C">
              <w:rPr>
                <w:rFonts w:asciiTheme="minorEastAsia" w:eastAsiaTheme="minorEastAsia" w:hAnsiTheme="minorEastAsia" w:cs="Times New Roman"/>
                <w:sz w:val="18"/>
                <w:szCs w:val="18"/>
              </w:rPr>
              <w:t>309,217.37</w:t>
            </w:r>
          </w:p>
        </w:tc>
      </w:tr>
      <w:tr w:rsidR="00831C3C" w:rsidRPr="00831C3C">
        <w:trPr>
          <w:divId w:val="1473936347"/>
          <w:trHeight w:val="340"/>
        </w:trPr>
        <w:tc>
          <w:tcPr>
            <w:tcW w:w="2225"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合计</w:t>
            </w:r>
          </w:p>
        </w:tc>
        <w:tc>
          <w:tcPr>
            <w:tcW w:w="124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18"/>
                <w:szCs w:val="18"/>
              </w:rPr>
            </w:pPr>
            <w:r w:rsidRPr="00831C3C">
              <w:rPr>
                <w:rFonts w:asciiTheme="minorEastAsia" w:eastAsiaTheme="minorEastAsia" w:hAnsiTheme="minorEastAsia" w:cs="Times New Roman"/>
                <w:sz w:val="18"/>
                <w:szCs w:val="18"/>
              </w:rPr>
              <w:t>1,926,274,432.19</w:t>
            </w:r>
          </w:p>
        </w:tc>
        <w:tc>
          <w:tcPr>
            <w:tcW w:w="152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C65FD5" w:rsidRPr="00831C3C" w:rsidRDefault="00C65FD5">
            <w:pPr>
              <w:pStyle w:val="a3"/>
              <w:spacing w:before="0" w:beforeAutospacing="0" w:after="0" w:afterAutospacing="0"/>
              <w:jc w:val="right"/>
              <w:rPr>
                <w:rFonts w:asciiTheme="minorEastAsia" w:eastAsiaTheme="minorEastAsia" w:hAnsiTheme="minorEastAsia" w:cs="Times New Roman"/>
                <w:sz w:val="18"/>
                <w:szCs w:val="18"/>
              </w:rPr>
            </w:pPr>
            <w:r w:rsidRPr="00831C3C">
              <w:rPr>
                <w:rFonts w:asciiTheme="minorEastAsia" w:eastAsiaTheme="minorEastAsia" w:hAnsiTheme="minorEastAsia" w:cs="Times New Roman"/>
                <w:sz w:val="18"/>
                <w:szCs w:val="18"/>
              </w:rPr>
              <w:t>233,759,587.73</w:t>
            </w:r>
          </w:p>
        </w:tc>
      </w:tr>
    </w:tbl>
    <w:p w:rsidR="00C65FD5" w:rsidRPr="00831C3C" w:rsidRDefault="00C65FD5" w:rsidP="00CC7D91">
      <w:pPr>
        <w:widowControl/>
        <w:numPr>
          <w:ilvl w:val="1"/>
          <w:numId w:val="134"/>
        </w:numPr>
        <w:tabs>
          <w:tab w:val="clear" w:pos="1440"/>
          <w:tab w:val="num" w:pos="567"/>
        </w:tabs>
        <w:spacing w:before="100" w:beforeAutospacing="1" w:after="100" w:afterAutospacing="1"/>
        <w:ind w:left="851"/>
        <w:divId w:val="1473936347"/>
        <w:rPr>
          <w:sz w:val="18"/>
          <w:szCs w:val="18"/>
        </w:rPr>
      </w:pPr>
      <w:r w:rsidRPr="00831C3C">
        <w:rPr>
          <w:rFonts w:hint="eastAsia"/>
          <w:sz w:val="18"/>
          <w:szCs w:val="18"/>
        </w:rPr>
        <w:t>．</w:t>
      </w:r>
      <w:r w:rsidRPr="00831C3C">
        <w:rPr>
          <w:rStyle w:val="a4"/>
          <w:rFonts w:hint="eastAsia"/>
          <w:sz w:val="18"/>
          <w:szCs w:val="18"/>
        </w:rPr>
        <w:t>流动性风险</w:t>
      </w:r>
    </w:p>
    <w:p w:rsidR="00C65FD5" w:rsidRPr="00831C3C" w:rsidRDefault="00C65FD5" w:rsidP="00BE6F3B">
      <w:pPr>
        <w:pStyle w:val="a3"/>
        <w:spacing w:before="0" w:beforeAutospacing="0" w:after="0" w:afterAutospacing="0"/>
        <w:ind w:firstLine="420"/>
        <w:jc w:val="both"/>
        <w:divId w:val="1473936347"/>
        <w:rPr>
          <w:rFonts w:ascii="Times New Roman" w:hAnsi="Times New Roman" w:cs="Times New Roman"/>
          <w:sz w:val="21"/>
          <w:szCs w:val="21"/>
        </w:rPr>
      </w:pPr>
      <w:r w:rsidRPr="00831C3C">
        <w:rPr>
          <w:rFonts w:asciiTheme="minorEastAsia" w:eastAsiaTheme="minorEastAsia" w:hAnsiTheme="minorEastAsia" w:cs="Times New Roman" w:hint="eastAsia"/>
          <w:sz w:val="18"/>
          <w:szCs w:val="18"/>
        </w:rPr>
        <w:t>流动性风险是指本公司在履行以交付现金或其他金融资产的方式结算的义务时发生资金短缺的风险。本公司下属成员企业各自负责其现金流量预测。公司下属资金管理部门基于各成员企业的现金流量预测结果，在公司层面持续监控公司短期和长期的资金需求，以确保维持充裕的现金储备；同时持续监控是否符合借款协议的规定，从主要金融机构获得提供足够备用资金的承诺，以满足短期和长期的资金需求。此外，本公司与主要业务往来银行订立融资额度授信协议，为本公司履行与商业票据相关的义务提供支</w:t>
      </w:r>
      <w:r w:rsidRPr="00831C3C">
        <w:rPr>
          <w:rFonts w:cs="Times New Roman" w:hint="eastAsia"/>
          <w:sz w:val="21"/>
          <w:szCs w:val="21"/>
        </w:rPr>
        <w:t>持。</w:t>
      </w:r>
    </w:p>
    <w:p w:rsidR="00C65FD5" w:rsidRPr="00831C3C" w:rsidRDefault="00C65FD5" w:rsidP="00CC7D91">
      <w:pPr>
        <w:widowControl/>
        <w:numPr>
          <w:ilvl w:val="1"/>
          <w:numId w:val="134"/>
        </w:numPr>
        <w:tabs>
          <w:tab w:val="clear" w:pos="1440"/>
          <w:tab w:val="num" w:pos="567"/>
        </w:tabs>
        <w:spacing w:before="100" w:beforeAutospacing="1" w:after="100" w:afterAutospacing="1"/>
        <w:ind w:left="851"/>
        <w:divId w:val="1473936347"/>
        <w:rPr>
          <w:sz w:val="18"/>
          <w:szCs w:val="18"/>
        </w:rPr>
      </w:pPr>
      <w:r w:rsidRPr="00831C3C">
        <w:rPr>
          <w:rFonts w:hint="eastAsia"/>
          <w:sz w:val="18"/>
          <w:szCs w:val="18"/>
        </w:rPr>
        <w:lastRenderedPageBreak/>
        <w:t>．</w:t>
      </w:r>
      <w:r w:rsidRPr="00831C3C">
        <w:rPr>
          <w:rFonts w:hint="eastAsia"/>
          <w:b/>
          <w:bCs/>
        </w:rPr>
        <w:t>市场风险</w:t>
      </w:r>
    </w:p>
    <w:p w:rsidR="00C65FD5" w:rsidRPr="00831C3C" w:rsidRDefault="00C65FD5" w:rsidP="00BE6F3B">
      <w:pPr>
        <w:pStyle w:val="a3"/>
        <w:spacing w:before="0" w:beforeAutospacing="0" w:after="0" w:afterAutospacing="0"/>
        <w:ind w:firstLine="420"/>
        <w:jc w:val="both"/>
        <w:divId w:val="1473936347"/>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汇率风险</w:t>
      </w:r>
    </w:p>
    <w:p w:rsidR="00C65FD5" w:rsidRPr="00831C3C" w:rsidRDefault="00C65FD5" w:rsidP="00BE6F3B">
      <w:pPr>
        <w:pStyle w:val="a3"/>
        <w:spacing w:before="0" w:beforeAutospacing="0" w:after="0" w:afterAutospacing="0"/>
        <w:ind w:firstLine="420"/>
        <w:jc w:val="both"/>
        <w:divId w:val="1473936347"/>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本公司的主要经营位于中国境内，主要业务以人民币结算。但本公司已确认的外币资产和负债及未来的外币交易（外币资产和负债及外币交易的计价货币主要为美元、港币和越南盾）依然存在汇率风险。本公司资金管理部门负责监控公司外币交易和外币资产及负债的规模，以最大程度降低面临的汇率风险；为此，本公司可能会以签署远期外汇合约或货币互换合约来达到规避汇率风险的目的。</w:t>
      </w:r>
    </w:p>
    <w:p w:rsidR="00C65FD5" w:rsidRPr="00831C3C" w:rsidRDefault="00C65FD5" w:rsidP="00BE6F3B">
      <w:pPr>
        <w:pStyle w:val="a3"/>
        <w:spacing w:before="0" w:beforeAutospacing="0" w:after="0" w:afterAutospacing="0"/>
        <w:ind w:firstLine="420"/>
        <w:jc w:val="both"/>
        <w:divId w:val="1473936347"/>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截止</w:t>
      </w:r>
      <w:r w:rsidRPr="00831C3C">
        <w:rPr>
          <w:rFonts w:asciiTheme="minorEastAsia" w:eastAsiaTheme="minorEastAsia" w:hAnsiTheme="minorEastAsia" w:cs="Times New Roman"/>
          <w:sz w:val="18"/>
          <w:szCs w:val="18"/>
        </w:rPr>
        <w:t>2024</w:t>
      </w:r>
      <w:r w:rsidRPr="00831C3C">
        <w:rPr>
          <w:rFonts w:asciiTheme="minorEastAsia" w:eastAsiaTheme="minorEastAsia" w:hAnsiTheme="minorEastAsia" w:cs="Times New Roman" w:hint="eastAsia"/>
          <w:sz w:val="18"/>
          <w:szCs w:val="18"/>
        </w:rPr>
        <w:t>年</w:t>
      </w:r>
      <w:r w:rsidRPr="00831C3C">
        <w:rPr>
          <w:rFonts w:asciiTheme="minorEastAsia" w:eastAsiaTheme="minorEastAsia" w:hAnsiTheme="minorEastAsia" w:cs="Times New Roman"/>
          <w:sz w:val="18"/>
          <w:szCs w:val="18"/>
        </w:rPr>
        <w:t>12</w:t>
      </w:r>
      <w:r w:rsidRPr="00831C3C">
        <w:rPr>
          <w:rFonts w:asciiTheme="minorEastAsia" w:eastAsiaTheme="minorEastAsia" w:hAnsiTheme="minorEastAsia" w:cs="Times New Roman" w:hint="eastAsia"/>
          <w:sz w:val="18"/>
          <w:szCs w:val="18"/>
        </w:rPr>
        <w:t>月</w:t>
      </w:r>
      <w:r w:rsidRPr="00831C3C">
        <w:rPr>
          <w:rFonts w:asciiTheme="minorEastAsia" w:eastAsiaTheme="minorEastAsia" w:hAnsiTheme="minorEastAsia" w:cs="Times New Roman"/>
          <w:sz w:val="18"/>
          <w:szCs w:val="18"/>
        </w:rPr>
        <w:t>31</w:t>
      </w:r>
      <w:r w:rsidRPr="00831C3C">
        <w:rPr>
          <w:rFonts w:asciiTheme="minorEastAsia" w:eastAsiaTheme="minorEastAsia" w:hAnsiTheme="minorEastAsia" w:cs="Times New Roman" w:hint="eastAsia"/>
          <w:sz w:val="18"/>
          <w:szCs w:val="18"/>
        </w:rPr>
        <w:t>日，本公司持有的外币金融资产和外币金融负债折算成人民币的金额详见附注五、注释</w:t>
      </w:r>
      <w:r w:rsidRPr="00831C3C">
        <w:rPr>
          <w:rFonts w:asciiTheme="minorEastAsia" w:eastAsiaTheme="minorEastAsia" w:hAnsiTheme="minorEastAsia" w:cs="Times New Roman"/>
          <w:sz w:val="18"/>
          <w:szCs w:val="18"/>
        </w:rPr>
        <w:t>.62</w:t>
      </w:r>
      <w:r w:rsidRPr="00831C3C">
        <w:rPr>
          <w:rFonts w:asciiTheme="minorEastAsia" w:eastAsiaTheme="minorEastAsia" w:hAnsiTheme="minorEastAsia" w:cs="Times New Roman" w:hint="eastAsia"/>
          <w:sz w:val="18"/>
          <w:szCs w:val="18"/>
        </w:rPr>
        <w:t>。</w:t>
      </w:r>
    </w:p>
    <w:p w:rsidR="00C65FD5" w:rsidRPr="00831C3C" w:rsidRDefault="00C65FD5" w:rsidP="00BE6F3B">
      <w:pPr>
        <w:pStyle w:val="a3"/>
        <w:spacing w:before="0" w:beforeAutospacing="0" w:after="0" w:afterAutospacing="0"/>
        <w:ind w:firstLine="420"/>
        <w:jc w:val="both"/>
        <w:divId w:val="1473936347"/>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利率风险</w:t>
      </w:r>
    </w:p>
    <w:p w:rsidR="00C65FD5" w:rsidRPr="00831C3C" w:rsidRDefault="00C65FD5" w:rsidP="00BE6F3B">
      <w:pPr>
        <w:pStyle w:val="a3"/>
        <w:spacing w:before="0" w:beforeAutospacing="0" w:after="0" w:afterAutospacing="0"/>
        <w:ind w:firstLine="420"/>
        <w:jc w:val="both"/>
        <w:divId w:val="1473936347"/>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本公司的利率风险主要产生于银行借款等。浮动利率的金融负债使本公司面临现金流量利率风险，固定利率的金融负债使本公司面临公允价值利率风险。本公司根据当时的市场环境来决定固定利率及浮动利率合同的相对比例。</w:t>
      </w:r>
    </w:p>
    <w:p w:rsidR="00C65FD5" w:rsidRPr="00831C3C" w:rsidRDefault="00C65FD5" w:rsidP="00BE6F3B">
      <w:pPr>
        <w:pStyle w:val="a3"/>
        <w:spacing w:before="0" w:beforeAutospacing="0" w:after="0" w:afterAutospacing="0"/>
        <w:ind w:firstLine="420"/>
        <w:jc w:val="both"/>
        <w:divId w:val="1473936347"/>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本公司财务部门持续监控公司利率水平。利率上升会增加新增带息债务的成本以及本公司尚未付清的以浮动利率计息的带息债务的利息支出，并对本公司的财务业绩产生重大的不利影响，管理层会依据最新的市场状况及时做出调整，这些调整可能是融资结构和融资渠道的安排来降低利率风险。</w:t>
      </w:r>
    </w:p>
    <w:p w:rsidR="00C65FD5" w:rsidRPr="00831C3C" w:rsidRDefault="00C65FD5" w:rsidP="00BE6F3B">
      <w:pPr>
        <w:pStyle w:val="a3"/>
        <w:spacing w:before="0" w:beforeAutospacing="0" w:after="0" w:afterAutospacing="0"/>
        <w:ind w:firstLine="420"/>
        <w:jc w:val="both"/>
        <w:divId w:val="1473936347"/>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截至</w:t>
      </w:r>
      <w:r w:rsidRPr="00831C3C">
        <w:rPr>
          <w:rFonts w:asciiTheme="minorEastAsia" w:eastAsiaTheme="minorEastAsia" w:hAnsiTheme="minorEastAsia" w:cs="Times New Roman"/>
          <w:sz w:val="18"/>
          <w:szCs w:val="18"/>
        </w:rPr>
        <w:t>2024</w:t>
      </w:r>
      <w:r w:rsidRPr="00831C3C">
        <w:rPr>
          <w:rFonts w:asciiTheme="minorEastAsia" w:eastAsiaTheme="minorEastAsia" w:hAnsiTheme="minorEastAsia" w:cs="Times New Roman" w:hint="eastAsia"/>
          <w:sz w:val="18"/>
          <w:szCs w:val="18"/>
        </w:rPr>
        <w:t>年</w:t>
      </w:r>
      <w:r w:rsidRPr="00831C3C">
        <w:rPr>
          <w:rFonts w:asciiTheme="minorEastAsia" w:eastAsiaTheme="minorEastAsia" w:hAnsiTheme="minorEastAsia" w:cs="Times New Roman"/>
          <w:sz w:val="18"/>
          <w:szCs w:val="18"/>
        </w:rPr>
        <w:t>12</w:t>
      </w:r>
      <w:r w:rsidRPr="00831C3C">
        <w:rPr>
          <w:rFonts w:asciiTheme="minorEastAsia" w:eastAsiaTheme="minorEastAsia" w:hAnsiTheme="minorEastAsia" w:cs="Times New Roman" w:hint="eastAsia"/>
          <w:sz w:val="18"/>
          <w:szCs w:val="18"/>
        </w:rPr>
        <w:t>月</w:t>
      </w:r>
      <w:r w:rsidRPr="00831C3C">
        <w:rPr>
          <w:rFonts w:asciiTheme="minorEastAsia" w:eastAsiaTheme="minorEastAsia" w:hAnsiTheme="minorEastAsia" w:cs="Times New Roman"/>
          <w:sz w:val="18"/>
          <w:szCs w:val="18"/>
        </w:rPr>
        <w:t>31</w:t>
      </w:r>
      <w:r w:rsidRPr="00831C3C">
        <w:rPr>
          <w:rFonts w:asciiTheme="minorEastAsia" w:eastAsiaTheme="minorEastAsia" w:hAnsiTheme="minorEastAsia" w:cs="Times New Roman" w:hint="eastAsia"/>
          <w:sz w:val="18"/>
          <w:szCs w:val="18"/>
        </w:rPr>
        <w:t>日，本公司的带息债务主要为人民币、港币和美元计价的固定利率长短借款，金额合计为人民币</w:t>
      </w:r>
      <w:r w:rsidRPr="00831C3C">
        <w:rPr>
          <w:rFonts w:asciiTheme="minorEastAsia" w:eastAsiaTheme="minorEastAsia" w:hAnsiTheme="minorEastAsia" w:cs="Times New Roman"/>
          <w:sz w:val="18"/>
          <w:szCs w:val="18"/>
        </w:rPr>
        <w:t>87.79</w:t>
      </w:r>
      <w:r w:rsidRPr="00831C3C">
        <w:rPr>
          <w:rFonts w:asciiTheme="minorEastAsia" w:eastAsiaTheme="minorEastAsia" w:hAnsiTheme="minorEastAsia" w:cs="Times New Roman" w:hint="eastAsia"/>
          <w:sz w:val="18"/>
          <w:szCs w:val="18"/>
        </w:rPr>
        <w:t>亿元（</w:t>
      </w:r>
      <w:r w:rsidRPr="00831C3C">
        <w:rPr>
          <w:rFonts w:asciiTheme="minorEastAsia" w:eastAsiaTheme="minorEastAsia" w:hAnsiTheme="minorEastAsia" w:cs="Times New Roman"/>
          <w:sz w:val="18"/>
          <w:szCs w:val="18"/>
        </w:rPr>
        <w:t>2023</w:t>
      </w:r>
      <w:r w:rsidRPr="00831C3C">
        <w:rPr>
          <w:rFonts w:asciiTheme="minorEastAsia" w:eastAsiaTheme="minorEastAsia" w:hAnsiTheme="minorEastAsia" w:cs="Times New Roman" w:hint="eastAsia"/>
          <w:sz w:val="18"/>
          <w:szCs w:val="18"/>
        </w:rPr>
        <w:t>年</w:t>
      </w:r>
      <w:r w:rsidRPr="00831C3C">
        <w:rPr>
          <w:rFonts w:asciiTheme="minorEastAsia" w:eastAsiaTheme="minorEastAsia" w:hAnsiTheme="minorEastAsia" w:cs="Times New Roman"/>
          <w:sz w:val="18"/>
          <w:szCs w:val="18"/>
        </w:rPr>
        <w:t>12</w:t>
      </w:r>
      <w:r w:rsidRPr="00831C3C">
        <w:rPr>
          <w:rFonts w:asciiTheme="minorEastAsia" w:eastAsiaTheme="minorEastAsia" w:hAnsiTheme="minorEastAsia" w:cs="Times New Roman" w:hint="eastAsia"/>
          <w:sz w:val="18"/>
          <w:szCs w:val="18"/>
        </w:rPr>
        <w:t>月</w:t>
      </w:r>
      <w:r w:rsidRPr="00831C3C">
        <w:rPr>
          <w:rFonts w:asciiTheme="minorEastAsia" w:eastAsiaTheme="minorEastAsia" w:hAnsiTheme="minorEastAsia" w:cs="Times New Roman"/>
          <w:sz w:val="18"/>
          <w:szCs w:val="18"/>
        </w:rPr>
        <w:t>31</w:t>
      </w:r>
      <w:r w:rsidRPr="00831C3C">
        <w:rPr>
          <w:rFonts w:asciiTheme="minorEastAsia" w:eastAsiaTheme="minorEastAsia" w:hAnsiTheme="minorEastAsia" w:cs="Times New Roman" w:hint="eastAsia"/>
          <w:sz w:val="18"/>
          <w:szCs w:val="18"/>
        </w:rPr>
        <w:t>日：人民币</w:t>
      </w:r>
      <w:r w:rsidRPr="00831C3C">
        <w:rPr>
          <w:rFonts w:asciiTheme="minorEastAsia" w:eastAsiaTheme="minorEastAsia" w:hAnsiTheme="minorEastAsia" w:cs="Times New Roman"/>
          <w:sz w:val="18"/>
          <w:szCs w:val="18"/>
        </w:rPr>
        <w:t>82.14</w:t>
      </w:r>
      <w:r w:rsidRPr="00831C3C">
        <w:rPr>
          <w:rFonts w:asciiTheme="minorEastAsia" w:eastAsiaTheme="minorEastAsia" w:hAnsiTheme="minorEastAsia" w:cs="Times New Roman" w:hint="eastAsia"/>
          <w:sz w:val="18"/>
          <w:szCs w:val="18"/>
        </w:rPr>
        <w:t>亿元）。</w:t>
      </w:r>
    </w:p>
    <w:p w:rsidR="00C65FD5" w:rsidRPr="00831C3C" w:rsidRDefault="00C65FD5" w:rsidP="00BE6F3B">
      <w:pPr>
        <w:pStyle w:val="a3"/>
        <w:spacing w:before="0" w:beforeAutospacing="0" w:after="0" w:afterAutospacing="0"/>
        <w:ind w:firstLine="420"/>
        <w:jc w:val="both"/>
        <w:divId w:val="1473936347"/>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价格风险</w:t>
      </w:r>
    </w:p>
    <w:p w:rsidR="00C65FD5" w:rsidRPr="00831C3C" w:rsidRDefault="00C65FD5" w:rsidP="00BE6F3B">
      <w:pPr>
        <w:pStyle w:val="a3"/>
        <w:spacing w:before="0" w:beforeAutospacing="0" w:after="0" w:afterAutospacing="0"/>
        <w:ind w:firstLine="420"/>
        <w:jc w:val="both"/>
        <w:divId w:val="1473936347"/>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价格风险指汇率风险和利率风险以外的市场价格变动而发生波动的风险，主要源于商品价格、股票市场指数、权益工具价格以及其他风险变量的变化。</w:t>
      </w:r>
    </w:p>
    <w:p w:rsidR="00E23A97" w:rsidRPr="00831C3C" w:rsidRDefault="00C65FD5">
      <w:pPr>
        <w:pStyle w:val="3"/>
        <w:spacing w:line="280" w:lineRule="exact"/>
        <w:jc w:val="left"/>
        <w:rPr>
          <w:rFonts w:ascii="宋体" w:hAnsi="宋体" w:cs="宋体"/>
          <w:b/>
          <w:bCs/>
        </w:rPr>
      </w:pPr>
      <w:bookmarkStart w:id="521" w:name="_Toc989402"/>
      <w:r w:rsidRPr="00831C3C">
        <w:rPr>
          <w:rFonts w:ascii="宋体" w:hAnsi="宋体" w:cs="宋体"/>
          <w:b/>
          <w:bCs/>
        </w:rPr>
        <w:t>2、套期</w:t>
      </w:r>
      <w:bookmarkEnd w:id="521"/>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522" w:name="_Toc989403"/>
      <w:r w:rsidRPr="00831C3C">
        <w:rPr>
          <w:rFonts w:ascii="宋体" w:eastAsia="宋体" w:hAnsi="宋体" w:cs="宋体"/>
          <w:b/>
          <w:bCs/>
          <w:sz w:val="18"/>
          <w:szCs w:val="18"/>
        </w:rPr>
        <w:t>（1）公司开展套期业务进行风险管理</w:t>
      </w:r>
      <w:bookmarkEnd w:id="522"/>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523" w:name="_Toc989404"/>
      <w:r w:rsidRPr="00831C3C">
        <w:rPr>
          <w:rFonts w:ascii="宋体" w:eastAsia="宋体" w:hAnsi="宋体" w:cs="宋体"/>
          <w:b/>
          <w:bCs/>
          <w:sz w:val="18"/>
          <w:szCs w:val="18"/>
        </w:rPr>
        <w:t>（2）公司开展符合条件套期业务并应用套期会计</w:t>
      </w:r>
      <w:bookmarkEnd w:id="523"/>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与被套</w:t>
            </w:r>
            <w:proofErr w:type="gramStart"/>
            <w:r w:rsidRPr="00831C3C">
              <w:rPr>
                <w:rFonts w:ascii="宋体" w:eastAsia="宋体" w:hAnsi="宋体" w:cs="宋体"/>
                <w:sz w:val="18"/>
                <w:szCs w:val="18"/>
              </w:rPr>
              <w:t>期项目</w:t>
            </w:r>
            <w:proofErr w:type="gramEnd"/>
            <w:r w:rsidRPr="00831C3C">
              <w:rPr>
                <w:rFonts w:ascii="宋体" w:eastAsia="宋体" w:hAnsi="宋体" w:cs="宋体"/>
                <w:sz w:val="18"/>
                <w:szCs w:val="18"/>
              </w:rPr>
              <w:t>以及套</w:t>
            </w:r>
            <w:proofErr w:type="gramStart"/>
            <w:r w:rsidRPr="00831C3C">
              <w:rPr>
                <w:rFonts w:ascii="宋体" w:eastAsia="宋体" w:hAnsi="宋体" w:cs="宋体"/>
                <w:sz w:val="18"/>
                <w:szCs w:val="18"/>
              </w:rPr>
              <w:t>期工具</w:t>
            </w:r>
            <w:proofErr w:type="gramEnd"/>
            <w:r w:rsidRPr="00831C3C">
              <w:rPr>
                <w:rFonts w:ascii="宋体" w:eastAsia="宋体" w:hAnsi="宋体" w:cs="宋体"/>
                <w:sz w:val="18"/>
                <w:szCs w:val="18"/>
              </w:rPr>
              <w:t>相关账面价值</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已确认的被套</w:t>
            </w:r>
            <w:proofErr w:type="gramStart"/>
            <w:r w:rsidRPr="00831C3C">
              <w:rPr>
                <w:rFonts w:ascii="宋体" w:eastAsia="宋体" w:hAnsi="宋体" w:cs="宋体"/>
                <w:sz w:val="18"/>
                <w:szCs w:val="18"/>
              </w:rPr>
              <w:t>期项目</w:t>
            </w:r>
            <w:proofErr w:type="gramEnd"/>
            <w:r w:rsidRPr="00831C3C">
              <w:rPr>
                <w:rFonts w:ascii="宋体" w:eastAsia="宋体" w:hAnsi="宋体" w:cs="宋体"/>
                <w:sz w:val="18"/>
                <w:szCs w:val="18"/>
              </w:rPr>
              <w:t>账面价值中所包含的被套</w:t>
            </w:r>
            <w:proofErr w:type="gramStart"/>
            <w:r w:rsidRPr="00831C3C">
              <w:rPr>
                <w:rFonts w:ascii="宋体" w:eastAsia="宋体" w:hAnsi="宋体" w:cs="宋体"/>
                <w:sz w:val="18"/>
                <w:szCs w:val="18"/>
              </w:rPr>
              <w:t>期项目</w:t>
            </w:r>
            <w:proofErr w:type="gramEnd"/>
            <w:r w:rsidRPr="00831C3C">
              <w:rPr>
                <w:rFonts w:ascii="宋体" w:eastAsia="宋体" w:hAnsi="宋体" w:cs="宋体"/>
                <w:sz w:val="18"/>
                <w:szCs w:val="18"/>
              </w:rPr>
              <w:t>累计公允价值套</w:t>
            </w:r>
            <w:proofErr w:type="gramStart"/>
            <w:r w:rsidRPr="00831C3C">
              <w:rPr>
                <w:rFonts w:ascii="宋体" w:eastAsia="宋体" w:hAnsi="宋体" w:cs="宋体"/>
                <w:sz w:val="18"/>
                <w:szCs w:val="18"/>
              </w:rPr>
              <w:t>期调整</w:t>
            </w:r>
            <w:proofErr w:type="gramEnd"/>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套期有效性和套期无效部分来源</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套期会计对公司的财务报表相关影响</w:t>
            </w:r>
          </w:p>
        </w:tc>
      </w:tr>
      <w:tr w:rsidR="00831C3C" w:rsidRPr="00831C3C">
        <w:trPr>
          <w:trHeight w:val="240"/>
        </w:trPr>
        <w:tc>
          <w:tcPr>
            <w:tcW w:w="9639"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套期风险类型</w:t>
            </w:r>
          </w:p>
        </w:tc>
      </w:tr>
      <w:tr w:rsidR="00831C3C" w:rsidRPr="00831C3C">
        <w:trPr>
          <w:trHeight w:val="240"/>
        </w:trPr>
        <w:tc>
          <w:tcPr>
            <w:tcW w:w="9639"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套期类别</w:t>
            </w:r>
          </w:p>
        </w:tc>
      </w:tr>
    </w:tbl>
    <w:p w:rsidR="00C65FD5" w:rsidRPr="00831C3C" w:rsidRDefault="00C65FD5" w:rsidP="00BE6F3B">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r w:rsidR="00BE6F3B" w:rsidRPr="00831C3C">
        <w:rPr>
          <w:rFonts w:ascii="宋体" w:eastAsia="宋体" w:hAnsi="宋体" w:cs="宋体" w:hint="eastAsia"/>
          <w:sz w:val="18"/>
          <w:szCs w:val="18"/>
        </w:rPr>
        <w:t>：</w:t>
      </w:r>
      <w:r w:rsidRPr="00831C3C">
        <w:rPr>
          <w:rFonts w:hint="eastAsia"/>
          <w:sz w:val="18"/>
          <w:szCs w:val="18"/>
        </w:rPr>
        <w:t>无。</w:t>
      </w:r>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524" w:name="_Toc989405"/>
      <w:r w:rsidRPr="00831C3C">
        <w:rPr>
          <w:rFonts w:ascii="宋体" w:eastAsia="宋体" w:hAnsi="宋体" w:cs="宋体"/>
          <w:b/>
          <w:bCs/>
          <w:sz w:val="18"/>
          <w:szCs w:val="18"/>
        </w:rPr>
        <w:t>（3）公司开展套期业务进行风险管理、预期能实现风险管理目标但未应用套期会计</w:t>
      </w:r>
      <w:bookmarkEnd w:id="524"/>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pStyle w:val="3"/>
        <w:spacing w:line="280" w:lineRule="exact"/>
        <w:jc w:val="left"/>
        <w:rPr>
          <w:rFonts w:ascii="宋体" w:hAnsi="宋体" w:cs="宋体"/>
          <w:b/>
          <w:bCs/>
        </w:rPr>
      </w:pPr>
      <w:bookmarkStart w:id="525" w:name="_Toc989406"/>
      <w:r w:rsidRPr="00831C3C">
        <w:rPr>
          <w:rFonts w:ascii="宋体" w:hAnsi="宋体" w:cs="宋体"/>
          <w:b/>
          <w:bCs/>
        </w:rPr>
        <w:t>3、金融资产</w:t>
      </w:r>
      <w:bookmarkEnd w:id="525"/>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526" w:name="_Toc989407"/>
      <w:r w:rsidRPr="00831C3C">
        <w:rPr>
          <w:rFonts w:ascii="宋体" w:eastAsia="宋体" w:hAnsi="宋体" w:cs="宋体"/>
          <w:b/>
          <w:bCs/>
          <w:sz w:val="18"/>
          <w:szCs w:val="18"/>
        </w:rPr>
        <w:t>（1）转移方式分类</w:t>
      </w:r>
      <w:bookmarkEnd w:id="526"/>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527" w:name="_Toc989408"/>
      <w:r w:rsidRPr="00831C3C">
        <w:rPr>
          <w:rFonts w:ascii="宋体" w:eastAsia="宋体" w:hAnsi="宋体" w:cs="宋体"/>
          <w:b/>
          <w:bCs/>
          <w:sz w:val="18"/>
          <w:szCs w:val="18"/>
        </w:rPr>
        <w:lastRenderedPageBreak/>
        <w:t>（2）因转移而终止确认的金融资产</w:t>
      </w:r>
      <w:bookmarkEnd w:id="527"/>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528" w:name="_Toc989409"/>
      <w:r w:rsidRPr="00831C3C">
        <w:rPr>
          <w:rFonts w:ascii="宋体" w:eastAsia="宋体" w:hAnsi="宋体" w:cs="宋体"/>
          <w:b/>
          <w:bCs/>
          <w:sz w:val="18"/>
          <w:szCs w:val="18"/>
        </w:rPr>
        <w:t>（3）继续涉入的资产转移金融资产</w:t>
      </w:r>
      <w:bookmarkEnd w:id="528"/>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C65FD5" w:rsidRPr="00831C3C" w:rsidRDefault="00C65FD5" w:rsidP="00BE6F3B">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r w:rsidR="00BE6F3B" w:rsidRPr="00831C3C">
        <w:rPr>
          <w:rFonts w:ascii="宋体" w:eastAsia="宋体" w:hAnsi="宋体" w:cs="宋体" w:hint="eastAsia"/>
          <w:sz w:val="18"/>
          <w:szCs w:val="18"/>
        </w:rPr>
        <w:t>：</w:t>
      </w:r>
      <w:r w:rsidRPr="00831C3C">
        <w:rPr>
          <w:rFonts w:hint="eastAsia"/>
          <w:sz w:val="18"/>
          <w:szCs w:val="18"/>
        </w:rPr>
        <w:t>无。</w:t>
      </w:r>
    </w:p>
    <w:p w:rsidR="00E23A97" w:rsidRPr="00831C3C" w:rsidRDefault="00C65FD5">
      <w:pPr>
        <w:pStyle w:val="2"/>
        <w:spacing w:before="300" w:after="300" w:line="320" w:lineRule="exact"/>
        <w:rPr>
          <w:rFonts w:ascii="宋体" w:eastAsia="宋体" w:hAnsi="宋体" w:cs="宋体"/>
          <w:b/>
          <w:bCs/>
          <w:sz w:val="24"/>
          <w:szCs w:val="24"/>
        </w:rPr>
      </w:pPr>
      <w:bookmarkStart w:id="529" w:name="_Toc989410"/>
      <w:r w:rsidRPr="00831C3C">
        <w:rPr>
          <w:rFonts w:ascii="宋体" w:eastAsia="宋体" w:hAnsi="宋体" w:cs="宋体"/>
          <w:b/>
          <w:bCs/>
          <w:sz w:val="24"/>
          <w:szCs w:val="24"/>
        </w:rPr>
        <w:t>十三、公允价值的披露</w:t>
      </w:r>
      <w:bookmarkEnd w:id="529"/>
    </w:p>
    <w:p w:rsidR="00E23A97" w:rsidRPr="00831C3C" w:rsidRDefault="00C65FD5">
      <w:pPr>
        <w:pStyle w:val="3"/>
        <w:spacing w:line="280" w:lineRule="exact"/>
        <w:jc w:val="left"/>
        <w:rPr>
          <w:rFonts w:ascii="宋体" w:hAnsi="宋体" w:cs="宋体"/>
          <w:b/>
          <w:bCs/>
        </w:rPr>
      </w:pPr>
      <w:bookmarkStart w:id="530" w:name="_Toc989411"/>
      <w:r w:rsidRPr="00831C3C">
        <w:rPr>
          <w:rFonts w:ascii="宋体" w:hAnsi="宋体" w:cs="宋体"/>
          <w:b/>
          <w:bCs/>
        </w:rPr>
        <w:t>1、以公允价值计量的资产和负债的期末公允价值</w:t>
      </w:r>
      <w:bookmarkEnd w:id="530"/>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31C3C" w:rsidRPr="00831C3C">
        <w:trPr>
          <w:trHeight w:val="240"/>
        </w:trPr>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7711"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期末公允价值</w:t>
            </w:r>
          </w:p>
        </w:tc>
      </w:tr>
      <w:tr w:rsidR="00831C3C" w:rsidRPr="00831C3C">
        <w:trPr>
          <w:trHeight w:val="240"/>
        </w:trPr>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第一层次公允价值计量</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第二层次公允价值计量</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第三层次公允价值计量</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合计</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一、持续的公允价值计量</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（一）交易性金融资产</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171,751,793.42</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59,442,200.88</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231,193,994.30</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1.以公允价值计量且其变动计入当期损益的金融资产</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171,751,793.42</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59,442,200.88</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231,193,994.30</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（2）权益工具投资</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7,356,413.17</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7,356,413.18</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（3）衍生金融资产</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63,160,062.90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63,160,062.90</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货币性基金</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101,235,317.35</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101,235,317.35</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银行理财产品</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15,092,200.88</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15,092,200.88</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信托基金</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44,350,000.00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44,350,000.00</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（六）交易性金融负债</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199,494.26</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199,494.26</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300" w:firstLine="540"/>
              <w:rPr>
                <w:rFonts w:ascii="宋体" w:eastAsia="宋体" w:hAnsi="宋体" w:cs="宋体"/>
                <w:sz w:val="18"/>
                <w:szCs w:val="18"/>
              </w:rPr>
            </w:pPr>
            <w:r w:rsidRPr="00831C3C">
              <w:rPr>
                <w:rFonts w:ascii="宋体" w:eastAsia="宋体" w:hAnsi="宋体" w:cs="宋体"/>
                <w:sz w:val="18"/>
                <w:szCs w:val="18"/>
              </w:rPr>
              <w:t>衍生金融负债</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199,494.26</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199,494.26</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二、非持续的公允价值计量</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r>
    </w:tbl>
    <w:p w:rsidR="00E23A97" w:rsidRPr="00831C3C" w:rsidRDefault="00C65FD5">
      <w:pPr>
        <w:pStyle w:val="3"/>
        <w:spacing w:line="280" w:lineRule="exact"/>
        <w:jc w:val="left"/>
        <w:rPr>
          <w:rFonts w:ascii="宋体" w:hAnsi="宋体" w:cs="宋体"/>
          <w:b/>
          <w:bCs/>
        </w:rPr>
      </w:pPr>
      <w:bookmarkStart w:id="531" w:name="_Toc989412"/>
      <w:r w:rsidRPr="00831C3C">
        <w:rPr>
          <w:rFonts w:ascii="宋体" w:hAnsi="宋体" w:cs="宋体"/>
          <w:b/>
          <w:bCs/>
        </w:rPr>
        <w:t>2、持续和非持续第一层次公允价值计量项目市价的确定依据</w:t>
      </w:r>
      <w:bookmarkEnd w:id="531"/>
    </w:p>
    <w:p w:rsidR="00C65FD5" w:rsidRPr="00831C3C" w:rsidRDefault="00C65FD5">
      <w:pPr>
        <w:pStyle w:val="a3"/>
        <w:divId w:val="74547138"/>
        <w:rPr>
          <w:sz w:val="18"/>
          <w:szCs w:val="18"/>
        </w:rPr>
      </w:pPr>
      <w:r w:rsidRPr="00831C3C">
        <w:rPr>
          <w:rFonts w:hint="eastAsia"/>
          <w:sz w:val="18"/>
          <w:szCs w:val="18"/>
        </w:rPr>
        <w:t>无。</w:t>
      </w:r>
    </w:p>
    <w:p w:rsidR="00E23A97" w:rsidRPr="00831C3C" w:rsidRDefault="00C65FD5">
      <w:pPr>
        <w:pStyle w:val="3"/>
        <w:spacing w:line="280" w:lineRule="exact"/>
        <w:jc w:val="left"/>
        <w:rPr>
          <w:rFonts w:ascii="宋体" w:hAnsi="宋体" w:cs="宋体"/>
          <w:b/>
          <w:bCs/>
        </w:rPr>
      </w:pPr>
      <w:bookmarkStart w:id="532" w:name="_Toc989413"/>
      <w:r w:rsidRPr="00831C3C">
        <w:rPr>
          <w:rFonts w:ascii="宋体" w:hAnsi="宋体" w:cs="宋体"/>
          <w:b/>
          <w:bCs/>
        </w:rPr>
        <w:lastRenderedPageBreak/>
        <w:t>3、持续和非持续第二层次公允价值计量项目，采用的估值技术和重要参数的定性及定量信息</w:t>
      </w:r>
      <w:bookmarkEnd w:id="532"/>
    </w:p>
    <w:p w:rsidR="00E23A97" w:rsidRPr="00831C3C" w:rsidRDefault="00C65FD5">
      <w:pPr>
        <w:pStyle w:val="3"/>
        <w:spacing w:line="280" w:lineRule="exact"/>
        <w:jc w:val="left"/>
        <w:rPr>
          <w:rFonts w:ascii="宋体" w:hAnsi="宋体" w:cs="宋体"/>
          <w:b/>
          <w:bCs/>
        </w:rPr>
      </w:pPr>
      <w:bookmarkStart w:id="533" w:name="_Toc989414"/>
      <w:r w:rsidRPr="00831C3C">
        <w:rPr>
          <w:rFonts w:ascii="宋体" w:hAnsi="宋体" w:cs="宋体"/>
          <w:b/>
          <w:bCs/>
        </w:rPr>
        <w:t>4、持续和非持续第三层次公允价值计量项目，采用的估值技术和重要参数的定性及定量信息</w:t>
      </w:r>
      <w:bookmarkEnd w:id="533"/>
    </w:p>
    <w:p w:rsidR="00E23A97" w:rsidRPr="00831C3C" w:rsidRDefault="00C65FD5">
      <w:pPr>
        <w:pStyle w:val="3"/>
        <w:spacing w:line="280" w:lineRule="exact"/>
        <w:jc w:val="left"/>
        <w:rPr>
          <w:rFonts w:ascii="宋体" w:hAnsi="宋体" w:cs="宋体"/>
          <w:b/>
          <w:bCs/>
        </w:rPr>
      </w:pPr>
      <w:bookmarkStart w:id="534" w:name="_Toc989415"/>
      <w:r w:rsidRPr="00831C3C">
        <w:rPr>
          <w:rFonts w:ascii="宋体" w:hAnsi="宋体" w:cs="宋体"/>
          <w:b/>
          <w:bCs/>
        </w:rPr>
        <w:t>5、持续的第三层次公允价值计量项目，期初与期末账面价值间的调节信息及不可观察参数敏感性分析</w:t>
      </w:r>
      <w:bookmarkEnd w:id="534"/>
    </w:p>
    <w:p w:rsidR="00E23A97" w:rsidRPr="00831C3C" w:rsidRDefault="00C65FD5">
      <w:pPr>
        <w:pStyle w:val="3"/>
        <w:spacing w:line="280" w:lineRule="exact"/>
        <w:jc w:val="left"/>
        <w:rPr>
          <w:rFonts w:ascii="宋体" w:hAnsi="宋体" w:cs="宋体"/>
          <w:b/>
          <w:bCs/>
        </w:rPr>
      </w:pPr>
      <w:bookmarkStart w:id="535" w:name="_Toc989416"/>
      <w:r w:rsidRPr="00831C3C">
        <w:rPr>
          <w:rFonts w:ascii="宋体" w:hAnsi="宋体" w:cs="宋体"/>
          <w:b/>
          <w:bCs/>
        </w:rPr>
        <w:t>6、持续的公允价值计量项目，本期内发生各层级之间转换的，转换的原因及确定转换时点的政策</w:t>
      </w:r>
      <w:bookmarkEnd w:id="535"/>
    </w:p>
    <w:p w:rsidR="00E23A97" w:rsidRPr="00831C3C" w:rsidRDefault="00C65FD5">
      <w:pPr>
        <w:pStyle w:val="3"/>
        <w:spacing w:line="280" w:lineRule="exact"/>
        <w:jc w:val="left"/>
        <w:rPr>
          <w:rFonts w:ascii="宋体" w:hAnsi="宋体" w:cs="宋体"/>
          <w:b/>
          <w:bCs/>
        </w:rPr>
      </w:pPr>
      <w:bookmarkStart w:id="536" w:name="_Toc989417"/>
      <w:r w:rsidRPr="00831C3C">
        <w:rPr>
          <w:rFonts w:ascii="宋体" w:hAnsi="宋体" w:cs="宋体"/>
          <w:b/>
          <w:bCs/>
        </w:rPr>
        <w:t>7、本期内发生的估值技术变更及变更原因</w:t>
      </w:r>
      <w:bookmarkEnd w:id="536"/>
    </w:p>
    <w:p w:rsidR="00E23A97" w:rsidRPr="00831C3C" w:rsidRDefault="00C65FD5">
      <w:pPr>
        <w:pStyle w:val="3"/>
        <w:spacing w:line="280" w:lineRule="exact"/>
        <w:jc w:val="left"/>
        <w:rPr>
          <w:rFonts w:ascii="宋体" w:hAnsi="宋体" w:cs="宋体"/>
          <w:b/>
          <w:bCs/>
        </w:rPr>
      </w:pPr>
      <w:bookmarkStart w:id="537" w:name="_Toc989418"/>
      <w:r w:rsidRPr="00831C3C">
        <w:rPr>
          <w:rFonts w:ascii="宋体" w:hAnsi="宋体" w:cs="宋体"/>
          <w:b/>
          <w:bCs/>
        </w:rPr>
        <w:t>8、不以公允价值计量的金融资产和金融负债的公允价值情况</w:t>
      </w:r>
      <w:bookmarkEnd w:id="537"/>
    </w:p>
    <w:p w:rsidR="00E23A97" w:rsidRPr="00831C3C" w:rsidRDefault="00C65FD5">
      <w:pPr>
        <w:pStyle w:val="3"/>
        <w:spacing w:line="280" w:lineRule="exact"/>
        <w:jc w:val="left"/>
        <w:rPr>
          <w:rFonts w:ascii="宋体" w:hAnsi="宋体" w:cs="宋体"/>
          <w:b/>
          <w:bCs/>
        </w:rPr>
      </w:pPr>
      <w:bookmarkStart w:id="538" w:name="_Toc989419"/>
      <w:r w:rsidRPr="00831C3C">
        <w:rPr>
          <w:rFonts w:ascii="宋体" w:hAnsi="宋体" w:cs="宋体"/>
          <w:b/>
          <w:bCs/>
        </w:rPr>
        <w:t>9、其他</w:t>
      </w:r>
      <w:bookmarkEnd w:id="538"/>
    </w:p>
    <w:p w:rsidR="00E23A97" w:rsidRPr="00831C3C" w:rsidRDefault="00C65FD5">
      <w:pPr>
        <w:pStyle w:val="2"/>
        <w:spacing w:before="300" w:after="300" w:line="320" w:lineRule="exact"/>
        <w:rPr>
          <w:rFonts w:ascii="宋体" w:eastAsia="宋体" w:hAnsi="宋体" w:cs="宋体"/>
          <w:b/>
          <w:bCs/>
          <w:sz w:val="24"/>
          <w:szCs w:val="24"/>
        </w:rPr>
      </w:pPr>
      <w:bookmarkStart w:id="539" w:name="_Toc989420"/>
      <w:r w:rsidRPr="00831C3C">
        <w:rPr>
          <w:rFonts w:ascii="宋体" w:eastAsia="宋体" w:hAnsi="宋体" w:cs="宋体"/>
          <w:b/>
          <w:bCs/>
          <w:sz w:val="24"/>
          <w:szCs w:val="24"/>
        </w:rPr>
        <w:t>十四、关联方及关联交易</w:t>
      </w:r>
      <w:bookmarkEnd w:id="539"/>
    </w:p>
    <w:p w:rsidR="00E23A97" w:rsidRPr="00831C3C" w:rsidRDefault="00C65FD5">
      <w:pPr>
        <w:pStyle w:val="3"/>
        <w:spacing w:line="280" w:lineRule="exact"/>
        <w:jc w:val="left"/>
        <w:rPr>
          <w:rFonts w:ascii="宋体" w:hAnsi="宋体" w:cs="宋体"/>
          <w:b/>
          <w:bCs/>
        </w:rPr>
      </w:pPr>
      <w:bookmarkStart w:id="540" w:name="_Toc989421"/>
      <w:r w:rsidRPr="00831C3C">
        <w:rPr>
          <w:rFonts w:ascii="宋体" w:hAnsi="宋体" w:cs="宋体"/>
          <w:b/>
          <w:bCs/>
        </w:rPr>
        <w:t>1、本企业的母公司情况</w:t>
      </w:r>
      <w:bookmarkEnd w:id="540"/>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06"/>
        <w:gridCol w:w="1606"/>
        <w:gridCol w:w="1606"/>
        <w:gridCol w:w="1607"/>
        <w:gridCol w:w="1607"/>
        <w:gridCol w:w="1607"/>
      </w:tblGrid>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母公司名称</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注册地</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业务性质</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注册资本</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母公司对本企业的持股比例</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母公司对本企业的表决权比例</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华孚控股有限公司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广东省深圳市</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投资兴办实业(具体项目另行申报)；色纺纱、服装经营；纺织设备进出口业务；在合法取得的土地使用权范围内从事房地产开发、经营；计算机应用、软件开发。</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41,300.00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30.62%</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30.62%</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本企业的母公司情况的说明</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本企业最终控制方是孙伟挺和陈玲芬。</w:t>
      </w:r>
    </w:p>
    <w:p w:rsidR="00C65FD5" w:rsidRPr="00831C3C" w:rsidRDefault="00C65FD5" w:rsidP="00BE6F3B">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r w:rsidRPr="00831C3C">
        <w:rPr>
          <w:rFonts w:hint="eastAsia"/>
          <w:sz w:val="18"/>
          <w:szCs w:val="18"/>
        </w:rPr>
        <w:t>无。</w:t>
      </w:r>
    </w:p>
    <w:p w:rsidR="00E23A97" w:rsidRPr="00831C3C" w:rsidRDefault="00C65FD5">
      <w:pPr>
        <w:pStyle w:val="3"/>
        <w:spacing w:line="280" w:lineRule="exact"/>
        <w:jc w:val="left"/>
        <w:rPr>
          <w:rFonts w:ascii="宋体" w:hAnsi="宋体" w:cs="宋体"/>
          <w:b/>
          <w:bCs/>
        </w:rPr>
      </w:pPr>
      <w:bookmarkStart w:id="541" w:name="_Toc989422"/>
      <w:r w:rsidRPr="00831C3C">
        <w:rPr>
          <w:rFonts w:ascii="宋体" w:hAnsi="宋体" w:cs="宋体"/>
          <w:b/>
          <w:bCs/>
        </w:rPr>
        <w:t>2、本企业的子公司情况</w:t>
      </w:r>
      <w:bookmarkEnd w:id="541"/>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本企业子公司的情况详见附注十</w:t>
      </w:r>
      <w:proofErr w:type="gramStart"/>
      <w:r w:rsidRPr="00831C3C">
        <w:rPr>
          <w:rFonts w:ascii="宋体" w:eastAsia="宋体" w:hAnsi="宋体" w:cs="宋体"/>
          <w:sz w:val="18"/>
          <w:szCs w:val="18"/>
        </w:rPr>
        <w:t>1</w:t>
      </w:r>
      <w:proofErr w:type="gramEnd"/>
      <w:r w:rsidRPr="00831C3C">
        <w:rPr>
          <w:rFonts w:ascii="宋体" w:eastAsia="宋体" w:hAnsi="宋体" w:cs="宋体"/>
          <w:sz w:val="18"/>
          <w:szCs w:val="18"/>
        </w:rPr>
        <w:t>、在子公司中的权益。</w:t>
      </w:r>
    </w:p>
    <w:p w:rsidR="00E23A97" w:rsidRPr="00831C3C" w:rsidRDefault="00C65FD5">
      <w:pPr>
        <w:pStyle w:val="3"/>
        <w:spacing w:line="280" w:lineRule="exact"/>
        <w:jc w:val="left"/>
        <w:rPr>
          <w:rFonts w:ascii="宋体" w:hAnsi="宋体" w:cs="宋体"/>
          <w:b/>
          <w:bCs/>
        </w:rPr>
      </w:pPr>
      <w:bookmarkStart w:id="542" w:name="_Toc989423"/>
      <w:r w:rsidRPr="00831C3C">
        <w:rPr>
          <w:rFonts w:ascii="宋体" w:hAnsi="宋体" w:cs="宋体"/>
          <w:b/>
          <w:bCs/>
        </w:rPr>
        <w:t>3、本企业合营和联营企业情况</w:t>
      </w:r>
      <w:bookmarkEnd w:id="542"/>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本企业重要的合营或联营企业详见附注十</w:t>
      </w:r>
      <w:proofErr w:type="gramStart"/>
      <w:r w:rsidRPr="00831C3C">
        <w:rPr>
          <w:rFonts w:ascii="宋体" w:eastAsia="宋体" w:hAnsi="宋体" w:cs="宋体"/>
          <w:sz w:val="18"/>
          <w:szCs w:val="18"/>
        </w:rPr>
        <w:t>3</w:t>
      </w:r>
      <w:proofErr w:type="gramEnd"/>
      <w:r w:rsidRPr="00831C3C">
        <w:rPr>
          <w:rFonts w:ascii="宋体" w:eastAsia="宋体" w:hAnsi="宋体" w:cs="宋体"/>
          <w:sz w:val="18"/>
          <w:szCs w:val="18"/>
        </w:rPr>
        <w:t>、（1）重要的合营或联营企业。</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本期与本公司发生关联方交易，或前期与本公司发生关联方交易形成余额的其他合营或联营企业情况如下：</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4820"/>
        <w:gridCol w:w="4819"/>
      </w:tblGrid>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合营或联营企业名称</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与本企业关系</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福田实业（集团）有限公司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本公司子公司联营企业</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东莞沙田丽海纺织印染有限公司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本公司联营企业福田实业（集团）有限公司的子公司</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江阴福汇纺织</w:t>
            </w:r>
            <w:proofErr w:type="gramEnd"/>
            <w:r w:rsidRPr="00831C3C">
              <w:rPr>
                <w:rFonts w:ascii="宋体" w:eastAsia="宋体" w:hAnsi="宋体" w:cs="宋体"/>
                <w:sz w:val="18"/>
                <w:szCs w:val="18"/>
              </w:rPr>
              <w:t>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本公司联营企业福田实业（集团）有限公司的子公司</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盐城福汇纺织</w:t>
            </w:r>
            <w:proofErr w:type="gramEnd"/>
            <w:r w:rsidRPr="00831C3C">
              <w:rPr>
                <w:rFonts w:ascii="宋体" w:eastAsia="宋体" w:hAnsi="宋体" w:cs="宋体"/>
                <w:sz w:val="18"/>
                <w:szCs w:val="18"/>
              </w:rPr>
              <w:t>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本公司联营企业福田实业（集团）有限公司的子公司</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汉盛有限公司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本公司联营企业福田实业（集团）有限公司的子公司</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lastRenderedPageBreak/>
              <w:t>江苏科孚纺织品贸易有限公司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本公司子公司联营企业</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安徽环</w:t>
            </w:r>
            <w:proofErr w:type="gramStart"/>
            <w:r w:rsidRPr="00831C3C">
              <w:rPr>
                <w:rFonts w:ascii="宋体" w:eastAsia="宋体" w:hAnsi="宋体" w:cs="宋体"/>
                <w:sz w:val="18"/>
                <w:szCs w:val="18"/>
              </w:rPr>
              <w:t>捷供应</w:t>
            </w:r>
            <w:proofErr w:type="gramEnd"/>
            <w:r w:rsidRPr="00831C3C">
              <w:rPr>
                <w:rFonts w:ascii="宋体" w:eastAsia="宋体" w:hAnsi="宋体" w:cs="宋体"/>
                <w:sz w:val="18"/>
                <w:szCs w:val="18"/>
              </w:rPr>
              <w:t>链管理有限公司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2023年11月28日前系本公司子公司联营企业</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浙江华尚产业运营有限公司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本公司子公司联营企业</w:t>
            </w:r>
          </w:p>
        </w:tc>
      </w:tr>
    </w:tbl>
    <w:p w:rsidR="00C65FD5" w:rsidRPr="00831C3C" w:rsidRDefault="00C65FD5" w:rsidP="00BE6F3B">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r w:rsidRPr="00831C3C">
        <w:rPr>
          <w:rFonts w:hint="eastAsia"/>
          <w:sz w:val="18"/>
          <w:szCs w:val="18"/>
        </w:rPr>
        <w:t>无。</w:t>
      </w:r>
    </w:p>
    <w:p w:rsidR="00E23A97" w:rsidRPr="00831C3C" w:rsidRDefault="00C65FD5">
      <w:pPr>
        <w:pStyle w:val="3"/>
        <w:spacing w:line="280" w:lineRule="exact"/>
        <w:jc w:val="left"/>
        <w:rPr>
          <w:rFonts w:ascii="宋体" w:hAnsi="宋体" w:cs="宋体"/>
          <w:b/>
          <w:bCs/>
        </w:rPr>
      </w:pPr>
      <w:bookmarkStart w:id="543" w:name="_Toc989424"/>
      <w:r w:rsidRPr="00831C3C">
        <w:rPr>
          <w:rFonts w:ascii="宋体" w:hAnsi="宋体" w:cs="宋体"/>
          <w:b/>
          <w:bCs/>
        </w:rPr>
        <w:t>4、其他关联方情况</w:t>
      </w:r>
      <w:bookmarkEnd w:id="543"/>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4820"/>
        <w:gridCol w:w="4819"/>
      </w:tblGrid>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其他关联方名称</w:t>
            </w:r>
          </w:p>
        </w:tc>
        <w:tc>
          <w:tcPr>
            <w:tcW w:w="482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其他关联方与本企业关系</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宁海华联纺织有限公司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与本公司为同一控股股东</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宁海县华兴纺织原料有限公司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与本公司为同一控股股东</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华孚集团有限公司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实际控制人控制的公司</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浙江华孚纺织有限公司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与本公司为同一控股股东</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余姚华联纺织有限公司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与本公司为同一控股股东</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浙江万孚投资集团有限公司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与本公司为同一控股股东</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安徽新一棉纺织有限公司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与本公司为同一控股股东</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深圳市华人投资有限公司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本公司股东、实际控制人控制的公司</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浙江万孚物业管理</w:t>
            </w:r>
            <w:proofErr w:type="gramEnd"/>
            <w:r w:rsidRPr="00831C3C">
              <w:rPr>
                <w:rFonts w:ascii="宋体" w:eastAsia="宋体" w:hAnsi="宋体" w:cs="宋体"/>
                <w:sz w:val="18"/>
                <w:szCs w:val="18"/>
              </w:rPr>
              <w:t>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与本公司为同一控股股东</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安徽飞亚纺织集团有限公司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本公司股东、与本公司为同一控股股东</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石河子国民村镇银行有限责任公司</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本公司持有5%的股权</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上虞市华孚房地产开发有限公司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与本公司为同一控股股东</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新疆恒孚棉产业集团有限公司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与本公司为同一控股股东</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新疆棉花产业集团有限公司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控股子公司少数股东</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孙伟挺，陈玲芬，陈翰，刁英峰，高卫东，黄亚英，程桂松，王国友，张正，盛永月，熊旭锋，宣刚江</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本公司董事、监事及其他高级管理人员</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新疆纺织工业城有限公司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与本公司为同一控股股东</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库车银花棉业有限责任公司</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2024年9月前系合并范围内子公司</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江阴</w:t>
            </w:r>
            <w:proofErr w:type="gramStart"/>
            <w:r w:rsidRPr="00831C3C">
              <w:rPr>
                <w:rFonts w:ascii="宋体" w:eastAsia="宋体" w:hAnsi="宋体" w:cs="宋体"/>
                <w:sz w:val="18"/>
                <w:szCs w:val="18"/>
              </w:rPr>
              <w:t>市传澄</w:t>
            </w:r>
            <w:proofErr w:type="gramEnd"/>
            <w:r w:rsidRPr="00831C3C">
              <w:rPr>
                <w:rFonts w:ascii="宋体" w:eastAsia="宋体" w:hAnsi="宋体" w:cs="宋体"/>
                <w:sz w:val="18"/>
                <w:szCs w:val="18"/>
              </w:rPr>
              <w:t>电子商务有限公司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其他关联方</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淡安（江苏）健康产业有限公司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江阴</w:t>
            </w:r>
            <w:proofErr w:type="gramStart"/>
            <w:r w:rsidRPr="00831C3C">
              <w:rPr>
                <w:rFonts w:ascii="宋体" w:eastAsia="宋体" w:hAnsi="宋体" w:cs="宋体"/>
                <w:sz w:val="18"/>
                <w:szCs w:val="18"/>
              </w:rPr>
              <w:t>市传澄</w:t>
            </w:r>
            <w:proofErr w:type="gramEnd"/>
            <w:r w:rsidRPr="00831C3C">
              <w:rPr>
                <w:rFonts w:ascii="宋体" w:eastAsia="宋体" w:hAnsi="宋体" w:cs="宋体"/>
                <w:sz w:val="18"/>
                <w:szCs w:val="18"/>
              </w:rPr>
              <w:t>子公司</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江苏</w:t>
            </w:r>
            <w:proofErr w:type="gramStart"/>
            <w:r w:rsidRPr="00831C3C">
              <w:rPr>
                <w:rFonts w:ascii="宋体" w:eastAsia="宋体" w:hAnsi="宋体" w:cs="宋体"/>
                <w:sz w:val="18"/>
                <w:szCs w:val="18"/>
              </w:rPr>
              <w:t>传澄文化</w:t>
            </w:r>
            <w:proofErr w:type="gramEnd"/>
            <w:r w:rsidRPr="00831C3C">
              <w:rPr>
                <w:rFonts w:ascii="宋体" w:eastAsia="宋体" w:hAnsi="宋体" w:cs="宋体"/>
                <w:sz w:val="18"/>
                <w:szCs w:val="18"/>
              </w:rPr>
              <w:t>传播有限公司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江阴</w:t>
            </w:r>
            <w:proofErr w:type="gramStart"/>
            <w:r w:rsidRPr="00831C3C">
              <w:rPr>
                <w:rFonts w:ascii="宋体" w:eastAsia="宋体" w:hAnsi="宋体" w:cs="宋体"/>
                <w:sz w:val="18"/>
                <w:szCs w:val="18"/>
              </w:rPr>
              <w:t>市传澄</w:t>
            </w:r>
            <w:proofErr w:type="gramEnd"/>
            <w:r w:rsidRPr="00831C3C">
              <w:rPr>
                <w:rFonts w:ascii="宋体" w:eastAsia="宋体" w:hAnsi="宋体" w:cs="宋体"/>
                <w:sz w:val="18"/>
                <w:szCs w:val="18"/>
              </w:rPr>
              <w:t>子公司</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上海</w:t>
            </w:r>
            <w:proofErr w:type="gramStart"/>
            <w:r w:rsidRPr="00831C3C">
              <w:rPr>
                <w:rFonts w:ascii="宋体" w:eastAsia="宋体" w:hAnsi="宋体" w:cs="宋体"/>
                <w:sz w:val="18"/>
                <w:szCs w:val="18"/>
              </w:rPr>
              <w:t>传澄供应</w:t>
            </w:r>
            <w:proofErr w:type="gramEnd"/>
            <w:r w:rsidRPr="00831C3C">
              <w:rPr>
                <w:rFonts w:ascii="宋体" w:eastAsia="宋体" w:hAnsi="宋体" w:cs="宋体"/>
                <w:sz w:val="18"/>
                <w:szCs w:val="18"/>
              </w:rPr>
              <w:t>链管理有限公司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江阴</w:t>
            </w:r>
            <w:proofErr w:type="gramStart"/>
            <w:r w:rsidRPr="00831C3C">
              <w:rPr>
                <w:rFonts w:ascii="宋体" w:eastAsia="宋体" w:hAnsi="宋体" w:cs="宋体"/>
                <w:sz w:val="18"/>
                <w:szCs w:val="18"/>
              </w:rPr>
              <w:t>市传澄</w:t>
            </w:r>
            <w:proofErr w:type="gramEnd"/>
            <w:r w:rsidRPr="00831C3C">
              <w:rPr>
                <w:rFonts w:ascii="宋体" w:eastAsia="宋体" w:hAnsi="宋体" w:cs="宋体"/>
                <w:sz w:val="18"/>
                <w:szCs w:val="18"/>
              </w:rPr>
              <w:t>子公司</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江阴</w:t>
            </w:r>
            <w:proofErr w:type="gramStart"/>
            <w:r w:rsidRPr="00831C3C">
              <w:rPr>
                <w:rFonts w:ascii="宋体" w:eastAsia="宋体" w:hAnsi="宋体" w:cs="宋体"/>
                <w:sz w:val="18"/>
                <w:szCs w:val="18"/>
              </w:rPr>
              <w:t>市大澄企业管理</w:t>
            </w:r>
            <w:proofErr w:type="gramEnd"/>
            <w:r w:rsidRPr="00831C3C">
              <w:rPr>
                <w:rFonts w:ascii="宋体" w:eastAsia="宋体" w:hAnsi="宋体" w:cs="宋体"/>
                <w:sz w:val="18"/>
                <w:szCs w:val="18"/>
              </w:rPr>
              <w:t>合伙企业（有限合伙）</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江阴</w:t>
            </w:r>
            <w:proofErr w:type="gramStart"/>
            <w:r w:rsidRPr="00831C3C">
              <w:rPr>
                <w:rFonts w:ascii="宋体" w:eastAsia="宋体" w:hAnsi="宋体" w:cs="宋体"/>
                <w:sz w:val="18"/>
                <w:szCs w:val="18"/>
              </w:rPr>
              <w:t>市传澄</w:t>
            </w:r>
            <w:proofErr w:type="gramEnd"/>
            <w:r w:rsidRPr="00831C3C">
              <w:rPr>
                <w:rFonts w:ascii="宋体" w:eastAsia="宋体" w:hAnsi="宋体" w:cs="宋体"/>
                <w:sz w:val="18"/>
                <w:szCs w:val="18"/>
              </w:rPr>
              <w:t>子公司</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吉安供应链管理淮安有限公司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持有子公司阿克苏银星物流有限公司20%股份</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呼图壁县</w:t>
            </w:r>
            <w:proofErr w:type="gramStart"/>
            <w:r w:rsidRPr="00831C3C">
              <w:rPr>
                <w:rFonts w:ascii="宋体" w:eastAsia="宋体" w:hAnsi="宋体" w:cs="宋体"/>
                <w:sz w:val="18"/>
                <w:szCs w:val="18"/>
              </w:rPr>
              <w:t>宏盛棉业</w:t>
            </w:r>
            <w:proofErr w:type="gramEnd"/>
            <w:r w:rsidRPr="00831C3C">
              <w:rPr>
                <w:rFonts w:ascii="宋体" w:eastAsia="宋体" w:hAnsi="宋体" w:cs="宋体"/>
                <w:sz w:val="18"/>
                <w:szCs w:val="18"/>
              </w:rPr>
              <w:t>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2023年6月前系合并范围内子公司</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绍兴领尚纺织</w:t>
            </w:r>
            <w:proofErr w:type="gramEnd"/>
            <w:r w:rsidRPr="00831C3C">
              <w:rPr>
                <w:rFonts w:ascii="宋体" w:eastAsia="宋体" w:hAnsi="宋体" w:cs="宋体"/>
                <w:sz w:val="18"/>
                <w:szCs w:val="18"/>
              </w:rPr>
              <w:t>科技有限公司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浙江华尚产业运营有限公司子公司</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库车</w:t>
            </w:r>
            <w:proofErr w:type="gramStart"/>
            <w:r w:rsidRPr="00831C3C">
              <w:rPr>
                <w:rFonts w:ascii="宋体" w:eastAsia="宋体" w:hAnsi="宋体" w:cs="宋体"/>
                <w:sz w:val="18"/>
                <w:szCs w:val="18"/>
              </w:rPr>
              <w:t>恒丰棉业</w:t>
            </w:r>
            <w:proofErr w:type="gramEnd"/>
            <w:r w:rsidRPr="00831C3C">
              <w:rPr>
                <w:rFonts w:ascii="宋体" w:eastAsia="宋体" w:hAnsi="宋体" w:cs="宋体"/>
                <w:sz w:val="18"/>
                <w:szCs w:val="18"/>
              </w:rPr>
              <w:t>有限责任公司</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2023年7月前系合并范围内子公司</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新疆棉花产业（集团）叶城棉业有限责任公司</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2023年8月前系合并范围内子公司</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阿克苏</w:t>
            </w:r>
            <w:proofErr w:type="gramStart"/>
            <w:r w:rsidRPr="00831C3C">
              <w:rPr>
                <w:rFonts w:ascii="宋体" w:eastAsia="宋体" w:hAnsi="宋体" w:cs="宋体"/>
                <w:sz w:val="18"/>
                <w:szCs w:val="18"/>
              </w:rPr>
              <w:t>地区华</w:t>
            </w:r>
            <w:proofErr w:type="gramEnd"/>
            <w:r w:rsidRPr="00831C3C">
              <w:rPr>
                <w:rFonts w:ascii="宋体" w:eastAsia="宋体" w:hAnsi="宋体" w:cs="宋体"/>
                <w:sz w:val="18"/>
                <w:szCs w:val="18"/>
              </w:rPr>
              <w:t>孚纺织职业培训学校</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与本公司为同一控股股东</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安徽昊泰纺织有限公司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浙江万孚投资集团有限公司控股子公司，孙伟挺担任法定代表人</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喀什</w:t>
            </w:r>
            <w:proofErr w:type="gramStart"/>
            <w:r w:rsidRPr="00831C3C">
              <w:rPr>
                <w:rFonts w:ascii="宋体" w:eastAsia="宋体" w:hAnsi="宋体" w:cs="宋体"/>
                <w:sz w:val="18"/>
                <w:szCs w:val="18"/>
              </w:rPr>
              <w:t>暄</w:t>
            </w:r>
            <w:proofErr w:type="gramEnd"/>
            <w:r w:rsidRPr="00831C3C">
              <w:rPr>
                <w:rFonts w:ascii="宋体" w:eastAsia="宋体" w:hAnsi="宋体" w:cs="宋体"/>
                <w:sz w:val="18"/>
                <w:szCs w:val="18"/>
              </w:rPr>
              <w:t>纺棉花有限公司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2024年6月前系合并范围内子公司</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钟耀栋、蔡姗妮</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控股子公司浙江</w:t>
            </w:r>
            <w:proofErr w:type="gramStart"/>
            <w:r w:rsidRPr="00831C3C">
              <w:rPr>
                <w:rFonts w:ascii="宋体" w:eastAsia="宋体" w:hAnsi="宋体" w:cs="宋体"/>
                <w:sz w:val="18"/>
                <w:szCs w:val="18"/>
              </w:rPr>
              <w:t>阿大小</w:t>
            </w:r>
            <w:proofErr w:type="gramEnd"/>
            <w:r w:rsidRPr="00831C3C">
              <w:rPr>
                <w:rFonts w:ascii="宋体" w:eastAsia="宋体" w:hAnsi="宋体" w:cs="宋体"/>
                <w:sz w:val="18"/>
                <w:szCs w:val="18"/>
              </w:rPr>
              <w:t>股东</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浙江华孚网链投资管理有限公司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与本公司为同一控股股东，孙伟挺担任法定代表人</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浙江博忆纺织科技有限公司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2023年11月前系浙江阿大子公司</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新疆泽孚棉花有限公司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2024年9月前系合并范围内子公司</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深圳市天计数</w:t>
            </w:r>
            <w:proofErr w:type="gramStart"/>
            <w:r w:rsidRPr="00831C3C">
              <w:rPr>
                <w:rFonts w:ascii="宋体" w:eastAsia="宋体" w:hAnsi="宋体" w:cs="宋体"/>
                <w:sz w:val="18"/>
                <w:szCs w:val="18"/>
              </w:rPr>
              <w:t>智科技</w:t>
            </w:r>
            <w:proofErr w:type="gramEnd"/>
            <w:r w:rsidRPr="00831C3C">
              <w:rPr>
                <w:rFonts w:ascii="宋体" w:eastAsia="宋体" w:hAnsi="宋体" w:cs="宋体"/>
                <w:sz w:val="18"/>
                <w:szCs w:val="18"/>
              </w:rPr>
              <w:t>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2024年4月前系合并范围内子公司</w:t>
            </w:r>
          </w:p>
        </w:tc>
      </w:tr>
      <w:tr w:rsidR="00831C3C" w:rsidRPr="00831C3C">
        <w:trPr>
          <w:trHeight w:val="240"/>
        </w:trPr>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新疆生产建设兵团第七</w:t>
            </w:r>
            <w:proofErr w:type="gramStart"/>
            <w:r w:rsidRPr="00831C3C">
              <w:rPr>
                <w:rFonts w:ascii="宋体" w:eastAsia="宋体" w:hAnsi="宋体" w:cs="宋体"/>
                <w:sz w:val="18"/>
                <w:szCs w:val="18"/>
              </w:rPr>
              <w:t>师国有</w:t>
            </w:r>
            <w:proofErr w:type="gramEnd"/>
            <w:r w:rsidRPr="00831C3C">
              <w:rPr>
                <w:rFonts w:ascii="宋体" w:eastAsia="宋体" w:hAnsi="宋体" w:cs="宋体"/>
                <w:sz w:val="18"/>
                <w:szCs w:val="18"/>
              </w:rPr>
              <w:t>资本投资运营集团有限公司</w:t>
            </w:r>
          </w:p>
        </w:tc>
        <w:tc>
          <w:tcPr>
            <w:tcW w:w="482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2021年2月前系持有</w:t>
            </w:r>
            <w:proofErr w:type="gramStart"/>
            <w:r w:rsidRPr="00831C3C">
              <w:rPr>
                <w:rFonts w:ascii="宋体" w:eastAsia="宋体" w:hAnsi="宋体" w:cs="宋体"/>
                <w:sz w:val="18"/>
                <w:szCs w:val="18"/>
              </w:rPr>
              <w:t>奎屯锦孚</w:t>
            </w:r>
            <w:proofErr w:type="gramEnd"/>
            <w:r w:rsidRPr="00831C3C">
              <w:rPr>
                <w:rFonts w:ascii="宋体" w:eastAsia="宋体" w:hAnsi="宋体" w:cs="宋体"/>
                <w:sz w:val="18"/>
                <w:szCs w:val="18"/>
              </w:rPr>
              <w:t>33%的小股东</w:t>
            </w:r>
          </w:p>
        </w:tc>
      </w:tr>
    </w:tbl>
    <w:p w:rsidR="00C65FD5" w:rsidRPr="00831C3C" w:rsidRDefault="00C65FD5" w:rsidP="00BE6F3B">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r w:rsidRPr="00831C3C">
        <w:rPr>
          <w:rFonts w:hint="eastAsia"/>
          <w:sz w:val="18"/>
          <w:szCs w:val="18"/>
        </w:rPr>
        <w:t>无。</w:t>
      </w:r>
    </w:p>
    <w:p w:rsidR="00E23A97" w:rsidRPr="00831C3C" w:rsidRDefault="00C65FD5">
      <w:pPr>
        <w:pStyle w:val="3"/>
        <w:spacing w:line="280" w:lineRule="exact"/>
        <w:jc w:val="left"/>
        <w:rPr>
          <w:rFonts w:ascii="宋体" w:hAnsi="宋体" w:cs="宋体"/>
          <w:b/>
          <w:bCs/>
        </w:rPr>
      </w:pPr>
      <w:bookmarkStart w:id="544" w:name="_Toc989425"/>
      <w:r w:rsidRPr="00831C3C">
        <w:rPr>
          <w:rFonts w:ascii="宋体" w:hAnsi="宋体" w:cs="宋体"/>
          <w:b/>
          <w:bCs/>
        </w:rPr>
        <w:t>5、关联交易情况</w:t>
      </w:r>
      <w:bookmarkEnd w:id="544"/>
    </w:p>
    <w:p w:rsidR="00E23A97" w:rsidRPr="00831C3C" w:rsidRDefault="00C65FD5">
      <w:pPr>
        <w:keepNext/>
        <w:keepLines/>
        <w:spacing w:before="300" w:after="300" w:line="280" w:lineRule="exact"/>
        <w:outlineLvl w:val="3"/>
        <w:rPr>
          <w:rFonts w:ascii="宋体" w:eastAsia="宋体" w:hAnsi="宋体" w:cs="宋体"/>
          <w:b/>
          <w:bCs/>
          <w:szCs w:val="21"/>
        </w:rPr>
      </w:pPr>
      <w:bookmarkStart w:id="545" w:name="_Toc989426"/>
      <w:r w:rsidRPr="00831C3C">
        <w:rPr>
          <w:rFonts w:ascii="宋体" w:eastAsia="宋体" w:hAnsi="宋体" w:cs="宋体"/>
          <w:b/>
          <w:bCs/>
          <w:szCs w:val="21"/>
        </w:rPr>
        <w:t>（1）购销商品、提供和接受劳务的关联交易</w:t>
      </w:r>
      <w:bookmarkEnd w:id="545"/>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采购商品/接受劳务情况表</w:t>
      </w:r>
    </w:p>
    <w:p w:rsidR="00E23A97" w:rsidRPr="00831C3C" w:rsidRDefault="00C65FD5">
      <w:pPr>
        <w:spacing w:before="120" w:after="120" w:line="240" w:lineRule="exact"/>
        <w:jc w:val="right"/>
        <w:rPr>
          <w:rFonts w:ascii="宋体" w:eastAsia="宋体" w:hAnsi="宋体" w:cs="宋体"/>
          <w:sz w:val="18"/>
          <w:szCs w:val="18"/>
        </w:rPr>
      </w:pPr>
      <w:r w:rsidRPr="00831C3C">
        <w:rPr>
          <w:rFonts w:ascii="宋体" w:eastAsia="宋体" w:hAnsi="宋体" w:cs="宋体"/>
          <w:sz w:val="18"/>
          <w:szCs w:val="18"/>
        </w:rPr>
        <w:lastRenderedPageBreak/>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06"/>
        <w:gridCol w:w="1606"/>
        <w:gridCol w:w="1606"/>
        <w:gridCol w:w="1607"/>
        <w:gridCol w:w="1607"/>
        <w:gridCol w:w="1607"/>
      </w:tblGrid>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关联方</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关联交易内容</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本期发生额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获批的交易额度</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是否超过交易额度</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上期发生额</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江苏科孚纺织品贸易有限公司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采购棉花</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29,466,727.53</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100,000,000.00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41,067,832.08</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浙江华孚网链投资管理有限公司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采购房屋</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277,064,220.18</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302,000,000.00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深圳市天计数</w:t>
            </w:r>
            <w:proofErr w:type="gramStart"/>
            <w:r w:rsidRPr="00831C3C">
              <w:rPr>
                <w:rFonts w:ascii="宋体" w:eastAsia="宋体" w:hAnsi="宋体" w:cs="宋体"/>
                <w:sz w:val="18"/>
                <w:szCs w:val="18"/>
              </w:rPr>
              <w:t>智科技</w:t>
            </w:r>
            <w:proofErr w:type="gramEnd"/>
            <w:r w:rsidRPr="00831C3C">
              <w:rPr>
                <w:rFonts w:ascii="宋体" w:eastAsia="宋体" w:hAnsi="宋体" w:cs="宋体"/>
                <w:sz w:val="18"/>
                <w:szCs w:val="18"/>
              </w:rPr>
              <w:t>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采购技术服务</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448,550.30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浙江华尚产业运营有限公司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采购物业服务</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2,000,000.00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2,000,000.00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安徽环</w:t>
            </w:r>
            <w:proofErr w:type="gramStart"/>
            <w:r w:rsidRPr="00831C3C">
              <w:rPr>
                <w:rFonts w:ascii="宋体" w:eastAsia="宋体" w:hAnsi="宋体" w:cs="宋体"/>
                <w:sz w:val="18"/>
                <w:szCs w:val="18"/>
              </w:rPr>
              <w:t>捷供应</w:t>
            </w:r>
            <w:proofErr w:type="gramEnd"/>
            <w:r w:rsidRPr="00831C3C">
              <w:rPr>
                <w:rFonts w:ascii="宋体" w:eastAsia="宋体" w:hAnsi="宋体" w:cs="宋体"/>
                <w:sz w:val="18"/>
                <w:szCs w:val="18"/>
              </w:rPr>
              <w:t>链管理有限公司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仓储物流服务</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132,769,167.31</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150,000,000.00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189,820,828.76</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呼图壁县</w:t>
            </w:r>
            <w:proofErr w:type="gramStart"/>
            <w:r w:rsidRPr="00831C3C">
              <w:rPr>
                <w:rFonts w:ascii="宋体" w:eastAsia="宋体" w:hAnsi="宋体" w:cs="宋体"/>
                <w:sz w:val="18"/>
                <w:szCs w:val="18"/>
              </w:rPr>
              <w:t>宏盛棉业</w:t>
            </w:r>
            <w:proofErr w:type="gramEnd"/>
            <w:r w:rsidRPr="00831C3C">
              <w:rPr>
                <w:rFonts w:ascii="宋体" w:eastAsia="宋体" w:hAnsi="宋体" w:cs="宋体"/>
                <w:sz w:val="18"/>
                <w:szCs w:val="18"/>
              </w:rPr>
              <w:t>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采购棉花</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82,416,180.80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90,678,519.11</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吉安供应链管理淮安有限公司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仓储物流服务</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800,339.88</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出售商品/提供劳务情况表</w:t>
      </w:r>
    </w:p>
    <w:p w:rsidR="00E23A97" w:rsidRPr="00831C3C" w:rsidRDefault="00C65FD5">
      <w:pPr>
        <w:spacing w:before="120" w:after="12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关联方</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关联交易内容</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本期发生额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上期发生额</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绍兴领尚纺织</w:t>
            </w:r>
            <w:proofErr w:type="gramEnd"/>
            <w:r w:rsidRPr="00831C3C">
              <w:rPr>
                <w:rFonts w:ascii="宋体" w:eastAsia="宋体" w:hAnsi="宋体" w:cs="宋体"/>
                <w:sz w:val="18"/>
                <w:szCs w:val="18"/>
              </w:rPr>
              <w:t>科技有限公司</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销售皮棉</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1,197,099.71</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绍兴领尚纺织</w:t>
            </w:r>
            <w:proofErr w:type="gramEnd"/>
            <w:r w:rsidRPr="00831C3C">
              <w:rPr>
                <w:rFonts w:ascii="宋体" w:eastAsia="宋体" w:hAnsi="宋体" w:cs="宋体"/>
                <w:sz w:val="18"/>
                <w:szCs w:val="18"/>
              </w:rPr>
              <w:t>科技有限公司</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销售服务</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68,495.13</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浙江华尚产业运营有限公司</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销售服务</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917,431.19</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132,528.82</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浙江华尚产业运营有限公司</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销售纱线</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5,980,899.67</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绍兴市上虞区华孚房地产开发有限公司</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销售房屋</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7,182,016.50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吉安供应链管理淮安有限公司</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销售服务</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1,124,571.93</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阿克苏</w:t>
            </w:r>
            <w:proofErr w:type="gramStart"/>
            <w:r w:rsidRPr="00831C3C">
              <w:rPr>
                <w:rFonts w:ascii="宋体" w:eastAsia="宋体" w:hAnsi="宋体" w:cs="宋体"/>
                <w:sz w:val="18"/>
                <w:szCs w:val="18"/>
              </w:rPr>
              <w:t>地区华</w:t>
            </w:r>
            <w:proofErr w:type="gramEnd"/>
            <w:r w:rsidRPr="00831C3C">
              <w:rPr>
                <w:rFonts w:ascii="宋体" w:eastAsia="宋体" w:hAnsi="宋体" w:cs="宋体"/>
                <w:sz w:val="18"/>
                <w:szCs w:val="18"/>
              </w:rPr>
              <w:t>孚纺织职业培训学校</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服务费</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930,000.00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4,000,200.00</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购销商品、提供和接受劳务的关联交易说明</w:t>
      </w:r>
    </w:p>
    <w:p w:rsidR="00C65FD5" w:rsidRPr="00831C3C" w:rsidRDefault="00C65FD5" w:rsidP="00BE6F3B">
      <w:pPr>
        <w:pStyle w:val="a3"/>
        <w:spacing w:before="120" w:beforeAutospacing="0" w:after="0" w:afterAutospacing="0"/>
        <w:ind w:left="420"/>
        <w:divId w:val="1173836943"/>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注1：安徽环</w:t>
      </w:r>
      <w:proofErr w:type="gramStart"/>
      <w:r w:rsidRPr="00831C3C">
        <w:rPr>
          <w:rFonts w:asciiTheme="minorEastAsia" w:eastAsiaTheme="minorEastAsia" w:hAnsiTheme="minorEastAsia" w:cs="Times New Roman" w:hint="eastAsia"/>
          <w:sz w:val="18"/>
          <w:szCs w:val="18"/>
        </w:rPr>
        <w:t>捷供应</w:t>
      </w:r>
      <w:proofErr w:type="gramEnd"/>
      <w:r w:rsidRPr="00831C3C">
        <w:rPr>
          <w:rFonts w:asciiTheme="minorEastAsia" w:eastAsiaTheme="minorEastAsia" w:hAnsiTheme="minorEastAsia" w:cs="Times New Roman" w:hint="eastAsia"/>
          <w:sz w:val="18"/>
          <w:szCs w:val="18"/>
        </w:rPr>
        <w:t>链管理有限公司本期</w:t>
      </w:r>
      <w:proofErr w:type="gramStart"/>
      <w:r w:rsidRPr="00831C3C">
        <w:rPr>
          <w:rFonts w:asciiTheme="minorEastAsia" w:eastAsiaTheme="minorEastAsia" w:hAnsiTheme="minorEastAsia" w:cs="Times New Roman" w:hint="eastAsia"/>
          <w:sz w:val="18"/>
          <w:szCs w:val="18"/>
        </w:rPr>
        <w:t>发生额系2024年</w:t>
      </w:r>
      <w:proofErr w:type="gramEnd"/>
      <w:r w:rsidRPr="00831C3C">
        <w:rPr>
          <w:rFonts w:asciiTheme="minorEastAsia" w:eastAsiaTheme="minorEastAsia" w:hAnsiTheme="minorEastAsia" w:cs="Times New Roman" w:hint="eastAsia"/>
          <w:sz w:val="18"/>
          <w:szCs w:val="18"/>
        </w:rPr>
        <w:t>1-11月交易金额。</w:t>
      </w:r>
    </w:p>
    <w:p w:rsidR="00C65FD5" w:rsidRPr="00831C3C" w:rsidRDefault="00C65FD5" w:rsidP="00BE6F3B">
      <w:pPr>
        <w:pStyle w:val="a3"/>
        <w:spacing w:before="120" w:beforeAutospacing="0" w:after="0" w:afterAutospacing="0"/>
        <w:ind w:left="420"/>
        <w:divId w:val="1173836943"/>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注2：呼图壁县</w:t>
      </w:r>
      <w:proofErr w:type="gramStart"/>
      <w:r w:rsidRPr="00831C3C">
        <w:rPr>
          <w:rFonts w:asciiTheme="minorEastAsia" w:eastAsiaTheme="minorEastAsia" w:hAnsiTheme="minorEastAsia" w:cs="Times New Roman" w:hint="eastAsia"/>
          <w:sz w:val="18"/>
          <w:szCs w:val="18"/>
        </w:rPr>
        <w:t>宏盛棉业</w:t>
      </w:r>
      <w:proofErr w:type="gramEnd"/>
      <w:r w:rsidRPr="00831C3C">
        <w:rPr>
          <w:rFonts w:asciiTheme="minorEastAsia" w:eastAsiaTheme="minorEastAsia" w:hAnsiTheme="minorEastAsia" w:cs="Times New Roman" w:hint="eastAsia"/>
          <w:sz w:val="18"/>
          <w:szCs w:val="18"/>
        </w:rPr>
        <w:t>有限公司本期</w:t>
      </w:r>
      <w:proofErr w:type="gramStart"/>
      <w:r w:rsidRPr="00831C3C">
        <w:rPr>
          <w:rFonts w:asciiTheme="minorEastAsia" w:eastAsiaTheme="minorEastAsia" w:hAnsiTheme="minorEastAsia" w:cs="Times New Roman" w:hint="eastAsia"/>
          <w:sz w:val="18"/>
          <w:szCs w:val="18"/>
        </w:rPr>
        <w:t>发生额系2024年</w:t>
      </w:r>
      <w:proofErr w:type="gramEnd"/>
      <w:r w:rsidRPr="00831C3C">
        <w:rPr>
          <w:rFonts w:asciiTheme="minorEastAsia" w:eastAsiaTheme="minorEastAsia" w:hAnsiTheme="minorEastAsia" w:cs="Times New Roman" w:hint="eastAsia"/>
          <w:sz w:val="18"/>
          <w:szCs w:val="18"/>
        </w:rPr>
        <w:t>1-6月交易金额。</w:t>
      </w:r>
    </w:p>
    <w:p w:rsidR="00C65FD5" w:rsidRPr="00831C3C" w:rsidRDefault="00C65FD5" w:rsidP="00BE6F3B">
      <w:pPr>
        <w:pStyle w:val="a3"/>
        <w:spacing w:before="120" w:beforeAutospacing="0" w:after="0" w:afterAutospacing="0"/>
        <w:ind w:left="420"/>
        <w:divId w:val="1173836943"/>
        <w:rPr>
          <w:rFonts w:asciiTheme="minorEastAsia" w:eastAsiaTheme="minorEastAsia" w:hAnsiTheme="minorEastAsia" w:cs="Times New Roman"/>
          <w:sz w:val="18"/>
          <w:szCs w:val="18"/>
        </w:rPr>
      </w:pPr>
      <w:r w:rsidRPr="00831C3C">
        <w:rPr>
          <w:rFonts w:asciiTheme="minorEastAsia" w:eastAsiaTheme="minorEastAsia" w:hAnsiTheme="minorEastAsia" w:cs="Times New Roman" w:hint="eastAsia"/>
          <w:sz w:val="18"/>
          <w:szCs w:val="18"/>
        </w:rPr>
        <w:t>注3：吉安供应链管理淮安有限公司的上期、本期</w:t>
      </w:r>
      <w:proofErr w:type="gramStart"/>
      <w:r w:rsidRPr="00831C3C">
        <w:rPr>
          <w:rFonts w:asciiTheme="minorEastAsia" w:eastAsiaTheme="minorEastAsia" w:hAnsiTheme="minorEastAsia" w:cs="Times New Roman" w:hint="eastAsia"/>
          <w:sz w:val="18"/>
          <w:szCs w:val="18"/>
        </w:rPr>
        <w:t>发生额系与</w:t>
      </w:r>
      <w:proofErr w:type="gramEnd"/>
      <w:r w:rsidRPr="00831C3C">
        <w:rPr>
          <w:rFonts w:asciiTheme="minorEastAsia" w:eastAsiaTheme="minorEastAsia" w:hAnsiTheme="minorEastAsia" w:cs="Times New Roman" w:hint="eastAsia"/>
          <w:sz w:val="18"/>
          <w:szCs w:val="18"/>
        </w:rPr>
        <w:t>阿克苏银星物流有限公司的交易金额。</w:t>
      </w:r>
    </w:p>
    <w:p w:rsidR="00E23A97" w:rsidRPr="00831C3C" w:rsidRDefault="00C65FD5">
      <w:pPr>
        <w:keepNext/>
        <w:keepLines/>
        <w:spacing w:before="300" w:after="300" w:line="280" w:lineRule="exact"/>
        <w:outlineLvl w:val="3"/>
        <w:rPr>
          <w:rFonts w:ascii="宋体" w:eastAsia="宋体" w:hAnsi="宋体" w:cs="宋体"/>
          <w:b/>
          <w:bCs/>
          <w:szCs w:val="21"/>
        </w:rPr>
      </w:pPr>
      <w:bookmarkStart w:id="546" w:name="_Toc989427"/>
      <w:r w:rsidRPr="00831C3C">
        <w:rPr>
          <w:rFonts w:ascii="宋体" w:eastAsia="宋体" w:hAnsi="宋体" w:cs="宋体"/>
          <w:b/>
          <w:bCs/>
          <w:szCs w:val="21"/>
        </w:rPr>
        <w:t>（2）关联受托管理/承包及委托管理/出包情况</w:t>
      </w:r>
      <w:bookmarkEnd w:id="546"/>
    </w:p>
    <w:p w:rsidR="00E23A97" w:rsidRPr="00831C3C" w:rsidRDefault="00C65FD5">
      <w:pPr>
        <w:keepNext/>
        <w:keepLines/>
        <w:spacing w:before="300" w:after="300" w:line="280" w:lineRule="exact"/>
        <w:outlineLvl w:val="3"/>
        <w:rPr>
          <w:rFonts w:ascii="宋体" w:eastAsia="宋体" w:hAnsi="宋体" w:cs="宋体"/>
          <w:b/>
          <w:bCs/>
          <w:szCs w:val="21"/>
        </w:rPr>
      </w:pPr>
      <w:bookmarkStart w:id="547" w:name="_Toc989428"/>
      <w:r w:rsidRPr="00831C3C">
        <w:rPr>
          <w:rFonts w:ascii="宋体" w:eastAsia="宋体" w:hAnsi="宋体" w:cs="宋体"/>
          <w:b/>
          <w:bCs/>
          <w:szCs w:val="21"/>
        </w:rPr>
        <w:t>（3）关联租赁情况</w:t>
      </w:r>
      <w:bookmarkEnd w:id="547"/>
    </w:p>
    <w:p w:rsidR="00E23A97" w:rsidRPr="00831C3C" w:rsidRDefault="00C65FD5">
      <w:pPr>
        <w:keepNext/>
        <w:keepLines/>
        <w:spacing w:before="300" w:after="300" w:line="280" w:lineRule="exact"/>
        <w:outlineLvl w:val="3"/>
        <w:rPr>
          <w:rFonts w:ascii="宋体" w:eastAsia="宋体" w:hAnsi="宋体" w:cs="宋体"/>
          <w:b/>
          <w:bCs/>
          <w:szCs w:val="21"/>
        </w:rPr>
      </w:pPr>
      <w:bookmarkStart w:id="548" w:name="_Toc989429"/>
      <w:r w:rsidRPr="00831C3C">
        <w:rPr>
          <w:rFonts w:ascii="宋体" w:eastAsia="宋体" w:hAnsi="宋体" w:cs="宋体"/>
          <w:b/>
          <w:bCs/>
          <w:szCs w:val="21"/>
        </w:rPr>
        <w:t>（4）关联担保情况</w:t>
      </w:r>
      <w:bookmarkEnd w:id="548"/>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本公司作为担保方</w:t>
      </w:r>
      <w:r w:rsidR="00BE6F3B" w:rsidRPr="00831C3C">
        <w:rPr>
          <w:rFonts w:ascii="宋体" w:eastAsia="宋体" w:hAnsi="宋体" w:cs="宋体"/>
          <w:sz w:val="18"/>
          <w:szCs w:val="18"/>
        </w:rPr>
        <w:t>：无</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本公司作为被担保方</w:t>
      </w:r>
    </w:p>
    <w:p w:rsidR="00E23A97" w:rsidRPr="00831C3C" w:rsidRDefault="00C65FD5">
      <w:pPr>
        <w:spacing w:before="120" w:after="12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担保方</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担保金额</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担保起始日</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担保到期日</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担保是否已经履行完毕</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50,000,000.00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2024年10月08日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2025年10月08日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10,000,000.00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2024年03月15日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2025年03月07日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12,656,000.00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2024年03月15日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2025年03月07日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lastRenderedPageBreak/>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140,000,000.00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2024年03月15日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2025年02月24日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37,344,000.00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2024年04月09日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2025年04月03日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29,500,000.00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2024年08月20日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2025年08月20日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23,680,000.00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2024年08月20日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2025年02月17日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20,500,000.00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2024年08月20日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2025年02月17日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26,320,000.00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2024年08月30日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2025年08月29日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50,000,000.00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2024年12月09日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2025年06月06日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50,000,000.00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2024年12月09日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2025年05月29日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48,370,000.00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2024年10月25日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2025年08月07日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64,240,000.00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2024年10月25日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2025年08月13日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37,390,000.00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2024年10月25日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2025年07月23日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50,000,000.00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2024年12月04日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2025年09月12日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50,000,000.00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2024年12月05日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2025年09月22日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33,000,000.00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2024年10月15日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2025年09月25日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51,570,000.00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2024年10月15日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2025年10月10日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华孚控股有限公司</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14,580,000.00</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2024年10月15日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2025年09月25日</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否</w:t>
            </w:r>
          </w:p>
        </w:tc>
      </w:tr>
    </w:tbl>
    <w:p w:rsidR="00C65FD5" w:rsidRPr="00831C3C" w:rsidRDefault="00C65FD5" w:rsidP="00BE6F3B">
      <w:pPr>
        <w:spacing w:before="100" w:after="100" w:line="240" w:lineRule="exact"/>
        <w:rPr>
          <w:rFonts w:ascii="宋体" w:eastAsia="宋体" w:hAnsi="宋体" w:cs="宋体"/>
          <w:sz w:val="18"/>
          <w:szCs w:val="18"/>
        </w:rPr>
      </w:pPr>
      <w:r w:rsidRPr="00831C3C">
        <w:rPr>
          <w:rFonts w:ascii="宋体" w:eastAsia="宋体" w:hAnsi="宋体" w:cs="宋体"/>
          <w:sz w:val="18"/>
          <w:szCs w:val="18"/>
        </w:rPr>
        <w:t>关联担保情况说明</w:t>
      </w:r>
      <w:r w:rsidR="00BE6F3B" w:rsidRPr="00831C3C">
        <w:rPr>
          <w:rFonts w:ascii="宋体" w:eastAsia="宋体" w:hAnsi="宋体" w:cs="宋体" w:hint="eastAsia"/>
          <w:sz w:val="18"/>
          <w:szCs w:val="18"/>
        </w:rPr>
        <w:t>：</w:t>
      </w:r>
      <w:r w:rsidRPr="00831C3C">
        <w:rPr>
          <w:rFonts w:hint="eastAsia"/>
          <w:sz w:val="18"/>
          <w:szCs w:val="18"/>
        </w:rPr>
        <w:t>无。</w:t>
      </w:r>
    </w:p>
    <w:p w:rsidR="00E23A97" w:rsidRPr="00831C3C" w:rsidRDefault="00C65FD5">
      <w:pPr>
        <w:keepNext/>
        <w:keepLines/>
        <w:spacing w:before="300" w:after="300" w:line="280" w:lineRule="exact"/>
        <w:outlineLvl w:val="3"/>
        <w:rPr>
          <w:rFonts w:ascii="宋体" w:eastAsia="宋体" w:hAnsi="宋体" w:cs="宋体"/>
          <w:b/>
          <w:bCs/>
          <w:szCs w:val="21"/>
        </w:rPr>
      </w:pPr>
      <w:bookmarkStart w:id="549" w:name="_Toc989430"/>
      <w:r w:rsidRPr="00831C3C">
        <w:rPr>
          <w:rFonts w:ascii="宋体" w:eastAsia="宋体" w:hAnsi="宋体" w:cs="宋体"/>
          <w:b/>
          <w:bCs/>
          <w:szCs w:val="21"/>
        </w:rPr>
        <w:t>（5）关联方资金拆借</w:t>
      </w:r>
      <w:bookmarkEnd w:id="549"/>
    </w:p>
    <w:p w:rsidR="00E23A97" w:rsidRPr="00831C3C" w:rsidRDefault="00C65FD5">
      <w:pPr>
        <w:keepNext/>
        <w:keepLines/>
        <w:spacing w:before="300" w:after="300" w:line="280" w:lineRule="exact"/>
        <w:outlineLvl w:val="3"/>
        <w:rPr>
          <w:rFonts w:ascii="宋体" w:eastAsia="宋体" w:hAnsi="宋体" w:cs="宋体"/>
          <w:b/>
          <w:bCs/>
          <w:szCs w:val="21"/>
        </w:rPr>
      </w:pPr>
      <w:bookmarkStart w:id="550" w:name="_Toc989431"/>
      <w:r w:rsidRPr="00831C3C">
        <w:rPr>
          <w:rFonts w:ascii="宋体" w:eastAsia="宋体" w:hAnsi="宋体" w:cs="宋体"/>
          <w:b/>
          <w:bCs/>
          <w:szCs w:val="21"/>
        </w:rPr>
        <w:t>（6）关联方资产转让、债务重组情况</w:t>
      </w:r>
      <w:bookmarkEnd w:id="550"/>
    </w:p>
    <w:p w:rsidR="00E23A97" w:rsidRPr="00831C3C" w:rsidRDefault="00C65FD5">
      <w:pPr>
        <w:keepNext/>
        <w:keepLines/>
        <w:spacing w:before="300" w:after="300" w:line="280" w:lineRule="exact"/>
        <w:outlineLvl w:val="3"/>
        <w:rPr>
          <w:rFonts w:ascii="宋体" w:eastAsia="宋体" w:hAnsi="宋体" w:cs="宋体"/>
          <w:b/>
          <w:bCs/>
          <w:szCs w:val="21"/>
        </w:rPr>
      </w:pPr>
      <w:bookmarkStart w:id="551" w:name="_Toc989432"/>
      <w:r w:rsidRPr="00831C3C">
        <w:rPr>
          <w:rFonts w:ascii="宋体" w:eastAsia="宋体" w:hAnsi="宋体" w:cs="宋体"/>
          <w:b/>
          <w:bCs/>
          <w:szCs w:val="21"/>
        </w:rPr>
        <w:t>（7）关键管理人员报酬</w:t>
      </w:r>
      <w:bookmarkEnd w:id="551"/>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上期发生额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关键管理人员薪酬</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9,516,700.00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9,180,000.00</w:t>
            </w:r>
          </w:p>
        </w:tc>
      </w:tr>
    </w:tbl>
    <w:p w:rsidR="00E23A97" w:rsidRPr="00831C3C" w:rsidRDefault="00C65FD5">
      <w:pPr>
        <w:keepNext/>
        <w:keepLines/>
        <w:spacing w:before="300" w:after="300" w:line="280" w:lineRule="exact"/>
        <w:outlineLvl w:val="3"/>
        <w:rPr>
          <w:rFonts w:ascii="宋体" w:eastAsia="宋体" w:hAnsi="宋体" w:cs="宋体"/>
          <w:b/>
          <w:bCs/>
          <w:szCs w:val="21"/>
        </w:rPr>
      </w:pPr>
      <w:bookmarkStart w:id="552" w:name="_Toc989433"/>
      <w:r w:rsidRPr="00831C3C">
        <w:rPr>
          <w:rFonts w:ascii="宋体" w:eastAsia="宋体" w:hAnsi="宋体" w:cs="宋体"/>
          <w:b/>
          <w:bCs/>
          <w:szCs w:val="21"/>
        </w:rPr>
        <w:t>（8）其他关联交易</w:t>
      </w:r>
      <w:bookmarkEnd w:id="552"/>
    </w:p>
    <w:p w:rsidR="00E23A97" w:rsidRPr="00831C3C" w:rsidRDefault="00C65FD5">
      <w:pPr>
        <w:pStyle w:val="3"/>
        <w:spacing w:line="280" w:lineRule="exact"/>
        <w:jc w:val="left"/>
        <w:rPr>
          <w:rFonts w:ascii="宋体" w:hAnsi="宋体" w:cs="宋体"/>
          <w:b/>
          <w:bCs/>
        </w:rPr>
      </w:pPr>
      <w:bookmarkStart w:id="553" w:name="_Toc989434"/>
      <w:r w:rsidRPr="00831C3C">
        <w:rPr>
          <w:rFonts w:ascii="宋体" w:hAnsi="宋体" w:cs="宋体"/>
          <w:b/>
          <w:bCs/>
        </w:rPr>
        <w:t>6、关联方应收应付款项</w:t>
      </w:r>
      <w:bookmarkEnd w:id="553"/>
    </w:p>
    <w:p w:rsidR="00E23A97" w:rsidRPr="00831C3C" w:rsidRDefault="00C65FD5">
      <w:pPr>
        <w:keepNext/>
        <w:keepLines/>
        <w:spacing w:before="300" w:after="300" w:line="280" w:lineRule="exact"/>
        <w:outlineLvl w:val="3"/>
        <w:rPr>
          <w:rFonts w:ascii="宋体" w:eastAsia="宋体" w:hAnsi="宋体" w:cs="宋体"/>
          <w:b/>
          <w:bCs/>
          <w:szCs w:val="21"/>
        </w:rPr>
      </w:pPr>
      <w:bookmarkStart w:id="554" w:name="_Toc989435"/>
      <w:r w:rsidRPr="00831C3C">
        <w:rPr>
          <w:rFonts w:ascii="宋体" w:eastAsia="宋体" w:hAnsi="宋体" w:cs="宋体"/>
          <w:b/>
          <w:bCs/>
          <w:szCs w:val="21"/>
        </w:rPr>
        <w:t>（1）应收项目</w:t>
      </w:r>
      <w:bookmarkEnd w:id="554"/>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07"/>
        <w:gridCol w:w="1606"/>
        <w:gridCol w:w="1606"/>
        <w:gridCol w:w="1607"/>
        <w:gridCol w:w="1606"/>
        <w:gridCol w:w="1607"/>
      </w:tblGrid>
      <w:tr w:rsidR="00831C3C" w:rsidRPr="00831C3C">
        <w:trPr>
          <w:trHeight w:val="240"/>
        </w:trPr>
        <w:tc>
          <w:tcPr>
            <w:tcW w:w="160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项目名称</w:t>
            </w:r>
          </w:p>
        </w:tc>
        <w:tc>
          <w:tcPr>
            <w:tcW w:w="160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关联方</w:t>
            </w:r>
          </w:p>
        </w:tc>
        <w:tc>
          <w:tcPr>
            <w:tcW w:w="321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321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r>
      <w:tr w:rsidR="00831C3C" w:rsidRPr="00831C3C">
        <w:trPr>
          <w:trHeight w:val="240"/>
        </w:trPr>
        <w:tc>
          <w:tcPr>
            <w:tcW w:w="160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60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账面余额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坏账准备</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账面余额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坏账准备</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应收账款</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阿瓦提银花棉业有限责任公司</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570,000.00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28,500.00</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库车银花棉业有限责任公司</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244,800.00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12,240.00</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库车</w:t>
            </w:r>
            <w:proofErr w:type="gramStart"/>
            <w:r w:rsidRPr="00831C3C">
              <w:rPr>
                <w:rFonts w:ascii="宋体" w:eastAsia="宋体" w:hAnsi="宋体" w:cs="宋体"/>
                <w:sz w:val="18"/>
                <w:szCs w:val="18"/>
              </w:rPr>
              <w:t>恒丰棉业</w:t>
            </w:r>
            <w:proofErr w:type="gramEnd"/>
            <w:r w:rsidRPr="00831C3C">
              <w:rPr>
                <w:rFonts w:ascii="宋体" w:eastAsia="宋体" w:hAnsi="宋体" w:cs="宋体"/>
                <w:sz w:val="18"/>
                <w:szCs w:val="18"/>
              </w:rPr>
              <w:t>有限责任公司</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182,000.00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9,100.00</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呼图壁县</w:t>
            </w:r>
            <w:proofErr w:type="gramStart"/>
            <w:r w:rsidRPr="00831C3C">
              <w:rPr>
                <w:rFonts w:ascii="宋体" w:eastAsia="宋体" w:hAnsi="宋体" w:cs="宋体"/>
                <w:sz w:val="18"/>
                <w:szCs w:val="18"/>
              </w:rPr>
              <w:t>宏盛棉业</w:t>
            </w:r>
            <w:proofErr w:type="gramEnd"/>
            <w:r w:rsidRPr="00831C3C">
              <w:rPr>
                <w:rFonts w:ascii="宋体" w:eastAsia="宋体" w:hAnsi="宋体" w:cs="宋体"/>
                <w:sz w:val="18"/>
                <w:szCs w:val="18"/>
              </w:rPr>
              <w:t>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511,000.00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25,550.00</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江阴</w:t>
            </w:r>
            <w:proofErr w:type="gramStart"/>
            <w:r w:rsidRPr="00831C3C">
              <w:rPr>
                <w:rFonts w:ascii="宋体" w:eastAsia="宋体" w:hAnsi="宋体" w:cs="宋体"/>
                <w:sz w:val="18"/>
                <w:szCs w:val="18"/>
              </w:rPr>
              <w:t>市传澄</w:t>
            </w:r>
            <w:proofErr w:type="gramEnd"/>
            <w:r w:rsidRPr="00831C3C">
              <w:rPr>
                <w:rFonts w:ascii="宋体" w:eastAsia="宋体" w:hAnsi="宋体" w:cs="宋体"/>
                <w:sz w:val="18"/>
                <w:szCs w:val="18"/>
              </w:rPr>
              <w:t>电子商务有限公司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112,963.97</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11,296.40</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浙江华尚产业运营有限公司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3,515,475.11</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175,773.76</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绍兴领尚纺织</w:t>
            </w:r>
            <w:proofErr w:type="gramEnd"/>
            <w:r w:rsidRPr="00831C3C">
              <w:rPr>
                <w:rFonts w:ascii="宋体" w:eastAsia="宋体" w:hAnsi="宋体" w:cs="宋体"/>
                <w:sz w:val="18"/>
                <w:szCs w:val="18"/>
              </w:rPr>
              <w:t>科技有限公司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1,007,889.40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50,394.47</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lastRenderedPageBreak/>
              <w:t>预付款项</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呼图壁县</w:t>
            </w:r>
            <w:proofErr w:type="gramStart"/>
            <w:r w:rsidRPr="00831C3C">
              <w:rPr>
                <w:rFonts w:ascii="宋体" w:eastAsia="宋体" w:hAnsi="宋体" w:cs="宋体"/>
                <w:sz w:val="18"/>
                <w:szCs w:val="18"/>
              </w:rPr>
              <w:t>宏盛棉业</w:t>
            </w:r>
            <w:proofErr w:type="gramEnd"/>
            <w:r w:rsidRPr="00831C3C">
              <w:rPr>
                <w:rFonts w:ascii="宋体" w:eastAsia="宋体" w:hAnsi="宋体" w:cs="宋体"/>
                <w:sz w:val="18"/>
                <w:szCs w:val="18"/>
              </w:rPr>
              <w:t>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117,859,346.61</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安徽环</w:t>
            </w:r>
            <w:proofErr w:type="gramStart"/>
            <w:r w:rsidRPr="00831C3C">
              <w:rPr>
                <w:rFonts w:ascii="宋体" w:eastAsia="宋体" w:hAnsi="宋体" w:cs="宋体"/>
                <w:sz w:val="18"/>
                <w:szCs w:val="18"/>
              </w:rPr>
              <w:t>捷供应</w:t>
            </w:r>
            <w:proofErr w:type="gramEnd"/>
            <w:r w:rsidRPr="00831C3C">
              <w:rPr>
                <w:rFonts w:ascii="宋体" w:eastAsia="宋体" w:hAnsi="宋体" w:cs="宋体"/>
                <w:sz w:val="18"/>
                <w:szCs w:val="18"/>
              </w:rPr>
              <w:t>链管理有限公司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3,079,386.96</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江苏科孚纺织品贸易有限公司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4,183,152.66</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其他应收款</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江阴</w:t>
            </w:r>
            <w:proofErr w:type="gramStart"/>
            <w:r w:rsidRPr="00831C3C">
              <w:rPr>
                <w:rFonts w:ascii="宋体" w:eastAsia="宋体" w:hAnsi="宋体" w:cs="宋体"/>
                <w:sz w:val="18"/>
                <w:szCs w:val="18"/>
              </w:rPr>
              <w:t>市传澄</w:t>
            </w:r>
            <w:proofErr w:type="gramEnd"/>
            <w:r w:rsidRPr="00831C3C">
              <w:rPr>
                <w:rFonts w:ascii="宋体" w:eastAsia="宋体" w:hAnsi="宋体" w:cs="宋体"/>
                <w:sz w:val="18"/>
                <w:szCs w:val="18"/>
              </w:rPr>
              <w:t>电子商务有限公司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10,068,674.97</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4,700,317.49</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10,117,786.67</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1,912,217.33</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江苏</w:t>
            </w:r>
            <w:proofErr w:type="gramStart"/>
            <w:r w:rsidRPr="00831C3C">
              <w:rPr>
                <w:rFonts w:ascii="宋体" w:eastAsia="宋体" w:hAnsi="宋体" w:cs="宋体"/>
                <w:sz w:val="18"/>
                <w:szCs w:val="18"/>
              </w:rPr>
              <w:t>传澄文化</w:t>
            </w:r>
            <w:proofErr w:type="gramEnd"/>
            <w:r w:rsidRPr="00831C3C">
              <w:rPr>
                <w:rFonts w:ascii="宋体" w:eastAsia="宋体" w:hAnsi="宋体" w:cs="宋体"/>
                <w:sz w:val="18"/>
                <w:szCs w:val="18"/>
              </w:rPr>
              <w:t>传播有限公司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11,846,111.10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8,494,222.22</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11,846,111.10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5,166,277.78</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新疆棉花产业（集团）叶城棉业有限责任公司</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55,882.00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2,794.10</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新疆棉花产业集团有限公司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93,562.80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93,562.80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93,562.80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93,562.80</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新疆生产建设兵团第七</w:t>
            </w:r>
            <w:proofErr w:type="gramStart"/>
            <w:r w:rsidRPr="00831C3C">
              <w:rPr>
                <w:rFonts w:ascii="宋体" w:eastAsia="宋体" w:hAnsi="宋体" w:cs="宋体"/>
                <w:sz w:val="18"/>
                <w:szCs w:val="18"/>
              </w:rPr>
              <w:t>师国有</w:t>
            </w:r>
            <w:proofErr w:type="gramEnd"/>
            <w:r w:rsidRPr="00831C3C">
              <w:rPr>
                <w:rFonts w:ascii="宋体" w:eastAsia="宋体" w:hAnsi="宋体" w:cs="宋体"/>
                <w:sz w:val="18"/>
                <w:szCs w:val="18"/>
              </w:rPr>
              <w:t>资本投资运营集团有限公司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371,904.51</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371,904.51</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371,904.51</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371,904.51</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浙江华尚产业运营有限公司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1,000,000.00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50,000.00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其他非流动资产</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浙江华孚网链投资管理有限公司</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205,125,725.95</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bl>
    <w:p w:rsidR="00E23A97" w:rsidRPr="00831C3C" w:rsidRDefault="00C65FD5">
      <w:pPr>
        <w:keepNext/>
        <w:keepLines/>
        <w:spacing w:before="300" w:after="300" w:line="280" w:lineRule="exact"/>
        <w:outlineLvl w:val="3"/>
        <w:rPr>
          <w:rFonts w:ascii="宋体" w:eastAsia="宋体" w:hAnsi="宋体" w:cs="宋体"/>
          <w:b/>
          <w:bCs/>
          <w:szCs w:val="21"/>
        </w:rPr>
      </w:pPr>
      <w:bookmarkStart w:id="555" w:name="_Toc989436"/>
      <w:r w:rsidRPr="00831C3C">
        <w:rPr>
          <w:rFonts w:ascii="宋体" w:eastAsia="宋体" w:hAnsi="宋体" w:cs="宋体"/>
          <w:b/>
          <w:bCs/>
          <w:szCs w:val="21"/>
        </w:rPr>
        <w:t>（2）应付项目</w:t>
      </w:r>
      <w:bookmarkEnd w:id="555"/>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526"/>
        <w:gridCol w:w="3293"/>
        <w:gridCol w:w="2410"/>
        <w:gridCol w:w="2410"/>
      </w:tblGrid>
      <w:tr w:rsidR="00831C3C" w:rsidRPr="00831C3C" w:rsidTr="00961CF9">
        <w:trPr>
          <w:trHeight w:val="240"/>
        </w:trPr>
        <w:tc>
          <w:tcPr>
            <w:tcW w:w="152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项目名称</w:t>
            </w:r>
          </w:p>
        </w:tc>
        <w:tc>
          <w:tcPr>
            <w:tcW w:w="329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关联方</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期末账面余额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期初账面余额</w:t>
            </w:r>
          </w:p>
        </w:tc>
      </w:tr>
      <w:tr w:rsidR="00831C3C" w:rsidRPr="00831C3C" w:rsidTr="00961CF9">
        <w:trPr>
          <w:trHeight w:val="240"/>
        </w:trPr>
        <w:tc>
          <w:tcPr>
            <w:tcW w:w="152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应付账款</w:t>
            </w:r>
          </w:p>
        </w:tc>
        <w:tc>
          <w:tcPr>
            <w:tcW w:w="329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rsidTr="00961CF9">
        <w:trPr>
          <w:trHeight w:val="240"/>
        </w:trPr>
        <w:tc>
          <w:tcPr>
            <w:tcW w:w="152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32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安徽环</w:t>
            </w:r>
            <w:proofErr w:type="gramStart"/>
            <w:r w:rsidRPr="00831C3C">
              <w:rPr>
                <w:rFonts w:ascii="宋体" w:eastAsia="宋体" w:hAnsi="宋体" w:cs="宋体"/>
                <w:sz w:val="18"/>
                <w:szCs w:val="18"/>
              </w:rPr>
              <w:t>捷供应</w:t>
            </w:r>
            <w:proofErr w:type="gramEnd"/>
            <w:r w:rsidRPr="00831C3C">
              <w:rPr>
                <w:rFonts w:ascii="宋体" w:eastAsia="宋体" w:hAnsi="宋体" w:cs="宋体"/>
                <w:sz w:val="18"/>
                <w:szCs w:val="18"/>
              </w:rPr>
              <w:t>链管理有限公司</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5,324,895.70</w:t>
            </w:r>
          </w:p>
        </w:tc>
      </w:tr>
      <w:tr w:rsidR="00831C3C" w:rsidRPr="00831C3C" w:rsidTr="00961CF9">
        <w:trPr>
          <w:trHeight w:val="240"/>
        </w:trPr>
        <w:tc>
          <w:tcPr>
            <w:tcW w:w="152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32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上海</w:t>
            </w:r>
            <w:proofErr w:type="gramStart"/>
            <w:r w:rsidRPr="00831C3C">
              <w:rPr>
                <w:rFonts w:ascii="宋体" w:eastAsia="宋体" w:hAnsi="宋体" w:cs="宋体"/>
                <w:sz w:val="18"/>
                <w:szCs w:val="18"/>
              </w:rPr>
              <w:t>传澄供应</w:t>
            </w:r>
            <w:proofErr w:type="gramEnd"/>
            <w:r w:rsidRPr="00831C3C">
              <w:rPr>
                <w:rFonts w:ascii="宋体" w:eastAsia="宋体" w:hAnsi="宋体" w:cs="宋体"/>
                <w:sz w:val="18"/>
                <w:szCs w:val="18"/>
              </w:rPr>
              <w:t>链管理有限公司</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rsidTr="00961CF9">
        <w:trPr>
          <w:trHeight w:val="240"/>
        </w:trPr>
        <w:tc>
          <w:tcPr>
            <w:tcW w:w="152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合同负债</w:t>
            </w:r>
          </w:p>
        </w:tc>
        <w:tc>
          <w:tcPr>
            <w:tcW w:w="329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rsidTr="00961CF9">
        <w:trPr>
          <w:trHeight w:val="240"/>
        </w:trPr>
        <w:tc>
          <w:tcPr>
            <w:tcW w:w="152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32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库车</w:t>
            </w:r>
            <w:proofErr w:type="gramStart"/>
            <w:r w:rsidRPr="00831C3C">
              <w:rPr>
                <w:rFonts w:ascii="宋体" w:eastAsia="宋体" w:hAnsi="宋体" w:cs="宋体"/>
                <w:sz w:val="18"/>
                <w:szCs w:val="18"/>
              </w:rPr>
              <w:t>恒丰棉业</w:t>
            </w:r>
            <w:proofErr w:type="gramEnd"/>
            <w:r w:rsidRPr="00831C3C">
              <w:rPr>
                <w:rFonts w:ascii="宋体" w:eastAsia="宋体" w:hAnsi="宋体" w:cs="宋体"/>
                <w:sz w:val="18"/>
                <w:szCs w:val="18"/>
              </w:rPr>
              <w:t>有限责任公司</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15,485,619.45</w:t>
            </w:r>
          </w:p>
        </w:tc>
      </w:tr>
      <w:tr w:rsidR="00831C3C" w:rsidRPr="00831C3C" w:rsidTr="00961CF9">
        <w:trPr>
          <w:trHeight w:val="240"/>
        </w:trPr>
        <w:tc>
          <w:tcPr>
            <w:tcW w:w="152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32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吉安供应链管理淮安有限公司</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56,500.08</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100,507.00</w:t>
            </w:r>
          </w:p>
        </w:tc>
      </w:tr>
      <w:tr w:rsidR="00831C3C" w:rsidRPr="00831C3C" w:rsidTr="00961CF9">
        <w:trPr>
          <w:trHeight w:val="240"/>
        </w:trPr>
        <w:tc>
          <w:tcPr>
            <w:tcW w:w="152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32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浙江博忆纺织科技有限公司</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77,973.54</w:t>
            </w:r>
          </w:p>
        </w:tc>
      </w:tr>
      <w:tr w:rsidR="00831C3C" w:rsidRPr="00831C3C" w:rsidTr="00961CF9">
        <w:trPr>
          <w:trHeight w:val="240"/>
        </w:trPr>
        <w:tc>
          <w:tcPr>
            <w:tcW w:w="152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32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绍兴领尚纺织</w:t>
            </w:r>
            <w:proofErr w:type="gramEnd"/>
            <w:r w:rsidRPr="00831C3C">
              <w:rPr>
                <w:rFonts w:ascii="宋体" w:eastAsia="宋体" w:hAnsi="宋体" w:cs="宋体"/>
                <w:sz w:val="18"/>
                <w:szCs w:val="18"/>
              </w:rPr>
              <w:t>科技有限公司</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1,793,893.30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rsidTr="00961CF9">
        <w:trPr>
          <w:trHeight w:val="240"/>
        </w:trPr>
        <w:tc>
          <w:tcPr>
            <w:tcW w:w="152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其他应付款</w:t>
            </w:r>
          </w:p>
        </w:tc>
        <w:tc>
          <w:tcPr>
            <w:tcW w:w="329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rsidTr="00961CF9">
        <w:trPr>
          <w:trHeight w:val="240"/>
        </w:trPr>
        <w:tc>
          <w:tcPr>
            <w:tcW w:w="152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32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新疆</w:t>
            </w:r>
            <w:proofErr w:type="gramStart"/>
            <w:r w:rsidRPr="00831C3C">
              <w:rPr>
                <w:rFonts w:ascii="宋体" w:eastAsia="宋体" w:hAnsi="宋体" w:cs="宋体"/>
                <w:sz w:val="18"/>
                <w:szCs w:val="18"/>
              </w:rPr>
              <w:t>新润气流纺</w:t>
            </w:r>
            <w:proofErr w:type="gramEnd"/>
            <w:r w:rsidRPr="00831C3C">
              <w:rPr>
                <w:rFonts w:ascii="宋体" w:eastAsia="宋体" w:hAnsi="宋体" w:cs="宋体"/>
                <w:sz w:val="18"/>
                <w:szCs w:val="18"/>
              </w:rPr>
              <w:t>有限公司</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516,959.12</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517,275.12</w:t>
            </w:r>
          </w:p>
        </w:tc>
      </w:tr>
      <w:tr w:rsidR="00831C3C" w:rsidRPr="00831C3C" w:rsidTr="00961CF9">
        <w:trPr>
          <w:trHeight w:val="240"/>
        </w:trPr>
        <w:tc>
          <w:tcPr>
            <w:tcW w:w="152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32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安徽环</w:t>
            </w:r>
            <w:proofErr w:type="gramStart"/>
            <w:r w:rsidRPr="00831C3C">
              <w:rPr>
                <w:rFonts w:ascii="宋体" w:eastAsia="宋体" w:hAnsi="宋体" w:cs="宋体"/>
                <w:sz w:val="18"/>
                <w:szCs w:val="18"/>
              </w:rPr>
              <w:t>捷供应</w:t>
            </w:r>
            <w:proofErr w:type="gramEnd"/>
            <w:r w:rsidRPr="00831C3C">
              <w:rPr>
                <w:rFonts w:ascii="宋体" w:eastAsia="宋体" w:hAnsi="宋体" w:cs="宋体"/>
                <w:sz w:val="18"/>
                <w:szCs w:val="18"/>
              </w:rPr>
              <w:t>链管理有限公司</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1,441,643.08</w:t>
            </w:r>
          </w:p>
        </w:tc>
      </w:tr>
      <w:tr w:rsidR="00831C3C" w:rsidRPr="00831C3C" w:rsidTr="00961CF9">
        <w:trPr>
          <w:trHeight w:val="240"/>
        </w:trPr>
        <w:tc>
          <w:tcPr>
            <w:tcW w:w="152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32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新疆棉花产业集团泽普棉业有限公司</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197,975.45</w:t>
            </w:r>
          </w:p>
        </w:tc>
      </w:tr>
      <w:tr w:rsidR="00831C3C" w:rsidRPr="00831C3C" w:rsidTr="00961CF9">
        <w:trPr>
          <w:trHeight w:val="240"/>
        </w:trPr>
        <w:tc>
          <w:tcPr>
            <w:tcW w:w="152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32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新疆泽孚棉花有限公司</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25,369.74</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rsidTr="00961CF9">
        <w:trPr>
          <w:trHeight w:val="240"/>
        </w:trPr>
        <w:tc>
          <w:tcPr>
            <w:tcW w:w="152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32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新疆棉花产业（集团）叶城棉业有限责任公司</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197,056.55</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rsidTr="00961CF9">
        <w:trPr>
          <w:trHeight w:val="240"/>
        </w:trPr>
        <w:tc>
          <w:tcPr>
            <w:tcW w:w="152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32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吉安供应链管理淮安有限公司</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1,622,217.43</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rsidTr="00961CF9">
        <w:trPr>
          <w:trHeight w:val="240"/>
        </w:trPr>
        <w:tc>
          <w:tcPr>
            <w:tcW w:w="152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32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阿克苏</w:t>
            </w:r>
            <w:proofErr w:type="gramStart"/>
            <w:r w:rsidRPr="00831C3C">
              <w:rPr>
                <w:rFonts w:ascii="宋体" w:eastAsia="宋体" w:hAnsi="宋体" w:cs="宋体"/>
                <w:sz w:val="18"/>
                <w:szCs w:val="18"/>
              </w:rPr>
              <w:t>地区华</w:t>
            </w:r>
            <w:proofErr w:type="gramEnd"/>
            <w:r w:rsidRPr="00831C3C">
              <w:rPr>
                <w:rFonts w:ascii="宋体" w:eastAsia="宋体" w:hAnsi="宋体" w:cs="宋体"/>
                <w:sz w:val="18"/>
                <w:szCs w:val="18"/>
              </w:rPr>
              <w:t>孚纺织职业培训学校</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rsidTr="00961CF9">
        <w:trPr>
          <w:trHeight w:val="240"/>
        </w:trPr>
        <w:tc>
          <w:tcPr>
            <w:tcW w:w="152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329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proofErr w:type="gramStart"/>
            <w:r w:rsidRPr="00831C3C">
              <w:rPr>
                <w:rFonts w:ascii="宋体" w:eastAsia="宋体" w:hAnsi="宋体" w:cs="宋体"/>
                <w:sz w:val="18"/>
                <w:szCs w:val="18"/>
              </w:rPr>
              <w:t>钟耀栋</w:t>
            </w:r>
            <w:proofErr w:type="gramEnd"/>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1,539,654.00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1,539,654.00</w:t>
            </w:r>
          </w:p>
        </w:tc>
      </w:tr>
    </w:tbl>
    <w:p w:rsidR="00E23A97" w:rsidRPr="00831C3C" w:rsidRDefault="00C65FD5">
      <w:pPr>
        <w:pStyle w:val="3"/>
        <w:spacing w:line="280" w:lineRule="exact"/>
        <w:jc w:val="left"/>
        <w:rPr>
          <w:rFonts w:ascii="宋体" w:hAnsi="宋体" w:cs="宋体"/>
          <w:b/>
          <w:bCs/>
        </w:rPr>
      </w:pPr>
      <w:bookmarkStart w:id="556" w:name="_Toc989437"/>
      <w:r w:rsidRPr="00831C3C">
        <w:rPr>
          <w:rFonts w:ascii="宋体" w:hAnsi="宋体" w:cs="宋体"/>
          <w:b/>
          <w:bCs/>
        </w:rPr>
        <w:t>7、关联方承诺</w:t>
      </w:r>
      <w:bookmarkEnd w:id="556"/>
    </w:p>
    <w:p w:rsidR="00E23A97" w:rsidRPr="00831C3C" w:rsidRDefault="00C65FD5">
      <w:pPr>
        <w:pStyle w:val="3"/>
        <w:spacing w:line="280" w:lineRule="exact"/>
        <w:jc w:val="left"/>
        <w:rPr>
          <w:rFonts w:ascii="宋体" w:hAnsi="宋体" w:cs="宋体"/>
          <w:b/>
          <w:bCs/>
        </w:rPr>
      </w:pPr>
      <w:bookmarkStart w:id="557" w:name="_Toc989438"/>
      <w:r w:rsidRPr="00831C3C">
        <w:rPr>
          <w:rFonts w:ascii="宋体" w:hAnsi="宋体" w:cs="宋体"/>
          <w:b/>
          <w:bCs/>
        </w:rPr>
        <w:t>8、其他</w:t>
      </w:r>
      <w:bookmarkEnd w:id="557"/>
    </w:p>
    <w:p w:rsidR="00C65FD5" w:rsidRPr="00831C3C" w:rsidRDefault="00C65FD5">
      <w:pPr>
        <w:pStyle w:val="a3"/>
        <w:divId w:val="1234967855"/>
        <w:rPr>
          <w:sz w:val="18"/>
          <w:szCs w:val="18"/>
        </w:rPr>
      </w:pPr>
      <w:r w:rsidRPr="00831C3C">
        <w:rPr>
          <w:rFonts w:hint="eastAsia"/>
          <w:sz w:val="18"/>
          <w:szCs w:val="18"/>
        </w:rPr>
        <w:t>无。</w:t>
      </w:r>
    </w:p>
    <w:p w:rsidR="00E23A97" w:rsidRPr="00831C3C" w:rsidRDefault="00C65FD5">
      <w:pPr>
        <w:pStyle w:val="2"/>
        <w:spacing w:before="300" w:after="300" w:line="320" w:lineRule="exact"/>
        <w:rPr>
          <w:rFonts w:ascii="宋体" w:eastAsia="宋体" w:hAnsi="宋体" w:cs="宋体"/>
          <w:b/>
          <w:bCs/>
          <w:sz w:val="24"/>
          <w:szCs w:val="24"/>
        </w:rPr>
      </w:pPr>
      <w:bookmarkStart w:id="558" w:name="_Toc989439"/>
      <w:r w:rsidRPr="00831C3C">
        <w:rPr>
          <w:rFonts w:ascii="宋体" w:eastAsia="宋体" w:hAnsi="宋体" w:cs="宋体"/>
          <w:b/>
          <w:bCs/>
          <w:sz w:val="24"/>
          <w:szCs w:val="24"/>
        </w:rPr>
        <w:lastRenderedPageBreak/>
        <w:t>十五、股份支付</w:t>
      </w:r>
      <w:bookmarkEnd w:id="558"/>
    </w:p>
    <w:p w:rsidR="00E23A97" w:rsidRPr="00831C3C" w:rsidRDefault="00C65FD5">
      <w:pPr>
        <w:pStyle w:val="3"/>
        <w:spacing w:line="280" w:lineRule="exact"/>
        <w:jc w:val="left"/>
        <w:rPr>
          <w:rFonts w:ascii="宋体" w:hAnsi="宋体" w:cs="宋体"/>
          <w:b/>
          <w:bCs/>
        </w:rPr>
      </w:pPr>
      <w:bookmarkStart w:id="559" w:name="_Toc989440"/>
      <w:r w:rsidRPr="00831C3C">
        <w:rPr>
          <w:rFonts w:ascii="宋体" w:hAnsi="宋体" w:cs="宋体"/>
          <w:b/>
          <w:bCs/>
        </w:rPr>
        <w:t>1、股份支付总体情况</w:t>
      </w:r>
      <w:bookmarkEnd w:id="559"/>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pStyle w:val="3"/>
        <w:spacing w:line="280" w:lineRule="exact"/>
        <w:jc w:val="left"/>
        <w:rPr>
          <w:rFonts w:ascii="宋体" w:hAnsi="宋体" w:cs="宋体"/>
          <w:b/>
          <w:bCs/>
        </w:rPr>
      </w:pPr>
      <w:bookmarkStart w:id="560" w:name="_Toc989441"/>
      <w:r w:rsidRPr="00831C3C">
        <w:rPr>
          <w:rFonts w:ascii="宋体" w:hAnsi="宋体" w:cs="宋体"/>
          <w:b/>
          <w:bCs/>
        </w:rPr>
        <w:t>2、以权益结算的股份支付情况</w:t>
      </w:r>
      <w:bookmarkEnd w:id="560"/>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pStyle w:val="3"/>
        <w:spacing w:line="280" w:lineRule="exact"/>
        <w:jc w:val="left"/>
        <w:rPr>
          <w:rFonts w:ascii="宋体" w:hAnsi="宋体" w:cs="宋体"/>
          <w:b/>
          <w:bCs/>
        </w:rPr>
      </w:pPr>
      <w:bookmarkStart w:id="561" w:name="_Toc989442"/>
      <w:r w:rsidRPr="00831C3C">
        <w:rPr>
          <w:rFonts w:ascii="宋体" w:hAnsi="宋体" w:cs="宋体"/>
          <w:b/>
          <w:bCs/>
        </w:rPr>
        <w:t>3、以现金结算的股份支付情况</w:t>
      </w:r>
      <w:bookmarkEnd w:id="561"/>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pStyle w:val="3"/>
        <w:spacing w:line="280" w:lineRule="exact"/>
        <w:jc w:val="left"/>
        <w:rPr>
          <w:rFonts w:ascii="宋体" w:hAnsi="宋体" w:cs="宋体"/>
          <w:b/>
          <w:bCs/>
        </w:rPr>
      </w:pPr>
      <w:bookmarkStart w:id="562" w:name="_Toc989443"/>
      <w:r w:rsidRPr="00831C3C">
        <w:rPr>
          <w:rFonts w:ascii="宋体" w:hAnsi="宋体" w:cs="宋体"/>
          <w:b/>
          <w:bCs/>
        </w:rPr>
        <w:t>4、本期股份支付费用</w:t>
      </w:r>
      <w:bookmarkEnd w:id="562"/>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pStyle w:val="3"/>
        <w:spacing w:line="280" w:lineRule="exact"/>
        <w:jc w:val="left"/>
        <w:rPr>
          <w:rFonts w:ascii="宋体" w:hAnsi="宋体" w:cs="宋体"/>
          <w:b/>
          <w:bCs/>
        </w:rPr>
      </w:pPr>
      <w:bookmarkStart w:id="563" w:name="_Toc989444"/>
      <w:r w:rsidRPr="00831C3C">
        <w:rPr>
          <w:rFonts w:ascii="宋体" w:hAnsi="宋体" w:cs="宋体"/>
          <w:b/>
          <w:bCs/>
        </w:rPr>
        <w:t>5、股份支付的修改、终止情况</w:t>
      </w:r>
      <w:bookmarkEnd w:id="563"/>
    </w:p>
    <w:p w:rsidR="00C65FD5" w:rsidRPr="00831C3C" w:rsidRDefault="00C65FD5">
      <w:pPr>
        <w:pStyle w:val="a3"/>
        <w:divId w:val="903686314"/>
        <w:rPr>
          <w:sz w:val="18"/>
          <w:szCs w:val="18"/>
        </w:rPr>
      </w:pPr>
      <w:r w:rsidRPr="00831C3C">
        <w:rPr>
          <w:rFonts w:hint="eastAsia"/>
          <w:sz w:val="18"/>
          <w:szCs w:val="18"/>
        </w:rPr>
        <w:t>无。</w:t>
      </w:r>
    </w:p>
    <w:p w:rsidR="00E23A97" w:rsidRPr="00831C3C" w:rsidRDefault="00C65FD5">
      <w:pPr>
        <w:pStyle w:val="3"/>
        <w:spacing w:line="280" w:lineRule="exact"/>
        <w:jc w:val="left"/>
        <w:rPr>
          <w:rFonts w:ascii="宋体" w:hAnsi="宋体" w:cs="宋体"/>
          <w:b/>
          <w:bCs/>
        </w:rPr>
      </w:pPr>
      <w:bookmarkStart w:id="564" w:name="_Toc989445"/>
      <w:r w:rsidRPr="00831C3C">
        <w:rPr>
          <w:rFonts w:ascii="宋体" w:hAnsi="宋体" w:cs="宋体"/>
          <w:b/>
          <w:bCs/>
        </w:rPr>
        <w:t>6、其他</w:t>
      </w:r>
      <w:bookmarkEnd w:id="564"/>
    </w:p>
    <w:p w:rsidR="00C65FD5" w:rsidRPr="00831C3C" w:rsidRDefault="00C65FD5">
      <w:pPr>
        <w:pStyle w:val="a3"/>
        <w:divId w:val="683826351"/>
        <w:rPr>
          <w:sz w:val="18"/>
          <w:szCs w:val="18"/>
        </w:rPr>
      </w:pPr>
      <w:r w:rsidRPr="00831C3C">
        <w:rPr>
          <w:rFonts w:hint="eastAsia"/>
          <w:sz w:val="18"/>
          <w:szCs w:val="18"/>
        </w:rPr>
        <w:t>无。</w:t>
      </w:r>
    </w:p>
    <w:p w:rsidR="00E23A97" w:rsidRPr="00831C3C" w:rsidRDefault="00C65FD5">
      <w:pPr>
        <w:pStyle w:val="2"/>
        <w:spacing w:before="300" w:after="300" w:line="320" w:lineRule="exact"/>
        <w:rPr>
          <w:rFonts w:ascii="宋体" w:eastAsia="宋体" w:hAnsi="宋体" w:cs="宋体"/>
          <w:b/>
          <w:bCs/>
          <w:sz w:val="24"/>
          <w:szCs w:val="24"/>
        </w:rPr>
      </w:pPr>
      <w:bookmarkStart w:id="565" w:name="_Toc989446"/>
      <w:r w:rsidRPr="00831C3C">
        <w:rPr>
          <w:rFonts w:ascii="宋体" w:eastAsia="宋体" w:hAnsi="宋体" w:cs="宋体"/>
          <w:b/>
          <w:bCs/>
          <w:sz w:val="24"/>
          <w:szCs w:val="24"/>
        </w:rPr>
        <w:t>十六、承诺及或有事项</w:t>
      </w:r>
      <w:bookmarkEnd w:id="565"/>
    </w:p>
    <w:p w:rsidR="00E23A97" w:rsidRPr="00831C3C" w:rsidRDefault="00C65FD5">
      <w:pPr>
        <w:pStyle w:val="3"/>
        <w:spacing w:line="280" w:lineRule="exact"/>
        <w:jc w:val="left"/>
        <w:rPr>
          <w:rFonts w:ascii="宋体" w:hAnsi="宋体" w:cs="宋体"/>
          <w:b/>
          <w:bCs/>
        </w:rPr>
      </w:pPr>
      <w:bookmarkStart w:id="566" w:name="_Toc989447"/>
      <w:r w:rsidRPr="00831C3C">
        <w:rPr>
          <w:rFonts w:ascii="宋体" w:hAnsi="宋体" w:cs="宋体"/>
          <w:b/>
          <w:bCs/>
        </w:rPr>
        <w:t>1、重要承诺事项</w:t>
      </w:r>
      <w:bookmarkEnd w:id="566"/>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资产负债表</w:t>
      </w:r>
      <w:proofErr w:type="gramStart"/>
      <w:r w:rsidRPr="00831C3C">
        <w:rPr>
          <w:rFonts w:ascii="宋体" w:eastAsia="宋体" w:hAnsi="宋体" w:cs="宋体"/>
          <w:sz w:val="18"/>
          <w:szCs w:val="18"/>
        </w:rPr>
        <w:t>日存在</w:t>
      </w:r>
      <w:proofErr w:type="gramEnd"/>
      <w:r w:rsidRPr="00831C3C">
        <w:rPr>
          <w:rFonts w:ascii="宋体" w:eastAsia="宋体" w:hAnsi="宋体" w:cs="宋体"/>
          <w:sz w:val="18"/>
          <w:szCs w:val="18"/>
        </w:rPr>
        <w:t>的重要承诺</w:t>
      </w:r>
    </w:p>
    <w:p w:rsidR="00C65FD5" w:rsidRPr="00831C3C" w:rsidRDefault="00C65FD5">
      <w:pPr>
        <w:pStyle w:val="a3"/>
        <w:divId w:val="1024021227"/>
        <w:rPr>
          <w:sz w:val="18"/>
          <w:szCs w:val="18"/>
        </w:rPr>
      </w:pPr>
      <w:r w:rsidRPr="00831C3C">
        <w:rPr>
          <w:rFonts w:hint="eastAsia"/>
          <w:sz w:val="18"/>
          <w:szCs w:val="18"/>
        </w:rPr>
        <w:t>无。</w:t>
      </w:r>
    </w:p>
    <w:p w:rsidR="00E23A97" w:rsidRPr="00831C3C" w:rsidRDefault="00C65FD5">
      <w:pPr>
        <w:pStyle w:val="3"/>
        <w:spacing w:line="280" w:lineRule="exact"/>
        <w:jc w:val="left"/>
        <w:rPr>
          <w:rFonts w:ascii="宋体" w:hAnsi="宋体" w:cs="宋体"/>
          <w:b/>
          <w:bCs/>
        </w:rPr>
      </w:pPr>
      <w:bookmarkStart w:id="567" w:name="_Toc989448"/>
      <w:r w:rsidRPr="00831C3C">
        <w:rPr>
          <w:rFonts w:ascii="宋体" w:hAnsi="宋体" w:cs="宋体"/>
          <w:b/>
          <w:bCs/>
        </w:rPr>
        <w:t>2、或有事项</w:t>
      </w:r>
      <w:bookmarkEnd w:id="567"/>
    </w:p>
    <w:p w:rsidR="00E23A97" w:rsidRPr="00831C3C" w:rsidRDefault="00C65FD5">
      <w:pPr>
        <w:keepNext/>
        <w:keepLines/>
        <w:spacing w:before="300" w:after="300" w:line="280" w:lineRule="exact"/>
        <w:outlineLvl w:val="3"/>
        <w:rPr>
          <w:rFonts w:ascii="宋体" w:eastAsia="宋体" w:hAnsi="宋体" w:cs="宋体"/>
          <w:b/>
          <w:bCs/>
          <w:szCs w:val="21"/>
        </w:rPr>
      </w:pPr>
      <w:bookmarkStart w:id="568" w:name="_Toc989449"/>
      <w:r w:rsidRPr="00831C3C">
        <w:rPr>
          <w:rFonts w:ascii="宋体" w:eastAsia="宋体" w:hAnsi="宋体" w:cs="宋体"/>
          <w:b/>
          <w:bCs/>
          <w:szCs w:val="21"/>
        </w:rPr>
        <w:t>（1）资产负债表</w:t>
      </w:r>
      <w:proofErr w:type="gramStart"/>
      <w:r w:rsidRPr="00831C3C">
        <w:rPr>
          <w:rFonts w:ascii="宋体" w:eastAsia="宋体" w:hAnsi="宋体" w:cs="宋体"/>
          <w:b/>
          <w:bCs/>
          <w:szCs w:val="21"/>
        </w:rPr>
        <w:t>日存在</w:t>
      </w:r>
      <w:proofErr w:type="gramEnd"/>
      <w:r w:rsidRPr="00831C3C">
        <w:rPr>
          <w:rFonts w:ascii="宋体" w:eastAsia="宋体" w:hAnsi="宋体" w:cs="宋体"/>
          <w:b/>
          <w:bCs/>
          <w:szCs w:val="21"/>
        </w:rPr>
        <w:t>的重要或有事项</w:t>
      </w:r>
      <w:bookmarkEnd w:id="568"/>
    </w:p>
    <w:p w:rsidR="00C65FD5" w:rsidRPr="00831C3C" w:rsidRDefault="00C65FD5">
      <w:pPr>
        <w:pStyle w:val="a3"/>
        <w:divId w:val="487213121"/>
        <w:rPr>
          <w:sz w:val="18"/>
          <w:szCs w:val="18"/>
        </w:rPr>
      </w:pPr>
      <w:r w:rsidRPr="00831C3C">
        <w:rPr>
          <w:rFonts w:hint="eastAsia"/>
          <w:sz w:val="18"/>
          <w:szCs w:val="18"/>
        </w:rPr>
        <w:t>无。</w:t>
      </w:r>
    </w:p>
    <w:p w:rsidR="00E23A97" w:rsidRPr="00831C3C" w:rsidRDefault="00C65FD5">
      <w:pPr>
        <w:keepNext/>
        <w:keepLines/>
        <w:spacing w:before="300" w:after="300" w:line="280" w:lineRule="exact"/>
        <w:outlineLvl w:val="3"/>
        <w:rPr>
          <w:rFonts w:ascii="宋体" w:eastAsia="宋体" w:hAnsi="宋体" w:cs="宋体"/>
          <w:b/>
          <w:bCs/>
          <w:szCs w:val="21"/>
        </w:rPr>
      </w:pPr>
      <w:bookmarkStart w:id="569" w:name="_Toc989450"/>
      <w:r w:rsidRPr="00831C3C">
        <w:rPr>
          <w:rFonts w:ascii="宋体" w:eastAsia="宋体" w:hAnsi="宋体" w:cs="宋体"/>
          <w:b/>
          <w:bCs/>
          <w:szCs w:val="21"/>
        </w:rPr>
        <w:t>（2）公司没有需要披露的重要或有事项，也应予以说明</w:t>
      </w:r>
      <w:bookmarkEnd w:id="569"/>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公司不存在需要披露的重要或有事项。</w:t>
      </w:r>
    </w:p>
    <w:p w:rsidR="00E23A97" w:rsidRPr="00831C3C" w:rsidRDefault="00C65FD5">
      <w:pPr>
        <w:pStyle w:val="3"/>
        <w:spacing w:line="280" w:lineRule="exact"/>
        <w:jc w:val="left"/>
        <w:rPr>
          <w:rFonts w:ascii="宋体" w:hAnsi="宋体" w:cs="宋体"/>
          <w:b/>
          <w:bCs/>
        </w:rPr>
      </w:pPr>
      <w:bookmarkStart w:id="570" w:name="_Toc989451"/>
      <w:r w:rsidRPr="00831C3C">
        <w:rPr>
          <w:rFonts w:ascii="宋体" w:hAnsi="宋体" w:cs="宋体"/>
          <w:b/>
          <w:bCs/>
        </w:rPr>
        <w:t>3、其他</w:t>
      </w:r>
      <w:bookmarkEnd w:id="570"/>
    </w:p>
    <w:p w:rsidR="00C65FD5" w:rsidRPr="00831C3C" w:rsidRDefault="00C65FD5">
      <w:pPr>
        <w:pStyle w:val="a3"/>
        <w:divId w:val="1923903719"/>
        <w:rPr>
          <w:sz w:val="18"/>
          <w:szCs w:val="18"/>
        </w:rPr>
      </w:pPr>
      <w:r w:rsidRPr="00831C3C">
        <w:rPr>
          <w:rFonts w:hint="eastAsia"/>
          <w:sz w:val="18"/>
          <w:szCs w:val="18"/>
        </w:rPr>
        <w:t>无。</w:t>
      </w:r>
    </w:p>
    <w:p w:rsidR="00E23A97" w:rsidRPr="00831C3C" w:rsidRDefault="00C65FD5">
      <w:pPr>
        <w:pStyle w:val="2"/>
        <w:spacing w:before="300" w:after="300" w:line="320" w:lineRule="exact"/>
        <w:rPr>
          <w:rFonts w:ascii="宋体" w:eastAsia="宋体" w:hAnsi="宋体" w:cs="宋体"/>
          <w:b/>
          <w:bCs/>
          <w:sz w:val="24"/>
          <w:szCs w:val="24"/>
        </w:rPr>
      </w:pPr>
      <w:bookmarkStart w:id="571" w:name="_Toc989452"/>
      <w:r w:rsidRPr="00831C3C">
        <w:rPr>
          <w:rFonts w:ascii="宋体" w:eastAsia="宋体" w:hAnsi="宋体" w:cs="宋体"/>
          <w:b/>
          <w:bCs/>
          <w:sz w:val="24"/>
          <w:szCs w:val="24"/>
        </w:rPr>
        <w:lastRenderedPageBreak/>
        <w:t>十七、资产负债表日后事项</w:t>
      </w:r>
      <w:bookmarkEnd w:id="571"/>
    </w:p>
    <w:p w:rsidR="00E23A97" w:rsidRPr="00831C3C" w:rsidRDefault="00C65FD5">
      <w:pPr>
        <w:pStyle w:val="3"/>
        <w:spacing w:line="280" w:lineRule="exact"/>
        <w:jc w:val="left"/>
        <w:rPr>
          <w:rFonts w:ascii="宋体" w:hAnsi="宋体" w:cs="宋体"/>
          <w:b/>
          <w:bCs/>
        </w:rPr>
      </w:pPr>
      <w:bookmarkStart w:id="572" w:name="_Toc989453"/>
      <w:r w:rsidRPr="00831C3C">
        <w:rPr>
          <w:rFonts w:ascii="宋体" w:hAnsi="宋体" w:cs="宋体"/>
          <w:b/>
          <w:bCs/>
        </w:rPr>
        <w:t>1、重要的非调整事项</w:t>
      </w:r>
      <w:bookmarkEnd w:id="572"/>
    </w:p>
    <w:p w:rsidR="00E23A97" w:rsidRPr="00831C3C" w:rsidRDefault="00C65FD5">
      <w:pPr>
        <w:pStyle w:val="3"/>
        <w:spacing w:line="280" w:lineRule="exact"/>
        <w:jc w:val="left"/>
        <w:rPr>
          <w:rFonts w:ascii="宋体" w:hAnsi="宋体" w:cs="宋体"/>
          <w:b/>
          <w:bCs/>
        </w:rPr>
      </w:pPr>
      <w:bookmarkStart w:id="573" w:name="_Toc989454"/>
      <w:r w:rsidRPr="00831C3C">
        <w:rPr>
          <w:rFonts w:ascii="宋体" w:hAnsi="宋体" w:cs="宋体"/>
          <w:b/>
          <w:bCs/>
        </w:rPr>
        <w:t>2、利润分配情况</w:t>
      </w:r>
      <w:bookmarkEnd w:id="573"/>
    </w:p>
    <w:p w:rsidR="00E23A97" w:rsidRPr="00831C3C" w:rsidRDefault="00C65FD5">
      <w:pPr>
        <w:pStyle w:val="3"/>
        <w:spacing w:line="280" w:lineRule="exact"/>
        <w:jc w:val="left"/>
        <w:rPr>
          <w:rFonts w:ascii="宋体" w:hAnsi="宋体" w:cs="宋体"/>
          <w:b/>
          <w:bCs/>
        </w:rPr>
      </w:pPr>
      <w:bookmarkStart w:id="574" w:name="_Toc989455"/>
      <w:r w:rsidRPr="00831C3C">
        <w:rPr>
          <w:rFonts w:ascii="宋体" w:hAnsi="宋体" w:cs="宋体"/>
          <w:b/>
          <w:bCs/>
        </w:rPr>
        <w:t>3、销售退回</w:t>
      </w:r>
      <w:bookmarkEnd w:id="574"/>
    </w:p>
    <w:p w:rsidR="00E23A97" w:rsidRPr="00831C3C" w:rsidRDefault="00C65FD5">
      <w:pPr>
        <w:pStyle w:val="3"/>
        <w:spacing w:line="280" w:lineRule="exact"/>
        <w:jc w:val="left"/>
        <w:rPr>
          <w:rFonts w:ascii="宋体" w:hAnsi="宋体" w:cs="宋体"/>
          <w:b/>
          <w:bCs/>
        </w:rPr>
      </w:pPr>
      <w:bookmarkStart w:id="575" w:name="_Toc989456"/>
      <w:r w:rsidRPr="00831C3C">
        <w:rPr>
          <w:rFonts w:ascii="宋体" w:hAnsi="宋体" w:cs="宋体"/>
          <w:b/>
          <w:bCs/>
        </w:rPr>
        <w:t>4、其他资产负债表日后事项说明</w:t>
      </w:r>
      <w:bookmarkEnd w:id="575"/>
    </w:p>
    <w:p w:rsidR="00E23A97" w:rsidRPr="00831C3C" w:rsidRDefault="00C65FD5">
      <w:pPr>
        <w:pStyle w:val="2"/>
        <w:spacing w:before="300" w:after="300" w:line="320" w:lineRule="exact"/>
        <w:rPr>
          <w:rFonts w:ascii="宋体" w:eastAsia="宋体" w:hAnsi="宋体" w:cs="宋体"/>
          <w:b/>
          <w:bCs/>
          <w:sz w:val="24"/>
          <w:szCs w:val="24"/>
        </w:rPr>
      </w:pPr>
      <w:bookmarkStart w:id="576" w:name="_Toc989457"/>
      <w:r w:rsidRPr="00831C3C">
        <w:rPr>
          <w:rFonts w:ascii="宋体" w:eastAsia="宋体" w:hAnsi="宋体" w:cs="宋体"/>
          <w:b/>
          <w:bCs/>
          <w:sz w:val="24"/>
          <w:szCs w:val="24"/>
        </w:rPr>
        <w:t>十八、其他重要事项</w:t>
      </w:r>
      <w:bookmarkEnd w:id="576"/>
    </w:p>
    <w:p w:rsidR="00E23A97" w:rsidRPr="00831C3C" w:rsidRDefault="00C65FD5">
      <w:pPr>
        <w:pStyle w:val="3"/>
        <w:spacing w:line="280" w:lineRule="exact"/>
        <w:jc w:val="left"/>
        <w:rPr>
          <w:rFonts w:ascii="宋体" w:hAnsi="宋体" w:cs="宋体"/>
          <w:b/>
          <w:bCs/>
        </w:rPr>
      </w:pPr>
      <w:bookmarkStart w:id="577" w:name="_Toc989458"/>
      <w:r w:rsidRPr="00831C3C">
        <w:rPr>
          <w:rFonts w:ascii="宋体" w:hAnsi="宋体" w:cs="宋体"/>
          <w:b/>
          <w:bCs/>
        </w:rPr>
        <w:t>1、前期会计差错更正</w:t>
      </w:r>
      <w:bookmarkEnd w:id="577"/>
    </w:p>
    <w:p w:rsidR="00E23A97" w:rsidRPr="00831C3C" w:rsidRDefault="00C65FD5">
      <w:pPr>
        <w:keepNext/>
        <w:keepLines/>
        <w:spacing w:before="300" w:after="300" w:line="280" w:lineRule="exact"/>
        <w:outlineLvl w:val="3"/>
        <w:rPr>
          <w:rFonts w:ascii="宋体" w:eastAsia="宋体" w:hAnsi="宋体" w:cs="宋体"/>
          <w:b/>
          <w:bCs/>
          <w:szCs w:val="21"/>
        </w:rPr>
      </w:pPr>
      <w:bookmarkStart w:id="578" w:name="_Toc989459"/>
      <w:r w:rsidRPr="00831C3C">
        <w:rPr>
          <w:rFonts w:ascii="宋体" w:eastAsia="宋体" w:hAnsi="宋体" w:cs="宋体"/>
          <w:b/>
          <w:bCs/>
          <w:szCs w:val="21"/>
        </w:rPr>
        <w:t>（1）追溯重述法</w:t>
      </w:r>
      <w:bookmarkEnd w:id="578"/>
    </w:p>
    <w:p w:rsidR="00E23A97" w:rsidRPr="00831C3C" w:rsidRDefault="00C65FD5">
      <w:pPr>
        <w:keepNext/>
        <w:keepLines/>
        <w:spacing w:before="300" w:after="300" w:line="280" w:lineRule="exact"/>
        <w:outlineLvl w:val="3"/>
        <w:rPr>
          <w:rFonts w:ascii="宋体" w:eastAsia="宋体" w:hAnsi="宋体" w:cs="宋体"/>
          <w:b/>
          <w:bCs/>
          <w:szCs w:val="21"/>
        </w:rPr>
      </w:pPr>
      <w:bookmarkStart w:id="579" w:name="_Toc989460"/>
      <w:r w:rsidRPr="00831C3C">
        <w:rPr>
          <w:rFonts w:ascii="宋体" w:eastAsia="宋体" w:hAnsi="宋体" w:cs="宋体"/>
          <w:b/>
          <w:bCs/>
          <w:szCs w:val="21"/>
        </w:rPr>
        <w:t>（2）未来适用法</w:t>
      </w:r>
      <w:bookmarkEnd w:id="579"/>
    </w:p>
    <w:p w:rsidR="00E23A97" w:rsidRPr="00831C3C" w:rsidRDefault="00C65FD5">
      <w:pPr>
        <w:pStyle w:val="3"/>
        <w:spacing w:line="280" w:lineRule="exact"/>
        <w:jc w:val="left"/>
        <w:rPr>
          <w:rFonts w:ascii="宋体" w:hAnsi="宋体" w:cs="宋体"/>
          <w:b/>
          <w:bCs/>
        </w:rPr>
      </w:pPr>
      <w:bookmarkStart w:id="580" w:name="_Toc989461"/>
      <w:r w:rsidRPr="00831C3C">
        <w:rPr>
          <w:rFonts w:ascii="宋体" w:hAnsi="宋体" w:cs="宋体"/>
          <w:b/>
          <w:bCs/>
        </w:rPr>
        <w:t>2、债务重组</w:t>
      </w:r>
      <w:bookmarkEnd w:id="580"/>
    </w:p>
    <w:p w:rsidR="00E23A97" w:rsidRPr="00831C3C" w:rsidRDefault="00C65FD5">
      <w:pPr>
        <w:pStyle w:val="3"/>
        <w:spacing w:line="280" w:lineRule="exact"/>
        <w:jc w:val="left"/>
        <w:rPr>
          <w:rFonts w:ascii="宋体" w:hAnsi="宋体" w:cs="宋体"/>
          <w:b/>
          <w:bCs/>
        </w:rPr>
      </w:pPr>
      <w:bookmarkStart w:id="581" w:name="_Toc989462"/>
      <w:r w:rsidRPr="00831C3C">
        <w:rPr>
          <w:rFonts w:ascii="宋体" w:hAnsi="宋体" w:cs="宋体"/>
          <w:b/>
          <w:bCs/>
        </w:rPr>
        <w:t>3、资产置换</w:t>
      </w:r>
      <w:bookmarkEnd w:id="581"/>
    </w:p>
    <w:p w:rsidR="00E23A97" w:rsidRPr="00831C3C" w:rsidRDefault="00C65FD5">
      <w:pPr>
        <w:keepNext/>
        <w:keepLines/>
        <w:spacing w:before="300" w:after="300" w:line="280" w:lineRule="exact"/>
        <w:outlineLvl w:val="3"/>
        <w:rPr>
          <w:rFonts w:ascii="宋体" w:eastAsia="宋体" w:hAnsi="宋体" w:cs="宋体"/>
          <w:b/>
          <w:bCs/>
          <w:szCs w:val="21"/>
        </w:rPr>
      </w:pPr>
      <w:bookmarkStart w:id="582" w:name="_Toc989463"/>
      <w:r w:rsidRPr="00831C3C">
        <w:rPr>
          <w:rFonts w:ascii="宋体" w:eastAsia="宋体" w:hAnsi="宋体" w:cs="宋体"/>
          <w:b/>
          <w:bCs/>
          <w:szCs w:val="21"/>
        </w:rPr>
        <w:t>（1）非货币性资产交换</w:t>
      </w:r>
      <w:bookmarkEnd w:id="582"/>
    </w:p>
    <w:p w:rsidR="00E23A97" w:rsidRPr="00831C3C" w:rsidRDefault="00C65FD5">
      <w:pPr>
        <w:keepNext/>
        <w:keepLines/>
        <w:spacing w:before="300" w:after="300" w:line="280" w:lineRule="exact"/>
        <w:outlineLvl w:val="3"/>
        <w:rPr>
          <w:rFonts w:ascii="宋体" w:eastAsia="宋体" w:hAnsi="宋体" w:cs="宋体"/>
          <w:b/>
          <w:bCs/>
          <w:szCs w:val="21"/>
        </w:rPr>
      </w:pPr>
      <w:bookmarkStart w:id="583" w:name="_Toc989464"/>
      <w:r w:rsidRPr="00831C3C">
        <w:rPr>
          <w:rFonts w:ascii="宋体" w:eastAsia="宋体" w:hAnsi="宋体" w:cs="宋体"/>
          <w:b/>
          <w:bCs/>
          <w:szCs w:val="21"/>
        </w:rPr>
        <w:t>（2）其他资产置换</w:t>
      </w:r>
      <w:bookmarkEnd w:id="583"/>
    </w:p>
    <w:p w:rsidR="00E23A97" w:rsidRPr="00831C3C" w:rsidRDefault="00C65FD5">
      <w:pPr>
        <w:pStyle w:val="3"/>
        <w:spacing w:line="280" w:lineRule="exact"/>
        <w:jc w:val="left"/>
        <w:rPr>
          <w:rFonts w:ascii="宋体" w:hAnsi="宋体" w:cs="宋体"/>
          <w:b/>
          <w:bCs/>
        </w:rPr>
      </w:pPr>
      <w:bookmarkStart w:id="584" w:name="_Toc989465"/>
      <w:r w:rsidRPr="00831C3C">
        <w:rPr>
          <w:rFonts w:ascii="宋体" w:hAnsi="宋体" w:cs="宋体"/>
          <w:b/>
          <w:bCs/>
        </w:rPr>
        <w:t>4、年金计划</w:t>
      </w:r>
      <w:bookmarkEnd w:id="584"/>
    </w:p>
    <w:p w:rsidR="00E23A97" w:rsidRPr="00831C3C" w:rsidRDefault="00C65FD5">
      <w:pPr>
        <w:pStyle w:val="3"/>
        <w:spacing w:line="280" w:lineRule="exact"/>
        <w:jc w:val="left"/>
        <w:rPr>
          <w:rFonts w:ascii="宋体" w:hAnsi="宋体" w:cs="宋体"/>
          <w:b/>
          <w:bCs/>
        </w:rPr>
      </w:pPr>
      <w:bookmarkStart w:id="585" w:name="_Toc989466"/>
      <w:r w:rsidRPr="00831C3C">
        <w:rPr>
          <w:rFonts w:ascii="宋体" w:hAnsi="宋体" w:cs="宋体"/>
          <w:b/>
          <w:bCs/>
        </w:rPr>
        <w:t>5、终止经营</w:t>
      </w:r>
      <w:bookmarkEnd w:id="585"/>
    </w:p>
    <w:p w:rsidR="00C65FD5" w:rsidRPr="00831C3C" w:rsidRDefault="00C65FD5" w:rsidP="00961CF9">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r w:rsidRPr="00831C3C">
        <w:rPr>
          <w:rFonts w:hint="eastAsia"/>
          <w:sz w:val="18"/>
          <w:szCs w:val="18"/>
        </w:rPr>
        <w:t>无。</w:t>
      </w:r>
    </w:p>
    <w:p w:rsidR="00E23A97" w:rsidRPr="00831C3C" w:rsidRDefault="00C65FD5">
      <w:pPr>
        <w:pStyle w:val="3"/>
        <w:spacing w:line="280" w:lineRule="exact"/>
        <w:jc w:val="left"/>
        <w:rPr>
          <w:rFonts w:ascii="宋体" w:hAnsi="宋体" w:cs="宋体"/>
          <w:b/>
          <w:bCs/>
        </w:rPr>
      </w:pPr>
      <w:bookmarkStart w:id="586" w:name="_Toc989467"/>
      <w:r w:rsidRPr="00831C3C">
        <w:rPr>
          <w:rFonts w:ascii="宋体" w:hAnsi="宋体" w:cs="宋体"/>
          <w:b/>
          <w:bCs/>
        </w:rPr>
        <w:t>6、分部信息</w:t>
      </w:r>
      <w:bookmarkEnd w:id="586"/>
    </w:p>
    <w:p w:rsidR="00E23A97" w:rsidRPr="00831C3C" w:rsidRDefault="00C65FD5">
      <w:pPr>
        <w:keepNext/>
        <w:keepLines/>
        <w:spacing w:before="300" w:after="300" w:line="280" w:lineRule="exact"/>
        <w:outlineLvl w:val="3"/>
        <w:rPr>
          <w:rFonts w:ascii="宋体" w:eastAsia="宋体" w:hAnsi="宋体" w:cs="宋体"/>
          <w:b/>
          <w:bCs/>
          <w:szCs w:val="21"/>
        </w:rPr>
      </w:pPr>
      <w:bookmarkStart w:id="587" w:name="_Toc989468"/>
      <w:r w:rsidRPr="00831C3C">
        <w:rPr>
          <w:rFonts w:ascii="宋体" w:eastAsia="宋体" w:hAnsi="宋体" w:cs="宋体"/>
          <w:b/>
          <w:bCs/>
          <w:szCs w:val="21"/>
        </w:rPr>
        <w:t>（1）报告分部的确定依据与会计政策</w:t>
      </w:r>
      <w:bookmarkEnd w:id="587"/>
    </w:p>
    <w:p w:rsidR="00C65FD5" w:rsidRPr="00831C3C" w:rsidRDefault="00C65FD5">
      <w:pPr>
        <w:pStyle w:val="a3"/>
        <w:divId w:val="1621372689"/>
        <w:rPr>
          <w:sz w:val="18"/>
          <w:szCs w:val="18"/>
        </w:rPr>
      </w:pPr>
      <w:r w:rsidRPr="00831C3C">
        <w:rPr>
          <w:rFonts w:hint="eastAsia"/>
          <w:sz w:val="18"/>
          <w:szCs w:val="18"/>
        </w:rPr>
        <w:t>无。</w:t>
      </w:r>
    </w:p>
    <w:p w:rsidR="00E23A97" w:rsidRPr="00831C3C" w:rsidRDefault="00C65FD5">
      <w:pPr>
        <w:keepNext/>
        <w:keepLines/>
        <w:spacing w:before="300" w:after="300" w:line="280" w:lineRule="exact"/>
        <w:outlineLvl w:val="3"/>
        <w:rPr>
          <w:rFonts w:ascii="宋体" w:eastAsia="宋体" w:hAnsi="宋体" w:cs="宋体"/>
          <w:b/>
          <w:bCs/>
          <w:szCs w:val="21"/>
        </w:rPr>
      </w:pPr>
      <w:bookmarkStart w:id="588" w:name="_Toc989469"/>
      <w:r w:rsidRPr="00831C3C">
        <w:rPr>
          <w:rFonts w:ascii="宋体" w:eastAsia="宋体" w:hAnsi="宋体" w:cs="宋体"/>
          <w:b/>
          <w:bCs/>
          <w:szCs w:val="21"/>
        </w:rPr>
        <w:t>（2）报告分部的财务信息</w:t>
      </w:r>
      <w:bookmarkEnd w:id="588"/>
    </w:p>
    <w:p w:rsidR="00E23A97" w:rsidRPr="00831C3C" w:rsidRDefault="00C65FD5">
      <w:pPr>
        <w:keepNext/>
        <w:keepLines/>
        <w:spacing w:before="300" w:after="300" w:line="280" w:lineRule="exact"/>
        <w:outlineLvl w:val="3"/>
        <w:rPr>
          <w:rFonts w:ascii="宋体" w:eastAsia="宋体" w:hAnsi="宋体" w:cs="宋体"/>
          <w:b/>
          <w:bCs/>
          <w:szCs w:val="21"/>
        </w:rPr>
      </w:pPr>
      <w:bookmarkStart w:id="589" w:name="_Toc989470"/>
      <w:r w:rsidRPr="00831C3C">
        <w:rPr>
          <w:rFonts w:ascii="宋体" w:eastAsia="宋体" w:hAnsi="宋体" w:cs="宋体"/>
          <w:b/>
          <w:bCs/>
          <w:szCs w:val="21"/>
        </w:rPr>
        <w:t>（3）公司</w:t>
      </w:r>
      <w:proofErr w:type="gramStart"/>
      <w:r w:rsidRPr="00831C3C">
        <w:rPr>
          <w:rFonts w:ascii="宋体" w:eastAsia="宋体" w:hAnsi="宋体" w:cs="宋体"/>
          <w:b/>
          <w:bCs/>
          <w:szCs w:val="21"/>
        </w:rPr>
        <w:t>无报告</w:t>
      </w:r>
      <w:proofErr w:type="gramEnd"/>
      <w:r w:rsidRPr="00831C3C">
        <w:rPr>
          <w:rFonts w:ascii="宋体" w:eastAsia="宋体" w:hAnsi="宋体" w:cs="宋体"/>
          <w:b/>
          <w:bCs/>
          <w:szCs w:val="21"/>
        </w:rPr>
        <w:t>分部的，或者不能披露各报告分部的资产总额和负债总额的，应说明原因</w:t>
      </w:r>
      <w:bookmarkEnd w:id="589"/>
    </w:p>
    <w:p w:rsidR="00E23A97" w:rsidRPr="00831C3C" w:rsidRDefault="00C65FD5">
      <w:pPr>
        <w:keepNext/>
        <w:keepLines/>
        <w:spacing w:before="300" w:after="300" w:line="280" w:lineRule="exact"/>
        <w:outlineLvl w:val="3"/>
        <w:rPr>
          <w:rFonts w:ascii="宋体" w:eastAsia="宋体" w:hAnsi="宋体" w:cs="宋体"/>
          <w:b/>
          <w:bCs/>
          <w:szCs w:val="21"/>
        </w:rPr>
      </w:pPr>
      <w:bookmarkStart w:id="590" w:name="_Toc989471"/>
      <w:r w:rsidRPr="00831C3C">
        <w:rPr>
          <w:rFonts w:ascii="宋体" w:eastAsia="宋体" w:hAnsi="宋体" w:cs="宋体"/>
          <w:b/>
          <w:bCs/>
          <w:szCs w:val="21"/>
        </w:rPr>
        <w:t>（4）其他说明</w:t>
      </w:r>
      <w:bookmarkEnd w:id="590"/>
    </w:p>
    <w:p w:rsidR="00E23A97" w:rsidRPr="00831C3C" w:rsidRDefault="00C65FD5">
      <w:pPr>
        <w:pStyle w:val="3"/>
        <w:spacing w:line="280" w:lineRule="exact"/>
        <w:jc w:val="left"/>
        <w:rPr>
          <w:rFonts w:ascii="宋体" w:hAnsi="宋体" w:cs="宋体"/>
          <w:b/>
          <w:bCs/>
        </w:rPr>
      </w:pPr>
      <w:bookmarkStart w:id="591" w:name="_Toc989472"/>
      <w:r w:rsidRPr="00831C3C">
        <w:rPr>
          <w:rFonts w:ascii="宋体" w:hAnsi="宋体" w:cs="宋体"/>
          <w:b/>
          <w:bCs/>
        </w:rPr>
        <w:t>7、其他对投资者决策有影响的重要交易和事项</w:t>
      </w:r>
      <w:bookmarkEnd w:id="591"/>
    </w:p>
    <w:p w:rsidR="00C65FD5" w:rsidRPr="00831C3C" w:rsidRDefault="00C65FD5">
      <w:pPr>
        <w:pStyle w:val="a3"/>
        <w:divId w:val="87436056"/>
        <w:rPr>
          <w:sz w:val="18"/>
          <w:szCs w:val="18"/>
        </w:rPr>
      </w:pPr>
      <w:r w:rsidRPr="00831C3C">
        <w:rPr>
          <w:rFonts w:hint="eastAsia"/>
          <w:sz w:val="18"/>
          <w:szCs w:val="18"/>
        </w:rPr>
        <w:t>无。</w:t>
      </w:r>
    </w:p>
    <w:p w:rsidR="00E23A97" w:rsidRPr="00831C3C" w:rsidRDefault="00C65FD5">
      <w:pPr>
        <w:pStyle w:val="3"/>
        <w:spacing w:line="280" w:lineRule="exact"/>
        <w:jc w:val="left"/>
        <w:rPr>
          <w:rFonts w:ascii="宋体" w:hAnsi="宋体" w:cs="宋体"/>
          <w:b/>
          <w:bCs/>
        </w:rPr>
      </w:pPr>
      <w:bookmarkStart w:id="592" w:name="_Toc989473"/>
      <w:r w:rsidRPr="00831C3C">
        <w:rPr>
          <w:rFonts w:ascii="宋体" w:hAnsi="宋体" w:cs="宋体"/>
          <w:b/>
          <w:bCs/>
        </w:rPr>
        <w:lastRenderedPageBreak/>
        <w:t>8、其他</w:t>
      </w:r>
      <w:bookmarkEnd w:id="592"/>
    </w:p>
    <w:p w:rsidR="00C65FD5" w:rsidRPr="00831C3C" w:rsidRDefault="00C65FD5">
      <w:pPr>
        <w:pStyle w:val="a3"/>
        <w:divId w:val="1240403755"/>
        <w:rPr>
          <w:sz w:val="18"/>
          <w:szCs w:val="18"/>
        </w:rPr>
      </w:pPr>
      <w:r w:rsidRPr="00831C3C">
        <w:rPr>
          <w:rFonts w:hint="eastAsia"/>
          <w:sz w:val="18"/>
          <w:szCs w:val="18"/>
        </w:rPr>
        <w:t>无。</w:t>
      </w:r>
    </w:p>
    <w:p w:rsidR="00E23A97" w:rsidRPr="00831C3C" w:rsidRDefault="00C65FD5">
      <w:pPr>
        <w:pStyle w:val="2"/>
        <w:spacing w:before="300" w:after="300" w:line="320" w:lineRule="exact"/>
        <w:rPr>
          <w:rFonts w:ascii="宋体" w:eastAsia="宋体" w:hAnsi="宋体" w:cs="宋体"/>
          <w:b/>
          <w:bCs/>
          <w:sz w:val="24"/>
          <w:szCs w:val="24"/>
        </w:rPr>
      </w:pPr>
      <w:bookmarkStart w:id="593" w:name="_Toc989474"/>
      <w:r w:rsidRPr="00831C3C">
        <w:rPr>
          <w:rFonts w:ascii="宋体" w:eastAsia="宋体" w:hAnsi="宋体" w:cs="宋体"/>
          <w:b/>
          <w:bCs/>
          <w:sz w:val="24"/>
          <w:szCs w:val="24"/>
        </w:rPr>
        <w:t>十九、母公司财务报表主要项目注释</w:t>
      </w:r>
      <w:bookmarkEnd w:id="593"/>
    </w:p>
    <w:p w:rsidR="00E23A97" w:rsidRPr="00831C3C" w:rsidRDefault="00C65FD5">
      <w:pPr>
        <w:pStyle w:val="3"/>
        <w:spacing w:line="280" w:lineRule="exact"/>
        <w:jc w:val="left"/>
        <w:rPr>
          <w:rFonts w:ascii="宋体" w:hAnsi="宋体" w:cs="宋体"/>
          <w:b/>
          <w:bCs/>
        </w:rPr>
      </w:pPr>
      <w:bookmarkStart w:id="594" w:name="_Toc989475"/>
      <w:r w:rsidRPr="00831C3C">
        <w:rPr>
          <w:rFonts w:ascii="宋体" w:hAnsi="宋体" w:cs="宋体"/>
          <w:b/>
          <w:bCs/>
        </w:rPr>
        <w:t>1、应收账款</w:t>
      </w:r>
      <w:bookmarkEnd w:id="594"/>
    </w:p>
    <w:p w:rsidR="00E23A97" w:rsidRPr="00831C3C" w:rsidRDefault="00C65FD5">
      <w:pPr>
        <w:keepNext/>
        <w:keepLines/>
        <w:spacing w:before="300" w:after="300" w:line="280" w:lineRule="exact"/>
        <w:outlineLvl w:val="3"/>
        <w:rPr>
          <w:rFonts w:ascii="宋体" w:eastAsia="宋体" w:hAnsi="宋体" w:cs="宋体"/>
          <w:b/>
          <w:bCs/>
          <w:szCs w:val="21"/>
        </w:rPr>
      </w:pPr>
      <w:bookmarkStart w:id="595" w:name="_Toc989476"/>
      <w:r w:rsidRPr="00831C3C">
        <w:rPr>
          <w:rFonts w:ascii="宋体" w:eastAsia="宋体" w:hAnsi="宋体" w:cs="宋体"/>
          <w:b/>
          <w:bCs/>
          <w:szCs w:val="21"/>
        </w:rPr>
        <w:t>（1）</w:t>
      </w:r>
      <w:proofErr w:type="gramStart"/>
      <w:r w:rsidRPr="00831C3C">
        <w:rPr>
          <w:rFonts w:ascii="宋体" w:eastAsia="宋体" w:hAnsi="宋体" w:cs="宋体"/>
          <w:b/>
          <w:bCs/>
          <w:szCs w:val="21"/>
        </w:rPr>
        <w:t>按账龄</w:t>
      </w:r>
      <w:proofErr w:type="gramEnd"/>
      <w:r w:rsidRPr="00831C3C">
        <w:rPr>
          <w:rFonts w:ascii="宋体" w:eastAsia="宋体" w:hAnsi="宋体" w:cs="宋体"/>
          <w:b/>
          <w:bCs/>
          <w:szCs w:val="21"/>
        </w:rPr>
        <w:t>披露</w:t>
      </w:r>
      <w:bookmarkEnd w:id="595"/>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账龄</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期末账面余额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期初账面余额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1年以内（含1年）</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7,466,582.16</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12,254,558.26</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7,466,582.16</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12,254,558.26</w:t>
            </w:r>
          </w:p>
        </w:tc>
      </w:tr>
    </w:tbl>
    <w:p w:rsidR="00E23A97" w:rsidRPr="00831C3C" w:rsidRDefault="00C65FD5">
      <w:pPr>
        <w:keepNext/>
        <w:keepLines/>
        <w:spacing w:before="300" w:after="300" w:line="280" w:lineRule="exact"/>
        <w:outlineLvl w:val="3"/>
        <w:rPr>
          <w:rFonts w:ascii="宋体" w:eastAsia="宋体" w:hAnsi="宋体" w:cs="宋体"/>
          <w:b/>
          <w:bCs/>
          <w:szCs w:val="21"/>
        </w:rPr>
      </w:pPr>
      <w:bookmarkStart w:id="596" w:name="_Toc989477"/>
      <w:r w:rsidRPr="00831C3C">
        <w:rPr>
          <w:rFonts w:ascii="宋体" w:eastAsia="宋体" w:hAnsi="宋体" w:cs="宋体"/>
          <w:b/>
          <w:bCs/>
          <w:szCs w:val="21"/>
        </w:rPr>
        <w:t>（2）按坏账计提方法分类披露</w:t>
      </w:r>
      <w:bookmarkEnd w:id="596"/>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875"/>
        <w:gridCol w:w="876"/>
        <w:gridCol w:w="877"/>
        <w:gridCol w:w="876"/>
        <w:gridCol w:w="877"/>
        <w:gridCol w:w="876"/>
        <w:gridCol w:w="876"/>
        <w:gridCol w:w="877"/>
        <w:gridCol w:w="876"/>
        <w:gridCol w:w="877"/>
        <w:gridCol w:w="876"/>
      </w:tblGrid>
      <w:tr w:rsidR="00831C3C" w:rsidRPr="00831C3C">
        <w:trPr>
          <w:trHeight w:val="240"/>
        </w:trPr>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类别</w:t>
            </w:r>
          </w:p>
        </w:tc>
        <w:tc>
          <w:tcPr>
            <w:tcW w:w="4381"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4381"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r>
      <w:tr w:rsidR="00831C3C" w:rsidRPr="00831C3C">
        <w:trPr>
          <w:trHeight w:val="240"/>
        </w:trPr>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账面余额</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坏账准备</w:t>
            </w:r>
          </w:p>
        </w:tc>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账面价值</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账面余额</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坏账准备</w:t>
            </w:r>
          </w:p>
        </w:tc>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账面价值</w:t>
            </w:r>
          </w:p>
        </w:tc>
      </w:tr>
      <w:tr w:rsidR="00831C3C" w:rsidRPr="00831C3C">
        <w:trPr>
          <w:trHeight w:val="240"/>
        </w:trPr>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比例</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计提比例</w:t>
            </w:r>
          </w:p>
        </w:tc>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比例</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计提比例</w:t>
            </w:r>
          </w:p>
        </w:tc>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其中：</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按组合计提坏账准备的应收账款</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7,466,582.16</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256,274.71</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3.43%</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7,210,307.45</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12,254,558.26</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498,178.82</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4.07%</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11,756,379.44</w:t>
            </w:r>
          </w:p>
        </w:tc>
      </w:tr>
      <w:tr w:rsidR="00831C3C" w:rsidRPr="00831C3C">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其中：</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其中：预期信用风险组合</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5,125,494.13</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68.65%</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256,274.71</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5.00%</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4,869,219.42</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9,963,576.46</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498,178.82</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5.00%</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9,465,397.64</w:t>
            </w:r>
          </w:p>
        </w:tc>
      </w:tr>
      <w:tr w:rsidR="00831C3C" w:rsidRPr="00831C3C">
        <w:trPr>
          <w:trHeight w:val="240"/>
        </w:trPr>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性质组合</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2,341,088.03</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31.35%</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2,341,088.03</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2,290,981.80</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2,290,981.80</w:t>
            </w:r>
          </w:p>
        </w:tc>
      </w:tr>
      <w:tr w:rsidR="00831C3C" w:rsidRPr="00831C3C">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7,466,582.16</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256,274.71</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3.43%</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7,210,307.45</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12,254,558.26</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498,178.82</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4.07%</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11,756,379.44</w:t>
            </w:r>
          </w:p>
        </w:tc>
      </w:tr>
    </w:tbl>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按组合计提坏账准备：预期信用风险组合</w:t>
      </w:r>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31C3C" w:rsidRPr="00831C3C" w:rsidTr="00C6116B">
        <w:trPr>
          <w:trHeight w:val="240"/>
        </w:trPr>
        <w:tc>
          <w:tcPr>
            <w:tcW w:w="2409"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名称</w:t>
            </w:r>
          </w:p>
        </w:tc>
        <w:tc>
          <w:tcPr>
            <w:tcW w:w="7230"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r>
      <w:tr w:rsidR="00831C3C" w:rsidRPr="00831C3C" w:rsidTr="00C6116B">
        <w:trPr>
          <w:trHeight w:val="240"/>
        </w:trPr>
        <w:tc>
          <w:tcPr>
            <w:tcW w:w="2409"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坏账准备</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计提比例</w:t>
            </w:r>
          </w:p>
        </w:tc>
      </w:tr>
      <w:tr w:rsidR="00831C3C" w:rsidRPr="00831C3C" w:rsidTr="00C6116B">
        <w:trPr>
          <w:trHeight w:val="240"/>
        </w:trPr>
        <w:tc>
          <w:tcPr>
            <w:tcW w:w="2409" w:type="dxa"/>
            <w:tcBorders>
              <w:top w:val="single" w:sz="2" w:space="0" w:color="auto"/>
              <w:left w:val="single" w:sz="2" w:space="0" w:color="auto"/>
              <w:bottom w:val="single" w:sz="2" w:space="0" w:color="auto"/>
              <w:right w:val="single" w:sz="2" w:space="0" w:color="auto"/>
            </w:tcBorders>
            <w:vAlign w:val="center"/>
          </w:tcPr>
          <w:p w:rsidR="00C6116B" w:rsidRPr="00831C3C" w:rsidRDefault="00C6116B">
            <w:pPr>
              <w:spacing w:line="240" w:lineRule="exact"/>
              <w:rPr>
                <w:rFonts w:ascii="宋体" w:eastAsia="宋体" w:hAnsi="宋体" w:cs="宋体"/>
                <w:sz w:val="18"/>
                <w:szCs w:val="18"/>
              </w:rPr>
            </w:pPr>
            <w:r w:rsidRPr="00831C3C">
              <w:rPr>
                <w:rFonts w:ascii="宋体" w:eastAsia="宋体" w:hAnsi="宋体" w:cs="宋体"/>
                <w:sz w:val="18"/>
                <w:szCs w:val="18"/>
              </w:rPr>
              <w:t>1年以内</w:t>
            </w:r>
          </w:p>
        </w:tc>
        <w:tc>
          <w:tcPr>
            <w:tcW w:w="2410" w:type="dxa"/>
            <w:tcBorders>
              <w:top w:val="single" w:sz="2" w:space="0" w:color="auto"/>
              <w:left w:val="single" w:sz="2" w:space="0" w:color="auto"/>
              <w:bottom w:val="single" w:sz="2" w:space="0" w:color="auto"/>
              <w:right w:val="single" w:sz="2" w:space="0" w:color="auto"/>
            </w:tcBorders>
            <w:vAlign w:val="center"/>
          </w:tcPr>
          <w:p w:rsidR="00C6116B" w:rsidRPr="00831C3C" w:rsidRDefault="00C6116B" w:rsidP="00333F10">
            <w:pPr>
              <w:spacing w:line="240" w:lineRule="exact"/>
              <w:jc w:val="right"/>
              <w:rPr>
                <w:rFonts w:ascii="宋体" w:eastAsia="宋体" w:hAnsi="宋体" w:cs="宋体"/>
                <w:sz w:val="18"/>
                <w:szCs w:val="18"/>
              </w:rPr>
            </w:pPr>
            <w:r w:rsidRPr="00831C3C">
              <w:rPr>
                <w:rFonts w:ascii="宋体" w:eastAsia="宋体" w:hAnsi="宋体" w:cs="宋体"/>
                <w:sz w:val="18"/>
                <w:szCs w:val="18"/>
              </w:rPr>
              <w:t>5,125,494.13</w:t>
            </w:r>
          </w:p>
        </w:tc>
        <w:tc>
          <w:tcPr>
            <w:tcW w:w="2410" w:type="dxa"/>
            <w:tcBorders>
              <w:top w:val="single" w:sz="2" w:space="0" w:color="auto"/>
              <w:left w:val="single" w:sz="2" w:space="0" w:color="auto"/>
              <w:bottom w:val="single" w:sz="2" w:space="0" w:color="auto"/>
              <w:right w:val="single" w:sz="2" w:space="0" w:color="auto"/>
            </w:tcBorders>
            <w:vAlign w:val="center"/>
          </w:tcPr>
          <w:p w:rsidR="00C6116B" w:rsidRPr="00831C3C" w:rsidRDefault="00C6116B">
            <w:pPr>
              <w:spacing w:line="240" w:lineRule="exact"/>
              <w:jc w:val="right"/>
              <w:rPr>
                <w:rFonts w:ascii="宋体" w:eastAsia="宋体" w:hAnsi="宋体" w:cs="宋体"/>
                <w:sz w:val="18"/>
                <w:szCs w:val="18"/>
              </w:rPr>
            </w:pPr>
            <w:r w:rsidRPr="00831C3C">
              <w:rPr>
                <w:rFonts w:ascii="宋体" w:eastAsia="宋体" w:hAnsi="宋体" w:cs="宋体"/>
                <w:sz w:val="18"/>
                <w:szCs w:val="18"/>
              </w:rPr>
              <w:t>256,274.71</w:t>
            </w:r>
          </w:p>
        </w:tc>
        <w:tc>
          <w:tcPr>
            <w:tcW w:w="2410" w:type="dxa"/>
            <w:tcBorders>
              <w:top w:val="single" w:sz="2" w:space="0" w:color="auto"/>
              <w:left w:val="single" w:sz="2" w:space="0" w:color="auto"/>
              <w:bottom w:val="single" w:sz="2" w:space="0" w:color="auto"/>
              <w:right w:val="single" w:sz="2" w:space="0" w:color="auto"/>
            </w:tcBorders>
            <w:vAlign w:val="center"/>
          </w:tcPr>
          <w:p w:rsidR="00C6116B" w:rsidRPr="00831C3C" w:rsidRDefault="00C6116B">
            <w:pPr>
              <w:spacing w:line="240" w:lineRule="exact"/>
              <w:jc w:val="right"/>
              <w:rPr>
                <w:rFonts w:ascii="宋体" w:eastAsia="宋体" w:hAnsi="宋体" w:cs="宋体"/>
                <w:sz w:val="18"/>
                <w:szCs w:val="18"/>
              </w:rPr>
            </w:pPr>
            <w:r w:rsidRPr="00831C3C">
              <w:rPr>
                <w:rFonts w:ascii="宋体" w:eastAsia="宋体" w:hAnsi="宋体" w:cs="宋体" w:hint="eastAsia"/>
                <w:sz w:val="18"/>
                <w:szCs w:val="18"/>
              </w:rPr>
              <w:t>5%</w:t>
            </w:r>
          </w:p>
        </w:tc>
      </w:tr>
      <w:tr w:rsidR="00831C3C" w:rsidRPr="00831C3C" w:rsidTr="00C6116B">
        <w:trPr>
          <w:trHeight w:val="240"/>
        </w:trPr>
        <w:tc>
          <w:tcPr>
            <w:tcW w:w="2409" w:type="dxa"/>
            <w:tcBorders>
              <w:top w:val="single" w:sz="2" w:space="0" w:color="auto"/>
              <w:left w:val="single" w:sz="2" w:space="0" w:color="auto"/>
              <w:bottom w:val="single" w:sz="2" w:space="0" w:color="auto"/>
              <w:right w:val="single" w:sz="2" w:space="0" w:color="auto"/>
            </w:tcBorders>
            <w:shd w:val="clear" w:color="auto" w:fill="D3D3D3"/>
            <w:vAlign w:val="center"/>
          </w:tcPr>
          <w:p w:rsidR="00C6116B" w:rsidRPr="00831C3C" w:rsidRDefault="00C6116B">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rsidR="00C6116B" w:rsidRPr="00831C3C" w:rsidRDefault="00C6116B" w:rsidP="00333F10">
            <w:pPr>
              <w:spacing w:line="240" w:lineRule="exact"/>
              <w:jc w:val="right"/>
              <w:rPr>
                <w:rFonts w:ascii="宋体" w:eastAsia="宋体" w:hAnsi="宋体" w:cs="宋体"/>
                <w:sz w:val="18"/>
                <w:szCs w:val="18"/>
              </w:rPr>
            </w:pPr>
            <w:r w:rsidRPr="00831C3C">
              <w:rPr>
                <w:rFonts w:ascii="宋体" w:eastAsia="宋体" w:hAnsi="宋体" w:cs="宋体"/>
                <w:sz w:val="18"/>
                <w:szCs w:val="18"/>
              </w:rPr>
              <w:t>5,125,494.13</w:t>
            </w:r>
          </w:p>
        </w:tc>
        <w:tc>
          <w:tcPr>
            <w:tcW w:w="2410" w:type="dxa"/>
            <w:tcBorders>
              <w:top w:val="single" w:sz="2" w:space="0" w:color="auto"/>
              <w:left w:val="single" w:sz="2" w:space="0" w:color="auto"/>
              <w:bottom w:val="single" w:sz="2" w:space="0" w:color="auto"/>
              <w:right w:val="single" w:sz="2" w:space="0" w:color="auto"/>
            </w:tcBorders>
            <w:vAlign w:val="center"/>
          </w:tcPr>
          <w:p w:rsidR="00C6116B" w:rsidRPr="00831C3C" w:rsidRDefault="00C6116B">
            <w:pPr>
              <w:spacing w:line="240" w:lineRule="exact"/>
              <w:jc w:val="right"/>
              <w:rPr>
                <w:rFonts w:ascii="宋体" w:eastAsia="宋体" w:hAnsi="宋体" w:cs="宋体"/>
                <w:sz w:val="18"/>
                <w:szCs w:val="18"/>
              </w:rPr>
            </w:pPr>
            <w:r w:rsidRPr="00831C3C">
              <w:rPr>
                <w:rFonts w:ascii="宋体" w:eastAsia="宋体" w:hAnsi="宋体" w:cs="宋体"/>
                <w:sz w:val="18"/>
                <w:szCs w:val="18"/>
              </w:rPr>
              <w:t>256,274.71</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C6116B" w:rsidRPr="00831C3C" w:rsidRDefault="00C6116B"/>
        </w:tc>
      </w:tr>
    </w:tbl>
    <w:p w:rsidR="00C65FD5" w:rsidRPr="00831C3C" w:rsidRDefault="00C65FD5" w:rsidP="00961CF9">
      <w:pPr>
        <w:spacing w:before="100" w:after="100" w:line="240" w:lineRule="exact"/>
        <w:rPr>
          <w:rFonts w:ascii="宋体" w:eastAsia="宋体" w:hAnsi="宋体" w:cs="宋体"/>
          <w:sz w:val="18"/>
          <w:szCs w:val="18"/>
        </w:rPr>
      </w:pPr>
      <w:r w:rsidRPr="00831C3C">
        <w:rPr>
          <w:rFonts w:ascii="宋体" w:eastAsia="宋体" w:hAnsi="宋体" w:cs="宋体"/>
          <w:sz w:val="18"/>
          <w:szCs w:val="18"/>
        </w:rPr>
        <w:t>确定该组合依据的说明：</w:t>
      </w:r>
      <w:r w:rsidRPr="00831C3C">
        <w:rPr>
          <w:rFonts w:hint="eastAsia"/>
          <w:sz w:val="18"/>
          <w:szCs w:val="18"/>
        </w:rPr>
        <w:t>无。</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如是按照预期信用损失一般模型计提应收账款坏账准备：</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keepNext/>
        <w:keepLines/>
        <w:spacing w:before="300" w:after="300" w:line="280" w:lineRule="exact"/>
        <w:outlineLvl w:val="3"/>
        <w:rPr>
          <w:rFonts w:ascii="宋体" w:eastAsia="宋体" w:hAnsi="宋体" w:cs="宋体"/>
          <w:b/>
          <w:bCs/>
          <w:szCs w:val="21"/>
        </w:rPr>
      </w:pPr>
      <w:bookmarkStart w:id="597" w:name="_Toc989478"/>
      <w:r w:rsidRPr="00831C3C">
        <w:rPr>
          <w:rFonts w:ascii="宋体" w:eastAsia="宋体" w:hAnsi="宋体" w:cs="宋体"/>
          <w:b/>
          <w:bCs/>
          <w:szCs w:val="21"/>
        </w:rPr>
        <w:lastRenderedPageBreak/>
        <w:t>（3）本期计提、收回或转回的坏账准备情况</w:t>
      </w:r>
      <w:bookmarkEnd w:id="597"/>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本期计提坏账准备情况：</w:t>
      </w:r>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31C3C" w:rsidRPr="00831C3C">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类别</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c>
          <w:tcPr>
            <w:tcW w:w="5508"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本期变动金额</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r>
      <w:tr w:rsidR="00831C3C" w:rsidRPr="00831C3C">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计提</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收回或转回</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核销</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其他</w:t>
            </w:r>
          </w:p>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按组合计提坏账准备</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其中：预期信用风险组合</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498,178.82</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241,904.11</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256,274.71</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498,178.82</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241,904.11</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256,274.71</w:t>
            </w:r>
          </w:p>
        </w:tc>
      </w:tr>
    </w:tbl>
    <w:p w:rsidR="00E23A97" w:rsidRPr="00831C3C" w:rsidRDefault="00C65FD5">
      <w:pPr>
        <w:keepNext/>
        <w:keepLines/>
        <w:spacing w:before="300" w:after="300" w:line="280" w:lineRule="exact"/>
        <w:outlineLvl w:val="3"/>
        <w:rPr>
          <w:rFonts w:ascii="宋体" w:eastAsia="宋体" w:hAnsi="宋体" w:cs="宋体"/>
          <w:b/>
          <w:bCs/>
          <w:szCs w:val="21"/>
        </w:rPr>
      </w:pPr>
      <w:bookmarkStart w:id="598" w:name="_Toc989479"/>
      <w:r w:rsidRPr="00831C3C">
        <w:rPr>
          <w:rFonts w:ascii="宋体" w:eastAsia="宋体" w:hAnsi="宋体" w:cs="宋体"/>
          <w:b/>
          <w:bCs/>
          <w:szCs w:val="21"/>
        </w:rPr>
        <w:t>（4）本期实际核销的应收账款情况</w:t>
      </w:r>
      <w:bookmarkEnd w:id="598"/>
    </w:p>
    <w:p w:rsidR="00C65FD5" w:rsidRPr="00831C3C" w:rsidRDefault="00C65FD5" w:rsidP="00961CF9">
      <w:pPr>
        <w:spacing w:before="100" w:after="100" w:line="240" w:lineRule="exact"/>
        <w:rPr>
          <w:rFonts w:ascii="宋体" w:eastAsia="宋体" w:hAnsi="宋体" w:cs="宋体"/>
          <w:sz w:val="18"/>
          <w:szCs w:val="18"/>
        </w:rPr>
      </w:pPr>
      <w:r w:rsidRPr="00831C3C">
        <w:rPr>
          <w:rFonts w:ascii="宋体" w:eastAsia="宋体" w:hAnsi="宋体" w:cs="宋体"/>
          <w:sz w:val="18"/>
          <w:szCs w:val="18"/>
        </w:rPr>
        <w:t>应收账款核销说明：</w:t>
      </w:r>
      <w:r w:rsidRPr="00831C3C">
        <w:rPr>
          <w:rFonts w:hint="eastAsia"/>
          <w:sz w:val="18"/>
          <w:szCs w:val="18"/>
        </w:rPr>
        <w:t>无。</w:t>
      </w:r>
    </w:p>
    <w:p w:rsidR="00E23A97" w:rsidRPr="00831C3C" w:rsidRDefault="00C65FD5">
      <w:pPr>
        <w:keepNext/>
        <w:keepLines/>
        <w:spacing w:before="300" w:after="300" w:line="280" w:lineRule="exact"/>
        <w:outlineLvl w:val="3"/>
        <w:rPr>
          <w:rFonts w:ascii="宋体" w:eastAsia="宋体" w:hAnsi="宋体" w:cs="宋体"/>
          <w:b/>
          <w:bCs/>
          <w:szCs w:val="21"/>
        </w:rPr>
      </w:pPr>
      <w:bookmarkStart w:id="599" w:name="_Toc989480"/>
      <w:r w:rsidRPr="00831C3C">
        <w:rPr>
          <w:rFonts w:ascii="宋体" w:eastAsia="宋体" w:hAnsi="宋体" w:cs="宋体"/>
          <w:b/>
          <w:bCs/>
          <w:szCs w:val="21"/>
        </w:rPr>
        <w:t>（5）按欠款方归集的期末余额前五名的应收账款和合同资产情况</w:t>
      </w:r>
      <w:bookmarkEnd w:id="599"/>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06"/>
        <w:gridCol w:w="1606"/>
        <w:gridCol w:w="1606"/>
        <w:gridCol w:w="1607"/>
        <w:gridCol w:w="1607"/>
        <w:gridCol w:w="1607"/>
      </w:tblGrid>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单位名称</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应收账款期末余额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合同资产期末余额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应收账款和合同资产期末余额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占应收账款和合同资产期末余额合计数的比例</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应收账款坏账准备和合同资产减值准备期末余额</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第一名</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5,125,494.13</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5,125,494.13</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68.65%</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256,274.71</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第二名</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2,341,088.03</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2,341,088.03</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31.35%</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7,466,582.16</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7,466,582.16</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256,274.71</w:t>
            </w:r>
          </w:p>
        </w:tc>
      </w:tr>
    </w:tbl>
    <w:p w:rsidR="00E23A97" w:rsidRPr="00831C3C" w:rsidRDefault="00C65FD5">
      <w:pPr>
        <w:pStyle w:val="3"/>
        <w:spacing w:line="280" w:lineRule="exact"/>
        <w:jc w:val="left"/>
        <w:rPr>
          <w:rFonts w:ascii="宋体" w:hAnsi="宋体" w:cs="宋体"/>
          <w:b/>
          <w:bCs/>
        </w:rPr>
      </w:pPr>
      <w:bookmarkStart w:id="600" w:name="_Toc989481"/>
      <w:r w:rsidRPr="00831C3C">
        <w:rPr>
          <w:rFonts w:ascii="宋体" w:hAnsi="宋体" w:cs="宋体"/>
          <w:b/>
          <w:bCs/>
        </w:rPr>
        <w:t>2、其他应收款</w:t>
      </w:r>
      <w:bookmarkEnd w:id="600"/>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其他应收款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30,894,589.49</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116,709,427.72</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30,894,589.49</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116,709,427.72</w:t>
            </w:r>
          </w:p>
        </w:tc>
      </w:tr>
    </w:tbl>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601" w:name="_Toc989482"/>
      <w:r w:rsidRPr="00831C3C">
        <w:rPr>
          <w:rFonts w:ascii="宋体" w:eastAsia="宋体" w:hAnsi="宋体" w:cs="宋体"/>
          <w:b/>
          <w:bCs/>
          <w:sz w:val="18"/>
          <w:szCs w:val="18"/>
        </w:rPr>
        <w:t>（1）应收利息</w:t>
      </w:r>
      <w:bookmarkEnd w:id="601"/>
    </w:p>
    <w:p w:rsidR="00E23A97" w:rsidRPr="00831C3C" w:rsidRDefault="00C65FD5">
      <w:pPr>
        <w:keepNext/>
        <w:keepLines/>
        <w:spacing w:before="300" w:after="300" w:line="280" w:lineRule="exact"/>
        <w:outlineLvl w:val="4"/>
        <w:rPr>
          <w:rFonts w:ascii="宋体" w:eastAsia="宋体" w:hAnsi="宋体" w:cs="宋体"/>
          <w:b/>
          <w:bCs/>
          <w:sz w:val="18"/>
          <w:szCs w:val="18"/>
        </w:rPr>
      </w:pPr>
      <w:bookmarkStart w:id="602" w:name="_Toc989483"/>
      <w:r w:rsidRPr="00831C3C">
        <w:rPr>
          <w:rFonts w:ascii="宋体" w:eastAsia="宋体" w:hAnsi="宋体" w:cs="宋体"/>
          <w:b/>
          <w:bCs/>
          <w:sz w:val="18"/>
          <w:szCs w:val="18"/>
        </w:rPr>
        <w:t>1）应收利息分类</w:t>
      </w:r>
      <w:bookmarkEnd w:id="602"/>
    </w:p>
    <w:p w:rsidR="00E23A97" w:rsidRPr="00831C3C" w:rsidRDefault="00C65FD5">
      <w:pPr>
        <w:keepNext/>
        <w:keepLines/>
        <w:spacing w:before="300" w:after="300" w:line="280" w:lineRule="exact"/>
        <w:outlineLvl w:val="4"/>
        <w:rPr>
          <w:rFonts w:ascii="宋体" w:eastAsia="宋体" w:hAnsi="宋体" w:cs="宋体"/>
          <w:b/>
          <w:bCs/>
          <w:sz w:val="18"/>
          <w:szCs w:val="18"/>
        </w:rPr>
      </w:pPr>
      <w:bookmarkStart w:id="603" w:name="_Toc989484"/>
      <w:r w:rsidRPr="00831C3C">
        <w:rPr>
          <w:rFonts w:ascii="宋体" w:eastAsia="宋体" w:hAnsi="宋体" w:cs="宋体"/>
          <w:b/>
          <w:bCs/>
          <w:sz w:val="18"/>
          <w:szCs w:val="18"/>
        </w:rPr>
        <w:t>2）重要逾期利息</w:t>
      </w:r>
      <w:bookmarkEnd w:id="603"/>
    </w:p>
    <w:p w:rsidR="00C65FD5" w:rsidRPr="00831C3C" w:rsidRDefault="00C65FD5" w:rsidP="00961CF9">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r w:rsidRPr="00831C3C">
        <w:rPr>
          <w:rFonts w:hint="eastAsia"/>
          <w:sz w:val="18"/>
          <w:szCs w:val="18"/>
        </w:rPr>
        <w:t>无。</w:t>
      </w:r>
    </w:p>
    <w:p w:rsidR="00E23A97" w:rsidRPr="00831C3C" w:rsidRDefault="00C65FD5">
      <w:pPr>
        <w:keepNext/>
        <w:keepLines/>
        <w:spacing w:before="300" w:after="300" w:line="280" w:lineRule="exact"/>
        <w:outlineLvl w:val="4"/>
        <w:rPr>
          <w:rFonts w:ascii="宋体" w:eastAsia="宋体" w:hAnsi="宋体" w:cs="宋体"/>
          <w:b/>
          <w:bCs/>
          <w:sz w:val="18"/>
          <w:szCs w:val="18"/>
        </w:rPr>
      </w:pPr>
      <w:bookmarkStart w:id="604" w:name="_Toc989485"/>
      <w:r w:rsidRPr="00831C3C">
        <w:rPr>
          <w:rFonts w:ascii="宋体" w:eastAsia="宋体" w:hAnsi="宋体" w:cs="宋体"/>
          <w:b/>
          <w:bCs/>
          <w:sz w:val="18"/>
          <w:szCs w:val="18"/>
        </w:rPr>
        <w:t>3）按坏账计提方法分类披露</w:t>
      </w:r>
      <w:bookmarkEnd w:id="604"/>
    </w:p>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keepNext/>
        <w:keepLines/>
        <w:spacing w:before="300" w:after="300" w:line="280" w:lineRule="exact"/>
        <w:outlineLvl w:val="4"/>
        <w:rPr>
          <w:rFonts w:ascii="宋体" w:eastAsia="宋体" w:hAnsi="宋体" w:cs="宋体"/>
          <w:b/>
          <w:bCs/>
          <w:sz w:val="18"/>
          <w:szCs w:val="18"/>
        </w:rPr>
      </w:pPr>
      <w:bookmarkStart w:id="605" w:name="_Toc989486"/>
      <w:r w:rsidRPr="00831C3C">
        <w:rPr>
          <w:rFonts w:ascii="宋体" w:eastAsia="宋体" w:hAnsi="宋体" w:cs="宋体"/>
          <w:b/>
          <w:bCs/>
          <w:sz w:val="18"/>
          <w:szCs w:val="18"/>
        </w:rPr>
        <w:t>4）本期计提、收回或转回的坏账准备的情况</w:t>
      </w:r>
      <w:bookmarkEnd w:id="605"/>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r w:rsidR="00961CF9" w:rsidRPr="00831C3C">
        <w:rPr>
          <w:rFonts w:ascii="宋体" w:eastAsia="宋体" w:hAnsi="宋体" w:cs="宋体"/>
          <w:sz w:val="18"/>
          <w:szCs w:val="18"/>
        </w:rPr>
        <w:t>无</w:t>
      </w:r>
    </w:p>
    <w:p w:rsidR="00C65FD5" w:rsidRPr="00831C3C" w:rsidRDefault="00C65FD5">
      <w:pPr>
        <w:pStyle w:val="a3"/>
        <w:divId w:val="1153568104"/>
        <w:rPr>
          <w:sz w:val="18"/>
          <w:szCs w:val="18"/>
        </w:rPr>
      </w:pPr>
      <w:r w:rsidRPr="00831C3C">
        <w:rPr>
          <w:rFonts w:hint="eastAsia"/>
          <w:sz w:val="18"/>
          <w:szCs w:val="18"/>
        </w:rPr>
        <w:lastRenderedPageBreak/>
        <w:t>无。</w:t>
      </w:r>
    </w:p>
    <w:p w:rsidR="00E23A97" w:rsidRPr="00831C3C" w:rsidRDefault="00C65FD5">
      <w:pPr>
        <w:keepNext/>
        <w:keepLines/>
        <w:spacing w:before="300" w:after="300" w:line="280" w:lineRule="exact"/>
        <w:outlineLvl w:val="4"/>
        <w:rPr>
          <w:rFonts w:ascii="宋体" w:eastAsia="宋体" w:hAnsi="宋体" w:cs="宋体"/>
          <w:b/>
          <w:bCs/>
          <w:sz w:val="18"/>
          <w:szCs w:val="18"/>
        </w:rPr>
      </w:pPr>
      <w:bookmarkStart w:id="606" w:name="_Toc989487"/>
      <w:r w:rsidRPr="00831C3C">
        <w:rPr>
          <w:rFonts w:ascii="宋体" w:eastAsia="宋体" w:hAnsi="宋体" w:cs="宋体"/>
          <w:b/>
          <w:bCs/>
          <w:sz w:val="18"/>
          <w:szCs w:val="18"/>
        </w:rPr>
        <w:t>5）本期实际核销的应收利息情况</w:t>
      </w:r>
      <w:bookmarkEnd w:id="606"/>
    </w:p>
    <w:p w:rsidR="00C65FD5" w:rsidRPr="00831C3C" w:rsidRDefault="00C65FD5" w:rsidP="00961CF9">
      <w:pPr>
        <w:spacing w:before="100" w:after="100" w:line="240" w:lineRule="exact"/>
        <w:rPr>
          <w:rFonts w:ascii="宋体" w:eastAsia="宋体" w:hAnsi="宋体" w:cs="宋体"/>
          <w:sz w:val="18"/>
          <w:szCs w:val="18"/>
        </w:rPr>
      </w:pPr>
      <w:r w:rsidRPr="00831C3C">
        <w:rPr>
          <w:rFonts w:ascii="宋体" w:eastAsia="宋体" w:hAnsi="宋体" w:cs="宋体"/>
          <w:sz w:val="18"/>
          <w:szCs w:val="18"/>
        </w:rPr>
        <w:t>核销说明：</w:t>
      </w:r>
      <w:r w:rsidRPr="00831C3C">
        <w:rPr>
          <w:rFonts w:hint="eastAsia"/>
          <w:sz w:val="18"/>
          <w:szCs w:val="18"/>
        </w:rPr>
        <w:t>无。</w:t>
      </w:r>
    </w:p>
    <w:p w:rsidR="00C65FD5" w:rsidRPr="00831C3C" w:rsidRDefault="00C65FD5" w:rsidP="00961CF9">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r w:rsidRPr="00831C3C">
        <w:rPr>
          <w:rFonts w:hint="eastAsia"/>
          <w:sz w:val="18"/>
          <w:szCs w:val="18"/>
        </w:rPr>
        <w:t>无。</w:t>
      </w:r>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607" w:name="_Toc989488"/>
      <w:r w:rsidRPr="00831C3C">
        <w:rPr>
          <w:rFonts w:ascii="宋体" w:eastAsia="宋体" w:hAnsi="宋体" w:cs="宋体"/>
          <w:b/>
          <w:bCs/>
          <w:sz w:val="18"/>
          <w:szCs w:val="18"/>
        </w:rPr>
        <w:t>（2）应收股利</w:t>
      </w:r>
      <w:bookmarkEnd w:id="607"/>
    </w:p>
    <w:p w:rsidR="00E23A97" w:rsidRPr="00831C3C" w:rsidRDefault="00C65FD5">
      <w:pPr>
        <w:keepNext/>
        <w:keepLines/>
        <w:spacing w:before="300" w:after="300" w:line="280" w:lineRule="exact"/>
        <w:outlineLvl w:val="4"/>
        <w:rPr>
          <w:rFonts w:ascii="宋体" w:eastAsia="宋体" w:hAnsi="宋体" w:cs="宋体"/>
          <w:b/>
          <w:bCs/>
          <w:sz w:val="18"/>
          <w:szCs w:val="18"/>
        </w:rPr>
      </w:pPr>
      <w:bookmarkStart w:id="608" w:name="_Toc989489"/>
      <w:r w:rsidRPr="00831C3C">
        <w:rPr>
          <w:rFonts w:ascii="宋体" w:eastAsia="宋体" w:hAnsi="宋体" w:cs="宋体"/>
          <w:b/>
          <w:bCs/>
          <w:sz w:val="18"/>
          <w:szCs w:val="18"/>
        </w:rPr>
        <w:t>1）应收股利分类</w:t>
      </w:r>
      <w:bookmarkEnd w:id="608"/>
    </w:p>
    <w:p w:rsidR="00E23A97" w:rsidRPr="00831C3C" w:rsidRDefault="00C65FD5">
      <w:pPr>
        <w:keepNext/>
        <w:keepLines/>
        <w:spacing w:before="300" w:after="300" w:line="280" w:lineRule="exact"/>
        <w:outlineLvl w:val="4"/>
        <w:rPr>
          <w:rFonts w:ascii="宋体" w:eastAsia="宋体" w:hAnsi="宋体" w:cs="宋体"/>
          <w:b/>
          <w:bCs/>
          <w:sz w:val="18"/>
          <w:szCs w:val="18"/>
        </w:rPr>
      </w:pPr>
      <w:bookmarkStart w:id="609" w:name="_Toc989490"/>
      <w:r w:rsidRPr="00831C3C">
        <w:rPr>
          <w:rFonts w:ascii="宋体" w:eastAsia="宋体" w:hAnsi="宋体" w:cs="宋体"/>
          <w:b/>
          <w:bCs/>
          <w:sz w:val="18"/>
          <w:szCs w:val="18"/>
        </w:rPr>
        <w:t>2）重要的账龄超过1年的应收股利</w:t>
      </w:r>
      <w:bookmarkEnd w:id="609"/>
    </w:p>
    <w:p w:rsidR="00E23A97" w:rsidRPr="00831C3C" w:rsidRDefault="00C65FD5">
      <w:pPr>
        <w:keepNext/>
        <w:keepLines/>
        <w:spacing w:before="300" w:after="300" w:line="280" w:lineRule="exact"/>
        <w:outlineLvl w:val="4"/>
        <w:rPr>
          <w:rFonts w:ascii="宋体" w:eastAsia="宋体" w:hAnsi="宋体" w:cs="宋体"/>
          <w:b/>
          <w:bCs/>
          <w:sz w:val="18"/>
          <w:szCs w:val="18"/>
        </w:rPr>
      </w:pPr>
      <w:bookmarkStart w:id="610" w:name="_Toc989491"/>
      <w:r w:rsidRPr="00831C3C">
        <w:rPr>
          <w:rFonts w:ascii="宋体" w:eastAsia="宋体" w:hAnsi="宋体" w:cs="宋体"/>
          <w:b/>
          <w:bCs/>
          <w:sz w:val="18"/>
          <w:szCs w:val="18"/>
        </w:rPr>
        <w:t>3）按坏账计提方法分类披露</w:t>
      </w:r>
      <w:bookmarkEnd w:id="610"/>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keepNext/>
        <w:keepLines/>
        <w:spacing w:before="300" w:after="300" w:line="280" w:lineRule="exact"/>
        <w:outlineLvl w:val="4"/>
        <w:rPr>
          <w:rFonts w:ascii="宋体" w:eastAsia="宋体" w:hAnsi="宋体" w:cs="宋体"/>
          <w:b/>
          <w:bCs/>
          <w:szCs w:val="21"/>
        </w:rPr>
      </w:pPr>
      <w:bookmarkStart w:id="611" w:name="_Toc989492"/>
      <w:r w:rsidRPr="00831C3C">
        <w:rPr>
          <w:rFonts w:ascii="宋体" w:eastAsia="宋体" w:hAnsi="宋体" w:cs="宋体"/>
          <w:b/>
          <w:bCs/>
          <w:szCs w:val="21"/>
        </w:rPr>
        <w:t>4）本期计提、收回或转回的坏账准备的情况</w:t>
      </w:r>
      <w:bookmarkEnd w:id="611"/>
    </w:p>
    <w:p w:rsidR="00C65FD5" w:rsidRPr="00831C3C" w:rsidRDefault="00C65FD5" w:rsidP="00961CF9">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r w:rsidRPr="00831C3C">
        <w:rPr>
          <w:rFonts w:hint="eastAsia"/>
          <w:sz w:val="18"/>
          <w:szCs w:val="18"/>
        </w:rPr>
        <w:t>无。</w:t>
      </w:r>
    </w:p>
    <w:p w:rsidR="00E23A97" w:rsidRPr="00831C3C" w:rsidRDefault="00C65FD5">
      <w:pPr>
        <w:keepNext/>
        <w:keepLines/>
        <w:spacing w:before="300" w:after="300" w:line="280" w:lineRule="exact"/>
        <w:outlineLvl w:val="4"/>
        <w:rPr>
          <w:rFonts w:ascii="宋体" w:eastAsia="宋体" w:hAnsi="宋体" w:cs="宋体"/>
          <w:b/>
          <w:bCs/>
          <w:szCs w:val="21"/>
        </w:rPr>
      </w:pPr>
      <w:bookmarkStart w:id="612" w:name="_Toc989493"/>
      <w:r w:rsidRPr="00831C3C">
        <w:rPr>
          <w:rFonts w:ascii="宋体" w:eastAsia="宋体" w:hAnsi="宋体" w:cs="宋体"/>
          <w:b/>
          <w:bCs/>
          <w:szCs w:val="21"/>
        </w:rPr>
        <w:t>5）本期实际核销的应收股利情况</w:t>
      </w:r>
      <w:bookmarkEnd w:id="612"/>
    </w:p>
    <w:p w:rsidR="00C65FD5" w:rsidRPr="00831C3C" w:rsidRDefault="00C65FD5" w:rsidP="00961CF9">
      <w:pPr>
        <w:spacing w:before="100" w:after="100" w:line="240" w:lineRule="exact"/>
        <w:rPr>
          <w:rFonts w:ascii="宋体" w:eastAsia="宋体" w:hAnsi="宋体" w:cs="宋体"/>
          <w:sz w:val="18"/>
          <w:szCs w:val="18"/>
        </w:rPr>
      </w:pPr>
      <w:r w:rsidRPr="00831C3C">
        <w:rPr>
          <w:rFonts w:ascii="宋体" w:eastAsia="宋体" w:hAnsi="宋体" w:cs="宋体"/>
          <w:sz w:val="18"/>
          <w:szCs w:val="18"/>
        </w:rPr>
        <w:t>核销说明：</w:t>
      </w:r>
      <w:r w:rsidRPr="00831C3C">
        <w:rPr>
          <w:rFonts w:hint="eastAsia"/>
          <w:sz w:val="18"/>
          <w:szCs w:val="18"/>
        </w:rPr>
        <w:t>无。</w:t>
      </w:r>
    </w:p>
    <w:p w:rsidR="00C65FD5" w:rsidRPr="00831C3C" w:rsidRDefault="00C65FD5" w:rsidP="00961CF9">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r w:rsidRPr="00831C3C">
        <w:rPr>
          <w:rFonts w:hint="eastAsia"/>
          <w:sz w:val="18"/>
          <w:szCs w:val="18"/>
        </w:rPr>
        <w:t>无。</w:t>
      </w:r>
    </w:p>
    <w:p w:rsidR="00E23A97" w:rsidRPr="00831C3C" w:rsidRDefault="00C65FD5">
      <w:pPr>
        <w:keepNext/>
        <w:keepLines/>
        <w:spacing w:before="300" w:after="300" w:line="280" w:lineRule="exact"/>
        <w:outlineLvl w:val="3"/>
        <w:rPr>
          <w:rFonts w:ascii="宋体" w:eastAsia="宋体" w:hAnsi="宋体" w:cs="宋体"/>
          <w:b/>
          <w:bCs/>
          <w:sz w:val="18"/>
          <w:szCs w:val="18"/>
        </w:rPr>
      </w:pPr>
      <w:bookmarkStart w:id="613" w:name="_Toc989494"/>
      <w:r w:rsidRPr="00831C3C">
        <w:rPr>
          <w:rFonts w:ascii="宋体" w:eastAsia="宋体" w:hAnsi="宋体" w:cs="宋体"/>
          <w:b/>
          <w:bCs/>
          <w:sz w:val="18"/>
          <w:szCs w:val="18"/>
        </w:rPr>
        <w:t>（3）其他应收款</w:t>
      </w:r>
      <w:bookmarkEnd w:id="613"/>
    </w:p>
    <w:p w:rsidR="00E23A97" w:rsidRPr="00831C3C" w:rsidRDefault="00C65FD5">
      <w:pPr>
        <w:keepNext/>
        <w:keepLines/>
        <w:spacing w:before="300" w:after="300" w:line="280" w:lineRule="exact"/>
        <w:outlineLvl w:val="4"/>
        <w:rPr>
          <w:rFonts w:ascii="宋体" w:eastAsia="宋体" w:hAnsi="宋体" w:cs="宋体"/>
          <w:b/>
          <w:bCs/>
          <w:sz w:val="18"/>
          <w:szCs w:val="18"/>
        </w:rPr>
      </w:pPr>
      <w:bookmarkStart w:id="614" w:name="_Toc989495"/>
      <w:r w:rsidRPr="00831C3C">
        <w:rPr>
          <w:rFonts w:ascii="宋体" w:eastAsia="宋体" w:hAnsi="宋体" w:cs="宋体"/>
          <w:b/>
          <w:bCs/>
          <w:sz w:val="18"/>
          <w:szCs w:val="18"/>
        </w:rPr>
        <w:t>1）其他应收款按款项性质分类情况</w:t>
      </w:r>
      <w:bookmarkEnd w:id="614"/>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款项性质</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期末账面余额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期初账面余额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暂借款</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137,371.83</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143,285.23</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合并范围外关联方往来</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19,115,777.77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19,115,777.77</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合并范围内关联方往来</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23,495,614.04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103,985,990.09</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减：坏账准备</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-11,854,174.15</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-6,535,625.37</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30,894,589.49</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116,709,427.72</w:t>
            </w:r>
          </w:p>
        </w:tc>
      </w:tr>
    </w:tbl>
    <w:p w:rsidR="00E23A97" w:rsidRPr="00831C3C" w:rsidRDefault="00C65FD5">
      <w:pPr>
        <w:keepNext/>
        <w:keepLines/>
        <w:spacing w:before="300" w:after="300" w:line="280" w:lineRule="exact"/>
        <w:outlineLvl w:val="4"/>
        <w:rPr>
          <w:rFonts w:ascii="宋体" w:eastAsia="宋体" w:hAnsi="宋体" w:cs="宋体"/>
          <w:b/>
          <w:bCs/>
          <w:sz w:val="18"/>
          <w:szCs w:val="18"/>
        </w:rPr>
      </w:pPr>
      <w:bookmarkStart w:id="615" w:name="_Toc989496"/>
      <w:r w:rsidRPr="00831C3C">
        <w:rPr>
          <w:rFonts w:ascii="宋体" w:eastAsia="宋体" w:hAnsi="宋体" w:cs="宋体"/>
          <w:b/>
          <w:bCs/>
          <w:sz w:val="18"/>
          <w:szCs w:val="18"/>
        </w:rPr>
        <w:t>2）</w:t>
      </w:r>
      <w:proofErr w:type="gramStart"/>
      <w:r w:rsidRPr="00831C3C">
        <w:rPr>
          <w:rFonts w:ascii="宋体" w:eastAsia="宋体" w:hAnsi="宋体" w:cs="宋体"/>
          <w:b/>
          <w:bCs/>
          <w:sz w:val="18"/>
          <w:szCs w:val="18"/>
        </w:rPr>
        <w:t>按账龄</w:t>
      </w:r>
      <w:proofErr w:type="gramEnd"/>
      <w:r w:rsidRPr="00831C3C">
        <w:rPr>
          <w:rFonts w:ascii="宋体" w:eastAsia="宋体" w:hAnsi="宋体" w:cs="宋体"/>
          <w:b/>
          <w:bCs/>
          <w:sz w:val="18"/>
          <w:szCs w:val="18"/>
        </w:rPr>
        <w:t>披露</w:t>
      </w:r>
      <w:bookmarkEnd w:id="615"/>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账龄</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期末账面余额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期初账面余额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1年以内（含1年）</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23,627,985.87</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104,124,275.32</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1至2年</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2,084,444.44</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2至3年</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2,084,444.44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7,331,333.33</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3年以上</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17,036,333.33</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9,705,000.00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3至4年</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7,331,333.33</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9,700,000.00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lastRenderedPageBreak/>
              <w:t>4至5年</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9,700,000.00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5,000.00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5年以上</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5,000.00</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42,748,763.64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123,245,053.09</w:t>
            </w:r>
          </w:p>
        </w:tc>
      </w:tr>
    </w:tbl>
    <w:p w:rsidR="00E23A97" w:rsidRPr="00831C3C" w:rsidRDefault="00C65FD5">
      <w:pPr>
        <w:keepNext/>
        <w:keepLines/>
        <w:spacing w:before="300" w:after="300" w:line="280" w:lineRule="exact"/>
        <w:outlineLvl w:val="4"/>
        <w:rPr>
          <w:rFonts w:ascii="宋体" w:eastAsia="宋体" w:hAnsi="宋体" w:cs="宋体"/>
          <w:b/>
          <w:bCs/>
          <w:sz w:val="18"/>
          <w:szCs w:val="18"/>
        </w:rPr>
      </w:pPr>
      <w:bookmarkStart w:id="616" w:name="_Toc989497"/>
      <w:r w:rsidRPr="00831C3C">
        <w:rPr>
          <w:rFonts w:ascii="宋体" w:eastAsia="宋体" w:hAnsi="宋体" w:cs="宋体"/>
          <w:b/>
          <w:bCs/>
          <w:sz w:val="18"/>
          <w:szCs w:val="18"/>
        </w:rPr>
        <w:t>3）按坏账计提方法分类披露</w:t>
      </w:r>
      <w:bookmarkEnd w:id="616"/>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875"/>
        <w:gridCol w:w="876"/>
        <w:gridCol w:w="877"/>
        <w:gridCol w:w="876"/>
        <w:gridCol w:w="877"/>
        <w:gridCol w:w="876"/>
        <w:gridCol w:w="876"/>
        <w:gridCol w:w="877"/>
        <w:gridCol w:w="876"/>
        <w:gridCol w:w="877"/>
        <w:gridCol w:w="876"/>
      </w:tblGrid>
      <w:tr w:rsidR="00831C3C" w:rsidRPr="00831C3C">
        <w:trPr>
          <w:trHeight w:val="240"/>
        </w:trPr>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类别</w:t>
            </w:r>
          </w:p>
        </w:tc>
        <w:tc>
          <w:tcPr>
            <w:tcW w:w="4381"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4381" w:type="dxa"/>
            <w:gridSpan w:val="5"/>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r>
      <w:tr w:rsidR="00831C3C" w:rsidRPr="00831C3C">
        <w:trPr>
          <w:trHeight w:val="240"/>
        </w:trPr>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账面余额</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坏账准备</w:t>
            </w:r>
          </w:p>
        </w:tc>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账面价值</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账面余额</w:t>
            </w:r>
          </w:p>
        </w:tc>
        <w:tc>
          <w:tcPr>
            <w:tcW w:w="1753"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坏账准备</w:t>
            </w:r>
          </w:p>
        </w:tc>
        <w:tc>
          <w:tcPr>
            <w:tcW w:w="876"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账面价值</w:t>
            </w:r>
          </w:p>
        </w:tc>
      </w:tr>
      <w:tr w:rsidR="00831C3C" w:rsidRPr="00831C3C">
        <w:trPr>
          <w:trHeight w:val="240"/>
        </w:trPr>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比例</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计提比例</w:t>
            </w:r>
          </w:p>
        </w:tc>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比例</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金额</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计提比例</w:t>
            </w:r>
          </w:p>
        </w:tc>
        <w:tc>
          <w:tcPr>
            <w:tcW w:w="876"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其中：</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按组合计提坏账准备</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42,748,763.64</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11,854,174.15</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27.73%</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30,894,589.49</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123,245,053.09</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6,535,625.37</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5.30%</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116,709,427.72</w:t>
            </w:r>
          </w:p>
        </w:tc>
      </w:tr>
      <w:tr w:rsidR="00831C3C" w:rsidRPr="00831C3C">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100" w:firstLine="180"/>
              <w:rPr>
                <w:rFonts w:ascii="宋体" w:eastAsia="宋体" w:hAnsi="宋体" w:cs="宋体"/>
                <w:sz w:val="18"/>
                <w:szCs w:val="18"/>
              </w:rPr>
            </w:pPr>
            <w:r w:rsidRPr="00831C3C">
              <w:rPr>
                <w:rFonts w:ascii="宋体" w:eastAsia="宋体" w:hAnsi="宋体" w:cs="宋体"/>
                <w:sz w:val="18"/>
                <w:szCs w:val="18"/>
              </w:rPr>
              <w:t>其中：</w:t>
            </w:r>
          </w:p>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预期信用风险组合</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19,253,149.60</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45.04%</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11,854,174.15</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61.57%</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7,398,975.45</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19,259,063.00</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24.10%</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6,535,625.37</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33.94%</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12,723,437.63</w:t>
            </w:r>
          </w:p>
        </w:tc>
      </w:tr>
      <w:tr w:rsidR="00831C3C" w:rsidRPr="00831C3C">
        <w:trPr>
          <w:trHeight w:val="240"/>
        </w:trPr>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合并范围内关联方组合</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23,495,614.04</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54.96%</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23,495,614.04</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103,985,990.09</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75.90%</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103,985,990.09</w:t>
            </w:r>
          </w:p>
        </w:tc>
      </w:tr>
      <w:tr w:rsidR="00831C3C" w:rsidRPr="00831C3C">
        <w:trPr>
          <w:trHeight w:val="240"/>
        </w:trPr>
        <w:tc>
          <w:tcPr>
            <w:tcW w:w="87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42,748,763.64</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11,854,174.15</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27.73%</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30,894,589.49</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123,245,053.09</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6,535,625.37</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5.30%</w:t>
            </w:r>
          </w:p>
        </w:tc>
        <w:tc>
          <w:tcPr>
            <w:tcW w:w="87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116,709,427.72</w:t>
            </w:r>
          </w:p>
        </w:tc>
      </w:tr>
    </w:tbl>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按组合计提坏账准备：预期信用风险组合</w:t>
      </w:r>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31C3C" w:rsidRPr="00831C3C">
        <w:trPr>
          <w:trHeight w:val="240"/>
        </w:trPr>
        <w:tc>
          <w:tcPr>
            <w:tcW w:w="241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名称</w:t>
            </w:r>
          </w:p>
        </w:tc>
        <w:tc>
          <w:tcPr>
            <w:tcW w:w="7229"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r>
      <w:tr w:rsidR="00831C3C" w:rsidRPr="00831C3C">
        <w:trPr>
          <w:trHeight w:val="240"/>
        </w:trPr>
        <w:tc>
          <w:tcPr>
            <w:tcW w:w="241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账面余额</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坏账准备</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计提比例</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1年以内</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132,371.83</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6,618.59</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5.00%</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1－2年</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2－3年</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2,084,444.44</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416,888.89</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20.00%</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3－4年</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7,331,333.33</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3,665,666.67</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50.00%</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4－5年</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9,700,000.00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7,760,000.00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80.00%</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5年以上</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5,000.00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5,000.00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19,253,149.60</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11,854,174.15</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bl>
    <w:p w:rsidR="00C65FD5" w:rsidRPr="00831C3C" w:rsidRDefault="00C65FD5" w:rsidP="00961CF9">
      <w:pPr>
        <w:spacing w:before="100" w:after="100" w:line="240" w:lineRule="exact"/>
        <w:rPr>
          <w:rFonts w:ascii="宋体" w:eastAsia="宋体" w:hAnsi="宋体" w:cs="宋体"/>
          <w:sz w:val="18"/>
          <w:szCs w:val="18"/>
        </w:rPr>
      </w:pPr>
      <w:r w:rsidRPr="00831C3C">
        <w:rPr>
          <w:rFonts w:ascii="宋体" w:eastAsia="宋体" w:hAnsi="宋体" w:cs="宋体"/>
          <w:sz w:val="18"/>
          <w:szCs w:val="18"/>
        </w:rPr>
        <w:t>确定该组合依据的说明：</w:t>
      </w:r>
      <w:r w:rsidRPr="00831C3C">
        <w:rPr>
          <w:rFonts w:hint="eastAsia"/>
          <w:sz w:val="18"/>
          <w:szCs w:val="18"/>
        </w:rPr>
        <w:t>无。</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按预期信用损失一般模型计提坏账准备：</w:t>
      </w:r>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31C3C" w:rsidRPr="00831C3C">
        <w:trPr>
          <w:trHeight w:val="240"/>
        </w:trPr>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坏账准备</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第一阶段</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第二阶段</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第三阶段</w:t>
            </w:r>
          </w:p>
        </w:tc>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合计</w:t>
            </w:r>
          </w:p>
        </w:tc>
      </w:tr>
      <w:tr w:rsidR="00831C3C" w:rsidRPr="00831C3C">
        <w:trPr>
          <w:trHeight w:val="240"/>
        </w:trPr>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未来12个月预期信用损失</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整个存续期预期信用损失（未发生信用减值）</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整个存续期预期信用损失（已发生信用减值）</w:t>
            </w:r>
          </w:p>
        </w:tc>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2024年1月1日余额</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6,535,625.37</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6,535,625.37</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2024年1月1日余额在本期</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本期计提</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5,318,548.78</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5,318,548.78</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lastRenderedPageBreak/>
              <w:t>2024年12月31日余额</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11,854,174.15</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11,854,174.15</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各阶段划分依据和坏账准备计提比例</w:t>
      </w:r>
    </w:p>
    <w:p w:rsidR="00C65FD5" w:rsidRPr="00831C3C" w:rsidRDefault="00C65FD5">
      <w:pPr>
        <w:pStyle w:val="a3"/>
        <w:divId w:val="1512836509"/>
        <w:rPr>
          <w:sz w:val="18"/>
          <w:szCs w:val="18"/>
        </w:rPr>
      </w:pPr>
      <w:r w:rsidRPr="00831C3C">
        <w:rPr>
          <w:rFonts w:hint="eastAsia"/>
          <w:sz w:val="18"/>
          <w:szCs w:val="18"/>
        </w:rPr>
        <w:t>无。</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损失准备本期变动金额重大的账面余额变动情况</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keepNext/>
        <w:keepLines/>
        <w:spacing w:before="300" w:after="300" w:line="280" w:lineRule="exact"/>
        <w:outlineLvl w:val="4"/>
        <w:rPr>
          <w:rFonts w:ascii="宋体" w:eastAsia="宋体" w:hAnsi="宋体" w:cs="宋体"/>
          <w:b/>
          <w:bCs/>
          <w:sz w:val="18"/>
          <w:szCs w:val="18"/>
        </w:rPr>
      </w:pPr>
      <w:bookmarkStart w:id="617" w:name="_Toc989498"/>
      <w:r w:rsidRPr="00831C3C">
        <w:rPr>
          <w:rFonts w:ascii="宋体" w:eastAsia="宋体" w:hAnsi="宋体" w:cs="宋体"/>
          <w:b/>
          <w:bCs/>
          <w:sz w:val="18"/>
          <w:szCs w:val="18"/>
        </w:rPr>
        <w:t>4）本期计提、收回或转回的坏账准备情况</w:t>
      </w:r>
      <w:bookmarkEnd w:id="617"/>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本期计提坏账准备情况：</w:t>
      </w:r>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31C3C" w:rsidRPr="00831C3C">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类别</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c>
          <w:tcPr>
            <w:tcW w:w="5508"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本期变动金额</w:t>
            </w:r>
          </w:p>
        </w:tc>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r>
      <w:tr w:rsidR="00831C3C" w:rsidRPr="00831C3C">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计提</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收回或转回</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转销或核销</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其他</w:t>
            </w:r>
          </w:p>
        </w:tc>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按单项计提坏账准备</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按组合计提坏账准备</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其中：预期信用风险组合</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6,535,625.37</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5,318,548.78</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11,854,174.15</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合并范围内关联方组合</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6,535,625.37</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5,318,548.78</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11,854,174.15</w:t>
            </w:r>
          </w:p>
        </w:tc>
      </w:tr>
    </w:tbl>
    <w:p w:rsidR="00E23A97" w:rsidRPr="00831C3C" w:rsidRDefault="00C65FD5">
      <w:pPr>
        <w:keepNext/>
        <w:keepLines/>
        <w:spacing w:before="300" w:after="300" w:line="280" w:lineRule="exact"/>
        <w:outlineLvl w:val="4"/>
        <w:rPr>
          <w:rFonts w:ascii="宋体" w:eastAsia="宋体" w:hAnsi="宋体" w:cs="宋体"/>
          <w:b/>
          <w:bCs/>
          <w:sz w:val="18"/>
          <w:szCs w:val="18"/>
        </w:rPr>
      </w:pPr>
      <w:bookmarkStart w:id="618" w:name="_Toc989499"/>
      <w:r w:rsidRPr="00831C3C">
        <w:rPr>
          <w:rFonts w:ascii="宋体" w:eastAsia="宋体" w:hAnsi="宋体" w:cs="宋体"/>
          <w:b/>
          <w:bCs/>
          <w:sz w:val="18"/>
          <w:szCs w:val="18"/>
        </w:rPr>
        <w:t>5）本期实际核销的其他应收款情况</w:t>
      </w:r>
      <w:bookmarkEnd w:id="618"/>
    </w:p>
    <w:p w:rsidR="00C65FD5" w:rsidRPr="00831C3C" w:rsidRDefault="00C65FD5" w:rsidP="00961CF9">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其他应收款核销说明：</w:t>
      </w:r>
      <w:r w:rsidRPr="00831C3C">
        <w:rPr>
          <w:rFonts w:hint="eastAsia"/>
          <w:sz w:val="18"/>
          <w:szCs w:val="18"/>
        </w:rPr>
        <w:t>无。</w:t>
      </w:r>
    </w:p>
    <w:p w:rsidR="00E23A97" w:rsidRPr="00831C3C" w:rsidRDefault="00C65FD5">
      <w:pPr>
        <w:keepNext/>
        <w:keepLines/>
        <w:spacing w:before="300" w:after="300" w:line="280" w:lineRule="exact"/>
        <w:outlineLvl w:val="4"/>
        <w:rPr>
          <w:rFonts w:ascii="宋体" w:eastAsia="宋体" w:hAnsi="宋体" w:cs="宋体"/>
          <w:b/>
          <w:bCs/>
          <w:sz w:val="18"/>
          <w:szCs w:val="18"/>
        </w:rPr>
      </w:pPr>
      <w:bookmarkStart w:id="619" w:name="_Toc989500"/>
      <w:r w:rsidRPr="00831C3C">
        <w:rPr>
          <w:rFonts w:ascii="宋体" w:eastAsia="宋体" w:hAnsi="宋体" w:cs="宋体"/>
          <w:b/>
          <w:bCs/>
          <w:sz w:val="18"/>
          <w:szCs w:val="18"/>
        </w:rPr>
        <w:t>6）按欠款方归集的期末余额前五名的其他应收款情况</w:t>
      </w:r>
      <w:bookmarkEnd w:id="619"/>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606"/>
        <w:gridCol w:w="1606"/>
        <w:gridCol w:w="1606"/>
        <w:gridCol w:w="1607"/>
        <w:gridCol w:w="1607"/>
        <w:gridCol w:w="1607"/>
      </w:tblGrid>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单位名称</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款项的性质</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账龄</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占其他应收款期末余额合计数的比例</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坏账准备期末余额</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第一名</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合并范围内关联方往来</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18,495,614.04</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1年以内</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43.27%</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0.00</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第二名</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合并范围外关联方往来</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1,129,444.45</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2-3年</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2.64%</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225,888.89</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合并范围外关联方往来</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1,016,666.66</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3-4年</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2.38%</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508,333.33</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合并范围外关联方往来</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9,700,000.00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4-5年</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22.69%</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7,760,000.00</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第三名</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合并范围内关联方往来</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955,000.00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1年以内</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2.23%</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191,000.00</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合并范围内关联方往来</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6,314,666.67</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3-4年</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14.77%</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3,157,333.34</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第四名</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合并范围内关联方往来</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5,000,000.00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1-2年</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11.70%</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第五名</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代付款</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102,432.79</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1-2年</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0.24%</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5,121.64</w:t>
            </w:r>
          </w:p>
        </w:tc>
      </w:tr>
      <w:tr w:rsidR="00831C3C" w:rsidRPr="00831C3C">
        <w:trPr>
          <w:trHeight w:val="240"/>
        </w:trPr>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lastRenderedPageBreak/>
              <w:t>合计</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42,713,824.61</w:t>
            </w:r>
          </w:p>
        </w:tc>
        <w:tc>
          <w:tcPr>
            <w:tcW w:w="1606"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99.92%</w:t>
            </w:r>
          </w:p>
        </w:tc>
        <w:tc>
          <w:tcPr>
            <w:tcW w:w="1606"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11,847,677.20</w:t>
            </w:r>
          </w:p>
        </w:tc>
      </w:tr>
    </w:tbl>
    <w:p w:rsidR="00E23A97" w:rsidRPr="00831C3C" w:rsidRDefault="00E23A97">
      <w:pPr>
        <w:spacing w:before="100" w:after="100" w:line="0" w:lineRule="atLeast"/>
      </w:pPr>
    </w:p>
    <w:p w:rsidR="00E23A97" w:rsidRPr="00831C3C" w:rsidRDefault="00C65FD5">
      <w:pPr>
        <w:keepNext/>
        <w:keepLines/>
        <w:spacing w:before="300" w:after="300" w:line="280" w:lineRule="exact"/>
        <w:outlineLvl w:val="4"/>
        <w:rPr>
          <w:rFonts w:ascii="宋体" w:eastAsia="宋体" w:hAnsi="宋体" w:cs="宋体"/>
          <w:b/>
          <w:bCs/>
          <w:sz w:val="18"/>
          <w:szCs w:val="18"/>
        </w:rPr>
      </w:pPr>
      <w:bookmarkStart w:id="620" w:name="_Toc989501"/>
      <w:r w:rsidRPr="00831C3C">
        <w:rPr>
          <w:rFonts w:ascii="宋体" w:eastAsia="宋体" w:hAnsi="宋体" w:cs="宋体"/>
          <w:b/>
          <w:bCs/>
          <w:sz w:val="18"/>
          <w:szCs w:val="18"/>
        </w:rPr>
        <w:t>7）因资金集中管理而列报于其他应收款</w:t>
      </w:r>
      <w:bookmarkEnd w:id="620"/>
    </w:p>
    <w:p w:rsidR="00C65FD5" w:rsidRPr="00831C3C" w:rsidRDefault="00C65FD5" w:rsidP="00961CF9">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r w:rsidRPr="00831C3C">
        <w:rPr>
          <w:rFonts w:hint="eastAsia"/>
          <w:sz w:val="18"/>
          <w:szCs w:val="18"/>
        </w:rPr>
        <w:t>无。</w:t>
      </w:r>
    </w:p>
    <w:p w:rsidR="00E23A97" w:rsidRPr="00831C3C" w:rsidRDefault="00C65FD5">
      <w:pPr>
        <w:pStyle w:val="3"/>
        <w:spacing w:line="280" w:lineRule="exact"/>
        <w:jc w:val="left"/>
        <w:rPr>
          <w:rFonts w:ascii="宋体" w:hAnsi="宋体" w:cs="宋体"/>
          <w:b/>
          <w:bCs/>
        </w:rPr>
      </w:pPr>
      <w:bookmarkStart w:id="621" w:name="_Toc989502"/>
      <w:r w:rsidRPr="00831C3C">
        <w:rPr>
          <w:rFonts w:ascii="宋体" w:hAnsi="宋体" w:cs="宋体"/>
          <w:b/>
          <w:bCs/>
        </w:rPr>
        <w:t>3、长期股权投资</w:t>
      </w:r>
      <w:bookmarkEnd w:id="621"/>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377"/>
        <w:gridCol w:w="1377"/>
        <w:gridCol w:w="1377"/>
        <w:gridCol w:w="1377"/>
        <w:gridCol w:w="1377"/>
        <w:gridCol w:w="1377"/>
        <w:gridCol w:w="1377"/>
      </w:tblGrid>
      <w:tr w:rsidR="00831C3C" w:rsidRPr="00831C3C">
        <w:trPr>
          <w:trHeight w:val="240"/>
        </w:trPr>
        <w:tc>
          <w:tcPr>
            <w:tcW w:w="1377"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w:t>
            </w:r>
          </w:p>
        </w:tc>
        <w:tc>
          <w:tcPr>
            <w:tcW w:w="4131" w:type="dxa"/>
            <w:gridSpan w:val="3"/>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w:t>
            </w:r>
          </w:p>
        </w:tc>
      </w:tr>
      <w:tr w:rsidR="00831C3C" w:rsidRPr="00831C3C">
        <w:trPr>
          <w:trHeight w:val="240"/>
        </w:trPr>
        <w:tc>
          <w:tcPr>
            <w:tcW w:w="1377"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减值准备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账面价值</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账面余额</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减值准备</w:t>
            </w:r>
          </w:p>
        </w:tc>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账面价值</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对子公司投资</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4,143,101,677.33</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4,143,101,677.33</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4,126,298,998.00</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4,126,298,998.00</w:t>
            </w:r>
          </w:p>
        </w:tc>
      </w:tr>
      <w:tr w:rsidR="00831C3C" w:rsidRPr="00831C3C">
        <w:trPr>
          <w:trHeight w:val="240"/>
        </w:trPr>
        <w:tc>
          <w:tcPr>
            <w:tcW w:w="1377"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4,143,101,677.33</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4,143,101,677.33</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4,126,298,998.00</w:t>
            </w: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377"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4,126,298,998.00</w:t>
            </w:r>
          </w:p>
        </w:tc>
      </w:tr>
    </w:tbl>
    <w:p w:rsidR="00E23A97" w:rsidRPr="00831C3C" w:rsidRDefault="00C65FD5">
      <w:pPr>
        <w:keepNext/>
        <w:keepLines/>
        <w:spacing w:before="300" w:after="300" w:line="280" w:lineRule="exact"/>
        <w:outlineLvl w:val="3"/>
        <w:rPr>
          <w:rFonts w:ascii="宋体" w:eastAsia="宋体" w:hAnsi="宋体" w:cs="宋体"/>
          <w:b/>
          <w:bCs/>
          <w:szCs w:val="21"/>
        </w:rPr>
      </w:pPr>
      <w:bookmarkStart w:id="622" w:name="_Toc989503"/>
      <w:r w:rsidRPr="00831C3C">
        <w:rPr>
          <w:rFonts w:ascii="宋体" w:eastAsia="宋体" w:hAnsi="宋体" w:cs="宋体"/>
          <w:b/>
          <w:bCs/>
          <w:szCs w:val="21"/>
        </w:rPr>
        <w:t>（1）对子公司投资</w:t>
      </w:r>
      <w:bookmarkEnd w:id="622"/>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071"/>
        <w:gridCol w:w="1071"/>
        <w:gridCol w:w="1071"/>
        <w:gridCol w:w="1071"/>
        <w:gridCol w:w="1071"/>
        <w:gridCol w:w="1071"/>
        <w:gridCol w:w="1071"/>
        <w:gridCol w:w="1071"/>
        <w:gridCol w:w="1071"/>
      </w:tblGrid>
      <w:tr w:rsidR="00831C3C" w:rsidRPr="00831C3C">
        <w:trPr>
          <w:trHeight w:val="240"/>
        </w:trPr>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被投资单位</w:t>
            </w:r>
          </w:p>
        </w:tc>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期初余额（账面价值）</w:t>
            </w:r>
          </w:p>
        </w:tc>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减值准备期初余额</w:t>
            </w:r>
          </w:p>
        </w:tc>
        <w:tc>
          <w:tcPr>
            <w:tcW w:w="4284" w:type="dxa"/>
            <w:gridSpan w:val="4"/>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本期增减变动</w:t>
            </w:r>
          </w:p>
        </w:tc>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期末余额（账面价值）</w:t>
            </w:r>
          </w:p>
        </w:tc>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减值准备期末余额</w:t>
            </w:r>
          </w:p>
        </w:tc>
      </w:tr>
      <w:tr w:rsidR="00831C3C" w:rsidRPr="00831C3C">
        <w:trPr>
          <w:trHeight w:val="240"/>
        </w:trPr>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vMerge/>
            <w:tcBorders>
              <w:top w:val="single" w:sz="2" w:space="0" w:color="auto"/>
              <w:left w:val="single" w:sz="2" w:space="0" w:color="auto"/>
              <w:bottom w:val="single" w:sz="2" w:space="0" w:color="auto"/>
              <w:right w:val="single" w:sz="2" w:space="0" w:color="auto"/>
            </w:tcBorders>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追加投资</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减少投资</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计提减值准备</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其他</w:t>
            </w:r>
          </w:p>
        </w:tc>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深圳市华孚进出口有限公司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2,126,565,336.11</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2,126,565,336.11</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浙江金华华孚纺织有限公司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12,832,704.89</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12,832,704.89</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浙江华孚色纺有限公司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127,264,373.11</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16,802,679.33</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144,067,052.44</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淮北中新纺织有限公司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205,306,183.89</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205,306,183.89</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奎屯锦孚纺织有限公司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154,330,400.00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154,330,400.00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深圳华孚网链投资有限公司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500,000,000.00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500,000,000.00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新疆华孚棉业集团有限公司</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1,000,000,000.00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1,000,000,000.00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4,126,298,998.00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16,802,679.33</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4,143,101,677.33</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bl>
    <w:p w:rsidR="00E23A97" w:rsidRPr="00831C3C" w:rsidRDefault="00C65FD5">
      <w:pPr>
        <w:keepNext/>
        <w:keepLines/>
        <w:spacing w:before="300" w:after="300" w:line="280" w:lineRule="exact"/>
        <w:outlineLvl w:val="3"/>
        <w:rPr>
          <w:rFonts w:ascii="宋体" w:eastAsia="宋体" w:hAnsi="宋体" w:cs="宋体"/>
          <w:b/>
          <w:bCs/>
          <w:szCs w:val="21"/>
        </w:rPr>
      </w:pPr>
      <w:bookmarkStart w:id="623" w:name="_Toc989504"/>
      <w:r w:rsidRPr="00831C3C">
        <w:rPr>
          <w:rFonts w:ascii="宋体" w:eastAsia="宋体" w:hAnsi="宋体" w:cs="宋体"/>
          <w:b/>
          <w:bCs/>
          <w:szCs w:val="21"/>
        </w:rPr>
        <w:t>（2）对联营、合营企业投资</w:t>
      </w:r>
      <w:bookmarkEnd w:id="623"/>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可收回金额按公允价值减去处置费用后的净额确定</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lastRenderedPageBreak/>
        <w:t>可收回金额按预计未来现金流量的现值确定</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前述信息与以前年度减值测试采用的信息或外部信息明显不一致的差异原因</w:t>
      </w:r>
    </w:p>
    <w:p w:rsidR="00C65FD5" w:rsidRPr="00831C3C" w:rsidRDefault="00C65FD5">
      <w:pPr>
        <w:pStyle w:val="a3"/>
        <w:divId w:val="1120296216"/>
        <w:rPr>
          <w:sz w:val="18"/>
          <w:szCs w:val="18"/>
        </w:rPr>
      </w:pPr>
      <w:r w:rsidRPr="00831C3C">
        <w:rPr>
          <w:rFonts w:hint="eastAsia"/>
          <w:sz w:val="18"/>
          <w:szCs w:val="18"/>
        </w:rPr>
        <w:t>无。</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公司以前年度减值测试采用信息与当年实际情况明显不一致的差异原因</w:t>
      </w:r>
    </w:p>
    <w:p w:rsidR="00C65FD5" w:rsidRPr="00831C3C" w:rsidRDefault="00C65FD5">
      <w:pPr>
        <w:pStyle w:val="a3"/>
        <w:divId w:val="2092461749"/>
        <w:rPr>
          <w:sz w:val="18"/>
          <w:szCs w:val="18"/>
        </w:rPr>
      </w:pPr>
      <w:r w:rsidRPr="00831C3C">
        <w:rPr>
          <w:rFonts w:hint="eastAsia"/>
          <w:sz w:val="18"/>
          <w:szCs w:val="18"/>
        </w:rPr>
        <w:t>无。</w:t>
      </w:r>
    </w:p>
    <w:p w:rsidR="00E23A97" w:rsidRPr="00831C3C" w:rsidRDefault="00C65FD5">
      <w:pPr>
        <w:keepNext/>
        <w:keepLines/>
        <w:spacing w:before="300" w:after="300" w:line="280" w:lineRule="exact"/>
        <w:outlineLvl w:val="3"/>
        <w:rPr>
          <w:rFonts w:ascii="宋体" w:eastAsia="宋体" w:hAnsi="宋体" w:cs="宋体"/>
          <w:b/>
          <w:bCs/>
          <w:szCs w:val="21"/>
        </w:rPr>
      </w:pPr>
      <w:bookmarkStart w:id="624" w:name="_Toc989505"/>
      <w:r w:rsidRPr="00831C3C">
        <w:rPr>
          <w:rFonts w:ascii="宋体" w:eastAsia="宋体" w:hAnsi="宋体" w:cs="宋体"/>
          <w:b/>
          <w:bCs/>
          <w:szCs w:val="21"/>
        </w:rPr>
        <w:t>（3）其他说明</w:t>
      </w:r>
      <w:bookmarkEnd w:id="624"/>
    </w:p>
    <w:p w:rsidR="00C65FD5" w:rsidRPr="00831C3C" w:rsidRDefault="00C65FD5">
      <w:pPr>
        <w:pStyle w:val="a3"/>
        <w:divId w:val="850796816"/>
        <w:rPr>
          <w:sz w:val="18"/>
          <w:szCs w:val="18"/>
        </w:rPr>
      </w:pPr>
      <w:r w:rsidRPr="00831C3C">
        <w:rPr>
          <w:rFonts w:hint="eastAsia"/>
          <w:sz w:val="18"/>
          <w:szCs w:val="18"/>
        </w:rPr>
        <w:t>无。</w:t>
      </w:r>
    </w:p>
    <w:p w:rsidR="00E23A97" w:rsidRPr="00831C3C" w:rsidRDefault="00C65FD5">
      <w:pPr>
        <w:pStyle w:val="3"/>
        <w:spacing w:line="280" w:lineRule="exact"/>
        <w:jc w:val="left"/>
        <w:rPr>
          <w:rFonts w:ascii="宋体" w:hAnsi="宋体" w:cs="宋体"/>
          <w:b/>
          <w:bCs/>
        </w:rPr>
      </w:pPr>
      <w:bookmarkStart w:id="625" w:name="_Toc989506"/>
      <w:r w:rsidRPr="00831C3C">
        <w:rPr>
          <w:rFonts w:ascii="宋体" w:hAnsi="宋体" w:cs="宋体"/>
          <w:b/>
          <w:bCs/>
        </w:rPr>
        <w:t>4、营业收入和营业成本</w:t>
      </w:r>
      <w:bookmarkEnd w:id="625"/>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927"/>
        <w:gridCol w:w="1928"/>
        <w:gridCol w:w="1928"/>
        <w:gridCol w:w="1928"/>
        <w:gridCol w:w="1928"/>
      </w:tblGrid>
      <w:tr w:rsidR="00831C3C" w:rsidRPr="00831C3C">
        <w:trPr>
          <w:trHeight w:val="240"/>
        </w:trPr>
        <w:tc>
          <w:tcPr>
            <w:tcW w:w="1928"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本期发生额</w:t>
            </w:r>
          </w:p>
        </w:tc>
        <w:tc>
          <w:tcPr>
            <w:tcW w:w="3856"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上期发生额</w:t>
            </w:r>
          </w:p>
        </w:tc>
      </w:tr>
      <w:tr w:rsidR="00831C3C" w:rsidRPr="00831C3C">
        <w:trPr>
          <w:trHeight w:val="240"/>
        </w:trPr>
        <w:tc>
          <w:tcPr>
            <w:tcW w:w="1928"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收入</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成本</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收入</w:t>
            </w:r>
          </w:p>
        </w:tc>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成本</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主营业务</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1,099,907,198.66</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1,040,033,031.18</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1,133,827,091.65</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1,061,010,388.40</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其他业务</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1,080,778.18</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4,484,864.77</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2,934,791.56</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1,756,081.82</w:t>
            </w:r>
          </w:p>
        </w:tc>
      </w:tr>
      <w:tr w:rsidR="00831C3C" w:rsidRPr="00831C3C">
        <w:trPr>
          <w:trHeight w:val="240"/>
        </w:trPr>
        <w:tc>
          <w:tcPr>
            <w:tcW w:w="1928"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1,100,987,976.84</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1,044,517,895.95</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1,136,761,883.21</w:t>
            </w:r>
          </w:p>
        </w:tc>
        <w:tc>
          <w:tcPr>
            <w:tcW w:w="1928"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1,062,766,470.22</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营业收入、营业成本的分解信息：</w:t>
      </w:r>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1071"/>
        <w:gridCol w:w="1071"/>
        <w:gridCol w:w="1071"/>
        <w:gridCol w:w="1071"/>
        <w:gridCol w:w="1071"/>
        <w:gridCol w:w="1071"/>
        <w:gridCol w:w="1071"/>
        <w:gridCol w:w="1071"/>
        <w:gridCol w:w="1071"/>
      </w:tblGrid>
      <w:tr w:rsidR="00831C3C" w:rsidRPr="00831C3C">
        <w:trPr>
          <w:trHeight w:val="240"/>
        </w:trPr>
        <w:tc>
          <w:tcPr>
            <w:tcW w:w="1071"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合同分类</w:t>
            </w:r>
          </w:p>
        </w:tc>
        <w:tc>
          <w:tcPr>
            <w:tcW w:w="214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分部1</w:t>
            </w:r>
          </w:p>
        </w:tc>
        <w:tc>
          <w:tcPr>
            <w:tcW w:w="214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分部2</w:t>
            </w:r>
          </w:p>
        </w:tc>
        <w:tc>
          <w:tcPr>
            <w:tcW w:w="2142" w:type="dxa"/>
            <w:gridSpan w:val="2"/>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center"/>
              <w:rPr>
                <w:rFonts w:ascii="宋体" w:eastAsia="宋体" w:hAnsi="宋体" w:cs="宋体"/>
                <w:sz w:val="18"/>
                <w:szCs w:val="18"/>
              </w:rPr>
            </w:pPr>
            <w:r w:rsidRPr="00831C3C">
              <w:rPr>
                <w:rFonts w:ascii="宋体" w:eastAsia="宋体" w:hAnsi="宋体" w:cs="宋体"/>
                <w:sz w:val="18"/>
                <w:szCs w:val="18"/>
              </w:rPr>
              <w:t>本期发生额</w:t>
            </w:r>
          </w:p>
        </w:tc>
        <w:tc>
          <w:tcPr>
            <w:tcW w:w="2142"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合计</w:t>
            </w:r>
          </w:p>
        </w:tc>
      </w:tr>
      <w:tr w:rsidR="00831C3C" w:rsidRPr="00831C3C">
        <w:trPr>
          <w:trHeight w:val="240"/>
        </w:trPr>
        <w:tc>
          <w:tcPr>
            <w:tcW w:w="1071"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营业收入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营业成本</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营业收入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营业成本</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营业收入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营业成本</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营业收入</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营业成本</w:t>
            </w: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业务类型</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 xml:space="preserve">　其中：</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纱线</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956,268,055.54</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896,333,621.50</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原、色</w:t>
            </w:r>
            <w:proofErr w:type="gramStart"/>
            <w:r w:rsidRPr="00831C3C">
              <w:rPr>
                <w:rFonts w:ascii="宋体" w:eastAsia="宋体" w:hAnsi="宋体" w:cs="宋体"/>
                <w:sz w:val="18"/>
                <w:szCs w:val="18"/>
              </w:rPr>
              <w:t>纤</w:t>
            </w:r>
            <w:proofErr w:type="gramEnd"/>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143,639,143.12</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143,699,409.68</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其他</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1,080,778.18</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4,484,864.77</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按经营地区分类</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 xml:space="preserve">　其中：</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境外销售</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境内销售</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1,100,987,976.84</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1,044,517,895.95</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市场或客户类型</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 xml:space="preserve">　其中：</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合同类型</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 xml:space="preserve">　其中：</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lastRenderedPageBreak/>
              <w:t>按商品转让的时间分类</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 xml:space="preserve">　其中：</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在某一时点转让</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1,100,474,371.32</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1,040,033,031.18</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在某一时段内转让</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513,605.52</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按合同期限分类</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 xml:space="preserve">　其中：</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按销售渠道分类</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 xml:space="preserve">　其中：</w:t>
            </w:r>
          </w:p>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r w:rsidR="00831C3C" w:rsidRPr="00831C3C">
        <w:trPr>
          <w:trHeight w:val="240"/>
        </w:trPr>
        <w:tc>
          <w:tcPr>
            <w:tcW w:w="107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1,100,987,976.84</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1,044,517,895.95</w:t>
            </w: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1071"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r>
    </w:tbl>
    <w:p w:rsidR="00C65FD5" w:rsidRPr="00831C3C" w:rsidRDefault="00C65FD5" w:rsidP="00961CF9">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r w:rsidR="00961CF9" w:rsidRPr="00831C3C">
        <w:rPr>
          <w:rFonts w:ascii="宋体" w:eastAsia="宋体" w:hAnsi="宋体" w:cs="宋体" w:hint="eastAsia"/>
          <w:sz w:val="18"/>
          <w:szCs w:val="18"/>
        </w:rPr>
        <w:t>：</w:t>
      </w:r>
      <w:r w:rsidRPr="00831C3C">
        <w:rPr>
          <w:rFonts w:hint="eastAsia"/>
          <w:sz w:val="18"/>
          <w:szCs w:val="18"/>
        </w:rPr>
        <w:t>无。</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与分摊至剩余履约义务的交易价格相关的信息：</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本报告</w:t>
      </w:r>
      <w:proofErr w:type="gramStart"/>
      <w:r w:rsidRPr="00831C3C">
        <w:rPr>
          <w:rFonts w:ascii="宋体" w:eastAsia="宋体" w:hAnsi="宋体" w:cs="宋体"/>
          <w:sz w:val="18"/>
          <w:szCs w:val="18"/>
        </w:rPr>
        <w:t>期末已</w:t>
      </w:r>
      <w:proofErr w:type="gramEnd"/>
      <w:r w:rsidRPr="00831C3C">
        <w:rPr>
          <w:rFonts w:ascii="宋体" w:eastAsia="宋体" w:hAnsi="宋体" w:cs="宋体"/>
          <w:sz w:val="18"/>
          <w:szCs w:val="18"/>
        </w:rPr>
        <w:t>签订合同、但尚未履行或尚未履行完毕的履约义务所对应的收入金额为0.00元，其中，元预计将于年度确认收入，元预计将于年度确认收入，元预计将于年度确认收入。</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重大合同变更或重大交易价格调整</w:t>
      </w:r>
    </w:p>
    <w:p w:rsidR="00C65FD5" w:rsidRPr="00831C3C" w:rsidRDefault="00C65FD5" w:rsidP="00961CF9">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其他说明：</w:t>
      </w:r>
      <w:r w:rsidRPr="00831C3C">
        <w:rPr>
          <w:rFonts w:hint="eastAsia"/>
          <w:sz w:val="18"/>
          <w:szCs w:val="18"/>
        </w:rPr>
        <w:t>无。</w:t>
      </w:r>
    </w:p>
    <w:p w:rsidR="00E23A97" w:rsidRPr="00831C3C" w:rsidRDefault="00C65FD5">
      <w:pPr>
        <w:pStyle w:val="3"/>
        <w:spacing w:line="280" w:lineRule="exact"/>
        <w:jc w:val="left"/>
        <w:rPr>
          <w:rFonts w:ascii="宋体" w:hAnsi="宋体" w:cs="宋体"/>
          <w:b/>
          <w:bCs/>
        </w:rPr>
      </w:pPr>
      <w:bookmarkStart w:id="626" w:name="_Toc989507"/>
      <w:r w:rsidRPr="00831C3C">
        <w:rPr>
          <w:rFonts w:ascii="宋体" w:hAnsi="宋体" w:cs="宋体"/>
          <w:b/>
          <w:bCs/>
        </w:rPr>
        <w:t>5、投资收益</w:t>
      </w:r>
      <w:bookmarkEnd w:id="626"/>
    </w:p>
    <w:p w:rsidR="00E23A97" w:rsidRPr="00831C3C" w:rsidRDefault="00C65FD5">
      <w:pPr>
        <w:spacing w:before="40" w:after="4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3213"/>
        <w:gridCol w:w="3213"/>
        <w:gridCol w:w="3213"/>
      </w:tblGrid>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本期发生额</w:t>
            </w:r>
          </w:p>
        </w:tc>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上期发生额</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处置交易性金融资产取得的投资收益</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jc w:val="right"/>
              <w:rPr>
                <w:rFonts w:ascii="宋体" w:eastAsia="宋体" w:hAnsi="宋体" w:cs="宋体"/>
                <w:sz w:val="18"/>
                <w:szCs w:val="18"/>
              </w:rPr>
            </w:pP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-4,615,000.00</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其他权益工具投资在持有期间取得的股利收入</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3,722,139.48</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6,046,343.59</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子公司分红取得的投资收益</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4,868.14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340,024,115.91</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理财产品收益</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1,674,754.04</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1,668,510.07</w:t>
            </w:r>
          </w:p>
        </w:tc>
      </w:tr>
      <w:tr w:rsidR="00831C3C" w:rsidRPr="00831C3C">
        <w:trPr>
          <w:trHeight w:val="240"/>
        </w:trPr>
        <w:tc>
          <w:tcPr>
            <w:tcW w:w="3213"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5,401,761.66</w:t>
            </w:r>
          </w:p>
        </w:tc>
        <w:tc>
          <w:tcPr>
            <w:tcW w:w="3213"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343,123,969.57</w:t>
            </w:r>
          </w:p>
        </w:tc>
      </w:tr>
    </w:tbl>
    <w:p w:rsidR="00E23A97" w:rsidRPr="00831C3C" w:rsidRDefault="00C65FD5">
      <w:pPr>
        <w:pStyle w:val="3"/>
        <w:spacing w:line="280" w:lineRule="exact"/>
        <w:jc w:val="left"/>
        <w:rPr>
          <w:rFonts w:ascii="宋体" w:hAnsi="宋体" w:cs="宋体"/>
          <w:b/>
          <w:bCs/>
        </w:rPr>
      </w:pPr>
      <w:bookmarkStart w:id="627" w:name="_Toc989508"/>
      <w:r w:rsidRPr="00831C3C">
        <w:rPr>
          <w:rFonts w:ascii="宋体" w:hAnsi="宋体" w:cs="宋体"/>
          <w:b/>
          <w:bCs/>
        </w:rPr>
        <w:t>6、其他</w:t>
      </w:r>
      <w:bookmarkEnd w:id="627"/>
    </w:p>
    <w:p w:rsidR="00E23A97" w:rsidRPr="00831C3C" w:rsidRDefault="00C65FD5">
      <w:pPr>
        <w:pStyle w:val="2"/>
        <w:spacing w:before="300" w:after="300" w:line="320" w:lineRule="exact"/>
        <w:rPr>
          <w:rFonts w:ascii="宋体" w:eastAsia="宋体" w:hAnsi="宋体" w:cs="宋体"/>
          <w:b/>
          <w:bCs/>
          <w:sz w:val="24"/>
          <w:szCs w:val="24"/>
        </w:rPr>
      </w:pPr>
      <w:bookmarkStart w:id="628" w:name="_Toc989509"/>
      <w:r w:rsidRPr="00831C3C">
        <w:rPr>
          <w:rFonts w:ascii="宋体" w:eastAsia="宋体" w:hAnsi="宋体" w:cs="宋体"/>
          <w:b/>
          <w:bCs/>
          <w:sz w:val="24"/>
          <w:szCs w:val="24"/>
        </w:rPr>
        <w:t>二十、补充资料</w:t>
      </w:r>
      <w:bookmarkEnd w:id="628"/>
    </w:p>
    <w:p w:rsidR="00E23A97" w:rsidRPr="00831C3C" w:rsidRDefault="00C65FD5">
      <w:pPr>
        <w:pStyle w:val="3"/>
        <w:spacing w:line="280" w:lineRule="exact"/>
        <w:jc w:val="left"/>
        <w:rPr>
          <w:rFonts w:ascii="宋体" w:hAnsi="宋体" w:cs="宋体"/>
          <w:b/>
          <w:bCs/>
        </w:rPr>
      </w:pPr>
      <w:bookmarkStart w:id="629" w:name="_Toc989510"/>
      <w:r w:rsidRPr="00831C3C">
        <w:rPr>
          <w:rFonts w:ascii="宋体" w:hAnsi="宋体" w:cs="宋体"/>
          <w:b/>
          <w:bCs/>
        </w:rPr>
        <w:t>1、当期非经常性损益明细表</w:t>
      </w:r>
      <w:bookmarkEnd w:id="629"/>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sym w:font="Wingdings 2" w:char="F052"/>
      </w:r>
      <w:r w:rsidRPr="00831C3C">
        <w:rPr>
          <w:rFonts w:ascii="宋体" w:eastAsia="宋体" w:hAnsi="宋体" w:cs="宋体"/>
          <w:sz w:val="18"/>
          <w:szCs w:val="18"/>
        </w:rPr>
        <w:t>适用□不适用</w:t>
      </w:r>
    </w:p>
    <w:p w:rsidR="00E23A97" w:rsidRPr="00831C3C" w:rsidRDefault="00C65FD5">
      <w:pPr>
        <w:spacing w:before="120" w:after="120" w:line="240" w:lineRule="exact"/>
        <w:jc w:val="right"/>
        <w:rPr>
          <w:rFonts w:ascii="宋体" w:eastAsia="宋体" w:hAnsi="宋体" w:cs="宋体"/>
          <w:sz w:val="18"/>
          <w:szCs w:val="18"/>
        </w:rPr>
      </w:pPr>
      <w:r w:rsidRPr="00831C3C">
        <w:rPr>
          <w:rFonts w:ascii="宋体" w:eastAsia="宋体" w:hAnsi="宋体" w:cs="宋体"/>
          <w:sz w:val="18"/>
          <w:szCs w:val="18"/>
        </w:rPr>
        <w:t>单位：元</w:t>
      </w:r>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7054"/>
        <w:gridCol w:w="1701"/>
        <w:gridCol w:w="884"/>
      </w:tblGrid>
      <w:tr w:rsidR="00831C3C" w:rsidRPr="00831C3C" w:rsidTr="00961CF9">
        <w:trPr>
          <w:trHeight w:val="240"/>
        </w:trPr>
        <w:tc>
          <w:tcPr>
            <w:tcW w:w="7054"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项目</w:t>
            </w:r>
          </w:p>
        </w:tc>
        <w:tc>
          <w:tcPr>
            <w:tcW w:w="1701"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金额</w:t>
            </w:r>
          </w:p>
        </w:tc>
        <w:tc>
          <w:tcPr>
            <w:tcW w:w="884"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说明</w:t>
            </w:r>
          </w:p>
        </w:tc>
      </w:tr>
      <w:tr w:rsidR="00831C3C" w:rsidRPr="00831C3C" w:rsidTr="00961CF9">
        <w:trPr>
          <w:trHeight w:val="240"/>
        </w:trPr>
        <w:tc>
          <w:tcPr>
            <w:tcW w:w="7054"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非流动性资产处置损益</w:t>
            </w:r>
          </w:p>
        </w:tc>
        <w:tc>
          <w:tcPr>
            <w:tcW w:w="170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40,537,148.81</w:t>
            </w:r>
          </w:p>
        </w:tc>
        <w:tc>
          <w:tcPr>
            <w:tcW w:w="884"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rsidTr="00961CF9">
        <w:trPr>
          <w:trHeight w:val="240"/>
        </w:trPr>
        <w:tc>
          <w:tcPr>
            <w:tcW w:w="7054"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计入当期损益的政府补助（与公司正常经营业务密切相关，符合国家政策规定、按照</w:t>
            </w:r>
            <w:r w:rsidRPr="00831C3C">
              <w:rPr>
                <w:rFonts w:ascii="宋体" w:eastAsia="宋体" w:hAnsi="宋体" w:cs="宋体"/>
                <w:sz w:val="18"/>
                <w:szCs w:val="18"/>
              </w:rPr>
              <w:lastRenderedPageBreak/>
              <w:t>确定的标准享有、对公司损益产生持续影响的政府补助除外）</w:t>
            </w:r>
          </w:p>
        </w:tc>
        <w:tc>
          <w:tcPr>
            <w:tcW w:w="170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lastRenderedPageBreak/>
              <w:t>81,152,685.23</w:t>
            </w:r>
          </w:p>
        </w:tc>
        <w:tc>
          <w:tcPr>
            <w:tcW w:w="884"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rsidTr="00961CF9">
        <w:trPr>
          <w:trHeight w:val="240"/>
        </w:trPr>
        <w:tc>
          <w:tcPr>
            <w:tcW w:w="7054"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lastRenderedPageBreak/>
              <w:t>除同公司正常经营业务相关的有效套期保值业务外，非金融企业持有金融资产和金融负债产生的公允价值变动损益以及处置金融资产和金融负债产生的损益</w:t>
            </w:r>
          </w:p>
        </w:tc>
        <w:tc>
          <w:tcPr>
            <w:tcW w:w="170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207,118.39</w:t>
            </w:r>
          </w:p>
        </w:tc>
        <w:tc>
          <w:tcPr>
            <w:tcW w:w="884"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rsidTr="00961CF9">
        <w:trPr>
          <w:trHeight w:val="240"/>
        </w:trPr>
        <w:tc>
          <w:tcPr>
            <w:tcW w:w="7054"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委托他人投资或管理资产的损益</w:t>
            </w:r>
          </w:p>
        </w:tc>
        <w:tc>
          <w:tcPr>
            <w:tcW w:w="170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18,779,634.27</w:t>
            </w:r>
          </w:p>
        </w:tc>
        <w:tc>
          <w:tcPr>
            <w:tcW w:w="884"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rsidTr="00961CF9">
        <w:trPr>
          <w:trHeight w:val="240"/>
        </w:trPr>
        <w:tc>
          <w:tcPr>
            <w:tcW w:w="7054"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单独进行减值测试的应收款项减值准备转回</w:t>
            </w:r>
          </w:p>
        </w:tc>
        <w:tc>
          <w:tcPr>
            <w:tcW w:w="170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626,000.00</w:t>
            </w:r>
          </w:p>
        </w:tc>
        <w:tc>
          <w:tcPr>
            <w:tcW w:w="884"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rsidTr="00961CF9">
        <w:trPr>
          <w:trHeight w:val="240"/>
        </w:trPr>
        <w:tc>
          <w:tcPr>
            <w:tcW w:w="7054"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除上述各项之外的其他营业外收入和支出</w:t>
            </w:r>
          </w:p>
        </w:tc>
        <w:tc>
          <w:tcPr>
            <w:tcW w:w="170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7,417,141.35</w:t>
            </w:r>
          </w:p>
        </w:tc>
        <w:tc>
          <w:tcPr>
            <w:tcW w:w="884"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rsidTr="00961CF9">
        <w:trPr>
          <w:trHeight w:val="240"/>
        </w:trPr>
        <w:tc>
          <w:tcPr>
            <w:tcW w:w="7054"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减：所得税影响额</w:t>
            </w:r>
          </w:p>
        </w:tc>
        <w:tc>
          <w:tcPr>
            <w:tcW w:w="170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3,297,735.34</w:t>
            </w:r>
          </w:p>
        </w:tc>
        <w:tc>
          <w:tcPr>
            <w:tcW w:w="884"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rsidTr="00961CF9">
        <w:trPr>
          <w:trHeight w:val="240"/>
        </w:trPr>
        <w:tc>
          <w:tcPr>
            <w:tcW w:w="7054"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ind w:firstLineChars="200" w:firstLine="360"/>
              <w:rPr>
                <w:rFonts w:ascii="宋体" w:eastAsia="宋体" w:hAnsi="宋体" w:cs="宋体"/>
                <w:sz w:val="18"/>
                <w:szCs w:val="18"/>
              </w:rPr>
            </w:pPr>
            <w:r w:rsidRPr="00831C3C">
              <w:rPr>
                <w:rFonts w:ascii="宋体" w:eastAsia="宋体" w:hAnsi="宋体" w:cs="宋体"/>
                <w:sz w:val="18"/>
                <w:szCs w:val="18"/>
              </w:rPr>
              <w:t>少数股东权益影响额（税后）</w:t>
            </w:r>
          </w:p>
        </w:tc>
        <w:tc>
          <w:tcPr>
            <w:tcW w:w="170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-39,912.84</w:t>
            </w:r>
          </w:p>
        </w:tc>
        <w:tc>
          <w:tcPr>
            <w:tcW w:w="884" w:type="dxa"/>
            <w:tcBorders>
              <w:top w:val="single" w:sz="2" w:space="0" w:color="auto"/>
              <w:left w:val="single" w:sz="2" w:space="0" w:color="auto"/>
              <w:bottom w:val="single" w:sz="2" w:space="0" w:color="auto"/>
              <w:right w:val="single" w:sz="2" w:space="0" w:color="auto"/>
            </w:tcBorders>
            <w:vAlign w:val="center"/>
          </w:tcPr>
          <w:p w:rsidR="00E23A97" w:rsidRPr="00831C3C" w:rsidRDefault="00E23A97">
            <w:pPr>
              <w:spacing w:line="240" w:lineRule="exact"/>
              <w:rPr>
                <w:rFonts w:ascii="宋体" w:eastAsia="宋体" w:hAnsi="宋体" w:cs="宋体"/>
                <w:sz w:val="18"/>
                <w:szCs w:val="18"/>
              </w:rPr>
            </w:pPr>
          </w:p>
        </w:tc>
      </w:tr>
      <w:tr w:rsidR="00831C3C" w:rsidRPr="00831C3C" w:rsidTr="00961CF9">
        <w:trPr>
          <w:trHeight w:val="240"/>
        </w:trPr>
        <w:tc>
          <w:tcPr>
            <w:tcW w:w="7054"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合计</w:t>
            </w:r>
          </w:p>
        </w:tc>
        <w:tc>
          <w:tcPr>
            <w:tcW w:w="1701"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145,461,905.55</w:t>
            </w:r>
          </w:p>
        </w:tc>
        <w:tc>
          <w:tcPr>
            <w:tcW w:w="884"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w:t>
            </w:r>
          </w:p>
        </w:tc>
      </w:tr>
    </w:tbl>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其他符合非经常性损益定义的损益项目的具体情况：</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公司不存在其他符合非经常性损益定义的损益项目的具体情况。</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将《公开发行证券的公司信息披露解释性公告第1号——非经常性损益》中列举的非经常性损益项目界定为经常性损益项目的情况说明</w:t>
      </w:r>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pStyle w:val="3"/>
        <w:spacing w:line="280" w:lineRule="exact"/>
        <w:jc w:val="left"/>
        <w:rPr>
          <w:rFonts w:ascii="宋体" w:hAnsi="宋体" w:cs="宋体"/>
          <w:b/>
          <w:bCs/>
        </w:rPr>
      </w:pPr>
      <w:bookmarkStart w:id="630" w:name="_Toc989511"/>
      <w:r w:rsidRPr="00831C3C">
        <w:rPr>
          <w:rFonts w:ascii="宋体" w:hAnsi="宋体" w:cs="宋体"/>
          <w:b/>
          <w:bCs/>
        </w:rPr>
        <w:t>2、净资产收益率及每股收益</w:t>
      </w:r>
      <w:bookmarkEnd w:id="630"/>
    </w:p>
    <w:tbl>
      <w:tblPr>
        <w:tblW w:w="9639"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000" w:firstRow="0" w:lastRow="0" w:firstColumn="0" w:lastColumn="0" w:noHBand="0" w:noVBand="0"/>
      </w:tblPr>
      <w:tblGrid>
        <w:gridCol w:w="2409"/>
        <w:gridCol w:w="2410"/>
        <w:gridCol w:w="2410"/>
        <w:gridCol w:w="2410"/>
      </w:tblGrid>
      <w:tr w:rsidR="00831C3C" w:rsidRPr="00831C3C">
        <w:trPr>
          <w:trHeight w:val="240"/>
        </w:trPr>
        <w:tc>
          <w:tcPr>
            <w:tcW w:w="241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报告期利润</w:t>
            </w:r>
          </w:p>
        </w:tc>
        <w:tc>
          <w:tcPr>
            <w:tcW w:w="2410" w:type="dxa"/>
            <w:vMerge w:val="restart"/>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加权平均净资产收益率</w:t>
            </w:r>
          </w:p>
        </w:tc>
        <w:tc>
          <w:tcPr>
            <w:tcW w:w="4820" w:type="dxa"/>
            <w:gridSpan w:val="2"/>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每股收益</w:t>
            </w:r>
          </w:p>
        </w:tc>
      </w:tr>
      <w:tr w:rsidR="00831C3C" w:rsidRPr="00831C3C">
        <w:trPr>
          <w:trHeight w:val="240"/>
        </w:trPr>
        <w:tc>
          <w:tcPr>
            <w:tcW w:w="241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2410" w:type="dxa"/>
            <w:vMerge/>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E23A97"/>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基本每股收益（元/股）</w:t>
            </w:r>
          </w:p>
        </w:tc>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jc w:val="center"/>
              <w:rPr>
                <w:rFonts w:ascii="宋体" w:eastAsia="宋体" w:hAnsi="宋体" w:cs="宋体"/>
                <w:sz w:val="18"/>
                <w:szCs w:val="18"/>
              </w:rPr>
            </w:pPr>
            <w:r w:rsidRPr="00831C3C">
              <w:rPr>
                <w:rFonts w:ascii="宋体" w:eastAsia="宋体" w:hAnsi="宋体" w:cs="宋体"/>
                <w:sz w:val="18"/>
                <w:szCs w:val="18"/>
              </w:rPr>
              <w:t>稀释每股收益（元/股）</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归属于公司普通股股东的净利润</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rsidP="007B5415">
            <w:pPr>
              <w:spacing w:line="240" w:lineRule="exact"/>
              <w:jc w:val="right"/>
              <w:rPr>
                <w:rFonts w:ascii="宋体" w:eastAsia="宋体" w:hAnsi="宋体" w:cs="宋体"/>
                <w:sz w:val="18"/>
                <w:szCs w:val="18"/>
              </w:rPr>
            </w:pPr>
            <w:r w:rsidRPr="00831C3C">
              <w:rPr>
                <w:rFonts w:ascii="宋体" w:eastAsia="宋体" w:hAnsi="宋体" w:cs="宋体"/>
                <w:sz w:val="18"/>
                <w:szCs w:val="18"/>
              </w:rPr>
              <w:t>-3.4</w:t>
            </w:r>
            <w:r w:rsidR="007B5415" w:rsidRPr="00831C3C">
              <w:rPr>
                <w:rFonts w:ascii="宋体" w:eastAsia="宋体" w:hAnsi="宋体" w:cs="宋体" w:hint="eastAsia"/>
                <w:sz w:val="18"/>
                <w:szCs w:val="18"/>
              </w:rPr>
              <w:t>8</w:t>
            </w:r>
            <w:r w:rsidRPr="00831C3C">
              <w:rPr>
                <w:rFonts w:ascii="宋体" w:eastAsia="宋体" w:hAnsi="宋体" w:cs="宋体"/>
                <w:sz w:val="18"/>
                <w:szCs w:val="18"/>
              </w:rPr>
              <w:t>%</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-0.12</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-0.12</w:t>
            </w:r>
          </w:p>
        </w:tc>
      </w:tr>
      <w:tr w:rsidR="00831C3C" w:rsidRPr="00831C3C">
        <w:trPr>
          <w:trHeight w:val="240"/>
        </w:trPr>
        <w:tc>
          <w:tcPr>
            <w:tcW w:w="2410" w:type="dxa"/>
            <w:tcBorders>
              <w:top w:val="single" w:sz="2" w:space="0" w:color="auto"/>
              <w:left w:val="single" w:sz="2" w:space="0" w:color="auto"/>
              <w:bottom w:val="single" w:sz="2" w:space="0" w:color="auto"/>
              <w:right w:val="single" w:sz="2" w:space="0" w:color="auto"/>
            </w:tcBorders>
            <w:shd w:val="clear" w:color="auto" w:fill="D3D3D3"/>
            <w:vAlign w:val="center"/>
          </w:tcPr>
          <w:p w:rsidR="00E23A97" w:rsidRPr="00831C3C" w:rsidRDefault="00C65FD5">
            <w:pPr>
              <w:spacing w:before="40" w:after="40" w:line="240" w:lineRule="exact"/>
              <w:rPr>
                <w:rFonts w:ascii="宋体" w:eastAsia="宋体" w:hAnsi="宋体" w:cs="宋体"/>
                <w:sz w:val="18"/>
                <w:szCs w:val="18"/>
              </w:rPr>
            </w:pPr>
            <w:r w:rsidRPr="00831C3C">
              <w:rPr>
                <w:rFonts w:ascii="宋体" w:eastAsia="宋体" w:hAnsi="宋体" w:cs="宋体"/>
                <w:sz w:val="18"/>
                <w:szCs w:val="18"/>
              </w:rPr>
              <w:t>扣除非经常性损益后归属于公司普通股股东的净利润</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rsidP="007B5415">
            <w:pPr>
              <w:spacing w:line="240" w:lineRule="exact"/>
              <w:jc w:val="right"/>
              <w:rPr>
                <w:rFonts w:ascii="宋体" w:eastAsia="宋体" w:hAnsi="宋体" w:cs="宋体"/>
                <w:sz w:val="18"/>
                <w:szCs w:val="18"/>
              </w:rPr>
            </w:pPr>
            <w:r w:rsidRPr="00831C3C">
              <w:rPr>
                <w:rFonts w:ascii="宋体" w:eastAsia="宋体" w:hAnsi="宋体" w:cs="宋体"/>
                <w:sz w:val="18"/>
                <w:szCs w:val="18"/>
              </w:rPr>
              <w:t>-5.</w:t>
            </w:r>
            <w:r w:rsidR="007B5415" w:rsidRPr="00831C3C">
              <w:rPr>
                <w:rFonts w:ascii="宋体" w:eastAsia="宋体" w:hAnsi="宋体" w:cs="宋体" w:hint="eastAsia"/>
                <w:sz w:val="18"/>
                <w:szCs w:val="18"/>
              </w:rPr>
              <w:t>92</w:t>
            </w:r>
            <w:r w:rsidRPr="00831C3C">
              <w:rPr>
                <w:rFonts w:ascii="宋体" w:eastAsia="宋体" w:hAnsi="宋体" w:cs="宋体"/>
                <w:sz w:val="18"/>
                <w:szCs w:val="18"/>
              </w:rPr>
              <w:t>%</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-0.21</w:t>
            </w:r>
          </w:p>
        </w:tc>
        <w:tc>
          <w:tcPr>
            <w:tcW w:w="2410" w:type="dxa"/>
            <w:tcBorders>
              <w:top w:val="single" w:sz="2" w:space="0" w:color="auto"/>
              <w:left w:val="single" w:sz="2" w:space="0" w:color="auto"/>
              <w:bottom w:val="single" w:sz="2" w:space="0" w:color="auto"/>
              <w:right w:val="single" w:sz="2" w:space="0" w:color="auto"/>
            </w:tcBorders>
            <w:vAlign w:val="center"/>
          </w:tcPr>
          <w:p w:rsidR="00E23A97" w:rsidRPr="00831C3C" w:rsidRDefault="00C65FD5">
            <w:pPr>
              <w:spacing w:line="240" w:lineRule="exact"/>
              <w:jc w:val="right"/>
              <w:rPr>
                <w:rFonts w:ascii="宋体" w:eastAsia="宋体" w:hAnsi="宋体" w:cs="宋体"/>
                <w:sz w:val="18"/>
                <w:szCs w:val="18"/>
              </w:rPr>
            </w:pPr>
            <w:r w:rsidRPr="00831C3C">
              <w:rPr>
                <w:rFonts w:ascii="宋体" w:eastAsia="宋体" w:hAnsi="宋体" w:cs="宋体"/>
                <w:sz w:val="18"/>
                <w:szCs w:val="18"/>
              </w:rPr>
              <w:t>-0.21</w:t>
            </w:r>
          </w:p>
        </w:tc>
      </w:tr>
    </w:tbl>
    <w:p w:rsidR="00E23A97" w:rsidRPr="00831C3C" w:rsidRDefault="00C65FD5">
      <w:pPr>
        <w:pStyle w:val="3"/>
        <w:spacing w:line="280" w:lineRule="exact"/>
        <w:jc w:val="left"/>
        <w:rPr>
          <w:rFonts w:ascii="宋体" w:hAnsi="宋体" w:cs="宋体"/>
          <w:b/>
          <w:bCs/>
        </w:rPr>
      </w:pPr>
      <w:bookmarkStart w:id="631" w:name="_Toc989512"/>
      <w:r w:rsidRPr="00831C3C">
        <w:rPr>
          <w:rFonts w:ascii="宋体" w:hAnsi="宋体" w:cs="宋体"/>
          <w:b/>
          <w:bCs/>
        </w:rPr>
        <w:t>3、境内外会计准则下会计数据差异</w:t>
      </w:r>
      <w:bookmarkEnd w:id="631"/>
    </w:p>
    <w:p w:rsidR="00E23A97" w:rsidRPr="00831C3C" w:rsidRDefault="00C65FD5">
      <w:pPr>
        <w:keepNext/>
        <w:keepLines/>
        <w:spacing w:before="300" w:after="300" w:line="280" w:lineRule="exact"/>
        <w:outlineLvl w:val="3"/>
        <w:rPr>
          <w:rFonts w:ascii="宋体" w:eastAsia="宋体" w:hAnsi="宋体" w:cs="宋体"/>
          <w:b/>
          <w:bCs/>
          <w:szCs w:val="21"/>
        </w:rPr>
      </w:pPr>
      <w:bookmarkStart w:id="632" w:name="_Toc989513"/>
      <w:r w:rsidRPr="00831C3C">
        <w:rPr>
          <w:rFonts w:ascii="宋体" w:eastAsia="宋体" w:hAnsi="宋体" w:cs="宋体"/>
          <w:b/>
          <w:bCs/>
          <w:szCs w:val="21"/>
        </w:rPr>
        <w:t>（1）同时按照国际会计准则与按中国会计准则披露的财务</w:t>
      </w:r>
      <w:proofErr w:type="gramStart"/>
      <w:r w:rsidRPr="00831C3C">
        <w:rPr>
          <w:rFonts w:ascii="宋体" w:eastAsia="宋体" w:hAnsi="宋体" w:cs="宋体"/>
          <w:b/>
          <w:bCs/>
          <w:szCs w:val="21"/>
        </w:rPr>
        <w:t>报告中净利润</w:t>
      </w:r>
      <w:proofErr w:type="gramEnd"/>
      <w:r w:rsidRPr="00831C3C">
        <w:rPr>
          <w:rFonts w:ascii="宋体" w:eastAsia="宋体" w:hAnsi="宋体" w:cs="宋体"/>
          <w:b/>
          <w:bCs/>
          <w:szCs w:val="21"/>
        </w:rPr>
        <w:t>和净资产差异情况</w:t>
      </w:r>
      <w:bookmarkEnd w:id="632"/>
    </w:p>
    <w:p w:rsidR="00E23A97" w:rsidRPr="00831C3C" w:rsidRDefault="00C65FD5">
      <w:pPr>
        <w:spacing w:before="100" w:after="100"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keepNext/>
        <w:keepLines/>
        <w:spacing w:before="300" w:after="300" w:line="280" w:lineRule="exact"/>
        <w:outlineLvl w:val="3"/>
        <w:rPr>
          <w:rFonts w:ascii="宋体" w:eastAsia="宋体" w:hAnsi="宋体" w:cs="宋体"/>
          <w:b/>
          <w:bCs/>
          <w:szCs w:val="21"/>
        </w:rPr>
      </w:pPr>
      <w:bookmarkStart w:id="633" w:name="_Toc989514"/>
      <w:r w:rsidRPr="00831C3C">
        <w:rPr>
          <w:rFonts w:ascii="宋体" w:eastAsia="宋体" w:hAnsi="宋体" w:cs="宋体"/>
          <w:b/>
          <w:bCs/>
          <w:szCs w:val="21"/>
        </w:rPr>
        <w:t>（2）同时按照境外会计准则与按中国会计准则披露的财务</w:t>
      </w:r>
      <w:proofErr w:type="gramStart"/>
      <w:r w:rsidRPr="00831C3C">
        <w:rPr>
          <w:rFonts w:ascii="宋体" w:eastAsia="宋体" w:hAnsi="宋体" w:cs="宋体"/>
          <w:b/>
          <w:bCs/>
          <w:szCs w:val="21"/>
        </w:rPr>
        <w:t>报告中净利润</w:t>
      </w:r>
      <w:proofErr w:type="gramEnd"/>
      <w:r w:rsidRPr="00831C3C">
        <w:rPr>
          <w:rFonts w:ascii="宋体" w:eastAsia="宋体" w:hAnsi="宋体" w:cs="宋体"/>
          <w:b/>
          <w:bCs/>
          <w:szCs w:val="21"/>
        </w:rPr>
        <w:t>和净资产差异情况</w:t>
      </w:r>
      <w:bookmarkEnd w:id="633"/>
    </w:p>
    <w:p w:rsidR="00E23A97" w:rsidRPr="00831C3C" w:rsidRDefault="00C65FD5">
      <w:pPr>
        <w:spacing w:line="240" w:lineRule="exact"/>
        <w:rPr>
          <w:rFonts w:ascii="宋体" w:eastAsia="宋体" w:hAnsi="宋体" w:cs="宋体"/>
          <w:sz w:val="18"/>
          <w:szCs w:val="18"/>
        </w:rPr>
      </w:pPr>
      <w:r w:rsidRPr="00831C3C">
        <w:rPr>
          <w:rFonts w:ascii="宋体" w:eastAsia="宋体" w:hAnsi="宋体" w:cs="宋体"/>
          <w:sz w:val="18"/>
          <w:szCs w:val="18"/>
        </w:rPr>
        <w:t>□适用</w:t>
      </w:r>
      <w:r w:rsidRPr="00831C3C">
        <w:rPr>
          <w:rFonts w:ascii="宋体" w:eastAsia="宋体" w:hAnsi="宋体" w:cs="宋体"/>
          <w:sz w:val="18"/>
          <w:szCs w:val="18"/>
        </w:rPr>
        <w:sym w:font="Wingdings 2" w:char="F052"/>
      </w:r>
      <w:r w:rsidRPr="00831C3C">
        <w:rPr>
          <w:rFonts w:ascii="宋体" w:eastAsia="宋体" w:hAnsi="宋体" w:cs="宋体"/>
          <w:sz w:val="18"/>
          <w:szCs w:val="18"/>
        </w:rPr>
        <w:t>不适用</w:t>
      </w:r>
    </w:p>
    <w:p w:rsidR="00E23A97" w:rsidRPr="00831C3C" w:rsidRDefault="00C65FD5">
      <w:pPr>
        <w:keepNext/>
        <w:keepLines/>
        <w:spacing w:before="300" w:after="300" w:line="280" w:lineRule="exact"/>
        <w:outlineLvl w:val="3"/>
        <w:rPr>
          <w:rFonts w:ascii="宋体" w:eastAsia="宋体" w:hAnsi="宋体" w:cs="宋体"/>
          <w:b/>
          <w:bCs/>
          <w:szCs w:val="21"/>
        </w:rPr>
      </w:pPr>
      <w:bookmarkStart w:id="634" w:name="_Toc989515"/>
      <w:r w:rsidRPr="00831C3C">
        <w:rPr>
          <w:rFonts w:ascii="宋体" w:eastAsia="宋体" w:hAnsi="宋体" w:cs="宋体"/>
          <w:b/>
          <w:bCs/>
          <w:szCs w:val="21"/>
        </w:rPr>
        <w:t>（3）境内外会计准则下会计数据差异原因说明，对已经境外审计机构审计的数据进行差异调节的，应注明该境外机构的名称</w:t>
      </w:r>
      <w:bookmarkEnd w:id="634"/>
    </w:p>
    <w:p w:rsidR="00E23A97" w:rsidRPr="00831C3C" w:rsidRDefault="00C65FD5">
      <w:pPr>
        <w:pStyle w:val="3"/>
        <w:spacing w:line="280" w:lineRule="exact"/>
        <w:jc w:val="left"/>
        <w:rPr>
          <w:rFonts w:ascii="宋体" w:hAnsi="宋体" w:cs="宋体"/>
          <w:b/>
          <w:bCs/>
        </w:rPr>
      </w:pPr>
      <w:bookmarkStart w:id="635" w:name="_Toc989516"/>
      <w:r w:rsidRPr="00831C3C">
        <w:rPr>
          <w:rFonts w:ascii="宋体" w:hAnsi="宋体" w:cs="宋体"/>
          <w:b/>
          <w:bCs/>
        </w:rPr>
        <w:t>4、其他</w:t>
      </w:r>
      <w:bookmarkEnd w:id="635"/>
    </w:p>
    <w:p w:rsidR="00C65FD5" w:rsidRPr="00831C3C" w:rsidRDefault="00C65FD5">
      <w:pPr>
        <w:pStyle w:val="a3"/>
        <w:divId w:val="1141118478"/>
        <w:rPr>
          <w:sz w:val="18"/>
          <w:szCs w:val="18"/>
        </w:rPr>
      </w:pPr>
      <w:r w:rsidRPr="00831C3C">
        <w:rPr>
          <w:rFonts w:hint="eastAsia"/>
          <w:sz w:val="18"/>
          <w:szCs w:val="18"/>
        </w:rPr>
        <w:t>无。</w:t>
      </w:r>
    </w:p>
    <w:sectPr w:rsidR="00C65FD5" w:rsidRPr="00831C3C" w:rsidSect="00AC1232">
      <w:headerReference w:type="default" r:id="rId11"/>
      <w:footerReference w:type="default" r:id="rId12"/>
      <w:pgSz w:w="11905" w:h="16840"/>
      <w:pgMar w:top="1440" w:right="1134" w:bottom="1440" w:left="1134" w:header="850" w:footer="992"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261A" w:rsidRDefault="00CD261A">
      <w:r>
        <w:separator/>
      </w:r>
    </w:p>
  </w:endnote>
  <w:endnote w:type="continuationSeparator" w:id="0">
    <w:p w:rsidR="00CD261A" w:rsidRDefault="00CD2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03F" w:rsidRDefault="003D003F">
    <w:pPr>
      <w:pStyle w:val="fotter1"/>
    </w:pPr>
    <w:r>
      <w:fldChar w:fldCharType="begin"/>
    </w:r>
    <w:r>
      <w:instrText>PAGE   \* MERGEFORMAT</w:instrText>
    </w:r>
    <w:r>
      <w:fldChar w:fldCharType="separate"/>
    </w:r>
    <w:r w:rsidR="00954343">
      <w:rPr>
        <w:noProof/>
      </w:rPr>
      <w:t>31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261A" w:rsidRDefault="00CD261A">
      <w:r>
        <w:separator/>
      </w:r>
    </w:p>
  </w:footnote>
  <w:footnote w:type="continuationSeparator" w:id="0">
    <w:p w:rsidR="00CD261A" w:rsidRDefault="00CD26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03F" w:rsidRDefault="003D003F">
    <w:pPr>
      <w:pStyle w:val="Header1"/>
      <w:pBdr>
        <w:bottom w:val="single" w:sz="6" w:space="1" w:color="auto"/>
      </w:pBdr>
    </w:pPr>
    <w:r>
      <w:t>华孚时尚股份有限公司2024年年度报告全文</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A1B3B"/>
    <w:multiLevelType w:val="multilevel"/>
    <w:tmpl w:val="BEF45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CF2F5F"/>
    <w:multiLevelType w:val="multilevel"/>
    <w:tmpl w:val="3B964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030AB6"/>
    <w:multiLevelType w:val="multilevel"/>
    <w:tmpl w:val="29949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596363"/>
    <w:multiLevelType w:val="multilevel"/>
    <w:tmpl w:val="2D14C5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1AA1384"/>
    <w:multiLevelType w:val="multilevel"/>
    <w:tmpl w:val="DD92D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1C6377E"/>
    <w:multiLevelType w:val="multilevel"/>
    <w:tmpl w:val="1AC2F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3A50DFF"/>
    <w:multiLevelType w:val="multilevel"/>
    <w:tmpl w:val="491ADC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3FE5E34"/>
    <w:multiLevelType w:val="multilevel"/>
    <w:tmpl w:val="9A7050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48E7578"/>
    <w:multiLevelType w:val="multilevel"/>
    <w:tmpl w:val="BA725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56D4867"/>
    <w:multiLevelType w:val="multilevel"/>
    <w:tmpl w:val="BE648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5C92E4D"/>
    <w:multiLevelType w:val="multilevel"/>
    <w:tmpl w:val="D33C374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8C40A6D"/>
    <w:multiLevelType w:val="multilevel"/>
    <w:tmpl w:val="4FA87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8D762A9"/>
    <w:multiLevelType w:val="multilevel"/>
    <w:tmpl w:val="4CE09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08EF7CA6"/>
    <w:multiLevelType w:val="multilevel"/>
    <w:tmpl w:val="83C20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97328E7"/>
    <w:multiLevelType w:val="multilevel"/>
    <w:tmpl w:val="CF86D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0A2E3681"/>
    <w:multiLevelType w:val="multilevel"/>
    <w:tmpl w:val="6404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0C3B594C"/>
    <w:multiLevelType w:val="multilevel"/>
    <w:tmpl w:val="19DEB4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0E5A4B0C"/>
    <w:multiLevelType w:val="multilevel"/>
    <w:tmpl w:val="C3FAE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0EF1561E"/>
    <w:multiLevelType w:val="multilevel"/>
    <w:tmpl w:val="EBDC0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FFA0E02"/>
    <w:multiLevelType w:val="multilevel"/>
    <w:tmpl w:val="466882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07766DD"/>
    <w:multiLevelType w:val="multilevel"/>
    <w:tmpl w:val="0436D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1DA0663"/>
    <w:multiLevelType w:val="multilevel"/>
    <w:tmpl w:val="87FEC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1EC4349"/>
    <w:multiLevelType w:val="multilevel"/>
    <w:tmpl w:val="1ECE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12364CD8"/>
    <w:multiLevelType w:val="multilevel"/>
    <w:tmpl w:val="A2BEC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4594A6C"/>
    <w:multiLevelType w:val="multilevel"/>
    <w:tmpl w:val="90CC79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4E55C7F"/>
    <w:multiLevelType w:val="multilevel"/>
    <w:tmpl w:val="8244D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5C72F43"/>
    <w:multiLevelType w:val="multilevel"/>
    <w:tmpl w:val="A664C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5D9555B"/>
    <w:multiLevelType w:val="multilevel"/>
    <w:tmpl w:val="AD38D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6C0687A"/>
    <w:multiLevelType w:val="multilevel"/>
    <w:tmpl w:val="99F6F9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174A39EB"/>
    <w:multiLevelType w:val="multilevel"/>
    <w:tmpl w:val="574ED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178C0F38"/>
    <w:multiLevelType w:val="multilevel"/>
    <w:tmpl w:val="F4947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17B661A3"/>
    <w:multiLevelType w:val="multilevel"/>
    <w:tmpl w:val="FB582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185063B3"/>
    <w:multiLevelType w:val="multilevel"/>
    <w:tmpl w:val="1304D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188F55DD"/>
    <w:multiLevelType w:val="multilevel"/>
    <w:tmpl w:val="885EF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18AA5719"/>
    <w:multiLevelType w:val="multilevel"/>
    <w:tmpl w:val="5C6AD3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91C02FD"/>
    <w:multiLevelType w:val="multilevel"/>
    <w:tmpl w:val="C09C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1AB82E5D"/>
    <w:multiLevelType w:val="multilevel"/>
    <w:tmpl w:val="A218DC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1AF14716"/>
    <w:multiLevelType w:val="multilevel"/>
    <w:tmpl w:val="8F66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1F077AC4"/>
    <w:multiLevelType w:val="multilevel"/>
    <w:tmpl w:val="15362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1FFC3395"/>
    <w:multiLevelType w:val="multilevel"/>
    <w:tmpl w:val="4B4CF5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0D549F4"/>
    <w:multiLevelType w:val="multilevel"/>
    <w:tmpl w:val="CA0A5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0EF23F6"/>
    <w:multiLevelType w:val="multilevel"/>
    <w:tmpl w:val="C03EA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2135AF2"/>
    <w:multiLevelType w:val="multilevel"/>
    <w:tmpl w:val="9E6C10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3193FC9"/>
    <w:multiLevelType w:val="multilevel"/>
    <w:tmpl w:val="A1909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245A4EE0"/>
    <w:multiLevelType w:val="multilevel"/>
    <w:tmpl w:val="555E8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4BE52DA"/>
    <w:multiLevelType w:val="multilevel"/>
    <w:tmpl w:val="971C8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24C96F61"/>
    <w:multiLevelType w:val="multilevel"/>
    <w:tmpl w:val="367EE0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5A67DA4"/>
    <w:multiLevelType w:val="multilevel"/>
    <w:tmpl w:val="B06CC2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25E86BC0"/>
    <w:multiLevelType w:val="multilevel"/>
    <w:tmpl w:val="E20454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6180D34"/>
    <w:multiLevelType w:val="multilevel"/>
    <w:tmpl w:val="603EB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263631DD"/>
    <w:multiLevelType w:val="multilevel"/>
    <w:tmpl w:val="67301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26925ABD"/>
    <w:multiLevelType w:val="multilevel"/>
    <w:tmpl w:val="A51460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26F36598"/>
    <w:multiLevelType w:val="multilevel"/>
    <w:tmpl w:val="727EB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28172879"/>
    <w:multiLevelType w:val="multilevel"/>
    <w:tmpl w:val="BFDE2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28696C4D"/>
    <w:multiLevelType w:val="multilevel"/>
    <w:tmpl w:val="156AE1B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97767B2"/>
    <w:multiLevelType w:val="multilevel"/>
    <w:tmpl w:val="A662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2C476BF5"/>
    <w:multiLevelType w:val="multilevel"/>
    <w:tmpl w:val="A6A0F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CBC53BE"/>
    <w:multiLevelType w:val="multilevel"/>
    <w:tmpl w:val="AE709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2E9B30DD"/>
    <w:multiLevelType w:val="multilevel"/>
    <w:tmpl w:val="AEAA3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2EEA7863"/>
    <w:multiLevelType w:val="multilevel"/>
    <w:tmpl w:val="7B980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2EFF39AE"/>
    <w:multiLevelType w:val="multilevel"/>
    <w:tmpl w:val="EBBC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326B63F5"/>
    <w:multiLevelType w:val="multilevel"/>
    <w:tmpl w:val="E9E23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nsid w:val="35D56390"/>
    <w:multiLevelType w:val="multilevel"/>
    <w:tmpl w:val="B4664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3727092C"/>
    <w:multiLevelType w:val="multilevel"/>
    <w:tmpl w:val="F8CC58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37D3526E"/>
    <w:multiLevelType w:val="multilevel"/>
    <w:tmpl w:val="30D838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37FD26A9"/>
    <w:multiLevelType w:val="multilevel"/>
    <w:tmpl w:val="CE1A7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nsid w:val="38B9619D"/>
    <w:multiLevelType w:val="multilevel"/>
    <w:tmpl w:val="24507C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397E4DBF"/>
    <w:multiLevelType w:val="multilevel"/>
    <w:tmpl w:val="B130F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3BA868EB"/>
    <w:multiLevelType w:val="multilevel"/>
    <w:tmpl w:val="AA90F3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3BD345C7"/>
    <w:multiLevelType w:val="multilevel"/>
    <w:tmpl w:val="58CE5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3C04380B"/>
    <w:multiLevelType w:val="multilevel"/>
    <w:tmpl w:val="81BE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3CAA78C1"/>
    <w:multiLevelType w:val="multilevel"/>
    <w:tmpl w:val="A4EA37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3E951FDA"/>
    <w:multiLevelType w:val="multilevel"/>
    <w:tmpl w:val="330A6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3F032017"/>
    <w:multiLevelType w:val="multilevel"/>
    <w:tmpl w:val="920C80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nsid w:val="3F0B4736"/>
    <w:multiLevelType w:val="multilevel"/>
    <w:tmpl w:val="391E9E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403566BC"/>
    <w:multiLevelType w:val="multilevel"/>
    <w:tmpl w:val="0B46C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nsid w:val="4127315D"/>
    <w:multiLevelType w:val="multilevel"/>
    <w:tmpl w:val="FB385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33D3F95"/>
    <w:multiLevelType w:val="multilevel"/>
    <w:tmpl w:val="11AAF1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435B4821"/>
    <w:multiLevelType w:val="multilevel"/>
    <w:tmpl w:val="A42EE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3C76B43"/>
    <w:multiLevelType w:val="multilevel"/>
    <w:tmpl w:val="8BB41D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4454115D"/>
    <w:multiLevelType w:val="multilevel"/>
    <w:tmpl w:val="A058B8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46962662"/>
    <w:multiLevelType w:val="multilevel"/>
    <w:tmpl w:val="56661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9E05537"/>
    <w:multiLevelType w:val="multilevel"/>
    <w:tmpl w:val="BC70AD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4A13754B"/>
    <w:multiLevelType w:val="multilevel"/>
    <w:tmpl w:val="3F0AA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nsid w:val="4C4E1D5F"/>
    <w:multiLevelType w:val="multilevel"/>
    <w:tmpl w:val="F4A05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4E264A2A"/>
    <w:multiLevelType w:val="multilevel"/>
    <w:tmpl w:val="F7BCA1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4E990134"/>
    <w:multiLevelType w:val="multilevel"/>
    <w:tmpl w:val="8E944E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4FB92E2D"/>
    <w:multiLevelType w:val="multilevel"/>
    <w:tmpl w:val="5262F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51253FDD"/>
    <w:multiLevelType w:val="multilevel"/>
    <w:tmpl w:val="9B208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52961348"/>
    <w:multiLevelType w:val="multilevel"/>
    <w:tmpl w:val="B20E3A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53B21CC2"/>
    <w:multiLevelType w:val="multilevel"/>
    <w:tmpl w:val="DC3EB018"/>
    <w:lvl w:ilvl="0">
      <w:start w:val="2"/>
      <w:numFmt w:val="decimal"/>
      <w:lvlText w:val="%1."/>
      <w:lvlJc w:val="left"/>
      <w:pPr>
        <w:tabs>
          <w:tab w:val="num" w:pos="720"/>
        </w:tabs>
        <w:ind w:left="720" w:hanging="360"/>
      </w:p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53BB00EB"/>
    <w:multiLevelType w:val="multilevel"/>
    <w:tmpl w:val="EBC4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54FA363B"/>
    <w:multiLevelType w:val="multilevel"/>
    <w:tmpl w:val="55007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57604D5A"/>
    <w:multiLevelType w:val="multilevel"/>
    <w:tmpl w:val="8556C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nsid w:val="58F44463"/>
    <w:multiLevelType w:val="multilevel"/>
    <w:tmpl w:val="AD7AC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597B0560"/>
    <w:multiLevelType w:val="multilevel"/>
    <w:tmpl w:val="C1DCD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5AC6182E"/>
    <w:multiLevelType w:val="multilevel"/>
    <w:tmpl w:val="82BCC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B0341F8"/>
    <w:multiLevelType w:val="multilevel"/>
    <w:tmpl w:val="038A0E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5B3D00D6"/>
    <w:multiLevelType w:val="multilevel"/>
    <w:tmpl w:val="69CC2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5BBF7455"/>
    <w:multiLevelType w:val="multilevel"/>
    <w:tmpl w:val="4BA677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5CBA1431"/>
    <w:multiLevelType w:val="multilevel"/>
    <w:tmpl w:val="BB0AE1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5CEC02A3"/>
    <w:multiLevelType w:val="multilevel"/>
    <w:tmpl w:val="AD701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5D194E2D"/>
    <w:multiLevelType w:val="multilevel"/>
    <w:tmpl w:val="ADF050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5D344C49"/>
    <w:multiLevelType w:val="multilevel"/>
    <w:tmpl w:val="94F2A6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5E983934"/>
    <w:multiLevelType w:val="multilevel"/>
    <w:tmpl w:val="653E68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5ECE5A3B"/>
    <w:multiLevelType w:val="multilevel"/>
    <w:tmpl w:val="9A02A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nsid w:val="5F686C8B"/>
    <w:multiLevelType w:val="multilevel"/>
    <w:tmpl w:val="AC42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nsid w:val="613F7ACB"/>
    <w:multiLevelType w:val="multilevel"/>
    <w:tmpl w:val="3D2E7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nsid w:val="614F602A"/>
    <w:multiLevelType w:val="multilevel"/>
    <w:tmpl w:val="0F34B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nsid w:val="623723D4"/>
    <w:multiLevelType w:val="multilevel"/>
    <w:tmpl w:val="491AD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63C67516"/>
    <w:multiLevelType w:val="multilevel"/>
    <w:tmpl w:val="2B9C44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63C67942"/>
    <w:multiLevelType w:val="multilevel"/>
    <w:tmpl w:val="44C24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nsid w:val="64740A09"/>
    <w:multiLevelType w:val="multilevel"/>
    <w:tmpl w:val="55062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nsid w:val="666E65B2"/>
    <w:multiLevelType w:val="multilevel"/>
    <w:tmpl w:val="54629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nsid w:val="66A62825"/>
    <w:multiLevelType w:val="multilevel"/>
    <w:tmpl w:val="B0D215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66BC7688"/>
    <w:multiLevelType w:val="multilevel"/>
    <w:tmpl w:val="43E899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6723717F"/>
    <w:multiLevelType w:val="multilevel"/>
    <w:tmpl w:val="BD90D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nsid w:val="683636C0"/>
    <w:multiLevelType w:val="multilevel"/>
    <w:tmpl w:val="295C1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68A830F1"/>
    <w:multiLevelType w:val="multilevel"/>
    <w:tmpl w:val="87DED7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69116CA4"/>
    <w:multiLevelType w:val="multilevel"/>
    <w:tmpl w:val="16AC14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6BFE4120"/>
    <w:multiLevelType w:val="multilevel"/>
    <w:tmpl w:val="70E6BD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nsid w:val="6CB41116"/>
    <w:multiLevelType w:val="multilevel"/>
    <w:tmpl w:val="72FCAB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nsid w:val="6CBF32F4"/>
    <w:multiLevelType w:val="multilevel"/>
    <w:tmpl w:val="DB8632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701355D4"/>
    <w:multiLevelType w:val="multilevel"/>
    <w:tmpl w:val="BAD063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nsid w:val="72C82C4A"/>
    <w:multiLevelType w:val="multilevel"/>
    <w:tmpl w:val="8F3A4A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nsid w:val="73DD26E9"/>
    <w:multiLevelType w:val="multilevel"/>
    <w:tmpl w:val="F2704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nsid w:val="741652B8"/>
    <w:multiLevelType w:val="multilevel"/>
    <w:tmpl w:val="2E20C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nsid w:val="74936A4F"/>
    <w:multiLevelType w:val="multilevel"/>
    <w:tmpl w:val="5F7C7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nsid w:val="782905AD"/>
    <w:multiLevelType w:val="multilevel"/>
    <w:tmpl w:val="E8A24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nsid w:val="790D3E9A"/>
    <w:multiLevelType w:val="multilevel"/>
    <w:tmpl w:val="DB6E9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nsid w:val="79CD10C5"/>
    <w:multiLevelType w:val="multilevel"/>
    <w:tmpl w:val="301AD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nsid w:val="7C07784C"/>
    <w:multiLevelType w:val="multilevel"/>
    <w:tmpl w:val="B33EC4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nsid w:val="7E26541D"/>
    <w:multiLevelType w:val="multilevel"/>
    <w:tmpl w:val="63B44D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nsid w:val="7F5B22D4"/>
    <w:multiLevelType w:val="multilevel"/>
    <w:tmpl w:val="CE5E6A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9"/>
  </w:num>
  <w:num w:numId="2">
    <w:abstractNumId w:val="81"/>
  </w:num>
  <w:num w:numId="3">
    <w:abstractNumId w:val="55"/>
  </w:num>
  <w:num w:numId="4">
    <w:abstractNumId w:val="1"/>
  </w:num>
  <w:num w:numId="5">
    <w:abstractNumId w:val="40"/>
  </w:num>
  <w:num w:numId="6">
    <w:abstractNumId w:val="39"/>
  </w:num>
  <w:num w:numId="7">
    <w:abstractNumId w:val="42"/>
  </w:num>
  <w:num w:numId="8">
    <w:abstractNumId w:val="53"/>
  </w:num>
  <w:num w:numId="9">
    <w:abstractNumId w:val="60"/>
  </w:num>
  <w:num w:numId="10">
    <w:abstractNumId w:val="52"/>
  </w:num>
  <w:num w:numId="11">
    <w:abstractNumId w:val="6"/>
  </w:num>
  <w:num w:numId="12">
    <w:abstractNumId w:val="98"/>
  </w:num>
  <w:num w:numId="13">
    <w:abstractNumId w:val="107"/>
  </w:num>
  <w:num w:numId="14">
    <w:abstractNumId w:val="11"/>
  </w:num>
  <w:num w:numId="15">
    <w:abstractNumId w:val="23"/>
  </w:num>
  <w:num w:numId="16">
    <w:abstractNumId w:val="59"/>
  </w:num>
  <w:num w:numId="17">
    <w:abstractNumId w:val="126"/>
  </w:num>
  <w:num w:numId="18">
    <w:abstractNumId w:val="128"/>
  </w:num>
  <w:num w:numId="19">
    <w:abstractNumId w:val="19"/>
  </w:num>
  <w:num w:numId="20">
    <w:abstractNumId w:val="89"/>
  </w:num>
  <w:num w:numId="21">
    <w:abstractNumId w:val="85"/>
  </w:num>
  <w:num w:numId="22">
    <w:abstractNumId w:val="50"/>
  </w:num>
  <w:num w:numId="23">
    <w:abstractNumId w:val="7"/>
  </w:num>
  <w:num w:numId="24">
    <w:abstractNumId w:val="121"/>
  </w:num>
  <w:num w:numId="25">
    <w:abstractNumId w:val="61"/>
  </w:num>
  <w:num w:numId="26">
    <w:abstractNumId w:val="35"/>
  </w:num>
  <w:num w:numId="27">
    <w:abstractNumId w:val="14"/>
  </w:num>
  <w:num w:numId="28">
    <w:abstractNumId w:val="38"/>
  </w:num>
  <w:num w:numId="29">
    <w:abstractNumId w:val="13"/>
  </w:num>
  <w:num w:numId="30">
    <w:abstractNumId w:val="112"/>
  </w:num>
  <w:num w:numId="31">
    <w:abstractNumId w:val="16"/>
  </w:num>
  <w:num w:numId="32">
    <w:abstractNumId w:val="64"/>
  </w:num>
  <w:num w:numId="33">
    <w:abstractNumId w:val="41"/>
  </w:num>
  <w:num w:numId="34">
    <w:abstractNumId w:val="74"/>
  </w:num>
  <w:num w:numId="35">
    <w:abstractNumId w:val="77"/>
  </w:num>
  <w:num w:numId="36">
    <w:abstractNumId w:val="75"/>
  </w:num>
  <w:num w:numId="37">
    <w:abstractNumId w:val="5"/>
  </w:num>
  <w:num w:numId="38">
    <w:abstractNumId w:val="22"/>
  </w:num>
  <w:num w:numId="39">
    <w:abstractNumId w:val="15"/>
  </w:num>
  <w:num w:numId="40">
    <w:abstractNumId w:val="65"/>
  </w:num>
  <w:num w:numId="41">
    <w:abstractNumId w:val="92"/>
  </w:num>
  <w:num w:numId="42">
    <w:abstractNumId w:val="26"/>
  </w:num>
  <w:num w:numId="43">
    <w:abstractNumId w:val="80"/>
  </w:num>
  <w:num w:numId="44">
    <w:abstractNumId w:val="83"/>
  </w:num>
  <w:num w:numId="45">
    <w:abstractNumId w:val="29"/>
  </w:num>
  <w:num w:numId="46">
    <w:abstractNumId w:val="70"/>
  </w:num>
  <w:num w:numId="47">
    <w:abstractNumId w:val="117"/>
  </w:num>
  <w:num w:numId="48">
    <w:abstractNumId w:val="131"/>
  </w:num>
  <w:num w:numId="49">
    <w:abstractNumId w:val="97"/>
  </w:num>
  <w:num w:numId="50">
    <w:abstractNumId w:val="63"/>
  </w:num>
  <w:num w:numId="51">
    <w:abstractNumId w:val="30"/>
  </w:num>
  <w:num w:numId="52">
    <w:abstractNumId w:val="33"/>
  </w:num>
  <w:num w:numId="53">
    <w:abstractNumId w:val="37"/>
  </w:num>
  <w:num w:numId="54">
    <w:abstractNumId w:val="129"/>
  </w:num>
  <w:num w:numId="55">
    <w:abstractNumId w:val="17"/>
  </w:num>
  <w:num w:numId="56">
    <w:abstractNumId w:val="125"/>
  </w:num>
  <w:num w:numId="57">
    <w:abstractNumId w:val="114"/>
  </w:num>
  <w:num w:numId="58">
    <w:abstractNumId w:val="68"/>
  </w:num>
  <w:num w:numId="59">
    <w:abstractNumId w:val="73"/>
  </w:num>
  <w:num w:numId="60">
    <w:abstractNumId w:val="43"/>
  </w:num>
  <w:num w:numId="61">
    <w:abstractNumId w:val="21"/>
  </w:num>
  <w:num w:numId="62">
    <w:abstractNumId w:val="93"/>
  </w:num>
  <w:num w:numId="63">
    <w:abstractNumId w:val="3"/>
  </w:num>
  <w:num w:numId="64">
    <w:abstractNumId w:val="116"/>
  </w:num>
  <w:num w:numId="65">
    <w:abstractNumId w:val="12"/>
  </w:num>
  <w:num w:numId="66">
    <w:abstractNumId w:val="10"/>
  </w:num>
  <w:num w:numId="67">
    <w:abstractNumId w:val="115"/>
  </w:num>
  <w:num w:numId="68">
    <w:abstractNumId w:val="108"/>
  </w:num>
  <w:num w:numId="69">
    <w:abstractNumId w:val="2"/>
  </w:num>
  <w:num w:numId="70">
    <w:abstractNumId w:val="49"/>
  </w:num>
  <w:num w:numId="71">
    <w:abstractNumId w:val="20"/>
  </w:num>
  <w:num w:numId="72">
    <w:abstractNumId w:val="45"/>
  </w:num>
  <w:num w:numId="73">
    <w:abstractNumId w:val="118"/>
  </w:num>
  <w:num w:numId="74">
    <w:abstractNumId w:val="127"/>
  </w:num>
  <w:num w:numId="75">
    <w:abstractNumId w:val="79"/>
  </w:num>
  <w:num w:numId="76">
    <w:abstractNumId w:val="110"/>
  </w:num>
  <w:num w:numId="77">
    <w:abstractNumId w:val="106"/>
  </w:num>
  <w:num w:numId="78">
    <w:abstractNumId w:val="67"/>
  </w:num>
  <w:num w:numId="79">
    <w:abstractNumId w:val="78"/>
  </w:num>
  <w:num w:numId="80">
    <w:abstractNumId w:val="57"/>
  </w:num>
  <w:num w:numId="81">
    <w:abstractNumId w:val="87"/>
  </w:num>
  <w:num w:numId="82">
    <w:abstractNumId w:val="132"/>
  </w:num>
  <w:num w:numId="83">
    <w:abstractNumId w:val="88"/>
  </w:num>
  <w:num w:numId="84">
    <w:abstractNumId w:val="100"/>
  </w:num>
  <w:num w:numId="85">
    <w:abstractNumId w:val="58"/>
  </w:num>
  <w:num w:numId="86">
    <w:abstractNumId w:val="4"/>
  </w:num>
  <w:num w:numId="87">
    <w:abstractNumId w:val="96"/>
  </w:num>
  <w:num w:numId="88">
    <w:abstractNumId w:val="31"/>
  </w:num>
  <w:num w:numId="89">
    <w:abstractNumId w:val="130"/>
  </w:num>
  <w:num w:numId="90">
    <w:abstractNumId w:val="44"/>
  </w:num>
  <w:num w:numId="91">
    <w:abstractNumId w:val="66"/>
  </w:num>
  <w:num w:numId="92">
    <w:abstractNumId w:val="28"/>
  </w:num>
  <w:num w:numId="93">
    <w:abstractNumId w:val="124"/>
  </w:num>
  <w:num w:numId="94">
    <w:abstractNumId w:val="51"/>
  </w:num>
  <w:num w:numId="95">
    <w:abstractNumId w:val="25"/>
  </w:num>
  <w:num w:numId="96">
    <w:abstractNumId w:val="95"/>
  </w:num>
  <w:num w:numId="97">
    <w:abstractNumId w:val="122"/>
  </w:num>
  <w:num w:numId="98">
    <w:abstractNumId w:val="27"/>
  </w:num>
  <w:num w:numId="99">
    <w:abstractNumId w:val="54"/>
  </w:num>
  <w:num w:numId="100">
    <w:abstractNumId w:val="76"/>
  </w:num>
  <w:num w:numId="101">
    <w:abstractNumId w:val="102"/>
  </w:num>
  <w:num w:numId="102">
    <w:abstractNumId w:val="24"/>
  </w:num>
  <w:num w:numId="103">
    <w:abstractNumId w:val="123"/>
  </w:num>
  <w:num w:numId="104">
    <w:abstractNumId w:val="99"/>
  </w:num>
  <w:num w:numId="105">
    <w:abstractNumId w:val="71"/>
  </w:num>
  <w:num w:numId="106">
    <w:abstractNumId w:val="9"/>
  </w:num>
  <w:num w:numId="107">
    <w:abstractNumId w:val="46"/>
  </w:num>
  <w:num w:numId="108">
    <w:abstractNumId w:val="133"/>
  </w:num>
  <w:num w:numId="109">
    <w:abstractNumId w:val="8"/>
  </w:num>
  <w:num w:numId="110">
    <w:abstractNumId w:val="47"/>
  </w:num>
  <w:num w:numId="111">
    <w:abstractNumId w:val="72"/>
  </w:num>
  <w:num w:numId="112">
    <w:abstractNumId w:val="120"/>
  </w:num>
  <w:num w:numId="113">
    <w:abstractNumId w:val="82"/>
  </w:num>
  <w:num w:numId="114">
    <w:abstractNumId w:val="101"/>
  </w:num>
  <w:num w:numId="115">
    <w:abstractNumId w:val="86"/>
  </w:num>
  <w:num w:numId="116">
    <w:abstractNumId w:val="84"/>
  </w:num>
  <w:num w:numId="117">
    <w:abstractNumId w:val="56"/>
  </w:num>
  <w:num w:numId="118">
    <w:abstractNumId w:val="32"/>
  </w:num>
  <w:num w:numId="119">
    <w:abstractNumId w:val="103"/>
  </w:num>
  <w:num w:numId="120">
    <w:abstractNumId w:val="119"/>
  </w:num>
  <w:num w:numId="121">
    <w:abstractNumId w:val="48"/>
  </w:num>
  <w:num w:numId="122">
    <w:abstractNumId w:val="94"/>
  </w:num>
  <w:num w:numId="123">
    <w:abstractNumId w:val="18"/>
  </w:num>
  <w:num w:numId="124">
    <w:abstractNumId w:val="104"/>
  </w:num>
  <w:num w:numId="125">
    <w:abstractNumId w:val="34"/>
  </w:num>
  <w:num w:numId="126">
    <w:abstractNumId w:val="62"/>
  </w:num>
  <w:num w:numId="127">
    <w:abstractNumId w:val="0"/>
  </w:num>
  <w:num w:numId="128">
    <w:abstractNumId w:val="91"/>
  </w:num>
  <w:num w:numId="129">
    <w:abstractNumId w:val="105"/>
  </w:num>
  <w:num w:numId="130">
    <w:abstractNumId w:val="113"/>
  </w:num>
  <w:num w:numId="131">
    <w:abstractNumId w:val="109"/>
  </w:num>
  <w:num w:numId="132">
    <w:abstractNumId w:val="111"/>
  </w:num>
  <w:num w:numId="133">
    <w:abstractNumId w:val="36"/>
  </w:num>
  <w:num w:numId="134">
    <w:abstractNumId w:val="90"/>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
  <w:rsids>
    <w:rsidRoot w:val="00E23A97"/>
    <w:rsid w:val="00034610"/>
    <w:rsid w:val="0007167E"/>
    <w:rsid w:val="00191723"/>
    <w:rsid w:val="001E2174"/>
    <w:rsid w:val="00257CA8"/>
    <w:rsid w:val="003D003F"/>
    <w:rsid w:val="003E48A8"/>
    <w:rsid w:val="00406352"/>
    <w:rsid w:val="005A6283"/>
    <w:rsid w:val="00617E66"/>
    <w:rsid w:val="00664544"/>
    <w:rsid w:val="00667AF4"/>
    <w:rsid w:val="006B0D17"/>
    <w:rsid w:val="006F1E9D"/>
    <w:rsid w:val="006F5F74"/>
    <w:rsid w:val="007563CD"/>
    <w:rsid w:val="00785C45"/>
    <w:rsid w:val="007B5415"/>
    <w:rsid w:val="008007EA"/>
    <w:rsid w:val="00831C3C"/>
    <w:rsid w:val="00896FFD"/>
    <w:rsid w:val="008A4F3A"/>
    <w:rsid w:val="00903F43"/>
    <w:rsid w:val="00922B25"/>
    <w:rsid w:val="00954343"/>
    <w:rsid w:val="00961CF9"/>
    <w:rsid w:val="00964DA1"/>
    <w:rsid w:val="009D064F"/>
    <w:rsid w:val="00AC1232"/>
    <w:rsid w:val="00BE6F3B"/>
    <w:rsid w:val="00C6116B"/>
    <w:rsid w:val="00C65FD5"/>
    <w:rsid w:val="00CB4466"/>
    <w:rsid w:val="00CC7D91"/>
    <w:rsid w:val="00CD261A"/>
    <w:rsid w:val="00DC09F2"/>
    <w:rsid w:val="00E23A97"/>
    <w:rsid w:val="00E30AB4"/>
    <w:rsid w:val="00F05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
    <w:uiPriority w:val="9"/>
    <w:unhideWhenUsed/>
    <w:qFormat/>
    <w:pPr>
      <w:keepNext/>
      <w:keepLines/>
      <w:spacing w:before="156" w:after="156"/>
      <w:outlineLvl w:val="1"/>
    </w:pPr>
    <w:rPr>
      <w:szCs w:val="21"/>
    </w:rPr>
  </w:style>
  <w:style w:type="paragraph" w:styleId="3">
    <w:name w:val="heading 3"/>
    <w:basedOn w:val="a"/>
    <w:next w:val="a"/>
    <w:uiPriority w:val="99"/>
    <w:qFormat/>
    <w:rsid w:val="00B74129"/>
    <w:pPr>
      <w:keepNext/>
      <w:keepLines/>
      <w:spacing w:before="300" w:after="300" w:line="241" w:lineRule="auto"/>
      <w:jc w:val="both"/>
      <w:outlineLvl w:val="2"/>
    </w:pPr>
    <w:rPr>
      <w:rFonts w:eastAsia="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1">
    <w:name w:val="Header 1"/>
    <w:pPr>
      <w:jc w:val="right"/>
    </w:pPr>
    <w:rPr>
      <w:rFonts w:ascii="宋体" w:eastAsia="宋体"/>
      <w:sz w:val="18"/>
      <w:szCs w:val="18"/>
    </w:rPr>
  </w:style>
  <w:style w:type="paragraph" w:customStyle="1" w:styleId="headingh1">
    <w:name w:val="heading h1"/>
    <w:basedOn w:val="a"/>
    <w:next w:val="a"/>
    <w:uiPriority w:val="9"/>
    <w:qFormat/>
    <w:pPr>
      <w:keepNext/>
      <w:keepLines/>
      <w:spacing w:before="240" w:after="240" w:line="578" w:lineRule="auto"/>
      <w:outlineLvl w:val="0"/>
    </w:pPr>
    <w:rPr>
      <w:kern w:val="44"/>
      <w:sz w:val="44"/>
      <w:szCs w:val="44"/>
    </w:rPr>
  </w:style>
  <w:style w:type="paragraph" w:customStyle="1" w:styleId="fotter1">
    <w:name w:val="fotter 1"/>
    <w:pPr>
      <w:jc w:val="right"/>
    </w:pPr>
    <w:rPr>
      <w:rFonts w:ascii="宋体" w:eastAsia="宋体"/>
      <w:sz w:val="18"/>
      <w:szCs w:val="18"/>
    </w:rPr>
  </w:style>
  <w:style w:type="paragraph" w:styleId="1">
    <w:name w:val="toc 1"/>
    <w:basedOn w:val="a"/>
    <w:next w:val="a"/>
    <w:autoRedefine/>
    <w:uiPriority w:val="39"/>
  </w:style>
  <w:style w:type="paragraph" w:styleId="20">
    <w:name w:val="toc 2"/>
    <w:basedOn w:val="a"/>
    <w:next w:val="a"/>
    <w:autoRedefine/>
    <w:uiPriority w:val="39"/>
    <w:unhideWhenUsed/>
    <w:pPr>
      <w:ind w:leftChars="200" w:left="420"/>
    </w:pPr>
  </w:style>
  <w:style w:type="paragraph" w:styleId="a3">
    <w:name w:val="Normal (Web)"/>
    <w:basedOn w:val="a"/>
    <w:uiPriority w:val="99"/>
    <w:unhideWhenUsed/>
    <w:pPr>
      <w:widowControl/>
      <w:spacing w:before="100" w:beforeAutospacing="1" w:after="100" w:afterAutospacing="1"/>
    </w:pPr>
    <w:rPr>
      <w:rFonts w:ascii="宋体" w:eastAsia="宋体" w:hAnsi="宋体" w:cs="宋体"/>
      <w:kern w:val="0"/>
      <w:sz w:val="24"/>
      <w:szCs w:val="24"/>
    </w:rPr>
  </w:style>
  <w:style w:type="character" w:customStyle="1" w:styleId="15">
    <w:name w:val="15"/>
    <w:basedOn w:val="a0"/>
  </w:style>
  <w:style w:type="character" w:styleId="a4">
    <w:name w:val="Strong"/>
    <w:basedOn w:val="a0"/>
    <w:uiPriority w:val="22"/>
    <w:qFormat/>
    <w:rPr>
      <w:b/>
      <w:bCs/>
    </w:rPr>
  </w:style>
  <w:style w:type="paragraph" w:styleId="a5">
    <w:name w:val="header"/>
    <w:basedOn w:val="a"/>
    <w:link w:val="Char"/>
    <w:uiPriority w:val="99"/>
    <w:unhideWhenUsed/>
    <w:rsid w:val="006F5F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F5F74"/>
    <w:rPr>
      <w:sz w:val="18"/>
      <w:szCs w:val="18"/>
    </w:rPr>
  </w:style>
  <w:style w:type="paragraph" w:styleId="a6">
    <w:name w:val="footer"/>
    <w:basedOn w:val="a"/>
    <w:link w:val="Char0"/>
    <w:uiPriority w:val="99"/>
    <w:unhideWhenUsed/>
    <w:rsid w:val="006F5F74"/>
    <w:pPr>
      <w:tabs>
        <w:tab w:val="center" w:pos="4153"/>
        <w:tab w:val="right" w:pos="8306"/>
      </w:tabs>
      <w:snapToGrid w:val="0"/>
    </w:pPr>
    <w:rPr>
      <w:sz w:val="18"/>
      <w:szCs w:val="18"/>
    </w:rPr>
  </w:style>
  <w:style w:type="character" w:customStyle="1" w:styleId="Char0">
    <w:name w:val="页脚 Char"/>
    <w:basedOn w:val="a0"/>
    <w:link w:val="a6"/>
    <w:uiPriority w:val="99"/>
    <w:rsid w:val="006F5F74"/>
    <w:rPr>
      <w:sz w:val="18"/>
      <w:szCs w:val="18"/>
    </w:rPr>
  </w:style>
  <w:style w:type="paragraph" w:styleId="a7">
    <w:name w:val="Balloon Text"/>
    <w:basedOn w:val="a"/>
    <w:link w:val="Char1"/>
    <w:uiPriority w:val="99"/>
    <w:semiHidden/>
    <w:unhideWhenUsed/>
    <w:rsid w:val="006F5F74"/>
    <w:rPr>
      <w:sz w:val="18"/>
      <w:szCs w:val="18"/>
    </w:rPr>
  </w:style>
  <w:style w:type="character" w:customStyle="1" w:styleId="Char1">
    <w:name w:val="批注框文本 Char"/>
    <w:basedOn w:val="a0"/>
    <w:link w:val="a7"/>
    <w:uiPriority w:val="99"/>
    <w:semiHidden/>
    <w:rsid w:val="006F5F74"/>
    <w:rPr>
      <w:sz w:val="18"/>
      <w:szCs w:val="18"/>
    </w:rPr>
  </w:style>
  <w:style w:type="character" w:styleId="a8">
    <w:name w:val="Hyperlink"/>
    <w:basedOn w:val="a0"/>
    <w:uiPriority w:val="99"/>
    <w:unhideWhenUsed/>
    <w:rsid w:val="00961CF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2">
    <w:name w:val="heading 2"/>
    <w:basedOn w:val="a"/>
    <w:next w:val="a"/>
    <w:uiPriority w:val="9"/>
    <w:unhideWhenUsed/>
    <w:qFormat/>
    <w:pPr>
      <w:keepNext/>
      <w:keepLines/>
      <w:spacing w:before="156" w:after="156"/>
      <w:outlineLvl w:val="1"/>
    </w:pPr>
    <w:rPr>
      <w:szCs w:val="21"/>
    </w:rPr>
  </w:style>
  <w:style w:type="paragraph" w:styleId="3">
    <w:name w:val="heading 3"/>
    <w:basedOn w:val="a"/>
    <w:next w:val="a"/>
    <w:uiPriority w:val="99"/>
    <w:qFormat/>
    <w:rsid w:val="00B74129"/>
    <w:pPr>
      <w:keepNext/>
      <w:keepLines/>
      <w:spacing w:before="300" w:after="300" w:line="241" w:lineRule="auto"/>
      <w:jc w:val="both"/>
      <w:outlineLvl w:val="2"/>
    </w:pPr>
    <w:rPr>
      <w:rFonts w:eastAsia="宋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1">
    <w:name w:val="Header 1"/>
    <w:pPr>
      <w:jc w:val="right"/>
    </w:pPr>
    <w:rPr>
      <w:rFonts w:ascii="宋体" w:eastAsia="宋体"/>
      <w:sz w:val="18"/>
      <w:szCs w:val="18"/>
    </w:rPr>
  </w:style>
  <w:style w:type="paragraph" w:customStyle="1" w:styleId="headingh1">
    <w:name w:val="heading h1"/>
    <w:basedOn w:val="a"/>
    <w:next w:val="a"/>
    <w:uiPriority w:val="9"/>
    <w:qFormat/>
    <w:pPr>
      <w:keepNext/>
      <w:keepLines/>
      <w:spacing w:before="240" w:after="240" w:line="578" w:lineRule="auto"/>
      <w:outlineLvl w:val="0"/>
    </w:pPr>
    <w:rPr>
      <w:kern w:val="44"/>
      <w:sz w:val="44"/>
      <w:szCs w:val="44"/>
    </w:rPr>
  </w:style>
  <w:style w:type="paragraph" w:customStyle="1" w:styleId="fotter1">
    <w:name w:val="fotter 1"/>
    <w:pPr>
      <w:jc w:val="right"/>
    </w:pPr>
    <w:rPr>
      <w:rFonts w:ascii="宋体" w:eastAsia="宋体"/>
      <w:sz w:val="18"/>
      <w:szCs w:val="18"/>
    </w:rPr>
  </w:style>
  <w:style w:type="paragraph" w:styleId="1">
    <w:name w:val="toc 1"/>
    <w:basedOn w:val="a"/>
    <w:next w:val="a"/>
    <w:autoRedefine/>
    <w:uiPriority w:val="39"/>
  </w:style>
  <w:style w:type="paragraph" w:styleId="20">
    <w:name w:val="toc 2"/>
    <w:basedOn w:val="a"/>
    <w:next w:val="a"/>
    <w:autoRedefine/>
    <w:uiPriority w:val="39"/>
    <w:unhideWhenUsed/>
    <w:pPr>
      <w:ind w:leftChars="200" w:left="420"/>
    </w:pPr>
  </w:style>
  <w:style w:type="paragraph" w:styleId="a3">
    <w:name w:val="Normal (Web)"/>
    <w:basedOn w:val="a"/>
    <w:uiPriority w:val="99"/>
    <w:unhideWhenUsed/>
    <w:pPr>
      <w:widowControl/>
      <w:spacing w:before="100" w:beforeAutospacing="1" w:after="100" w:afterAutospacing="1"/>
    </w:pPr>
    <w:rPr>
      <w:rFonts w:ascii="宋体" w:eastAsia="宋体" w:hAnsi="宋体" w:cs="宋体"/>
      <w:kern w:val="0"/>
      <w:sz w:val="24"/>
      <w:szCs w:val="24"/>
    </w:rPr>
  </w:style>
  <w:style w:type="character" w:customStyle="1" w:styleId="15">
    <w:name w:val="15"/>
    <w:basedOn w:val="a0"/>
  </w:style>
  <w:style w:type="character" w:styleId="a4">
    <w:name w:val="Strong"/>
    <w:basedOn w:val="a0"/>
    <w:uiPriority w:val="22"/>
    <w:qFormat/>
    <w:rPr>
      <w:b/>
      <w:bCs/>
    </w:rPr>
  </w:style>
  <w:style w:type="paragraph" w:styleId="a5">
    <w:name w:val="header"/>
    <w:basedOn w:val="a"/>
    <w:link w:val="Char"/>
    <w:uiPriority w:val="99"/>
    <w:unhideWhenUsed/>
    <w:rsid w:val="006F5F7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6F5F74"/>
    <w:rPr>
      <w:sz w:val="18"/>
      <w:szCs w:val="18"/>
    </w:rPr>
  </w:style>
  <w:style w:type="paragraph" w:styleId="a6">
    <w:name w:val="footer"/>
    <w:basedOn w:val="a"/>
    <w:link w:val="Char0"/>
    <w:uiPriority w:val="99"/>
    <w:unhideWhenUsed/>
    <w:rsid w:val="006F5F74"/>
    <w:pPr>
      <w:tabs>
        <w:tab w:val="center" w:pos="4153"/>
        <w:tab w:val="right" w:pos="8306"/>
      </w:tabs>
      <w:snapToGrid w:val="0"/>
    </w:pPr>
    <w:rPr>
      <w:sz w:val="18"/>
      <w:szCs w:val="18"/>
    </w:rPr>
  </w:style>
  <w:style w:type="character" w:customStyle="1" w:styleId="Char0">
    <w:name w:val="页脚 Char"/>
    <w:basedOn w:val="a0"/>
    <w:link w:val="a6"/>
    <w:uiPriority w:val="99"/>
    <w:rsid w:val="006F5F74"/>
    <w:rPr>
      <w:sz w:val="18"/>
      <w:szCs w:val="18"/>
    </w:rPr>
  </w:style>
  <w:style w:type="paragraph" w:styleId="a7">
    <w:name w:val="Balloon Text"/>
    <w:basedOn w:val="a"/>
    <w:link w:val="Char1"/>
    <w:uiPriority w:val="99"/>
    <w:semiHidden/>
    <w:unhideWhenUsed/>
    <w:rsid w:val="006F5F74"/>
    <w:rPr>
      <w:sz w:val="18"/>
      <w:szCs w:val="18"/>
    </w:rPr>
  </w:style>
  <w:style w:type="character" w:customStyle="1" w:styleId="Char1">
    <w:name w:val="批注框文本 Char"/>
    <w:basedOn w:val="a0"/>
    <w:link w:val="a7"/>
    <w:uiPriority w:val="99"/>
    <w:semiHidden/>
    <w:rsid w:val="006F5F74"/>
    <w:rPr>
      <w:sz w:val="18"/>
      <w:szCs w:val="18"/>
    </w:rPr>
  </w:style>
  <w:style w:type="character" w:styleId="a8">
    <w:name w:val="Hyperlink"/>
    <w:basedOn w:val="a0"/>
    <w:uiPriority w:val="99"/>
    <w:unhideWhenUsed/>
    <w:rsid w:val="00961C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5192">
      <w:bodyDiv w:val="1"/>
      <w:marLeft w:val="0"/>
      <w:marRight w:val="0"/>
      <w:marTop w:val="0"/>
      <w:marBottom w:val="0"/>
      <w:divBdr>
        <w:top w:val="none" w:sz="0" w:space="0" w:color="auto"/>
        <w:left w:val="none" w:sz="0" w:space="0" w:color="auto"/>
        <w:bottom w:val="none" w:sz="0" w:space="0" w:color="auto"/>
        <w:right w:val="none" w:sz="0" w:space="0" w:color="auto"/>
      </w:divBdr>
    </w:div>
    <w:div w:id="12272247">
      <w:bodyDiv w:val="1"/>
      <w:marLeft w:val="0"/>
      <w:marRight w:val="0"/>
      <w:marTop w:val="0"/>
      <w:marBottom w:val="0"/>
      <w:divBdr>
        <w:top w:val="none" w:sz="0" w:space="0" w:color="auto"/>
        <w:left w:val="none" w:sz="0" w:space="0" w:color="auto"/>
        <w:bottom w:val="none" w:sz="0" w:space="0" w:color="auto"/>
        <w:right w:val="none" w:sz="0" w:space="0" w:color="auto"/>
      </w:divBdr>
    </w:div>
    <w:div w:id="18513628">
      <w:bodyDiv w:val="1"/>
      <w:marLeft w:val="0"/>
      <w:marRight w:val="0"/>
      <w:marTop w:val="0"/>
      <w:marBottom w:val="0"/>
      <w:divBdr>
        <w:top w:val="none" w:sz="0" w:space="0" w:color="auto"/>
        <w:left w:val="none" w:sz="0" w:space="0" w:color="auto"/>
        <w:bottom w:val="none" w:sz="0" w:space="0" w:color="auto"/>
        <w:right w:val="none" w:sz="0" w:space="0" w:color="auto"/>
      </w:divBdr>
    </w:div>
    <w:div w:id="30156335">
      <w:bodyDiv w:val="1"/>
      <w:marLeft w:val="0"/>
      <w:marRight w:val="0"/>
      <w:marTop w:val="0"/>
      <w:marBottom w:val="0"/>
      <w:divBdr>
        <w:top w:val="none" w:sz="0" w:space="0" w:color="auto"/>
        <w:left w:val="none" w:sz="0" w:space="0" w:color="auto"/>
        <w:bottom w:val="none" w:sz="0" w:space="0" w:color="auto"/>
        <w:right w:val="none" w:sz="0" w:space="0" w:color="auto"/>
      </w:divBdr>
    </w:div>
    <w:div w:id="49618791">
      <w:bodyDiv w:val="1"/>
      <w:marLeft w:val="0"/>
      <w:marRight w:val="0"/>
      <w:marTop w:val="0"/>
      <w:marBottom w:val="0"/>
      <w:divBdr>
        <w:top w:val="none" w:sz="0" w:space="0" w:color="auto"/>
        <w:left w:val="none" w:sz="0" w:space="0" w:color="auto"/>
        <w:bottom w:val="none" w:sz="0" w:space="0" w:color="auto"/>
        <w:right w:val="none" w:sz="0" w:space="0" w:color="auto"/>
      </w:divBdr>
    </w:div>
    <w:div w:id="74547138">
      <w:bodyDiv w:val="1"/>
      <w:marLeft w:val="0"/>
      <w:marRight w:val="0"/>
      <w:marTop w:val="0"/>
      <w:marBottom w:val="0"/>
      <w:divBdr>
        <w:top w:val="none" w:sz="0" w:space="0" w:color="auto"/>
        <w:left w:val="none" w:sz="0" w:space="0" w:color="auto"/>
        <w:bottom w:val="none" w:sz="0" w:space="0" w:color="auto"/>
        <w:right w:val="none" w:sz="0" w:space="0" w:color="auto"/>
      </w:divBdr>
    </w:div>
    <w:div w:id="80806440">
      <w:bodyDiv w:val="1"/>
      <w:marLeft w:val="0"/>
      <w:marRight w:val="0"/>
      <w:marTop w:val="0"/>
      <w:marBottom w:val="0"/>
      <w:divBdr>
        <w:top w:val="none" w:sz="0" w:space="0" w:color="auto"/>
        <w:left w:val="none" w:sz="0" w:space="0" w:color="auto"/>
        <w:bottom w:val="none" w:sz="0" w:space="0" w:color="auto"/>
        <w:right w:val="none" w:sz="0" w:space="0" w:color="auto"/>
      </w:divBdr>
    </w:div>
    <w:div w:id="81923478">
      <w:bodyDiv w:val="1"/>
      <w:marLeft w:val="0"/>
      <w:marRight w:val="0"/>
      <w:marTop w:val="0"/>
      <w:marBottom w:val="0"/>
      <w:divBdr>
        <w:top w:val="none" w:sz="0" w:space="0" w:color="auto"/>
        <w:left w:val="none" w:sz="0" w:space="0" w:color="auto"/>
        <w:bottom w:val="none" w:sz="0" w:space="0" w:color="auto"/>
        <w:right w:val="none" w:sz="0" w:space="0" w:color="auto"/>
      </w:divBdr>
    </w:div>
    <w:div w:id="87436056">
      <w:bodyDiv w:val="1"/>
      <w:marLeft w:val="0"/>
      <w:marRight w:val="0"/>
      <w:marTop w:val="0"/>
      <w:marBottom w:val="0"/>
      <w:divBdr>
        <w:top w:val="none" w:sz="0" w:space="0" w:color="auto"/>
        <w:left w:val="none" w:sz="0" w:space="0" w:color="auto"/>
        <w:bottom w:val="none" w:sz="0" w:space="0" w:color="auto"/>
        <w:right w:val="none" w:sz="0" w:space="0" w:color="auto"/>
      </w:divBdr>
    </w:div>
    <w:div w:id="95489492">
      <w:bodyDiv w:val="1"/>
      <w:marLeft w:val="0"/>
      <w:marRight w:val="0"/>
      <w:marTop w:val="0"/>
      <w:marBottom w:val="0"/>
      <w:divBdr>
        <w:top w:val="none" w:sz="0" w:space="0" w:color="auto"/>
        <w:left w:val="none" w:sz="0" w:space="0" w:color="auto"/>
        <w:bottom w:val="none" w:sz="0" w:space="0" w:color="auto"/>
        <w:right w:val="none" w:sz="0" w:space="0" w:color="auto"/>
      </w:divBdr>
    </w:div>
    <w:div w:id="98767817">
      <w:bodyDiv w:val="1"/>
      <w:marLeft w:val="0"/>
      <w:marRight w:val="0"/>
      <w:marTop w:val="0"/>
      <w:marBottom w:val="0"/>
      <w:divBdr>
        <w:top w:val="none" w:sz="0" w:space="0" w:color="auto"/>
        <w:left w:val="none" w:sz="0" w:space="0" w:color="auto"/>
        <w:bottom w:val="none" w:sz="0" w:space="0" w:color="auto"/>
        <w:right w:val="none" w:sz="0" w:space="0" w:color="auto"/>
      </w:divBdr>
    </w:div>
    <w:div w:id="99765253">
      <w:bodyDiv w:val="1"/>
      <w:marLeft w:val="0"/>
      <w:marRight w:val="0"/>
      <w:marTop w:val="0"/>
      <w:marBottom w:val="0"/>
      <w:divBdr>
        <w:top w:val="none" w:sz="0" w:space="0" w:color="auto"/>
        <w:left w:val="none" w:sz="0" w:space="0" w:color="auto"/>
        <w:bottom w:val="none" w:sz="0" w:space="0" w:color="auto"/>
        <w:right w:val="none" w:sz="0" w:space="0" w:color="auto"/>
      </w:divBdr>
    </w:div>
    <w:div w:id="100301120">
      <w:bodyDiv w:val="1"/>
      <w:marLeft w:val="0"/>
      <w:marRight w:val="0"/>
      <w:marTop w:val="0"/>
      <w:marBottom w:val="0"/>
      <w:divBdr>
        <w:top w:val="none" w:sz="0" w:space="0" w:color="auto"/>
        <w:left w:val="none" w:sz="0" w:space="0" w:color="auto"/>
        <w:bottom w:val="none" w:sz="0" w:space="0" w:color="auto"/>
        <w:right w:val="none" w:sz="0" w:space="0" w:color="auto"/>
      </w:divBdr>
    </w:div>
    <w:div w:id="101264257">
      <w:bodyDiv w:val="1"/>
      <w:marLeft w:val="0"/>
      <w:marRight w:val="0"/>
      <w:marTop w:val="0"/>
      <w:marBottom w:val="0"/>
      <w:divBdr>
        <w:top w:val="none" w:sz="0" w:space="0" w:color="auto"/>
        <w:left w:val="none" w:sz="0" w:space="0" w:color="auto"/>
        <w:bottom w:val="none" w:sz="0" w:space="0" w:color="auto"/>
        <w:right w:val="none" w:sz="0" w:space="0" w:color="auto"/>
      </w:divBdr>
    </w:div>
    <w:div w:id="105544795">
      <w:bodyDiv w:val="1"/>
      <w:marLeft w:val="0"/>
      <w:marRight w:val="0"/>
      <w:marTop w:val="0"/>
      <w:marBottom w:val="0"/>
      <w:divBdr>
        <w:top w:val="none" w:sz="0" w:space="0" w:color="auto"/>
        <w:left w:val="none" w:sz="0" w:space="0" w:color="auto"/>
        <w:bottom w:val="none" w:sz="0" w:space="0" w:color="auto"/>
        <w:right w:val="none" w:sz="0" w:space="0" w:color="auto"/>
      </w:divBdr>
    </w:div>
    <w:div w:id="107353599">
      <w:bodyDiv w:val="1"/>
      <w:marLeft w:val="0"/>
      <w:marRight w:val="0"/>
      <w:marTop w:val="0"/>
      <w:marBottom w:val="0"/>
      <w:divBdr>
        <w:top w:val="none" w:sz="0" w:space="0" w:color="auto"/>
        <w:left w:val="none" w:sz="0" w:space="0" w:color="auto"/>
        <w:bottom w:val="none" w:sz="0" w:space="0" w:color="auto"/>
        <w:right w:val="none" w:sz="0" w:space="0" w:color="auto"/>
      </w:divBdr>
    </w:div>
    <w:div w:id="117186824">
      <w:bodyDiv w:val="1"/>
      <w:marLeft w:val="0"/>
      <w:marRight w:val="0"/>
      <w:marTop w:val="0"/>
      <w:marBottom w:val="0"/>
      <w:divBdr>
        <w:top w:val="none" w:sz="0" w:space="0" w:color="auto"/>
        <w:left w:val="none" w:sz="0" w:space="0" w:color="auto"/>
        <w:bottom w:val="none" w:sz="0" w:space="0" w:color="auto"/>
        <w:right w:val="none" w:sz="0" w:space="0" w:color="auto"/>
      </w:divBdr>
    </w:div>
    <w:div w:id="129783340">
      <w:bodyDiv w:val="1"/>
      <w:marLeft w:val="0"/>
      <w:marRight w:val="0"/>
      <w:marTop w:val="0"/>
      <w:marBottom w:val="0"/>
      <w:divBdr>
        <w:top w:val="none" w:sz="0" w:space="0" w:color="auto"/>
        <w:left w:val="none" w:sz="0" w:space="0" w:color="auto"/>
        <w:bottom w:val="none" w:sz="0" w:space="0" w:color="auto"/>
        <w:right w:val="none" w:sz="0" w:space="0" w:color="auto"/>
      </w:divBdr>
    </w:div>
    <w:div w:id="143474354">
      <w:bodyDiv w:val="1"/>
      <w:marLeft w:val="0"/>
      <w:marRight w:val="0"/>
      <w:marTop w:val="0"/>
      <w:marBottom w:val="0"/>
      <w:divBdr>
        <w:top w:val="none" w:sz="0" w:space="0" w:color="auto"/>
        <w:left w:val="none" w:sz="0" w:space="0" w:color="auto"/>
        <w:bottom w:val="none" w:sz="0" w:space="0" w:color="auto"/>
        <w:right w:val="none" w:sz="0" w:space="0" w:color="auto"/>
      </w:divBdr>
    </w:div>
    <w:div w:id="146480717">
      <w:bodyDiv w:val="1"/>
      <w:marLeft w:val="0"/>
      <w:marRight w:val="0"/>
      <w:marTop w:val="0"/>
      <w:marBottom w:val="0"/>
      <w:divBdr>
        <w:top w:val="none" w:sz="0" w:space="0" w:color="auto"/>
        <w:left w:val="none" w:sz="0" w:space="0" w:color="auto"/>
        <w:bottom w:val="none" w:sz="0" w:space="0" w:color="auto"/>
        <w:right w:val="none" w:sz="0" w:space="0" w:color="auto"/>
      </w:divBdr>
    </w:div>
    <w:div w:id="158085118">
      <w:bodyDiv w:val="1"/>
      <w:marLeft w:val="0"/>
      <w:marRight w:val="0"/>
      <w:marTop w:val="0"/>
      <w:marBottom w:val="0"/>
      <w:divBdr>
        <w:top w:val="none" w:sz="0" w:space="0" w:color="auto"/>
        <w:left w:val="none" w:sz="0" w:space="0" w:color="auto"/>
        <w:bottom w:val="none" w:sz="0" w:space="0" w:color="auto"/>
        <w:right w:val="none" w:sz="0" w:space="0" w:color="auto"/>
      </w:divBdr>
    </w:div>
    <w:div w:id="166940553">
      <w:bodyDiv w:val="1"/>
      <w:marLeft w:val="0"/>
      <w:marRight w:val="0"/>
      <w:marTop w:val="0"/>
      <w:marBottom w:val="0"/>
      <w:divBdr>
        <w:top w:val="none" w:sz="0" w:space="0" w:color="auto"/>
        <w:left w:val="none" w:sz="0" w:space="0" w:color="auto"/>
        <w:bottom w:val="none" w:sz="0" w:space="0" w:color="auto"/>
        <w:right w:val="none" w:sz="0" w:space="0" w:color="auto"/>
      </w:divBdr>
    </w:div>
    <w:div w:id="196895021">
      <w:bodyDiv w:val="1"/>
      <w:marLeft w:val="0"/>
      <w:marRight w:val="0"/>
      <w:marTop w:val="0"/>
      <w:marBottom w:val="0"/>
      <w:divBdr>
        <w:top w:val="none" w:sz="0" w:space="0" w:color="auto"/>
        <w:left w:val="none" w:sz="0" w:space="0" w:color="auto"/>
        <w:bottom w:val="none" w:sz="0" w:space="0" w:color="auto"/>
        <w:right w:val="none" w:sz="0" w:space="0" w:color="auto"/>
      </w:divBdr>
    </w:div>
    <w:div w:id="199704015">
      <w:bodyDiv w:val="1"/>
      <w:marLeft w:val="0"/>
      <w:marRight w:val="0"/>
      <w:marTop w:val="0"/>
      <w:marBottom w:val="0"/>
      <w:divBdr>
        <w:top w:val="none" w:sz="0" w:space="0" w:color="auto"/>
        <w:left w:val="none" w:sz="0" w:space="0" w:color="auto"/>
        <w:bottom w:val="none" w:sz="0" w:space="0" w:color="auto"/>
        <w:right w:val="none" w:sz="0" w:space="0" w:color="auto"/>
      </w:divBdr>
    </w:div>
    <w:div w:id="200096524">
      <w:bodyDiv w:val="1"/>
      <w:marLeft w:val="0"/>
      <w:marRight w:val="0"/>
      <w:marTop w:val="0"/>
      <w:marBottom w:val="0"/>
      <w:divBdr>
        <w:top w:val="none" w:sz="0" w:space="0" w:color="auto"/>
        <w:left w:val="none" w:sz="0" w:space="0" w:color="auto"/>
        <w:bottom w:val="none" w:sz="0" w:space="0" w:color="auto"/>
        <w:right w:val="none" w:sz="0" w:space="0" w:color="auto"/>
      </w:divBdr>
    </w:div>
    <w:div w:id="202180930">
      <w:bodyDiv w:val="1"/>
      <w:marLeft w:val="0"/>
      <w:marRight w:val="0"/>
      <w:marTop w:val="0"/>
      <w:marBottom w:val="0"/>
      <w:divBdr>
        <w:top w:val="none" w:sz="0" w:space="0" w:color="auto"/>
        <w:left w:val="none" w:sz="0" w:space="0" w:color="auto"/>
        <w:bottom w:val="none" w:sz="0" w:space="0" w:color="auto"/>
        <w:right w:val="none" w:sz="0" w:space="0" w:color="auto"/>
      </w:divBdr>
    </w:div>
    <w:div w:id="204950900">
      <w:bodyDiv w:val="1"/>
      <w:marLeft w:val="0"/>
      <w:marRight w:val="0"/>
      <w:marTop w:val="0"/>
      <w:marBottom w:val="0"/>
      <w:divBdr>
        <w:top w:val="none" w:sz="0" w:space="0" w:color="auto"/>
        <w:left w:val="none" w:sz="0" w:space="0" w:color="auto"/>
        <w:bottom w:val="none" w:sz="0" w:space="0" w:color="auto"/>
        <w:right w:val="none" w:sz="0" w:space="0" w:color="auto"/>
      </w:divBdr>
    </w:div>
    <w:div w:id="211426615">
      <w:bodyDiv w:val="1"/>
      <w:marLeft w:val="0"/>
      <w:marRight w:val="0"/>
      <w:marTop w:val="0"/>
      <w:marBottom w:val="0"/>
      <w:divBdr>
        <w:top w:val="none" w:sz="0" w:space="0" w:color="auto"/>
        <w:left w:val="none" w:sz="0" w:space="0" w:color="auto"/>
        <w:bottom w:val="none" w:sz="0" w:space="0" w:color="auto"/>
        <w:right w:val="none" w:sz="0" w:space="0" w:color="auto"/>
      </w:divBdr>
    </w:div>
    <w:div w:id="212690942">
      <w:bodyDiv w:val="1"/>
      <w:marLeft w:val="0"/>
      <w:marRight w:val="0"/>
      <w:marTop w:val="0"/>
      <w:marBottom w:val="0"/>
      <w:divBdr>
        <w:top w:val="none" w:sz="0" w:space="0" w:color="auto"/>
        <w:left w:val="none" w:sz="0" w:space="0" w:color="auto"/>
        <w:bottom w:val="none" w:sz="0" w:space="0" w:color="auto"/>
        <w:right w:val="none" w:sz="0" w:space="0" w:color="auto"/>
      </w:divBdr>
    </w:div>
    <w:div w:id="217740636">
      <w:bodyDiv w:val="1"/>
      <w:marLeft w:val="0"/>
      <w:marRight w:val="0"/>
      <w:marTop w:val="0"/>
      <w:marBottom w:val="0"/>
      <w:divBdr>
        <w:top w:val="none" w:sz="0" w:space="0" w:color="auto"/>
        <w:left w:val="none" w:sz="0" w:space="0" w:color="auto"/>
        <w:bottom w:val="none" w:sz="0" w:space="0" w:color="auto"/>
        <w:right w:val="none" w:sz="0" w:space="0" w:color="auto"/>
      </w:divBdr>
    </w:div>
    <w:div w:id="218516567">
      <w:bodyDiv w:val="1"/>
      <w:marLeft w:val="0"/>
      <w:marRight w:val="0"/>
      <w:marTop w:val="0"/>
      <w:marBottom w:val="0"/>
      <w:divBdr>
        <w:top w:val="none" w:sz="0" w:space="0" w:color="auto"/>
        <w:left w:val="none" w:sz="0" w:space="0" w:color="auto"/>
        <w:bottom w:val="none" w:sz="0" w:space="0" w:color="auto"/>
        <w:right w:val="none" w:sz="0" w:space="0" w:color="auto"/>
      </w:divBdr>
    </w:div>
    <w:div w:id="230819949">
      <w:bodyDiv w:val="1"/>
      <w:marLeft w:val="0"/>
      <w:marRight w:val="0"/>
      <w:marTop w:val="0"/>
      <w:marBottom w:val="0"/>
      <w:divBdr>
        <w:top w:val="none" w:sz="0" w:space="0" w:color="auto"/>
        <w:left w:val="none" w:sz="0" w:space="0" w:color="auto"/>
        <w:bottom w:val="none" w:sz="0" w:space="0" w:color="auto"/>
        <w:right w:val="none" w:sz="0" w:space="0" w:color="auto"/>
      </w:divBdr>
    </w:div>
    <w:div w:id="232354146">
      <w:bodyDiv w:val="1"/>
      <w:marLeft w:val="0"/>
      <w:marRight w:val="0"/>
      <w:marTop w:val="0"/>
      <w:marBottom w:val="0"/>
      <w:divBdr>
        <w:top w:val="none" w:sz="0" w:space="0" w:color="auto"/>
        <w:left w:val="none" w:sz="0" w:space="0" w:color="auto"/>
        <w:bottom w:val="none" w:sz="0" w:space="0" w:color="auto"/>
        <w:right w:val="none" w:sz="0" w:space="0" w:color="auto"/>
      </w:divBdr>
    </w:div>
    <w:div w:id="234096770">
      <w:bodyDiv w:val="1"/>
      <w:marLeft w:val="0"/>
      <w:marRight w:val="0"/>
      <w:marTop w:val="0"/>
      <w:marBottom w:val="0"/>
      <w:divBdr>
        <w:top w:val="none" w:sz="0" w:space="0" w:color="auto"/>
        <w:left w:val="none" w:sz="0" w:space="0" w:color="auto"/>
        <w:bottom w:val="none" w:sz="0" w:space="0" w:color="auto"/>
        <w:right w:val="none" w:sz="0" w:space="0" w:color="auto"/>
      </w:divBdr>
    </w:div>
    <w:div w:id="245726639">
      <w:bodyDiv w:val="1"/>
      <w:marLeft w:val="0"/>
      <w:marRight w:val="0"/>
      <w:marTop w:val="0"/>
      <w:marBottom w:val="0"/>
      <w:divBdr>
        <w:top w:val="none" w:sz="0" w:space="0" w:color="auto"/>
        <w:left w:val="none" w:sz="0" w:space="0" w:color="auto"/>
        <w:bottom w:val="none" w:sz="0" w:space="0" w:color="auto"/>
        <w:right w:val="none" w:sz="0" w:space="0" w:color="auto"/>
      </w:divBdr>
    </w:div>
    <w:div w:id="250630151">
      <w:bodyDiv w:val="1"/>
      <w:marLeft w:val="0"/>
      <w:marRight w:val="0"/>
      <w:marTop w:val="0"/>
      <w:marBottom w:val="0"/>
      <w:divBdr>
        <w:top w:val="none" w:sz="0" w:space="0" w:color="auto"/>
        <w:left w:val="none" w:sz="0" w:space="0" w:color="auto"/>
        <w:bottom w:val="none" w:sz="0" w:space="0" w:color="auto"/>
        <w:right w:val="none" w:sz="0" w:space="0" w:color="auto"/>
      </w:divBdr>
    </w:div>
    <w:div w:id="251085795">
      <w:bodyDiv w:val="1"/>
      <w:marLeft w:val="0"/>
      <w:marRight w:val="0"/>
      <w:marTop w:val="0"/>
      <w:marBottom w:val="0"/>
      <w:divBdr>
        <w:top w:val="none" w:sz="0" w:space="0" w:color="auto"/>
        <w:left w:val="none" w:sz="0" w:space="0" w:color="auto"/>
        <w:bottom w:val="none" w:sz="0" w:space="0" w:color="auto"/>
        <w:right w:val="none" w:sz="0" w:space="0" w:color="auto"/>
      </w:divBdr>
    </w:div>
    <w:div w:id="258222886">
      <w:bodyDiv w:val="1"/>
      <w:marLeft w:val="0"/>
      <w:marRight w:val="0"/>
      <w:marTop w:val="0"/>
      <w:marBottom w:val="0"/>
      <w:divBdr>
        <w:top w:val="none" w:sz="0" w:space="0" w:color="auto"/>
        <w:left w:val="none" w:sz="0" w:space="0" w:color="auto"/>
        <w:bottom w:val="none" w:sz="0" w:space="0" w:color="auto"/>
        <w:right w:val="none" w:sz="0" w:space="0" w:color="auto"/>
      </w:divBdr>
    </w:div>
    <w:div w:id="262878072">
      <w:bodyDiv w:val="1"/>
      <w:marLeft w:val="0"/>
      <w:marRight w:val="0"/>
      <w:marTop w:val="0"/>
      <w:marBottom w:val="0"/>
      <w:divBdr>
        <w:top w:val="none" w:sz="0" w:space="0" w:color="auto"/>
        <w:left w:val="none" w:sz="0" w:space="0" w:color="auto"/>
        <w:bottom w:val="none" w:sz="0" w:space="0" w:color="auto"/>
        <w:right w:val="none" w:sz="0" w:space="0" w:color="auto"/>
      </w:divBdr>
    </w:div>
    <w:div w:id="263078456">
      <w:bodyDiv w:val="1"/>
      <w:marLeft w:val="0"/>
      <w:marRight w:val="0"/>
      <w:marTop w:val="0"/>
      <w:marBottom w:val="0"/>
      <w:divBdr>
        <w:top w:val="none" w:sz="0" w:space="0" w:color="auto"/>
        <w:left w:val="none" w:sz="0" w:space="0" w:color="auto"/>
        <w:bottom w:val="none" w:sz="0" w:space="0" w:color="auto"/>
        <w:right w:val="none" w:sz="0" w:space="0" w:color="auto"/>
      </w:divBdr>
    </w:div>
    <w:div w:id="267588862">
      <w:bodyDiv w:val="1"/>
      <w:marLeft w:val="0"/>
      <w:marRight w:val="0"/>
      <w:marTop w:val="0"/>
      <w:marBottom w:val="0"/>
      <w:divBdr>
        <w:top w:val="none" w:sz="0" w:space="0" w:color="auto"/>
        <w:left w:val="none" w:sz="0" w:space="0" w:color="auto"/>
        <w:bottom w:val="none" w:sz="0" w:space="0" w:color="auto"/>
        <w:right w:val="none" w:sz="0" w:space="0" w:color="auto"/>
      </w:divBdr>
    </w:div>
    <w:div w:id="271330553">
      <w:bodyDiv w:val="1"/>
      <w:marLeft w:val="0"/>
      <w:marRight w:val="0"/>
      <w:marTop w:val="0"/>
      <w:marBottom w:val="0"/>
      <w:divBdr>
        <w:top w:val="none" w:sz="0" w:space="0" w:color="auto"/>
        <w:left w:val="none" w:sz="0" w:space="0" w:color="auto"/>
        <w:bottom w:val="none" w:sz="0" w:space="0" w:color="auto"/>
        <w:right w:val="none" w:sz="0" w:space="0" w:color="auto"/>
      </w:divBdr>
    </w:div>
    <w:div w:id="287203200">
      <w:bodyDiv w:val="1"/>
      <w:marLeft w:val="0"/>
      <w:marRight w:val="0"/>
      <w:marTop w:val="0"/>
      <w:marBottom w:val="0"/>
      <w:divBdr>
        <w:top w:val="none" w:sz="0" w:space="0" w:color="auto"/>
        <w:left w:val="none" w:sz="0" w:space="0" w:color="auto"/>
        <w:bottom w:val="none" w:sz="0" w:space="0" w:color="auto"/>
        <w:right w:val="none" w:sz="0" w:space="0" w:color="auto"/>
      </w:divBdr>
    </w:div>
    <w:div w:id="295377552">
      <w:bodyDiv w:val="1"/>
      <w:marLeft w:val="0"/>
      <w:marRight w:val="0"/>
      <w:marTop w:val="0"/>
      <w:marBottom w:val="0"/>
      <w:divBdr>
        <w:top w:val="none" w:sz="0" w:space="0" w:color="auto"/>
        <w:left w:val="none" w:sz="0" w:space="0" w:color="auto"/>
        <w:bottom w:val="none" w:sz="0" w:space="0" w:color="auto"/>
        <w:right w:val="none" w:sz="0" w:space="0" w:color="auto"/>
      </w:divBdr>
    </w:div>
    <w:div w:id="300232127">
      <w:bodyDiv w:val="1"/>
      <w:marLeft w:val="0"/>
      <w:marRight w:val="0"/>
      <w:marTop w:val="0"/>
      <w:marBottom w:val="0"/>
      <w:divBdr>
        <w:top w:val="none" w:sz="0" w:space="0" w:color="auto"/>
        <w:left w:val="none" w:sz="0" w:space="0" w:color="auto"/>
        <w:bottom w:val="none" w:sz="0" w:space="0" w:color="auto"/>
        <w:right w:val="none" w:sz="0" w:space="0" w:color="auto"/>
      </w:divBdr>
    </w:div>
    <w:div w:id="301086415">
      <w:bodyDiv w:val="1"/>
      <w:marLeft w:val="0"/>
      <w:marRight w:val="0"/>
      <w:marTop w:val="0"/>
      <w:marBottom w:val="0"/>
      <w:divBdr>
        <w:top w:val="none" w:sz="0" w:space="0" w:color="auto"/>
        <w:left w:val="none" w:sz="0" w:space="0" w:color="auto"/>
        <w:bottom w:val="none" w:sz="0" w:space="0" w:color="auto"/>
        <w:right w:val="none" w:sz="0" w:space="0" w:color="auto"/>
      </w:divBdr>
    </w:div>
    <w:div w:id="314381120">
      <w:bodyDiv w:val="1"/>
      <w:marLeft w:val="0"/>
      <w:marRight w:val="0"/>
      <w:marTop w:val="0"/>
      <w:marBottom w:val="0"/>
      <w:divBdr>
        <w:top w:val="none" w:sz="0" w:space="0" w:color="auto"/>
        <w:left w:val="none" w:sz="0" w:space="0" w:color="auto"/>
        <w:bottom w:val="none" w:sz="0" w:space="0" w:color="auto"/>
        <w:right w:val="none" w:sz="0" w:space="0" w:color="auto"/>
      </w:divBdr>
    </w:div>
    <w:div w:id="315913026">
      <w:bodyDiv w:val="1"/>
      <w:marLeft w:val="0"/>
      <w:marRight w:val="0"/>
      <w:marTop w:val="0"/>
      <w:marBottom w:val="0"/>
      <w:divBdr>
        <w:top w:val="none" w:sz="0" w:space="0" w:color="auto"/>
        <w:left w:val="none" w:sz="0" w:space="0" w:color="auto"/>
        <w:bottom w:val="none" w:sz="0" w:space="0" w:color="auto"/>
        <w:right w:val="none" w:sz="0" w:space="0" w:color="auto"/>
      </w:divBdr>
    </w:div>
    <w:div w:id="316610286">
      <w:bodyDiv w:val="1"/>
      <w:marLeft w:val="0"/>
      <w:marRight w:val="0"/>
      <w:marTop w:val="0"/>
      <w:marBottom w:val="0"/>
      <w:divBdr>
        <w:top w:val="none" w:sz="0" w:space="0" w:color="auto"/>
        <w:left w:val="none" w:sz="0" w:space="0" w:color="auto"/>
        <w:bottom w:val="none" w:sz="0" w:space="0" w:color="auto"/>
        <w:right w:val="none" w:sz="0" w:space="0" w:color="auto"/>
      </w:divBdr>
    </w:div>
    <w:div w:id="331222897">
      <w:bodyDiv w:val="1"/>
      <w:marLeft w:val="0"/>
      <w:marRight w:val="0"/>
      <w:marTop w:val="0"/>
      <w:marBottom w:val="0"/>
      <w:divBdr>
        <w:top w:val="none" w:sz="0" w:space="0" w:color="auto"/>
        <w:left w:val="none" w:sz="0" w:space="0" w:color="auto"/>
        <w:bottom w:val="none" w:sz="0" w:space="0" w:color="auto"/>
        <w:right w:val="none" w:sz="0" w:space="0" w:color="auto"/>
      </w:divBdr>
    </w:div>
    <w:div w:id="332997789">
      <w:bodyDiv w:val="1"/>
      <w:marLeft w:val="0"/>
      <w:marRight w:val="0"/>
      <w:marTop w:val="0"/>
      <w:marBottom w:val="0"/>
      <w:divBdr>
        <w:top w:val="none" w:sz="0" w:space="0" w:color="auto"/>
        <w:left w:val="none" w:sz="0" w:space="0" w:color="auto"/>
        <w:bottom w:val="none" w:sz="0" w:space="0" w:color="auto"/>
        <w:right w:val="none" w:sz="0" w:space="0" w:color="auto"/>
      </w:divBdr>
    </w:div>
    <w:div w:id="338045983">
      <w:bodyDiv w:val="1"/>
      <w:marLeft w:val="0"/>
      <w:marRight w:val="0"/>
      <w:marTop w:val="0"/>
      <w:marBottom w:val="0"/>
      <w:divBdr>
        <w:top w:val="none" w:sz="0" w:space="0" w:color="auto"/>
        <w:left w:val="none" w:sz="0" w:space="0" w:color="auto"/>
        <w:bottom w:val="none" w:sz="0" w:space="0" w:color="auto"/>
        <w:right w:val="none" w:sz="0" w:space="0" w:color="auto"/>
      </w:divBdr>
    </w:div>
    <w:div w:id="348067000">
      <w:bodyDiv w:val="1"/>
      <w:marLeft w:val="0"/>
      <w:marRight w:val="0"/>
      <w:marTop w:val="0"/>
      <w:marBottom w:val="0"/>
      <w:divBdr>
        <w:top w:val="none" w:sz="0" w:space="0" w:color="auto"/>
        <w:left w:val="none" w:sz="0" w:space="0" w:color="auto"/>
        <w:bottom w:val="none" w:sz="0" w:space="0" w:color="auto"/>
        <w:right w:val="none" w:sz="0" w:space="0" w:color="auto"/>
      </w:divBdr>
    </w:div>
    <w:div w:id="348528743">
      <w:bodyDiv w:val="1"/>
      <w:marLeft w:val="0"/>
      <w:marRight w:val="0"/>
      <w:marTop w:val="0"/>
      <w:marBottom w:val="0"/>
      <w:divBdr>
        <w:top w:val="none" w:sz="0" w:space="0" w:color="auto"/>
        <w:left w:val="none" w:sz="0" w:space="0" w:color="auto"/>
        <w:bottom w:val="none" w:sz="0" w:space="0" w:color="auto"/>
        <w:right w:val="none" w:sz="0" w:space="0" w:color="auto"/>
      </w:divBdr>
    </w:div>
    <w:div w:id="350112970">
      <w:bodyDiv w:val="1"/>
      <w:marLeft w:val="0"/>
      <w:marRight w:val="0"/>
      <w:marTop w:val="0"/>
      <w:marBottom w:val="0"/>
      <w:divBdr>
        <w:top w:val="none" w:sz="0" w:space="0" w:color="auto"/>
        <w:left w:val="none" w:sz="0" w:space="0" w:color="auto"/>
        <w:bottom w:val="none" w:sz="0" w:space="0" w:color="auto"/>
        <w:right w:val="none" w:sz="0" w:space="0" w:color="auto"/>
      </w:divBdr>
    </w:div>
    <w:div w:id="360397844">
      <w:bodyDiv w:val="1"/>
      <w:marLeft w:val="0"/>
      <w:marRight w:val="0"/>
      <w:marTop w:val="0"/>
      <w:marBottom w:val="0"/>
      <w:divBdr>
        <w:top w:val="none" w:sz="0" w:space="0" w:color="auto"/>
        <w:left w:val="none" w:sz="0" w:space="0" w:color="auto"/>
        <w:bottom w:val="none" w:sz="0" w:space="0" w:color="auto"/>
        <w:right w:val="none" w:sz="0" w:space="0" w:color="auto"/>
      </w:divBdr>
    </w:div>
    <w:div w:id="376470447">
      <w:bodyDiv w:val="1"/>
      <w:marLeft w:val="0"/>
      <w:marRight w:val="0"/>
      <w:marTop w:val="0"/>
      <w:marBottom w:val="0"/>
      <w:divBdr>
        <w:top w:val="none" w:sz="0" w:space="0" w:color="auto"/>
        <w:left w:val="none" w:sz="0" w:space="0" w:color="auto"/>
        <w:bottom w:val="none" w:sz="0" w:space="0" w:color="auto"/>
        <w:right w:val="none" w:sz="0" w:space="0" w:color="auto"/>
      </w:divBdr>
    </w:div>
    <w:div w:id="377163531">
      <w:bodyDiv w:val="1"/>
      <w:marLeft w:val="0"/>
      <w:marRight w:val="0"/>
      <w:marTop w:val="0"/>
      <w:marBottom w:val="0"/>
      <w:divBdr>
        <w:top w:val="none" w:sz="0" w:space="0" w:color="auto"/>
        <w:left w:val="none" w:sz="0" w:space="0" w:color="auto"/>
        <w:bottom w:val="none" w:sz="0" w:space="0" w:color="auto"/>
        <w:right w:val="none" w:sz="0" w:space="0" w:color="auto"/>
      </w:divBdr>
    </w:div>
    <w:div w:id="380789741">
      <w:bodyDiv w:val="1"/>
      <w:marLeft w:val="0"/>
      <w:marRight w:val="0"/>
      <w:marTop w:val="0"/>
      <w:marBottom w:val="0"/>
      <w:divBdr>
        <w:top w:val="none" w:sz="0" w:space="0" w:color="auto"/>
        <w:left w:val="none" w:sz="0" w:space="0" w:color="auto"/>
        <w:bottom w:val="none" w:sz="0" w:space="0" w:color="auto"/>
        <w:right w:val="none" w:sz="0" w:space="0" w:color="auto"/>
      </w:divBdr>
    </w:div>
    <w:div w:id="383413391">
      <w:bodyDiv w:val="1"/>
      <w:marLeft w:val="0"/>
      <w:marRight w:val="0"/>
      <w:marTop w:val="0"/>
      <w:marBottom w:val="0"/>
      <w:divBdr>
        <w:top w:val="none" w:sz="0" w:space="0" w:color="auto"/>
        <w:left w:val="none" w:sz="0" w:space="0" w:color="auto"/>
        <w:bottom w:val="none" w:sz="0" w:space="0" w:color="auto"/>
        <w:right w:val="none" w:sz="0" w:space="0" w:color="auto"/>
      </w:divBdr>
    </w:div>
    <w:div w:id="399132444">
      <w:bodyDiv w:val="1"/>
      <w:marLeft w:val="0"/>
      <w:marRight w:val="0"/>
      <w:marTop w:val="0"/>
      <w:marBottom w:val="0"/>
      <w:divBdr>
        <w:top w:val="none" w:sz="0" w:space="0" w:color="auto"/>
        <w:left w:val="none" w:sz="0" w:space="0" w:color="auto"/>
        <w:bottom w:val="none" w:sz="0" w:space="0" w:color="auto"/>
        <w:right w:val="none" w:sz="0" w:space="0" w:color="auto"/>
      </w:divBdr>
    </w:div>
    <w:div w:id="414211523">
      <w:bodyDiv w:val="1"/>
      <w:marLeft w:val="0"/>
      <w:marRight w:val="0"/>
      <w:marTop w:val="0"/>
      <w:marBottom w:val="0"/>
      <w:divBdr>
        <w:top w:val="none" w:sz="0" w:space="0" w:color="auto"/>
        <w:left w:val="none" w:sz="0" w:space="0" w:color="auto"/>
        <w:bottom w:val="none" w:sz="0" w:space="0" w:color="auto"/>
        <w:right w:val="none" w:sz="0" w:space="0" w:color="auto"/>
      </w:divBdr>
    </w:div>
    <w:div w:id="418872460">
      <w:bodyDiv w:val="1"/>
      <w:marLeft w:val="0"/>
      <w:marRight w:val="0"/>
      <w:marTop w:val="0"/>
      <w:marBottom w:val="0"/>
      <w:divBdr>
        <w:top w:val="none" w:sz="0" w:space="0" w:color="auto"/>
        <w:left w:val="none" w:sz="0" w:space="0" w:color="auto"/>
        <w:bottom w:val="none" w:sz="0" w:space="0" w:color="auto"/>
        <w:right w:val="none" w:sz="0" w:space="0" w:color="auto"/>
      </w:divBdr>
    </w:div>
    <w:div w:id="420957003">
      <w:bodyDiv w:val="1"/>
      <w:marLeft w:val="0"/>
      <w:marRight w:val="0"/>
      <w:marTop w:val="0"/>
      <w:marBottom w:val="0"/>
      <w:divBdr>
        <w:top w:val="none" w:sz="0" w:space="0" w:color="auto"/>
        <w:left w:val="none" w:sz="0" w:space="0" w:color="auto"/>
        <w:bottom w:val="none" w:sz="0" w:space="0" w:color="auto"/>
        <w:right w:val="none" w:sz="0" w:space="0" w:color="auto"/>
      </w:divBdr>
    </w:div>
    <w:div w:id="437719494">
      <w:bodyDiv w:val="1"/>
      <w:marLeft w:val="0"/>
      <w:marRight w:val="0"/>
      <w:marTop w:val="0"/>
      <w:marBottom w:val="0"/>
      <w:divBdr>
        <w:top w:val="none" w:sz="0" w:space="0" w:color="auto"/>
        <w:left w:val="none" w:sz="0" w:space="0" w:color="auto"/>
        <w:bottom w:val="none" w:sz="0" w:space="0" w:color="auto"/>
        <w:right w:val="none" w:sz="0" w:space="0" w:color="auto"/>
      </w:divBdr>
    </w:div>
    <w:div w:id="445346064">
      <w:bodyDiv w:val="1"/>
      <w:marLeft w:val="0"/>
      <w:marRight w:val="0"/>
      <w:marTop w:val="0"/>
      <w:marBottom w:val="0"/>
      <w:divBdr>
        <w:top w:val="none" w:sz="0" w:space="0" w:color="auto"/>
        <w:left w:val="none" w:sz="0" w:space="0" w:color="auto"/>
        <w:bottom w:val="none" w:sz="0" w:space="0" w:color="auto"/>
        <w:right w:val="none" w:sz="0" w:space="0" w:color="auto"/>
      </w:divBdr>
    </w:div>
    <w:div w:id="449476324">
      <w:bodyDiv w:val="1"/>
      <w:marLeft w:val="0"/>
      <w:marRight w:val="0"/>
      <w:marTop w:val="0"/>
      <w:marBottom w:val="0"/>
      <w:divBdr>
        <w:top w:val="none" w:sz="0" w:space="0" w:color="auto"/>
        <w:left w:val="none" w:sz="0" w:space="0" w:color="auto"/>
        <w:bottom w:val="none" w:sz="0" w:space="0" w:color="auto"/>
        <w:right w:val="none" w:sz="0" w:space="0" w:color="auto"/>
      </w:divBdr>
    </w:div>
    <w:div w:id="454642602">
      <w:bodyDiv w:val="1"/>
      <w:marLeft w:val="0"/>
      <w:marRight w:val="0"/>
      <w:marTop w:val="0"/>
      <w:marBottom w:val="0"/>
      <w:divBdr>
        <w:top w:val="none" w:sz="0" w:space="0" w:color="auto"/>
        <w:left w:val="none" w:sz="0" w:space="0" w:color="auto"/>
        <w:bottom w:val="none" w:sz="0" w:space="0" w:color="auto"/>
        <w:right w:val="none" w:sz="0" w:space="0" w:color="auto"/>
      </w:divBdr>
    </w:div>
    <w:div w:id="462163457">
      <w:bodyDiv w:val="1"/>
      <w:marLeft w:val="0"/>
      <w:marRight w:val="0"/>
      <w:marTop w:val="0"/>
      <w:marBottom w:val="0"/>
      <w:divBdr>
        <w:top w:val="none" w:sz="0" w:space="0" w:color="auto"/>
        <w:left w:val="none" w:sz="0" w:space="0" w:color="auto"/>
        <w:bottom w:val="none" w:sz="0" w:space="0" w:color="auto"/>
        <w:right w:val="none" w:sz="0" w:space="0" w:color="auto"/>
      </w:divBdr>
    </w:div>
    <w:div w:id="469589336">
      <w:bodyDiv w:val="1"/>
      <w:marLeft w:val="0"/>
      <w:marRight w:val="0"/>
      <w:marTop w:val="0"/>
      <w:marBottom w:val="0"/>
      <w:divBdr>
        <w:top w:val="none" w:sz="0" w:space="0" w:color="auto"/>
        <w:left w:val="none" w:sz="0" w:space="0" w:color="auto"/>
        <w:bottom w:val="none" w:sz="0" w:space="0" w:color="auto"/>
        <w:right w:val="none" w:sz="0" w:space="0" w:color="auto"/>
      </w:divBdr>
    </w:div>
    <w:div w:id="484593210">
      <w:bodyDiv w:val="1"/>
      <w:marLeft w:val="0"/>
      <w:marRight w:val="0"/>
      <w:marTop w:val="0"/>
      <w:marBottom w:val="0"/>
      <w:divBdr>
        <w:top w:val="none" w:sz="0" w:space="0" w:color="auto"/>
        <w:left w:val="none" w:sz="0" w:space="0" w:color="auto"/>
        <w:bottom w:val="none" w:sz="0" w:space="0" w:color="auto"/>
        <w:right w:val="none" w:sz="0" w:space="0" w:color="auto"/>
      </w:divBdr>
    </w:div>
    <w:div w:id="487213121">
      <w:bodyDiv w:val="1"/>
      <w:marLeft w:val="0"/>
      <w:marRight w:val="0"/>
      <w:marTop w:val="0"/>
      <w:marBottom w:val="0"/>
      <w:divBdr>
        <w:top w:val="none" w:sz="0" w:space="0" w:color="auto"/>
        <w:left w:val="none" w:sz="0" w:space="0" w:color="auto"/>
        <w:bottom w:val="none" w:sz="0" w:space="0" w:color="auto"/>
        <w:right w:val="none" w:sz="0" w:space="0" w:color="auto"/>
      </w:divBdr>
    </w:div>
    <w:div w:id="489294654">
      <w:bodyDiv w:val="1"/>
      <w:marLeft w:val="0"/>
      <w:marRight w:val="0"/>
      <w:marTop w:val="0"/>
      <w:marBottom w:val="0"/>
      <w:divBdr>
        <w:top w:val="none" w:sz="0" w:space="0" w:color="auto"/>
        <w:left w:val="none" w:sz="0" w:space="0" w:color="auto"/>
        <w:bottom w:val="none" w:sz="0" w:space="0" w:color="auto"/>
        <w:right w:val="none" w:sz="0" w:space="0" w:color="auto"/>
      </w:divBdr>
    </w:div>
    <w:div w:id="489298463">
      <w:bodyDiv w:val="1"/>
      <w:marLeft w:val="0"/>
      <w:marRight w:val="0"/>
      <w:marTop w:val="0"/>
      <w:marBottom w:val="0"/>
      <w:divBdr>
        <w:top w:val="none" w:sz="0" w:space="0" w:color="auto"/>
        <w:left w:val="none" w:sz="0" w:space="0" w:color="auto"/>
        <w:bottom w:val="none" w:sz="0" w:space="0" w:color="auto"/>
        <w:right w:val="none" w:sz="0" w:space="0" w:color="auto"/>
      </w:divBdr>
    </w:div>
    <w:div w:id="489907224">
      <w:bodyDiv w:val="1"/>
      <w:marLeft w:val="0"/>
      <w:marRight w:val="0"/>
      <w:marTop w:val="0"/>
      <w:marBottom w:val="0"/>
      <w:divBdr>
        <w:top w:val="none" w:sz="0" w:space="0" w:color="auto"/>
        <w:left w:val="none" w:sz="0" w:space="0" w:color="auto"/>
        <w:bottom w:val="none" w:sz="0" w:space="0" w:color="auto"/>
        <w:right w:val="none" w:sz="0" w:space="0" w:color="auto"/>
      </w:divBdr>
    </w:div>
    <w:div w:id="501437452">
      <w:bodyDiv w:val="1"/>
      <w:marLeft w:val="0"/>
      <w:marRight w:val="0"/>
      <w:marTop w:val="0"/>
      <w:marBottom w:val="0"/>
      <w:divBdr>
        <w:top w:val="none" w:sz="0" w:space="0" w:color="auto"/>
        <w:left w:val="none" w:sz="0" w:space="0" w:color="auto"/>
        <w:bottom w:val="none" w:sz="0" w:space="0" w:color="auto"/>
        <w:right w:val="none" w:sz="0" w:space="0" w:color="auto"/>
      </w:divBdr>
    </w:div>
    <w:div w:id="507790206">
      <w:bodyDiv w:val="1"/>
      <w:marLeft w:val="0"/>
      <w:marRight w:val="0"/>
      <w:marTop w:val="0"/>
      <w:marBottom w:val="0"/>
      <w:divBdr>
        <w:top w:val="none" w:sz="0" w:space="0" w:color="auto"/>
        <w:left w:val="none" w:sz="0" w:space="0" w:color="auto"/>
        <w:bottom w:val="none" w:sz="0" w:space="0" w:color="auto"/>
        <w:right w:val="none" w:sz="0" w:space="0" w:color="auto"/>
      </w:divBdr>
    </w:div>
    <w:div w:id="514654698">
      <w:bodyDiv w:val="1"/>
      <w:marLeft w:val="0"/>
      <w:marRight w:val="0"/>
      <w:marTop w:val="0"/>
      <w:marBottom w:val="0"/>
      <w:divBdr>
        <w:top w:val="none" w:sz="0" w:space="0" w:color="auto"/>
        <w:left w:val="none" w:sz="0" w:space="0" w:color="auto"/>
        <w:bottom w:val="none" w:sz="0" w:space="0" w:color="auto"/>
        <w:right w:val="none" w:sz="0" w:space="0" w:color="auto"/>
      </w:divBdr>
    </w:div>
    <w:div w:id="517163754">
      <w:bodyDiv w:val="1"/>
      <w:marLeft w:val="0"/>
      <w:marRight w:val="0"/>
      <w:marTop w:val="0"/>
      <w:marBottom w:val="0"/>
      <w:divBdr>
        <w:top w:val="none" w:sz="0" w:space="0" w:color="auto"/>
        <w:left w:val="none" w:sz="0" w:space="0" w:color="auto"/>
        <w:bottom w:val="none" w:sz="0" w:space="0" w:color="auto"/>
        <w:right w:val="none" w:sz="0" w:space="0" w:color="auto"/>
      </w:divBdr>
    </w:div>
    <w:div w:id="539053921">
      <w:bodyDiv w:val="1"/>
      <w:marLeft w:val="0"/>
      <w:marRight w:val="0"/>
      <w:marTop w:val="0"/>
      <w:marBottom w:val="0"/>
      <w:divBdr>
        <w:top w:val="none" w:sz="0" w:space="0" w:color="auto"/>
        <w:left w:val="none" w:sz="0" w:space="0" w:color="auto"/>
        <w:bottom w:val="none" w:sz="0" w:space="0" w:color="auto"/>
        <w:right w:val="none" w:sz="0" w:space="0" w:color="auto"/>
      </w:divBdr>
    </w:div>
    <w:div w:id="543568260">
      <w:bodyDiv w:val="1"/>
      <w:marLeft w:val="0"/>
      <w:marRight w:val="0"/>
      <w:marTop w:val="0"/>
      <w:marBottom w:val="0"/>
      <w:divBdr>
        <w:top w:val="none" w:sz="0" w:space="0" w:color="auto"/>
        <w:left w:val="none" w:sz="0" w:space="0" w:color="auto"/>
        <w:bottom w:val="none" w:sz="0" w:space="0" w:color="auto"/>
        <w:right w:val="none" w:sz="0" w:space="0" w:color="auto"/>
      </w:divBdr>
    </w:div>
    <w:div w:id="551231659">
      <w:bodyDiv w:val="1"/>
      <w:marLeft w:val="0"/>
      <w:marRight w:val="0"/>
      <w:marTop w:val="0"/>
      <w:marBottom w:val="0"/>
      <w:divBdr>
        <w:top w:val="none" w:sz="0" w:space="0" w:color="auto"/>
        <w:left w:val="none" w:sz="0" w:space="0" w:color="auto"/>
        <w:bottom w:val="none" w:sz="0" w:space="0" w:color="auto"/>
        <w:right w:val="none" w:sz="0" w:space="0" w:color="auto"/>
      </w:divBdr>
    </w:div>
    <w:div w:id="557280034">
      <w:bodyDiv w:val="1"/>
      <w:marLeft w:val="0"/>
      <w:marRight w:val="0"/>
      <w:marTop w:val="0"/>
      <w:marBottom w:val="0"/>
      <w:divBdr>
        <w:top w:val="none" w:sz="0" w:space="0" w:color="auto"/>
        <w:left w:val="none" w:sz="0" w:space="0" w:color="auto"/>
        <w:bottom w:val="none" w:sz="0" w:space="0" w:color="auto"/>
        <w:right w:val="none" w:sz="0" w:space="0" w:color="auto"/>
      </w:divBdr>
    </w:div>
    <w:div w:id="577791447">
      <w:bodyDiv w:val="1"/>
      <w:marLeft w:val="0"/>
      <w:marRight w:val="0"/>
      <w:marTop w:val="0"/>
      <w:marBottom w:val="0"/>
      <w:divBdr>
        <w:top w:val="none" w:sz="0" w:space="0" w:color="auto"/>
        <w:left w:val="none" w:sz="0" w:space="0" w:color="auto"/>
        <w:bottom w:val="none" w:sz="0" w:space="0" w:color="auto"/>
        <w:right w:val="none" w:sz="0" w:space="0" w:color="auto"/>
      </w:divBdr>
    </w:div>
    <w:div w:id="579682897">
      <w:bodyDiv w:val="1"/>
      <w:marLeft w:val="0"/>
      <w:marRight w:val="0"/>
      <w:marTop w:val="0"/>
      <w:marBottom w:val="0"/>
      <w:divBdr>
        <w:top w:val="none" w:sz="0" w:space="0" w:color="auto"/>
        <w:left w:val="none" w:sz="0" w:space="0" w:color="auto"/>
        <w:bottom w:val="none" w:sz="0" w:space="0" w:color="auto"/>
        <w:right w:val="none" w:sz="0" w:space="0" w:color="auto"/>
      </w:divBdr>
    </w:div>
    <w:div w:id="586380012">
      <w:bodyDiv w:val="1"/>
      <w:marLeft w:val="0"/>
      <w:marRight w:val="0"/>
      <w:marTop w:val="0"/>
      <w:marBottom w:val="0"/>
      <w:divBdr>
        <w:top w:val="none" w:sz="0" w:space="0" w:color="auto"/>
        <w:left w:val="none" w:sz="0" w:space="0" w:color="auto"/>
        <w:bottom w:val="none" w:sz="0" w:space="0" w:color="auto"/>
        <w:right w:val="none" w:sz="0" w:space="0" w:color="auto"/>
      </w:divBdr>
    </w:div>
    <w:div w:id="592711438">
      <w:bodyDiv w:val="1"/>
      <w:marLeft w:val="0"/>
      <w:marRight w:val="0"/>
      <w:marTop w:val="0"/>
      <w:marBottom w:val="0"/>
      <w:divBdr>
        <w:top w:val="none" w:sz="0" w:space="0" w:color="auto"/>
        <w:left w:val="none" w:sz="0" w:space="0" w:color="auto"/>
        <w:bottom w:val="none" w:sz="0" w:space="0" w:color="auto"/>
        <w:right w:val="none" w:sz="0" w:space="0" w:color="auto"/>
      </w:divBdr>
    </w:div>
    <w:div w:id="598876622">
      <w:bodyDiv w:val="1"/>
      <w:marLeft w:val="0"/>
      <w:marRight w:val="0"/>
      <w:marTop w:val="0"/>
      <w:marBottom w:val="0"/>
      <w:divBdr>
        <w:top w:val="none" w:sz="0" w:space="0" w:color="auto"/>
        <w:left w:val="none" w:sz="0" w:space="0" w:color="auto"/>
        <w:bottom w:val="none" w:sz="0" w:space="0" w:color="auto"/>
        <w:right w:val="none" w:sz="0" w:space="0" w:color="auto"/>
      </w:divBdr>
    </w:div>
    <w:div w:id="618726178">
      <w:bodyDiv w:val="1"/>
      <w:marLeft w:val="0"/>
      <w:marRight w:val="0"/>
      <w:marTop w:val="0"/>
      <w:marBottom w:val="0"/>
      <w:divBdr>
        <w:top w:val="none" w:sz="0" w:space="0" w:color="auto"/>
        <w:left w:val="none" w:sz="0" w:space="0" w:color="auto"/>
        <w:bottom w:val="none" w:sz="0" w:space="0" w:color="auto"/>
        <w:right w:val="none" w:sz="0" w:space="0" w:color="auto"/>
      </w:divBdr>
    </w:div>
    <w:div w:id="620497724">
      <w:bodyDiv w:val="1"/>
      <w:marLeft w:val="0"/>
      <w:marRight w:val="0"/>
      <w:marTop w:val="0"/>
      <w:marBottom w:val="0"/>
      <w:divBdr>
        <w:top w:val="none" w:sz="0" w:space="0" w:color="auto"/>
        <w:left w:val="none" w:sz="0" w:space="0" w:color="auto"/>
        <w:bottom w:val="none" w:sz="0" w:space="0" w:color="auto"/>
        <w:right w:val="none" w:sz="0" w:space="0" w:color="auto"/>
      </w:divBdr>
    </w:div>
    <w:div w:id="621695757">
      <w:bodyDiv w:val="1"/>
      <w:marLeft w:val="0"/>
      <w:marRight w:val="0"/>
      <w:marTop w:val="0"/>
      <w:marBottom w:val="0"/>
      <w:divBdr>
        <w:top w:val="none" w:sz="0" w:space="0" w:color="auto"/>
        <w:left w:val="none" w:sz="0" w:space="0" w:color="auto"/>
        <w:bottom w:val="none" w:sz="0" w:space="0" w:color="auto"/>
        <w:right w:val="none" w:sz="0" w:space="0" w:color="auto"/>
      </w:divBdr>
    </w:div>
    <w:div w:id="625698030">
      <w:bodyDiv w:val="1"/>
      <w:marLeft w:val="0"/>
      <w:marRight w:val="0"/>
      <w:marTop w:val="0"/>
      <w:marBottom w:val="0"/>
      <w:divBdr>
        <w:top w:val="none" w:sz="0" w:space="0" w:color="auto"/>
        <w:left w:val="none" w:sz="0" w:space="0" w:color="auto"/>
        <w:bottom w:val="none" w:sz="0" w:space="0" w:color="auto"/>
        <w:right w:val="none" w:sz="0" w:space="0" w:color="auto"/>
      </w:divBdr>
    </w:div>
    <w:div w:id="626545240">
      <w:bodyDiv w:val="1"/>
      <w:marLeft w:val="0"/>
      <w:marRight w:val="0"/>
      <w:marTop w:val="0"/>
      <w:marBottom w:val="0"/>
      <w:divBdr>
        <w:top w:val="none" w:sz="0" w:space="0" w:color="auto"/>
        <w:left w:val="none" w:sz="0" w:space="0" w:color="auto"/>
        <w:bottom w:val="none" w:sz="0" w:space="0" w:color="auto"/>
        <w:right w:val="none" w:sz="0" w:space="0" w:color="auto"/>
      </w:divBdr>
    </w:div>
    <w:div w:id="631712511">
      <w:bodyDiv w:val="1"/>
      <w:marLeft w:val="0"/>
      <w:marRight w:val="0"/>
      <w:marTop w:val="0"/>
      <w:marBottom w:val="0"/>
      <w:divBdr>
        <w:top w:val="none" w:sz="0" w:space="0" w:color="auto"/>
        <w:left w:val="none" w:sz="0" w:space="0" w:color="auto"/>
        <w:bottom w:val="none" w:sz="0" w:space="0" w:color="auto"/>
        <w:right w:val="none" w:sz="0" w:space="0" w:color="auto"/>
      </w:divBdr>
    </w:div>
    <w:div w:id="641235174">
      <w:bodyDiv w:val="1"/>
      <w:marLeft w:val="0"/>
      <w:marRight w:val="0"/>
      <w:marTop w:val="0"/>
      <w:marBottom w:val="0"/>
      <w:divBdr>
        <w:top w:val="none" w:sz="0" w:space="0" w:color="auto"/>
        <w:left w:val="none" w:sz="0" w:space="0" w:color="auto"/>
        <w:bottom w:val="none" w:sz="0" w:space="0" w:color="auto"/>
        <w:right w:val="none" w:sz="0" w:space="0" w:color="auto"/>
      </w:divBdr>
    </w:div>
    <w:div w:id="641691198">
      <w:bodyDiv w:val="1"/>
      <w:marLeft w:val="0"/>
      <w:marRight w:val="0"/>
      <w:marTop w:val="0"/>
      <w:marBottom w:val="0"/>
      <w:divBdr>
        <w:top w:val="none" w:sz="0" w:space="0" w:color="auto"/>
        <w:left w:val="none" w:sz="0" w:space="0" w:color="auto"/>
        <w:bottom w:val="none" w:sz="0" w:space="0" w:color="auto"/>
        <w:right w:val="none" w:sz="0" w:space="0" w:color="auto"/>
      </w:divBdr>
    </w:div>
    <w:div w:id="645622561">
      <w:bodyDiv w:val="1"/>
      <w:marLeft w:val="0"/>
      <w:marRight w:val="0"/>
      <w:marTop w:val="0"/>
      <w:marBottom w:val="0"/>
      <w:divBdr>
        <w:top w:val="none" w:sz="0" w:space="0" w:color="auto"/>
        <w:left w:val="none" w:sz="0" w:space="0" w:color="auto"/>
        <w:bottom w:val="none" w:sz="0" w:space="0" w:color="auto"/>
        <w:right w:val="none" w:sz="0" w:space="0" w:color="auto"/>
      </w:divBdr>
    </w:div>
    <w:div w:id="655187795">
      <w:bodyDiv w:val="1"/>
      <w:marLeft w:val="0"/>
      <w:marRight w:val="0"/>
      <w:marTop w:val="0"/>
      <w:marBottom w:val="0"/>
      <w:divBdr>
        <w:top w:val="none" w:sz="0" w:space="0" w:color="auto"/>
        <w:left w:val="none" w:sz="0" w:space="0" w:color="auto"/>
        <w:bottom w:val="none" w:sz="0" w:space="0" w:color="auto"/>
        <w:right w:val="none" w:sz="0" w:space="0" w:color="auto"/>
      </w:divBdr>
    </w:div>
    <w:div w:id="655454200">
      <w:bodyDiv w:val="1"/>
      <w:marLeft w:val="0"/>
      <w:marRight w:val="0"/>
      <w:marTop w:val="0"/>
      <w:marBottom w:val="0"/>
      <w:divBdr>
        <w:top w:val="none" w:sz="0" w:space="0" w:color="auto"/>
        <w:left w:val="none" w:sz="0" w:space="0" w:color="auto"/>
        <w:bottom w:val="none" w:sz="0" w:space="0" w:color="auto"/>
        <w:right w:val="none" w:sz="0" w:space="0" w:color="auto"/>
      </w:divBdr>
    </w:div>
    <w:div w:id="657536635">
      <w:bodyDiv w:val="1"/>
      <w:marLeft w:val="0"/>
      <w:marRight w:val="0"/>
      <w:marTop w:val="0"/>
      <w:marBottom w:val="0"/>
      <w:divBdr>
        <w:top w:val="none" w:sz="0" w:space="0" w:color="auto"/>
        <w:left w:val="none" w:sz="0" w:space="0" w:color="auto"/>
        <w:bottom w:val="none" w:sz="0" w:space="0" w:color="auto"/>
        <w:right w:val="none" w:sz="0" w:space="0" w:color="auto"/>
      </w:divBdr>
    </w:div>
    <w:div w:id="658391199">
      <w:bodyDiv w:val="1"/>
      <w:marLeft w:val="0"/>
      <w:marRight w:val="0"/>
      <w:marTop w:val="0"/>
      <w:marBottom w:val="0"/>
      <w:divBdr>
        <w:top w:val="none" w:sz="0" w:space="0" w:color="auto"/>
        <w:left w:val="none" w:sz="0" w:space="0" w:color="auto"/>
        <w:bottom w:val="none" w:sz="0" w:space="0" w:color="auto"/>
        <w:right w:val="none" w:sz="0" w:space="0" w:color="auto"/>
      </w:divBdr>
    </w:div>
    <w:div w:id="668097322">
      <w:bodyDiv w:val="1"/>
      <w:marLeft w:val="0"/>
      <w:marRight w:val="0"/>
      <w:marTop w:val="0"/>
      <w:marBottom w:val="0"/>
      <w:divBdr>
        <w:top w:val="none" w:sz="0" w:space="0" w:color="auto"/>
        <w:left w:val="none" w:sz="0" w:space="0" w:color="auto"/>
        <w:bottom w:val="none" w:sz="0" w:space="0" w:color="auto"/>
        <w:right w:val="none" w:sz="0" w:space="0" w:color="auto"/>
      </w:divBdr>
    </w:div>
    <w:div w:id="675234160">
      <w:bodyDiv w:val="1"/>
      <w:marLeft w:val="0"/>
      <w:marRight w:val="0"/>
      <w:marTop w:val="0"/>
      <w:marBottom w:val="0"/>
      <w:divBdr>
        <w:top w:val="none" w:sz="0" w:space="0" w:color="auto"/>
        <w:left w:val="none" w:sz="0" w:space="0" w:color="auto"/>
        <w:bottom w:val="none" w:sz="0" w:space="0" w:color="auto"/>
        <w:right w:val="none" w:sz="0" w:space="0" w:color="auto"/>
      </w:divBdr>
    </w:div>
    <w:div w:id="678239814">
      <w:bodyDiv w:val="1"/>
      <w:marLeft w:val="0"/>
      <w:marRight w:val="0"/>
      <w:marTop w:val="0"/>
      <w:marBottom w:val="0"/>
      <w:divBdr>
        <w:top w:val="none" w:sz="0" w:space="0" w:color="auto"/>
        <w:left w:val="none" w:sz="0" w:space="0" w:color="auto"/>
        <w:bottom w:val="none" w:sz="0" w:space="0" w:color="auto"/>
        <w:right w:val="none" w:sz="0" w:space="0" w:color="auto"/>
      </w:divBdr>
    </w:div>
    <w:div w:id="682975590">
      <w:bodyDiv w:val="1"/>
      <w:marLeft w:val="0"/>
      <w:marRight w:val="0"/>
      <w:marTop w:val="0"/>
      <w:marBottom w:val="0"/>
      <w:divBdr>
        <w:top w:val="none" w:sz="0" w:space="0" w:color="auto"/>
        <w:left w:val="none" w:sz="0" w:space="0" w:color="auto"/>
        <w:bottom w:val="none" w:sz="0" w:space="0" w:color="auto"/>
        <w:right w:val="none" w:sz="0" w:space="0" w:color="auto"/>
      </w:divBdr>
    </w:div>
    <w:div w:id="683826351">
      <w:bodyDiv w:val="1"/>
      <w:marLeft w:val="0"/>
      <w:marRight w:val="0"/>
      <w:marTop w:val="0"/>
      <w:marBottom w:val="0"/>
      <w:divBdr>
        <w:top w:val="none" w:sz="0" w:space="0" w:color="auto"/>
        <w:left w:val="none" w:sz="0" w:space="0" w:color="auto"/>
        <w:bottom w:val="none" w:sz="0" w:space="0" w:color="auto"/>
        <w:right w:val="none" w:sz="0" w:space="0" w:color="auto"/>
      </w:divBdr>
    </w:div>
    <w:div w:id="692002985">
      <w:bodyDiv w:val="1"/>
      <w:marLeft w:val="0"/>
      <w:marRight w:val="0"/>
      <w:marTop w:val="0"/>
      <w:marBottom w:val="0"/>
      <w:divBdr>
        <w:top w:val="none" w:sz="0" w:space="0" w:color="auto"/>
        <w:left w:val="none" w:sz="0" w:space="0" w:color="auto"/>
        <w:bottom w:val="none" w:sz="0" w:space="0" w:color="auto"/>
        <w:right w:val="none" w:sz="0" w:space="0" w:color="auto"/>
      </w:divBdr>
    </w:div>
    <w:div w:id="696659151">
      <w:bodyDiv w:val="1"/>
      <w:marLeft w:val="0"/>
      <w:marRight w:val="0"/>
      <w:marTop w:val="0"/>
      <w:marBottom w:val="0"/>
      <w:divBdr>
        <w:top w:val="none" w:sz="0" w:space="0" w:color="auto"/>
        <w:left w:val="none" w:sz="0" w:space="0" w:color="auto"/>
        <w:bottom w:val="none" w:sz="0" w:space="0" w:color="auto"/>
        <w:right w:val="none" w:sz="0" w:space="0" w:color="auto"/>
      </w:divBdr>
    </w:div>
    <w:div w:id="699476855">
      <w:bodyDiv w:val="1"/>
      <w:marLeft w:val="0"/>
      <w:marRight w:val="0"/>
      <w:marTop w:val="0"/>
      <w:marBottom w:val="0"/>
      <w:divBdr>
        <w:top w:val="none" w:sz="0" w:space="0" w:color="auto"/>
        <w:left w:val="none" w:sz="0" w:space="0" w:color="auto"/>
        <w:bottom w:val="none" w:sz="0" w:space="0" w:color="auto"/>
        <w:right w:val="none" w:sz="0" w:space="0" w:color="auto"/>
      </w:divBdr>
    </w:div>
    <w:div w:id="701058862">
      <w:bodyDiv w:val="1"/>
      <w:marLeft w:val="0"/>
      <w:marRight w:val="0"/>
      <w:marTop w:val="0"/>
      <w:marBottom w:val="0"/>
      <w:divBdr>
        <w:top w:val="none" w:sz="0" w:space="0" w:color="auto"/>
        <w:left w:val="none" w:sz="0" w:space="0" w:color="auto"/>
        <w:bottom w:val="none" w:sz="0" w:space="0" w:color="auto"/>
        <w:right w:val="none" w:sz="0" w:space="0" w:color="auto"/>
      </w:divBdr>
    </w:div>
    <w:div w:id="704911228">
      <w:bodyDiv w:val="1"/>
      <w:marLeft w:val="0"/>
      <w:marRight w:val="0"/>
      <w:marTop w:val="0"/>
      <w:marBottom w:val="0"/>
      <w:divBdr>
        <w:top w:val="none" w:sz="0" w:space="0" w:color="auto"/>
        <w:left w:val="none" w:sz="0" w:space="0" w:color="auto"/>
        <w:bottom w:val="none" w:sz="0" w:space="0" w:color="auto"/>
        <w:right w:val="none" w:sz="0" w:space="0" w:color="auto"/>
      </w:divBdr>
    </w:div>
    <w:div w:id="713577652">
      <w:bodyDiv w:val="1"/>
      <w:marLeft w:val="0"/>
      <w:marRight w:val="0"/>
      <w:marTop w:val="0"/>
      <w:marBottom w:val="0"/>
      <w:divBdr>
        <w:top w:val="none" w:sz="0" w:space="0" w:color="auto"/>
        <w:left w:val="none" w:sz="0" w:space="0" w:color="auto"/>
        <w:bottom w:val="none" w:sz="0" w:space="0" w:color="auto"/>
        <w:right w:val="none" w:sz="0" w:space="0" w:color="auto"/>
      </w:divBdr>
    </w:div>
    <w:div w:id="717316152">
      <w:bodyDiv w:val="1"/>
      <w:marLeft w:val="0"/>
      <w:marRight w:val="0"/>
      <w:marTop w:val="0"/>
      <w:marBottom w:val="0"/>
      <w:divBdr>
        <w:top w:val="none" w:sz="0" w:space="0" w:color="auto"/>
        <w:left w:val="none" w:sz="0" w:space="0" w:color="auto"/>
        <w:bottom w:val="none" w:sz="0" w:space="0" w:color="auto"/>
        <w:right w:val="none" w:sz="0" w:space="0" w:color="auto"/>
      </w:divBdr>
    </w:div>
    <w:div w:id="717515189">
      <w:bodyDiv w:val="1"/>
      <w:marLeft w:val="0"/>
      <w:marRight w:val="0"/>
      <w:marTop w:val="0"/>
      <w:marBottom w:val="0"/>
      <w:divBdr>
        <w:top w:val="none" w:sz="0" w:space="0" w:color="auto"/>
        <w:left w:val="none" w:sz="0" w:space="0" w:color="auto"/>
        <w:bottom w:val="none" w:sz="0" w:space="0" w:color="auto"/>
        <w:right w:val="none" w:sz="0" w:space="0" w:color="auto"/>
      </w:divBdr>
    </w:div>
    <w:div w:id="735320564">
      <w:bodyDiv w:val="1"/>
      <w:marLeft w:val="0"/>
      <w:marRight w:val="0"/>
      <w:marTop w:val="0"/>
      <w:marBottom w:val="0"/>
      <w:divBdr>
        <w:top w:val="none" w:sz="0" w:space="0" w:color="auto"/>
        <w:left w:val="none" w:sz="0" w:space="0" w:color="auto"/>
        <w:bottom w:val="none" w:sz="0" w:space="0" w:color="auto"/>
        <w:right w:val="none" w:sz="0" w:space="0" w:color="auto"/>
      </w:divBdr>
    </w:div>
    <w:div w:id="741214518">
      <w:bodyDiv w:val="1"/>
      <w:marLeft w:val="0"/>
      <w:marRight w:val="0"/>
      <w:marTop w:val="0"/>
      <w:marBottom w:val="0"/>
      <w:divBdr>
        <w:top w:val="none" w:sz="0" w:space="0" w:color="auto"/>
        <w:left w:val="none" w:sz="0" w:space="0" w:color="auto"/>
        <w:bottom w:val="none" w:sz="0" w:space="0" w:color="auto"/>
        <w:right w:val="none" w:sz="0" w:space="0" w:color="auto"/>
      </w:divBdr>
    </w:div>
    <w:div w:id="746807155">
      <w:bodyDiv w:val="1"/>
      <w:marLeft w:val="0"/>
      <w:marRight w:val="0"/>
      <w:marTop w:val="0"/>
      <w:marBottom w:val="0"/>
      <w:divBdr>
        <w:top w:val="none" w:sz="0" w:space="0" w:color="auto"/>
        <w:left w:val="none" w:sz="0" w:space="0" w:color="auto"/>
        <w:bottom w:val="none" w:sz="0" w:space="0" w:color="auto"/>
        <w:right w:val="none" w:sz="0" w:space="0" w:color="auto"/>
      </w:divBdr>
    </w:div>
    <w:div w:id="750584270">
      <w:bodyDiv w:val="1"/>
      <w:marLeft w:val="0"/>
      <w:marRight w:val="0"/>
      <w:marTop w:val="0"/>
      <w:marBottom w:val="0"/>
      <w:divBdr>
        <w:top w:val="none" w:sz="0" w:space="0" w:color="auto"/>
        <w:left w:val="none" w:sz="0" w:space="0" w:color="auto"/>
        <w:bottom w:val="none" w:sz="0" w:space="0" w:color="auto"/>
        <w:right w:val="none" w:sz="0" w:space="0" w:color="auto"/>
      </w:divBdr>
    </w:div>
    <w:div w:id="753162651">
      <w:bodyDiv w:val="1"/>
      <w:marLeft w:val="0"/>
      <w:marRight w:val="0"/>
      <w:marTop w:val="0"/>
      <w:marBottom w:val="0"/>
      <w:divBdr>
        <w:top w:val="none" w:sz="0" w:space="0" w:color="auto"/>
        <w:left w:val="none" w:sz="0" w:space="0" w:color="auto"/>
        <w:bottom w:val="none" w:sz="0" w:space="0" w:color="auto"/>
        <w:right w:val="none" w:sz="0" w:space="0" w:color="auto"/>
      </w:divBdr>
    </w:div>
    <w:div w:id="753284231">
      <w:bodyDiv w:val="1"/>
      <w:marLeft w:val="0"/>
      <w:marRight w:val="0"/>
      <w:marTop w:val="0"/>
      <w:marBottom w:val="0"/>
      <w:divBdr>
        <w:top w:val="none" w:sz="0" w:space="0" w:color="auto"/>
        <w:left w:val="none" w:sz="0" w:space="0" w:color="auto"/>
        <w:bottom w:val="none" w:sz="0" w:space="0" w:color="auto"/>
        <w:right w:val="none" w:sz="0" w:space="0" w:color="auto"/>
      </w:divBdr>
    </w:div>
    <w:div w:id="759329575">
      <w:bodyDiv w:val="1"/>
      <w:marLeft w:val="0"/>
      <w:marRight w:val="0"/>
      <w:marTop w:val="0"/>
      <w:marBottom w:val="0"/>
      <w:divBdr>
        <w:top w:val="none" w:sz="0" w:space="0" w:color="auto"/>
        <w:left w:val="none" w:sz="0" w:space="0" w:color="auto"/>
        <w:bottom w:val="none" w:sz="0" w:space="0" w:color="auto"/>
        <w:right w:val="none" w:sz="0" w:space="0" w:color="auto"/>
      </w:divBdr>
    </w:div>
    <w:div w:id="761727127">
      <w:bodyDiv w:val="1"/>
      <w:marLeft w:val="0"/>
      <w:marRight w:val="0"/>
      <w:marTop w:val="0"/>
      <w:marBottom w:val="0"/>
      <w:divBdr>
        <w:top w:val="none" w:sz="0" w:space="0" w:color="auto"/>
        <w:left w:val="none" w:sz="0" w:space="0" w:color="auto"/>
        <w:bottom w:val="none" w:sz="0" w:space="0" w:color="auto"/>
        <w:right w:val="none" w:sz="0" w:space="0" w:color="auto"/>
      </w:divBdr>
    </w:div>
    <w:div w:id="770323624">
      <w:bodyDiv w:val="1"/>
      <w:marLeft w:val="0"/>
      <w:marRight w:val="0"/>
      <w:marTop w:val="0"/>
      <w:marBottom w:val="0"/>
      <w:divBdr>
        <w:top w:val="none" w:sz="0" w:space="0" w:color="auto"/>
        <w:left w:val="none" w:sz="0" w:space="0" w:color="auto"/>
        <w:bottom w:val="none" w:sz="0" w:space="0" w:color="auto"/>
        <w:right w:val="none" w:sz="0" w:space="0" w:color="auto"/>
      </w:divBdr>
    </w:div>
    <w:div w:id="777411584">
      <w:bodyDiv w:val="1"/>
      <w:marLeft w:val="0"/>
      <w:marRight w:val="0"/>
      <w:marTop w:val="0"/>
      <w:marBottom w:val="0"/>
      <w:divBdr>
        <w:top w:val="none" w:sz="0" w:space="0" w:color="auto"/>
        <w:left w:val="none" w:sz="0" w:space="0" w:color="auto"/>
        <w:bottom w:val="none" w:sz="0" w:space="0" w:color="auto"/>
        <w:right w:val="none" w:sz="0" w:space="0" w:color="auto"/>
      </w:divBdr>
    </w:div>
    <w:div w:id="783578188">
      <w:bodyDiv w:val="1"/>
      <w:marLeft w:val="0"/>
      <w:marRight w:val="0"/>
      <w:marTop w:val="0"/>
      <w:marBottom w:val="0"/>
      <w:divBdr>
        <w:top w:val="none" w:sz="0" w:space="0" w:color="auto"/>
        <w:left w:val="none" w:sz="0" w:space="0" w:color="auto"/>
        <w:bottom w:val="none" w:sz="0" w:space="0" w:color="auto"/>
        <w:right w:val="none" w:sz="0" w:space="0" w:color="auto"/>
      </w:divBdr>
    </w:div>
    <w:div w:id="783888376">
      <w:bodyDiv w:val="1"/>
      <w:marLeft w:val="0"/>
      <w:marRight w:val="0"/>
      <w:marTop w:val="0"/>
      <w:marBottom w:val="0"/>
      <w:divBdr>
        <w:top w:val="none" w:sz="0" w:space="0" w:color="auto"/>
        <w:left w:val="none" w:sz="0" w:space="0" w:color="auto"/>
        <w:bottom w:val="none" w:sz="0" w:space="0" w:color="auto"/>
        <w:right w:val="none" w:sz="0" w:space="0" w:color="auto"/>
      </w:divBdr>
    </w:div>
    <w:div w:id="788860211">
      <w:bodyDiv w:val="1"/>
      <w:marLeft w:val="0"/>
      <w:marRight w:val="0"/>
      <w:marTop w:val="0"/>
      <w:marBottom w:val="0"/>
      <w:divBdr>
        <w:top w:val="none" w:sz="0" w:space="0" w:color="auto"/>
        <w:left w:val="none" w:sz="0" w:space="0" w:color="auto"/>
        <w:bottom w:val="none" w:sz="0" w:space="0" w:color="auto"/>
        <w:right w:val="none" w:sz="0" w:space="0" w:color="auto"/>
      </w:divBdr>
    </w:div>
    <w:div w:id="798112168">
      <w:bodyDiv w:val="1"/>
      <w:marLeft w:val="0"/>
      <w:marRight w:val="0"/>
      <w:marTop w:val="0"/>
      <w:marBottom w:val="0"/>
      <w:divBdr>
        <w:top w:val="none" w:sz="0" w:space="0" w:color="auto"/>
        <w:left w:val="none" w:sz="0" w:space="0" w:color="auto"/>
        <w:bottom w:val="none" w:sz="0" w:space="0" w:color="auto"/>
        <w:right w:val="none" w:sz="0" w:space="0" w:color="auto"/>
      </w:divBdr>
    </w:div>
    <w:div w:id="801188801">
      <w:bodyDiv w:val="1"/>
      <w:marLeft w:val="0"/>
      <w:marRight w:val="0"/>
      <w:marTop w:val="0"/>
      <w:marBottom w:val="0"/>
      <w:divBdr>
        <w:top w:val="none" w:sz="0" w:space="0" w:color="auto"/>
        <w:left w:val="none" w:sz="0" w:space="0" w:color="auto"/>
        <w:bottom w:val="none" w:sz="0" w:space="0" w:color="auto"/>
        <w:right w:val="none" w:sz="0" w:space="0" w:color="auto"/>
      </w:divBdr>
    </w:div>
    <w:div w:id="811020033">
      <w:bodyDiv w:val="1"/>
      <w:marLeft w:val="0"/>
      <w:marRight w:val="0"/>
      <w:marTop w:val="0"/>
      <w:marBottom w:val="0"/>
      <w:divBdr>
        <w:top w:val="none" w:sz="0" w:space="0" w:color="auto"/>
        <w:left w:val="none" w:sz="0" w:space="0" w:color="auto"/>
        <w:bottom w:val="none" w:sz="0" w:space="0" w:color="auto"/>
        <w:right w:val="none" w:sz="0" w:space="0" w:color="auto"/>
      </w:divBdr>
    </w:div>
    <w:div w:id="819462873">
      <w:bodyDiv w:val="1"/>
      <w:marLeft w:val="0"/>
      <w:marRight w:val="0"/>
      <w:marTop w:val="0"/>
      <w:marBottom w:val="0"/>
      <w:divBdr>
        <w:top w:val="none" w:sz="0" w:space="0" w:color="auto"/>
        <w:left w:val="none" w:sz="0" w:space="0" w:color="auto"/>
        <w:bottom w:val="none" w:sz="0" w:space="0" w:color="auto"/>
        <w:right w:val="none" w:sz="0" w:space="0" w:color="auto"/>
      </w:divBdr>
    </w:div>
    <w:div w:id="821236822">
      <w:bodyDiv w:val="1"/>
      <w:marLeft w:val="0"/>
      <w:marRight w:val="0"/>
      <w:marTop w:val="0"/>
      <w:marBottom w:val="0"/>
      <w:divBdr>
        <w:top w:val="none" w:sz="0" w:space="0" w:color="auto"/>
        <w:left w:val="none" w:sz="0" w:space="0" w:color="auto"/>
        <w:bottom w:val="none" w:sz="0" w:space="0" w:color="auto"/>
        <w:right w:val="none" w:sz="0" w:space="0" w:color="auto"/>
      </w:divBdr>
    </w:div>
    <w:div w:id="827135634">
      <w:bodyDiv w:val="1"/>
      <w:marLeft w:val="0"/>
      <w:marRight w:val="0"/>
      <w:marTop w:val="0"/>
      <w:marBottom w:val="0"/>
      <w:divBdr>
        <w:top w:val="none" w:sz="0" w:space="0" w:color="auto"/>
        <w:left w:val="none" w:sz="0" w:space="0" w:color="auto"/>
        <w:bottom w:val="none" w:sz="0" w:space="0" w:color="auto"/>
        <w:right w:val="none" w:sz="0" w:space="0" w:color="auto"/>
      </w:divBdr>
    </w:div>
    <w:div w:id="827289713">
      <w:bodyDiv w:val="1"/>
      <w:marLeft w:val="0"/>
      <w:marRight w:val="0"/>
      <w:marTop w:val="0"/>
      <w:marBottom w:val="0"/>
      <w:divBdr>
        <w:top w:val="none" w:sz="0" w:space="0" w:color="auto"/>
        <w:left w:val="none" w:sz="0" w:space="0" w:color="auto"/>
        <w:bottom w:val="none" w:sz="0" w:space="0" w:color="auto"/>
        <w:right w:val="none" w:sz="0" w:space="0" w:color="auto"/>
      </w:divBdr>
    </w:div>
    <w:div w:id="827407105">
      <w:bodyDiv w:val="1"/>
      <w:marLeft w:val="0"/>
      <w:marRight w:val="0"/>
      <w:marTop w:val="0"/>
      <w:marBottom w:val="0"/>
      <w:divBdr>
        <w:top w:val="none" w:sz="0" w:space="0" w:color="auto"/>
        <w:left w:val="none" w:sz="0" w:space="0" w:color="auto"/>
        <w:bottom w:val="none" w:sz="0" w:space="0" w:color="auto"/>
        <w:right w:val="none" w:sz="0" w:space="0" w:color="auto"/>
      </w:divBdr>
    </w:div>
    <w:div w:id="832064893">
      <w:bodyDiv w:val="1"/>
      <w:marLeft w:val="0"/>
      <w:marRight w:val="0"/>
      <w:marTop w:val="0"/>
      <w:marBottom w:val="0"/>
      <w:divBdr>
        <w:top w:val="none" w:sz="0" w:space="0" w:color="auto"/>
        <w:left w:val="none" w:sz="0" w:space="0" w:color="auto"/>
        <w:bottom w:val="none" w:sz="0" w:space="0" w:color="auto"/>
        <w:right w:val="none" w:sz="0" w:space="0" w:color="auto"/>
      </w:divBdr>
    </w:div>
    <w:div w:id="832112693">
      <w:bodyDiv w:val="1"/>
      <w:marLeft w:val="0"/>
      <w:marRight w:val="0"/>
      <w:marTop w:val="0"/>
      <w:marBottom w:val="0"/>
      <w:divBdr>
        <w:top w:val="none" w:sz="0" w:space="0" w:color="auto"/>
        <w:left w:val="none" w:sz="0" w:space="0" w:color="auto"/>
        <w:bottom w:val="none" w:sz="0" w:space="0" w:color="auto"/>
        <w:right w:val="none" w:sz="0" w:space="0" w:color="auto"/>
      </w:divBdr>
    </w:div>
    <w:div w:id="837043189">
      <w:bodyDiv w:val="1"/>
      <w:marLeft w:val="0"/>
      <w:marRight w:val="0"/>
      <w:marTop w:val="0"/>
      <w:marBottom w:val="0"/>
      <w:divBdr>
        <w:top w:val="none" w:sz="0" w:space="0" w:color="auto"/>
        <w:left w:val="none" w:sz="0" w:space="0" w:color="auto"/>
        <w:bottom w:val="none" w:sz="0" w:space="0" w:color="auto"/>
        <w:right w:val="none" w:sz="0" w:space="0" w:color="auto"/>
      </w:divBdr>
    </w:div>
    <w:div w:id="837579227">
      <w:bodyDiv w:val="1"/>
      <w:marLeft w:val="0"/>
      <w:marRight w:val="0"/>
      <w:marTop w:val="0"/>
      <w:marBottom w:val="0"/>
      <w:divBdr>
        <w:top w:val="none" w:sz="0" w:space="0" w:color="auto"/>
        <w:left w:val="none" w:sz="0" w:space="0" w:color="auto"/>
        <w:bottom w:val="none" w:sz="0" w:space="0" w:color="auto"/>
        <w:right w:val="none" w:sz="0" w:space="0" w:color="auto"/>
      </w:divBdr>
    </w:div>
    <w:div w:id="842940317">
      <w:bodyDiv w:val="1"/>
      <w:marLeft w:val="0"/>
      <w:marRight w:val="0"/>
      <w:marTop w:val="0"/>
      <w:marBottom w:val="0"/>
      <w:divBdr>
        <w:top w:val="none" w:sz="0" w:space="0" w:color="auto"/>
        <w:left w:val="none" w:sz="0" w:space="0" w:color="auto"/>
        <w:bottom w:val="none" w:sz="0" w:space="0" w:color="auto"/>
        <w:right w:val="none" w:sz="0" w:space="0" w:color="auto"/>
      </w:divBdr>
    </w:div>
    <w:div w:id="850796816">
      <w:bodyDiv w:val="1"/>
      <w:marLeft w:val="0"/>
      <w:marRight w:val="0"/>
      <w:marTop w:val="0"/>
      <w:marBottom w:val="0"/>
      <w:divBdr>
        <w:top w:val="none" w:sz="0" w:space="0" w:color="auto"/>
        <w:left w:val="none" w:sz="0" w:space="0" w:color="auto"/>
        <w:bottom w:val="none" w:sz="0" w:space="0" w:color="auto"/>
        <w:right w:val="none" w:sz="0" w:space="0" w:color="auto"/>
      </w:divBdr>
    </w:div>
    <w:div w:id="857936275">
      <w:bodyDiv w:val="1"/>
      <w:marLeft w:val="0"/>
      <w:marRight w:val="0"/>
      <w:marTop w:val="0"/>
      <w:marBottom w:val="0"/>
      <w:divBdr>
        <w:top w:val="none" w:sz="0" w:space="0" w:color="auto"/>
        <w:left w:val="none" w:sz="0" w:space="0" w:color="auto"/>
        <w:bottom w:val="none" w:sz="0" w:space="0" w:color="auto"/>
        <w:right w:val="none" w:sz="0" w:space="0" w:color="auto"/>
      </w:divBdr>
    </w:div>
    <w:div w:id="860776764">
      <w:bodyDiv w:val="1"/>
      <w:marLeft w:val="0"/>
      <w:marRight w:val="0"/>
      <w:marTop w:val="0"/>
      <w:marBottom w:val="0"/>
      <w:divBdr>
        <w:top w:val="none" w:sz="0" w:space="0" w:color="auto"/>
        <w:left w:val="none" w:sz="0" w:space="0" w:color="auto"/>
        <w:bottom w:val="none" w:sz="0" w:space="0" w:color="auto"/>
        <w:right w:val="none" w:sz="0" w:space="0" w:color="auto"/>
      </w:divBdr>
    </w:div>
    <w:div w:id="867723807">
      <w:bodyDiv w:val="1"/>
      <w:marLeft w:val="0"/>
      <w:marRight w:val="0"/>
      <w:marTop w:val="0"/>
      <w:marBottom w:val="0"/>
      <w:divBdr>
        <w:top w:val="none" w:sz="0" w:space="0" w:color="auto"/>
        <w:left w:val="none" w:sz="0" w:space="0" w:color="auto"/>
        <w:bottom w:val="none" w:sz="0" w:space="0" w:color="auto"/>
        <w:right w:val="none" w:sz="0" w:space="0" w:color="auto"/>
      </w:divBdr>
    </w:div>
    <w:div w:id="868026931">
      <w:bodyDiv w:val="1"/>
      <w:marLeft w:val="0"/>
      <w:marRight w:val="0"/>
      <w:marTop w:val="0"/>
      <w:marBottom w:val="0"/>
      <w:divBdr>
        <w:top w:val="none" w:sz="0" w:space="0" w:color="auto"/>
        <w:left w:val="none" w:sz="0" w:space="0" w:color="auto"/>
        <w:bottom w:val="none" w:sz="0" w:space="0" w:color="auto"/>
        <w:right w:val="none" w:sz="0" w:space="0" w:color="auto"/>
      </w:divBdr>
    </w:div>
    <w:div w:id="868764254">
      <w:bodyDiv w:val="1"/>
      <w:marLeft w:val="0"/>
      <w:marRight w:val="0"/>
      <w:marTop w:val="0"/>
      <w:marBottom w:val="0"/>
      <w:divBdr>
        <w:top w:val="none" w:sz="0" w:space="0" w:color="auto"/>
        <w:left w:val="none" w:sz="0" w:space="0" w:color="auto"/>
        <w:bottom w:val="none" w:sz="0" w:space="0" w:color="auto"/>
        <w:right w:val="none" w:sz="0" w:space="0" w:color="auto"/>
      </w:divBdr>
    </w:div>
    <w:div w:id="869295313">
      <w:bodyDiv w:val="1"/>
      <w:marLeft w:val="0"/>
      <w:marRight w:val="0"/>
      <w:marTop w:val="0"/>
      <w:marBottom w:val="0"/>
      <w:divBdr>
        <w:top w:val="none" w:sz="0" w:space="0" w:color="auto"/>
        <w:left w:val="none" w:sz="0" w:space="0" w:color="auto"/>
        <w:bottom w:val="none" w:sz="0" w:space="0" w:color="auto"/>
        <w:right w:val="none" w:sz="0" w:space="0" w:color="auto"/>
      </w:divBdr>
    </w:div>
    <w:div w:id="870532875">
      <w:bodyDiv w:val="1"/>
      <w:marLeft w:val="0"/>
      <w:marRight w:val="0"/>
      <w:marTop w:val="0"/>
      <w:marBottom w:val="0"/>
      <w:divBdr>
        <w:top w:val="none" w:sz="0" w:space="0" w:color="auto"/>
        <w:left w:val="none" w:sz="0" w:space="0" w:color="auto"/>
        <w:bottom w:val="none" w:sz="0" w:space="0" w:color="auto"/>
        <w:right w:val="none" w:sz="0" w:space="0" w:color="auto"/>
      </w:divBdr>
    </w:div>
    <w:div w:id="871115551">
      <w:bodyDiv w:val="1"/>
      <w:marLeft w:val="0"/>
      <w:marRight w:val="0"/>
      <w:marTop w:val="0"/>
      <w:marBottom w:val="0"/>
      <w:divBdr>
        <w:top w:val="none" w:sz="0" w:space="0" w:color="auto"/>
        <w:left w:val="none" w:sz="0" w:space="0" w:color="auto"/>
        <w:bottom w:val="none" w:sz="0" w:space="0" w:color="auto"/>
        <w:right w:val="none" w:sz="0" w:space="0" w:color="auto"/>
      </w:divBdr>
    </w:div>
    <w:div w:id="892082379">
      <w:bodyDiv w:val="1"/>
      <w:marLeft w:val="0"/>
      <w:marRight w:val="0"/>
      <w:marTop w:val="0"/>
      <w:marBottom w:val="0"/>
      <w:divBdr>
        <w:top w:val="none" w:sz="0" w:space="0" w:color="auto"/>
        <w:left w:val="none" w:sz="0" w:space="0" w:color="auto"/>
        <w:bottom w:val="none" w:sz="0" w:space="0" w:color="auto"/>
        <w:right w:val="none" w:sz="0" w:space="0" w:color="auto"/>
      </w:divBdr>
    </w:div>
    <w:div w:id="898131325">
      <w:bodyDiv w:val="1"/>
      <w:marLeft w:val="0"/>
      <w:marRight w:val="0"/>
      <w:marTop w:val="0"/>
      <w:marBottom w:val="0"/>
      <w:divBdr>
        <w:top w:val="none" w:sz="0" w:space="0" w:color="auto"/>
        <w:left w:val="none" w:sz="0" w:space="0" w:color="auto"/>
        <w:bottom w:val="none" w:sz="0" w:space="0" w:color="auto"/>
        <w:right w:val="none" w:sz="0" w:space="0" w:color="auto"/>
      </w:divBdr>
    </w:div>
    <w:div w:id="903686314">
      <w:bodyDiv w:val="1"/>
      <w:marLeft w:val="0"/>
      <w:marRight w:val="0"/>
      <w:marTop w:val="0"/>
      <w:marBottom w:val="0"/>
      <w:divBdr>
        <w:top w:val="none" w:sz="0" w:space="0" w:color="auto"/>
        <w:left w:val="none" w:sz="0" w:space="0" w:color="auto"/>
        <w:bottom w:val="none" w:sz="0" w:space="0" w:color="auto"/>
        <w:right w:val="none" w:sz="0" w:space="0" w:color="auto"/>
      </w:divBdr>
    </w:div>
    <w:div w:id="903951078">
      <w:bodyDiv w:val="1"/>
      <w:marLeft w:val="0"/>
      <w:marRight w:val="0"/>
      <w:marTop w:val="0"/>
      <w:marBottom w:val="0"/>
      <w:divBdr>
        <w:top w:val="none" w:sz="0" w:space="0" w:color="auto"/>
        <w:left w:val="none" w:sz="0" w:space="0" w:color="auto"/>
        <w:bottom w:val="none" w:sz="0" w:space="0" w:color="auto"/>
        <w:right w:val="none" w:sz="0" w:space="0" w:color="auto"/>
      </w:divBdr>
    </w:div>
    <w:div w:id="904995944">
      <w:bodyDiv w:val="1"/>
      <w:marLeft w:val="0"/>
      <w:marRight w:val="0"/>
      <w:marTop w:val="0"/>
      <w:marBottom w:val="0"/>
      <w:divBdr>
        <w:top w:val="none" w:sz="0" w:space="0" w:color="auto"/>
        <w:left w:val="none" w:sz="0" w:space="0" w:color="auto"/>
        <w:bottom w:val="none" w:sz="0" w:space="0" w:color="auto"/>
        <w:right w:val="none" w:sz="0" w:space="0" w:color="auto"/>
      </w:divBdr>
    </w:div>
    <w:div w:id="910693415">
      <w:bodyDiv w:val="1"/>
      <w:marLeft w:val="0"/>
      <w:marRight w:val="0"/>
      <w:marTop w:val="0"/>
      <w:marBottom w:val="0"/>
      <w:divBdr>
        <w:top w:val="none" w:sz="0" w:space="0" w:color="auto"/>
        <w:left w:val="none" w:sz="0" w:space="0" w:color="auto"/>
        <w:bottom w:val="none" w:sz="0" w:space="0" w:color="auto"/>
        <w:right w:val="none" w:sz="0" w:space="0" w:color="auto"/>
      </w:divBdr>
    </w:div>
    <w:div w:id="910969610">
      <w:bodyDiv w:val="1"/>
      <w:marLeft w:val="0"/>
      <w:marRight w:val="0"/>
      <w:marTop w:val="0"/>
      <w:marBottom w:val="0"/>
      <w:divBdr>
        <w:top w:val="none" w:sz="0" w:space="0" w:color="auto"/>
        <w:left w:val="none" w:sz="0" w:space="0" w:color="auto"/>
        <w:bottom w:val="none" w:sz="0" w:space="0" w:color="auto"/>
        <w:right w:val="none" w:sz="0" w:space="0" w:color="auto"/>
      </w:divBdr>
    </w:div>
    <w:div w:id="913205781">
      <w:bodyDiv w:val="1"/>
      <w:marLeft w:val="0"/>
      <w:marRight w:val="0"/>
      <w:marTop w:val="0"/>
      <w:marBottom w:val="0"/>
      <w:divBdr>
        <w:top w:val="none" w:sz="0" w:space="0" w:color="auto"/>
        <w:left w:val="none" w:sz="0" w:space="0" w:color="auto"/>
        <w:bottom w:val="none" w:sz="0" w:space="0" w:color="auto"/>
        <w:right w:val="none" w:sz="0" w:space="0" w:color="auto"/>
      </w:divBdr>
    </w:div>
    <w:div w:id="913275373">
      <w:bodyDiv w:val="1"/>
      <w:marLeft w:val="0"/>
      <w:marRight w:val="0"/>
      <w:marTop w:val="0"/>
      <w:marBottom w:val="0"/>
      <w:divBdr>
        <w:top w:val="none" w:sz="0" w:space="0" w:color="auto"/>
        <w:left w:val="none" w:sz="0" w:space="0" w:color="auto"/>
        <w:bottom w:val="none" w:sz="0" w:space="0" w:color="auto"/>
        <w:right w:val="none" w:sz="0" w:space="0" w:color="auto"/>
      </w:divBdr>
    </w:div>
    <w:div w:id="922571343">
      <w:bodyDiv w:val="1"/>
      <w:marLeft w:val="0"/>
      <w:marRight w:val="0"/>
      <w:marTop w:val="0"/>
      <w:marBottom w:val="0"/>
      <w:divBdr>
        <w:top w:val="none" w:sz="0" w:space="0" w:color="auto"/>
        <w:left w:val="none" w:sz="0" w:space="0" w:color="auto"/>
        <w:bottom w:val="none" w:sz="0" w:space="0" w:color="auto"/>
        <w:right w:val="none" w:sz="0" w:space="0" w:color="auto"/>
      </w:divBdr>
    </w:div>
    <w:div w:id="934896623">
      <w:bodyDiv w:val="1"/>
      <w:marLeft w:val="0"/>
      <w:marRight w:val="0"/>
      <w:marTop w:val="0"/>
      <w:marBottom w:val="0"/>
      <w:divBdr>
        <w:top w:val="none" w:sz="0" w:space="0" w:color="auto"/>
        <w:left w:val="none" w:sz="0" w:space="0" w:color="auto"/>
        <w:bottom w:val="none" w:sz="0" w:space="0" w:color="auto"/>
        <w:right w:val="none" w:sz="0" w:space="0" w:color="auto"/>
      </w:divBdr>
    </w:div>
    <w:div w:id="950939395">
      <w:bodyDiv w:val="1"/>
      <w:marLeft w:val="0"/>
      <w:marRight w:val="0"/>
      <w:marTop w:val="0"/>
      <w:marBottom w:val="0"/>
      <w:divBdr>
        <w:top w:val="none" w:sz="0" w:space="0" w:color="auto"/>
        <w:left w:val="none" w:sz="0" w:space="0" w:color="auto"/>
        <w:bottom w:val="none" w:sz="0" w:space="0" w:color="auto"/>
        <w:right w:val="none" w:sz="0" w:space="0" w:color="auto"/>
      </w:divBdr>
    </w:div>
    <w:div w:id="952593737">
      <w:bodyDiv w:val="1"/>
      <w:marLeft w:val="0"/>
      <w:marRight w:val="0"/>
      <w:marTop w:val="0"/>
      <w:marBottom w:val="0"/>
      <w:divBdr>
        <w:top w:val="none" w:sz="0" w:space="0" w:color="auto"/>
        <w:left w:val="none" w:sz="0" w:space="0" w:color="auto"/>
        <w:bottom w:val="none" w:sz="0" w:space="0" w:color="auto"/>
        <w:right w:val="none" w:sz="0" w:space="0" w:color="auto"/>
      </w:divBdr>
    </w:div>
    <w:div w:id="956788739">
      <w:bodyDiv w:val="1"/>
      <w:marLeft w:val="0"/>
      <w:marRight w:val="0"/>
      <w:marTop w:val="0"/>
      <w:marBottom w:val="0"/>
      <w:divBdr>
        <w:top w:val="none" w:sz="0" w:space="0" w:color="auto"/>
        <w:left w:val="none" w:sz="0" w:space="0" w:color="auto"/>
        <w:bottom w:val="none" w:sz="0" w:space="0" w:color="auto"/>
        <w:right w:val="none" w:sz="0" w:space="0" w:color="auto"/>
      </w:divBdr>
    </w:div>
    <w:div w:id="957372113">
      <w:bodyDiv w:val="1"/>
      <w:marLeft w:val="0"/>
      <w:marRight w:val="0"/>
      <w:marTop w:val="0"/>
      <w:marBottom w:val="0"/>
      <w:divBdr>
        <w:top w:val="none" w:sz="0" w:space="0" w:color="auto"/>
        <w:left w:val="none" w:sz="0" w:space="0" w:color="auto"/>
        <w:bottom w:val="none" w:sz="0" w:space="0" w:color="auto"/>
        <w:right w:val="none" w:sz="0" w:space="0" w:color="auto"/>
      </w:divBdr>
    </w:div>
    <w:div w:id="964776678">
      <w:bodyDiv w:val="1"/>
      <w:marLeft w:val="0"/>
      <w:marRight w:val="0"/>
      <w:marTop w:val="0"/>
      <w:marBottom w:val="0"/>
      <w:divBdr>
        <w:top w:val="none" w:sz="0" w:space="0" w:color="auto"/>
        <w:left w:val="none" w:sz="0" w:space="0" w:color="auto"/>
        <w:bottom w:val="none" w:sz="0" w:space="0" w:color="auto"/>
        <w:right w:val="none" w:sz="0" w:space="0" w:color="auto"/>
      </w:divBdr>
    </w:div>
    <w:div w:id="966009550">
      <w:bodyDiv w:val="1"/>
      <w:marLeft w:val="0"/>
      <w:marRight w:val="0"/>
      <w:marTop w:val="0"/>
      <w:marBottom w:val="0"/>
      <w:divBdr>
        <w:top w:val="none" w:sz="0" w:space="0" w:color="auto"/>
        <w:left w:val="none" w:sz="0" w:space="0" w:color="auto"/>
        <w:bottom w:val="none" w:sz="0" w:space="0" w:color="auto"/>
        <w:right w:val="none" w:sz="0" w:space="0" w:color="auto"/>
      </w:divBdr>
    </w:div>
    <w:div w:id="974914931">
      <w:bodyDiv w:val="1"/>
      <w:marLeft w:val="0"/>
      <w:marRight w:val="0"/>
      <w:marTop w:val="0"/>
      <w:marBottom w:val="0"/>
      <w:divBdr>
        <w:top w:val="none" w:sz="0" w:space="0" w:color="auto"/>
        <w:left w:val="none" w:sz="0" w:space="0" w:color="auto"/>
        <w:bottom w:val="none" w:sz="0" w:space="0" w:color="auto"/>
        <w:right w:val="none" w:sz="0" w:space="0" w:color="auto"/>
      </w:divBdr>
    </w:div>
    <w:div w:id="980575703">
      <w:bodyDiv w:val="1"/>
      <w:marLeft w:val="0"/>
      <w:marRight w:val="0"/>
      <w:marTop w:val="0"/>
      <w:marBottom w:val="0"/>
      <w:divBdr>
        <w:top w:val="none" w:sz="0" w:space="0" w:color="auto"/>
        <w:left w:val="none" w:sz="0" w:space="0" w:color="auto"/>
        <w:bottom w:val="none" w:sz="0" w:space="0" w:color="auto"/>
        <w:right w:val="none" w:sz="0" w:space="0" w:color="auto"/>
      </w:divBdr>
    </w:div>
    <w:div w:id="981543808">
      <w:bodyDiv w:val="1"/>
      <w:marLeft w:val="0"/>
      <w:marRight w:val="0"/>
      <w:marTop w:val="0"/>
      <w:marBottom w:val="0"/>
      <w:divBdr>
        <w:top w:val="none" w:sz="0" w:space="0" w:color="auto"/>
        <w:left w:val="none" w:sz="0" w:space="0" w:color="auto"/>
        <w:bottom w:val="none" w:sz="0" w:space="0" w:color="auto"/>
        <w:right w:val="none" w:sz="0" w:space="0" w:color="auto"/>
      </w:divBdr>
    </w:div>
    <w:div w:id="983195213">
      <w:bodyDiv w:val="1"/>
      <w:marLeft w:val="0"/>
      <w:marRight w:val="0"/>
      <w:marTop w:val="0"/>
      <w:marBottom w:val="0"/>
      <w:divBdr>
        <w:top w:val="none" w:sz="0" w:space="0" w:color="auto"/>
        <w:left w:val="none" w:sz="0" w:space="0" w:color="auto"/>
        <w:bottom w:val="none" w:sz="0" w:space="0" w:color="auto"/>
        <w:right w:val="none" w:sz="0" w:space="0" w:color="auto"/>
      </w:divBdr>
    </w:div>
    <w:div w:id="985547686">
      <w:bodyDiv w:val="1"/>
      <w:marLeft w:val="0"/>
      <w:marRight w:val="0"/>
      <w:marTop w:val="0"/>
      <w:marBottom w:val="0"/>
      <w:divBdr>
        <w:top w:val="none" w:sz="0" w:space="0" w:color="auto"/>
        <w:left w:val="none" w:sz="0" w:space="0" w:color="auto"/>
        <w:bottom w:val="none" w:sz="0" w:space="0" w:color="auto"/>
        <w:right w:val="none" w:sz="0" w:space="0" w:color="auto"/>
      </w:divBdr>
    </w:div>
    <w:div w:id="992415461">
      <w:bodyDiv w:val="1"/>
      <w:marLeft w:val="0"/>
      <w:marRight w:val="0"/>
      <w:marTop w:val="0"/>
      <w:marBottom w:val="0"/>
      <w:divBdr>
        <w:top w:val="none" w:sz="0" w:space="0" w:color="auto"/>
        <w:left w:val="none" w:sz="0" w:space="0" w:color="auto"/>
        <w:bottom w:val="none" w:sz="0" w:space="0" w:color="auto"/>
        <w:right w:val="none" w:sz="0" w:space="0" w:color="auto"/>
      </w:divBdr>
    </w:div>
    <w:div w:id="995033393">
      <w:bodyDiv w:val="1"/>
      <w:marLeft w:val="0"/>
      <w:marRight w:val="0"/>
      <w:marTop w:val="0"/>
      <w:marBottom w:val="0"/>
      <w:divBdr>
        <w:top w:val="none" w:sz="0" w:space="0" w:color="auto"/>
        <w:left w:val="none" w:sz="0" w:space="0" w:color="auto"/>
        <w:bottom w:val="none" w:sz="0" w:space="0" w:color="auto"/>
        <w:right w:val="none" w:sz="0" w:space="0" w:color="auto"/>
      </w:divBdr>
    </w:div>
    <w:div w:id="996611555">
      <w:bodyDiv w:val="1"/>
      <w:marLeft w:val="0"/>
      <w:marRight w:val="0"/>
      <w:marTop w:val="0"/>
      <w:marBottom w:val="0"/>
      <w:divBdr>
        <w:top w:val="none" w:sz="0" w:space="0" w:color="auto"/>
        <w:left w:val="none" w:sz="0" w:space="0" w:color="auto"/>
        <w:bottom w:val="none" w:sz="0" w:space="0" w:color="auto"/>
        <w:right w:val="none" w:sz="0" w:space="0" w:color="auto"/>
      </w:divBdr>
    </w:div>
    <w:div w:id="998382208">
      <w:bodyDiv w:val="1"/>
      <w:marLeft w:val="0"/>
      <w:marRight w:val="0"/>
      <w:marTop w:val="0"/>
      <w:marBottom w:val="0"/>
      <w:divBdr>
        <w:top w:val="none" w:sz="0" w:space="0" w:color="auto"/>
        <w:left w:val="none" w:sz="0" w:space="0" w:color="auto"/>
        <w:bottom w:val="none" w:sz="0" w:space="0" w:color="auto"/>
        <w:right w:val="none" w:sz="0" w:space="0" w:color="auto"/>
      </w:divBdr>
    </w:div>
    <w:div w:id="998652290">
      <w:bodyDiv w:val="1"/>
      <w:marLeft w:val="0"/>
      <w:marRight w:val="0"/>
      <w:marTop w:val="0"/>
      <w:marBottom w:val="0"/>
      <w:divBdr>
        <w:top w:val="none" w:sz="0" w:space="0" w:color="auto"/>
        <w:left w:val="none" w:sz="0" w:space="0" w:color="auto"/>
        <w:bottom w:val="none" w:sz="0" w:space="0" w:color="auto"/>
        <w:right w:val="none" w:sz="0" w:space="0" w:color="auto"/>
      </w:divBdr>
    </w:div>
    <w:div w:id="1000498424">
      <w:bodyDiv w:val="1"/>
      <w:marLeft w:val="0"/>
      <w:marRight w:val="0"/>
      <w:marTop w:val="0"/>
      <w:marBottom w:val="0"/>
      <w:divBdr>
        <w:top w:val="none" w:sz="0" w:space="0" w:color="auto"/>
        <w:left w:val="none" w:sz="0" w:space="0" w:color="auto"/>
        <w:bottom w:val="none" w:sz="0" w:space="0" w:color="auto"/>
        <w:right w:val="none" w:sz="0" w:space="0" w:color="auto"/>
      </w:divBdr>
    </w:div>
    <w:div w:id="1014381745">
      <w:bodyDiv w:val="1"/>
      <w:marLeft w:val="0"/>
      <w:marRight w:val="0"/>
      <w:marTop w:val="0"/>
      <w:marBottom w:val="0"/>
      <w:divBdr>
        <w:top w:val="none" w:sz="0" w:space="0" w:color="auto"/>
        <w:left w:val="none" w:sz="0" w:space="0" w:color="auto"/>
        <w:bottom w:val="none" w:sz="0" w:space="0" w:color="auto"/>
        <w:right w:val="none" w:sz="0" w:space="0" w:color="auto"/>
      </w:divBdr>
    </w:div>
    <w:div w:id="1014841685">
      <w:bodyDiv w:val="1"/>
      <w:marLeft w:val="0"/>
      <w:marRight w:val="0"/>
      <w:marTop w:val="0"/>
      <w:marBottom w:val="0"/>
      <w:divBdr>
        <w:top w:val="none" w:sz="0" w:space="0" w:color="auto"/>
        <w:left w:val="none" w:sz="0" w:space="0" w:color="auto"/>
        <w:bottom w:val="none" w:sz="0" w:space="0" w:color="auto"/>
        <w:right w:val="none" w:sz="0" w:space="0" w:color="auto"/>
      </w:divBdr>
    </w:div>
    <w:div w:id="1016540823">
      <w:bodyDiv w:val="1"/>
      <w:marLeft w:val="0"/>
      <w:marRight w:val="0"/>
      <w:marTop w:val="0"/>
      <w:marBottom w:val="0"/>
      <w:divBdr>
        <w:top w:val="none" w:sz="0" w:space="0" w:color="auto"/>
        <w:left w:val="none" w:sz="0" w:space="0" w:color="auto"/>
        <w:bottom w:val="none" w:sz="0" w:space="0" w:color="auto"/>
        <w:right w:val="none" w:sz="0" w:space="0" w:color="auto"/>
      </w:divBdr>
    </w:div>
    <w:div w:id="1022393651">
      <w:bodyDiv w:val="1"/>
      <w:marLeft w:val="0"/>
      <w:marRight w:val="0"/>
      <w:marTop w:val="0"/>
      <w:marBottom w:val="0"/>
      <w:divBdr>
        <w:top w:val="none" w:sz="0" w:space="0" w:color="auto"/>
        <w:left w:val="none" w:sz="0" w:space="0" w:color="auto"/>
        <w:bottom w:val="none" w:sz="0" w:space="0" w:color="auto"/>
        <w:right w:val="none" w:sz="0" w:space="0" w:color="auto"/>
      </w:divBdr>
    </w:div>
    <w:div w:id="1024021227">
      <w:bodyDiv w:val="1"/>
      <w:marLeft w:val="0"/>
      <w:marRight w:val="0"/>
      <w:marTop w:val="0"/>
      <w:marBottom w:val="0"/>
      <w:divBdr>
        <w:top w:val="none" w:sz="0" w:space="0" w:color="auto"/>
        <w:left w:val="none" w:sz="0" w:space="0" w:color="auto"/>
        <w:bottom w:val="none" w:sz="0" w:space="0" w:color="auto"/>
        <w:right w:val="none" w:sz="0" w:space="0" w:color="auto"/>
      </w:divBdr>
    </w:div>
    <w:div w:id="1032414175">
      <w:bodyDiv w:val="1"/>
      <w:marLeft w:val="0"/>
      <w:marRight w:val="0"/>
      <w:marTop w:val="0"/>
      <w:marBottom w:val="0"/>
      <w:divBdr>
        <w:top w:val="none" w:sz="0" w:space="0" w:color="auto"/>
        <w:left w:val="none" w:sz="0" w:space="0" w:color="auto"/>
        <w:bottom w:val="none" w:sz="0" w:space="0" w:color="auto"/>
        <w:right w:val="none" w:sz="0" w:space="0" w:color="auto"/>
      </w:divBdr>
    </w:div>
    <w:div w:id="1032849807">
      <w:bodyDiv w:val="1"/>
      <w:marLeft w:val="0"/>
      <w:marRight w:val="0"/>
      <w:marTop w:val="0"/>
      <w:marBottom w:val="0"/>
      <w:divBdr>
        <w:top w:val="none" w:sz="0" w:space="0" w:color="auto"/>
        <w:left w:val="none" w:sz="0" w:space="0" w:color="auto"/>
        <w:bottom w:val="none" w:sz="0" w:space="0" w:color="auto"/>
        <w:right w:val="none" w:sz="0" w:space="0" w:color="auto"/>
      </w:divBdr>
    </w:div>
    <w:div w:id="1048796601">
      <w:bodyDiv w:val="1"/>
      <w:marLeft w:val="0"/>
      <w:marRight w:val="0"/>
      <w:marTop w:val="0"/>
      <w:marBottom w:val="0"/>
      <w:divBdr>
        <w:top w:val="none" w:sz="0" w:space="0" w:color="auto"/>
        <w:left w:val="none" w:sz="0" w:space="0" w:color="auto"/>
        <w:bottom w:val="none" w:sz="0" w:space="0" w:color="auto"/>
        <w:right w:val="none" w:sz="0" w:space="0" w:color="auto"/>
      </w:divBdr>
    </w:div>
    <w:div w:id="1065642705">
      <w:bodyDiv w:val="1"/>
      <w:marLeft w:val="0"/>
      <w:marRight w:val="0"/>
      <w:marTop w:val="0"/>
      <w:marBottom w:val="0"/>
      <w:divBdr>
        <w:top w:val="none" w:sz="0" w:space="0" w:color="auto"/>
        <w:left w:val="none" w:sz="0" w:space="0" w:color="auto"/>
        <w:bottom w:val="none" w:sz="0" w:space="0" w:color="auto"/>
        <w:right w:val="none" w:sz="0" w:space="0" w:color="auto"/>
      </w:divBdr>
    </w:div>
    <w:div w:id="1071393930">
      <w:bodyDiv w:val="1"/>
      <w:marLeft w:val="0"/>
      <w:marRight w:val="0"/>
      <w:marTop w:val="0"/>
      <w:marBottom w:val="0"/>
      <w:divBdr>
        <w:top w:val="none" w:sz="0" w:space="0" w:color="auto"/>
        <w:left w:val="none" w:sz="0" w:space="0" w:color="auto"/>
        <w:bottom w:val="none" w:sz="0" w:space="0" w:color="auto"/>
        <w:right w:val="none" w:sz="0" w:space="0" w:color="auto"/>
      </w:divBdr>
    </w:div>
    <w:div w:id="1072504162">
      <w:bodyDiv w:val="1"/>
      <w:marLeft w:val="0"/>
      <w:marRight w:val="0"/>
      <w:marTop w:val="0"/>
      <w:marBottom w:val="0"/>
      <w:divBdr>
        <w:top w:val="none" w:sz="0" w:space="0" w:color="auto"/>
        <w:left w:val="none" w:sz="0" w:space="0" w:color="auto"/>
        <w:bottom w:val="none" w:sz="0" w:space="0" w:color="auto"/>
        <w:right w:val="none" w:sz="0" w:space="0" w:color="auto"/>
      </w:divBdr>
    </w:div>
    <w:div w:id="1072855590">
      <w:bodyDiv w:val="1"/>
      <w:marLeft w:val="0"/>
      <w:marRight w:val="0"/>
      <w:marTop w:val="0"/>
      <w:marBottom w:val="0"/>
      <w:divBdr>
        <w:top w:val="none" w:sz="0" w:space="0" w:color="auto"/>
        <w:left w:val="none" w:sz="0" w:space="0" w:color="auto"/>
        <w:bottom w:val="none" w:sz="0" w:space="0" w:color="auto"/>
        <w:right w:val="none" w:sz="0" w:space="0" w:color="auto"/>
      </w:divBdr>
    </w:div>
    <w:div w:id="1093555742">
      <w:bodyDiv w:val="1"/>
      <w:marLeft w:val="0"/>
      <w:marRight w:val="0"/>
      <w:marTop w:val="0"/>
      <w:marBottom w:val="0"/>
      <w:divBdr>
        <w:top w:val="none" w:sz="0" w:space="0" w:color="auto"/>
        <w:left w:val="none" w:sz="0" w:space="0" w:color="auto"/>
        <w:bottom w:val="none" w:sz="0" w:space="0" w:color="auto"/>
        <w:right w:val="none" w:sz="0" w:space="0" w:color="auto"/>
      </w:divBdr>
    </w:div>
    <w:div w:id="1096557934">
      <w:bodyDiv w:val="1"/>
      <w:marLeft w:val="0"/>
      <w:marRight w:val="0"/>
      <w:marTop w:val="0"/>
      <w:marBottom w:val="0"/>
      <w:divBdr>
        <w:top w:val="none" w:sz="0" w:space="0" w:color="auto"/>
        <w:left w:val="none" w:sz="0" w:space="0" w:color="auto"/>
        <w:bottom w:val="none" w:sz="0" w:space="0" w:color="auto"/>
        <w:right w:val="none" w:sz="0" w:space="0" w:color="auto"/>
      </w:divBdr>
    </w:div>
    <w:div w:id="1097211861">
      <w:bodyDiv w:val="1"/>
      <w:marLeft w:val="0"/>
      <w:marRight w:val="0"/>
      <w:marTop w:val="0"/>
      <w:marBottom w:val="0"/>
      <w:divBdr>
        <w:top w:val="none" w:sz="0" w:space="0" w:color="auto"/>
        <w:left w:val="none" w:sz="0" w:space="0" w:color="auto"/>
        <w:bottom w:val="none" w:sz="0" w:space="0" w:color="auto"/>
        <w:right w:val="none" w:sz="0" w:space="0" w:color="auto"/>
      </w:divBdr>
    </w:div>
    <w:div w:id="1108351285">
      <w:bodyDiv w:val="1"/>
      <w:marLeft w:val="0"/>
      <w:marRight w:val="0"/>
      <w:marTop w:val="0"/>
      <w:marBottom w:val="0"/>
      <w:divBdr>
        <w:top w:val="none" w:sz="0" w:space="0" w:color="auto"/>
        <w:left w:val="none" w:sz="0" w:space="0" w:color="auto"/>
        <w:bottom w:val="none" w:sz="0" w:space="0" w:color="auto"/>
        <w:right w:val="none" w:sz="0" w:space="0" w:color="auto"/>
      </w:divBdr>
    </w:div>
    <w:div w:id="1120151306">
      <w:bodyDiv w:val="1"/>
      <w:marLeft w:val="0"/>
      <w:marRight w:val="0"/>
      <w:marTop w:val="0"/>
      <w:marBottom w:val="0"/>
      <w:divBdr>
        <w:top w:val="none" w:sz="0" w:space="0" w:color="auto"/>
        <w:left w:val="none" w:sz="0" w:space="0" w:color="auto"/>
        <w:bottom w:val="none" w:sz="0" w:space="0" w:color="auto"/>
        <w:right w:val="none" w:sz="0" w:space="0" w:color="auto"/>
      </w:divBdr>
    </w:div>
    <w:div w:id="1120296216">
      <w:bodyDiv w:val="1"/>
      <w:marLeft w:val="0"/>
      <w:marRight w:val="0"/>
      <w:marTop w:val="0"/>
      <w:marBottom w:val="0"/>
      <w:divBdr>
        <w:top w:val="none" w:sz="0" w:space="0" w:color="auto"/>
        <w:left w:val="none" w:sz="0" w:space="0" w:color="auto"/>
        <w:bottom w:val="none" w:sz="0" w:space="0" w:color="auto"/>
        <w:right w:val="none" w:sz="0" w:space="0" w:color="auto"/>
      </w:divBdr>
    </w:div>
    <w:div w:id="1121143044">
      <w:bodyDiv w:val="1"/>
      <w:marLeft w:val="0"/>
      <w:marRight w:val="0"/>
      <w:marTop w:val="0"/>
      <w:marBottom w:val="0"/>
      <w:divBdr>
        <w:top w:val="none" w:sz="0" w:space="0" w:color="auto"/>
        <w:left w:val="none" w:sz="0" w:space="0" w:color="auto"/>
        <w:bottom w:val="none" w:sz="0" w:space="0" w:color="auto"/>
        <w:right w:val="none" w:sz="0" w:space="0" w:color="auto"/>
      </w:divBdr>
    </w:div>
    <w:div w:id="1125730309">
      <w:bodyDiv w:val="1"/>
      <w:marLeft w:val="0"/>
      <w:marRight w:val="0"/>
      <w:marTop w:val="0"/>
      <w:marBottom w:val="0"/>
      <w:divBdr>
        <w:top w:val="none" w:sz="0" w:space="0" w:color="auto"/>
        <w:left w:val="none" w:sz="0" w:space="0" w:color="auto"/>
        <w:bottom w:val="none" w:sz="0" w:space="0" w:color="auto"/>
        <w:right w:val="none" w:sz="0" w:space="0" w:color="auto"/>
      </w:divBdr>
    </w:div>
    <w:div w:id="1141118478">
      <w:bodyDiv w:val="1"/>
      <w:marLeft w:val="0"/>
      <w:marRight w:val="0"/>
      <w:marTop w:val="0"/>
      <w:marBottom w:val="0"/>
      <w:divBdr>
        <w:top w:val="none" w:sz="0" w:space="0" w:color="auto"/>
        <w:left w:val="none" w:sz="0" w:space="0" w:color="auto"/>
        <w:bottom w:val="none" w:sz="0" w:space="0" w:color="auto"/>
        <w:right w:val="none" w:sz="0" w:space="0" w:color="auto"/>
      </w:divBdr>
    </w:div>
    <w:div w:id="1145391564">
      <w:bodyDiv w:val="1"/>
      <w:marLeft w:val="0"/>
      <w:marRight w:val="0"/>
      <w:marTop w:val="0"/>
      <w:marBottom w:val="0"/>
      <w:divBdr>
        <w:top w:val="none" w:sz="0" w:space="0" w:color="auto"/>
        <w:left w:val="none" w:sz="0" w:space="0" w:color="auto"/>
        <w:bottom w:val="none" w:sz="0" w:space="0" w:color="auto"/>
        <w:right w:val="none" w:sz="0" w:space="0" w:color="auto"/>
      </w:divBdr>
    </w:div>
    <w:div w:id="1145512925">
      <w:bodyDiv w:val="1"/>
      <w:marLeft w:val="0"/>
      <w:marRight w:val="0"/>
      <w:marTop w:val="0"/>
      <w:marBottom w:val="0"/>
      <w:divBdr>
        <w:top w:val="none" w:sz="0" w:space="0" w:color="auto"/>
        <w:left w:val="none" w:sz="0" w:space="0" w:color="auto"/>
        <w:bottom w:val="none" w:sz="0" w:space="0" w:color="auto"/>
        <w:right w:val="none" w:sz="0" w:space="0" w:color="auto"/>
      </w:divBdr>
    </w:div>
    <w:div w:id="1147353619">
      <w:bodyDiv w:val="1"/>
      <w:marLeft w:val="0"/>
      <w:marRight w:val="0"/>
      <w:marTop w:val="0"/>
      <w:marBottom w:val="0"/>
      <w:divBdr>
        <w:top w:val="none" w:sz="0" w:space="0" w:color="auto"/>
        <w:left w:val="none" w:sz="0" w:space="0" w:color="auto"/>
        <w:bottom w:val="none" w:sz="0" w:space="0" w:color="auto"/>
        <w:right w:val="none" w:sz="0" w:space="0" w:color="auto"/>
      </w:divBdr>
    </w:div>
    <w:div w:id="1153568104">
      <w:bodyDiv w:val="1"/>
      <w:marLeft w:val="0"/>
      <w:marRight w:val="0"/>
      <w:marTop w:val="0"/>
      <w:marBottom w:val="0"/>
      <w:divBdr>
        <w:top w:val="none" w:sz="0" w:space="0" w:color="auto"/>
        <w:left w:val="none" w:sz="0" w:space="0" w:color="auto"/>
        <w:bottom w:val="none" w:sz="0" w:space="0" w:color="auto"/>
        <w:right w:val="none" w:sz="0" w:space="0" w:color="auto"/>
      </w:divBdr>
    </w:div>
    <w:div w:id="1154563260">
      <w:bodyDiv w:val="1"/>
      <w:marLeft w:val="0"/>
      <w:marRight w:val="0"/>
      <w:marTop w:val="0"/>
      <w:marBottom w:val="0"/>
      <w:divBdr>
        <w:top w:val="none" w:sz="0" w:space="0" w:color="auto"/>
        <w:left w:val="none" w:sz="0" w:space="0" w:color="auto"/>
        <w:bottom w:val="none" w:sz="0" w:space="0" w:color="auto"/>
        <w:right w:val="none" w:sz="0" w:space="0" w:color="auto"/>
      </w:divBdr>
    </w:div>
    <w:div w:id="1161388658">
      <w:bodyDiv w:val="1"/>
      <w:marLeft w:val="0"/>
      <w:marRight w:val="0"/>
      <w:marTop w:val="0"/>
      <w:marBottom w:val="0"/>
      <w:divBdr>
        <w:top w:val="none" w:sz="0" w:space="0" w:color="auto"/>
        <w:left w:val="none" w:sz="0" w:space="0" w:color="auto"/>
        <w:bottom w:val="none" w:sz="0" w:space="0" w:color="auto"/>
        <w:right w:val="none" w:sz="0" w:space="0" w:color="auto"/>
      </w:divBdr>
    </w:div>
    <w:div w:id="1170682647">
      <w:bodyDiv w:val="1"/>
      <w:marLeft w:val="0"/>
      <w:marRight w:val="0"/>
      <w:marTop w:val="0"/>
      <w:marBottom w:val="0"/>
      <w:divBdr>
        <w:top w:val="none" w:sz="0" w:space="0" w:color="auto"/>
        <w:left w:val="none" w:sz="0" w:space="0" w:color="auto"/>
        <w:bottom w:val="none" w:sz="0" w:space="0" w:color="auto"/>
        <w:right w:val="none" w:sz="0" w:space="0" w:color="auto"/>
      </w:divBdr>
    </w:div>
    <w:div w:id="1173298197">
      <w:bodyDiv w:val="1"/>
      <w:marLeft w:val="0"/>
      <w:marRight w:val="0"/>
      <w:marTop w:val="0"/>
      <w:marBottom w:val="0"/>
      <w:divBdr>
        <w:top w:val="none" w:sz="0" w:space="0" w:color="auto"/>
        <w:left w:val="none" w:sz="0" w:space="0" w:color="auto"/>
        <w:bottom w:val="none" w:sz="0" w:space="0" w:color="auto"/>
        <w:right w:val="none" w:sz="0" w:space="0" w:color="auto"/>
      </w:divBdr>
    </w:div>
    <w:div w:id="1173836943">
      <w:bodyDiv w:val="1"/>
      <w:marLeft w:val="0"/>
      <w:marRight w:val="0"/>
      <w:marTop w:val="0"/>
      <w:marBottom w:val="0"/>
      <w:divBdr>
        <w:top w:val="none" w:sz="0" w:space="0" w:color="auto"/>
        <w:left w:val="none" w:sz="0" w:space="0" w:color="auto"/>
        <w:bottom w:val="none" w:sz="0" w:space="0" w:color="auto"/>
        <w:right w:val="none" w:sz="0" w:space="0" w:color="auto"/>
      </w:divBdr>
    </w:div>
    <w:div w:id="1189180691">
      <w:bodyDiv w:val="1"/>
      <w:marLeft w:val="0"/>
      <w:marRight w:val="0"/>
      <w:marTop w:val="0"/>
      <w:marBottom w:val="0"/>
      <w:divBdr>
        <w:top w:val="none" w:sz="0" w:space="0" w:color="auto"/>
        <w:left w:val="none" w:sz="0" w:space="0" w:color="auto"/>
        <w:bottom w:val="none" w:sz="0" w:space="0" w:color="auto"/>
        <w:right w:val="none" w:sz="0" w:space="0" w:color="auto"/>
      </w:divBdr>
    </w:div>
    <w:div w:id="1198083898">
      <w:bodyDiv w:val="1"/>
      <w:marLeft w:val="0"/>
      <w:marRight w:val="0"/>
      <w:marTop w:val="0"/>
      <w:marBottom w:val="0"/>
      <w:divBdr>
        <w:top w:val="none" w:sz="0" w:space="0" w:color="auto"/>
        <w:left w:val="none" w:sz="0" w:space="0" w:color="auto"/>
        <w:bottom w:val="none" w:sz="0" w:space="0" w:color="auto"/>
        <w:right w:val="none" w:sz="0" w:space="0" w:color="auto"/>
      </w:divBdr>
    </w:div>
    <w:div w:id="1199780358">
      <w:bodyDiv w:val="1"/>
      <w:marLeft w:val="0"/>
      <w:marRight w:val="0"/>
      <w:marTop w:val="0"/>
      <w:marBottom w:val="0"/>
      <w:divBdr>
        <w:top w:val="none" w:sz="0" w:space="0" w:color="auto"/>
        <w:left w:val="none" w:sz="0" w:space="0" w:color="auto"/>
        <w:bottom w:val="none" w:sz="0" w:space="0" w:color="auto"/>
        <w:right w:val="none" w:sz="0" w:space="0" w:color="auto"/>
      </w:divBdr>
    </w:div>
    <w:div w:id="1212619588">
      <w:bodyDiv w:val="1"/>
      <w:marLeft w:val="0"/>
      <w:marRight w:val="0"/>
      <w:marTop w:val="0"/>
      <w:marBottom w:val="0"/>
      <w:divBdr>
        <w:top w:val="none" w:sz="0" w:space="0" w:color="auto"/>
        <w:left w:val="none" w:sz="0" w:space="0" w:color="auto"/>
        <w:bottom w:val="none" w:sz="0" w:space="0" w:color="auto"/>
        <w:right w:val="none" w:sz="0" w:space="0" w:color="auto"/>
      </w:divBdr>
    </w:div>
    <w:div w:id="1219363500">
      <w:bodyDiv w:val="1"/>
      <w:marLeft w:val="0"/>
      <w:marRight w:val="0"/>
      <w:marTop w:val="0"/>
      <w:marBottom w:val="0"/>
      <w:divBdr>
        <w:top w:val="none" w:sz="0" w:space="0" w:color="auto"/>
        <w:left w:val="none" w:sz="0" w:space="0" w:color="auto"/>
        <w:bottom w:val="none" w:sz="0" w:space="0" w:color="auto"/>
        <w:right w:val="none" w:sz="0" w:space="0" w:color="auto"/>
      </w:divBdr>
    </w:div>
    <w:div w:id="1222909507">
      <w:bodyDiv w:val="1"/>
      <w:marLeft w:val="0"/>
      <w:marRight w:val="0"/>
      <w:marTop w:val="0"/>
      <w:marBottom w:val="0"/>
      <w:divBdr>
        <w:top w:val="none" w:sz="0" w:space="0" w:color="auto"/>
        <w:left w:val="none" w:sz="0" w:space="0" w:color="auto"/>
        <w:bottom w:val="none" w:sz="0" w:space="0" w:color="auto"/>
        <w:right w:val="none" w:sz="0" w:space="0" w:color="auto"/>
      </w:divBdr>
    </w:div>
    <w:div w:id="1234967855">
      <w:bodyDiv w:val="1"/>
      <w:marLeft w:val="0"/>
      <w:marRight w:val="0"/>
      <w:marTop w:val="0"/>
      <w:marBottom w:val="0"/>
      <w:divBdr>
        <w:top w:val="none" w:sz="0" w:space="0" w:color="auto"/>
        <w:left w:val="none" w:sz="0" w:space="0" w:color="auto"/>
        <w:bottom w:val="none" w:sz="0" w:space="0" w:color="auto"/>
        <w:right w:val="none" w:sz="0" w:space="0" w:color="auto"/>
      </w:divBdr>
    </w:div>
    <w:div w:id="1237781340">
      <w:bodyDiv w:val="1"/>
      <w:marLeft w:val="0"/>
      <w:marRight w:val="0"/>
      <w:marTop w:val="0"/>
      <w:marBottom w:val="0"/>
      <w:divBdr>
        <w:top w:val="none" w:sz="0" w:space="0" w:color="auto"/>
        <w:left w:val="none" w:sz="0" w:space="0" w:color="auto"/>
        <w:bottom w:val="none" w:sz="0" w:space="0" w:color="auto"/>
        <w:right w:val="none" w:sz="0" w:space="0" w:color="auto"/>
      </w:divBdr>
    </w:div>
    <w:div w:id="1240403755">
      <w:bodyDiv w:val="1"/>
      <w:marLeft w:val="0"/>
      <w:marRight w:val="0"/>
      <w:marTop w:val="0"/>
      <w:marBottom w:val="0"/>
      <w:divBdr>
        <w:top w:val="none" w:sz="0" w:space="0" w:color="auto"/>
        <w:left w:val="none" w:sz="0" w:space="0" w:color="auto"/>
        <w:bottom w:val="none" w:sz="0" w:space="0" w:color="auto"/>
        <w:right w:val="none" w:sz="0" w:space="0" w:color="auto"/>
      </w:divBdr>
    </w:div>
    <w:div w:id="1240821565">
      <w:bodyDiv w:val="1"/>
      <w:marLeft w:val="0"/>
      <w:marRight w:val="0"/>
      <w:marTop w:val="0"/>
      <w:marBottom w:val="0"/>
      <w:divBdr>
        <w:top w:val="none" w:sz="0" w:space="0" w:color="auto"/>
        <w:left w:val="none" w:sz="0" w:space="0" w:color="auto"/>
        <w:bottom w:val="none" w:sz="0" w:space="0" w:color="auto"/>
        <w:right w:val="none" w:sz="0" w:space="0" w:color="auto"/>
      </w:divBdr>
    </w:div>
    <w:div w:id="1251305509">
      <w:bodyDiv w:val="1"/>
      <w:marLeft w:val="0"/>
      <w:marRight w:val="0"/>
      <w:marTop w:val="0"/>
      <w:marBottom w:val="0"/>
      <w:divBdr>
        <w:top w:val="none" w:sz="0" w:space="0" w:color="auto"/>
        <w:left w:val="none" w:sz="0" w:space="0" w:color="auto"/>
        <w:bottom w:val="none" w:sz="0" w:space="0" w:color="auto"/>
        <w:right w:val="none" w:sz="0" w:space="0" w:color="auto"/>
      </w:divBdr>
    </w:div>
    <w:div w:id="1254826369">
      <w:bodyDiv w:val="1"/>
      <w:marLeft w:val="0"/>
      <w:marRight w:val="0"/>
      <w:marTop w:val="0"/>
      <w:marBottom w:val="0"/>
      <w:divBdr>
        <w:top w:val="none" w:sz="0" w:space="0" w:color="auto"/>
        <w:left w:val="none" w:sz="0" w:space="0" w:color="auto"/>
        <w:bottom w:val="none" w:sz="0" w:space="0" w:color="auto"/>
        <w:right w:val="none" w:sz="0" w:space="0" w:color="auto"/>
      </w:divBdr>
    </w:div>
    <w:div w:id="1263759184">
      <w:bodyDiv w:val="1"/>
      <w:marLeft w:val="0"/>
      <w:marRight w:val="0"/>
      <w:marTop w:val="0"/>
      <w:marBottom w:val="0"/>
      <w:divBdr>
        <w:top w:val="none" w:sz="0" w:space="0" w:color="auto"/>
        <w:left w:val="none" w:sz="0" w:space="0" w:color="auto"/>
        <w:bottom w:val="none" w:sz="0" w:space="0" w:color="auto"/>
        <w:right w:val="none" w:sz="0" w:space="0" w:color="auto"/>
      </w:divBdr>
    </w:div>
    <w:div w:id="1269658930">
      <w:bodyDiv w:val="1"/>
      <w:marLeft w:val="0"/>
      <w:marRight w:val="0"/>
      <w:marTop w:val="0"/>
      <w:marBottom w:val="0"/>
      <w:divBdr>
        <w:top w:val="none" w:sz="0" w:space="0" w:color="auto"/>
        <w:left w:val="none" w:sz="0" w:space="0" w:color="auto"/>
        <w:bottom w:val="none" w:sz="0" w:space="0" w:color="auto"/>
        <w:right w:val="none" w:sz="0" w:space="0" w:color="auto"/>
      </w:divBdr>
    </w:div>
    <w:div w:id="1271430719">
      <w:bodyDiv w:val="1"/>
      <w:marLeft w:val="0"/>
      <w:marRight w:val="0"/>
      <w:marTop w:val="0"/>
      <w:marBottom w:val="0"/>
      <w:divBdr>
        <w:top w:val="none" w:sz="0" w:space="0" w:color="auto"/>
        <w:left w:val="none" w:sz="0" w:space="0" w:color="auto"/>
        <w:bottom w:val="none" w:sz="0" w:space="0" w:color="auto"/>
        <w:right w:val="none" w:sz="0" w:space="0" w:color="auto"/>
      </w:divBdr>
    </w:div>
    <w:div w:id="1274439399">
      <w:bodyDiv w:val="1"/>
      <w:marLeft w:val="0"/>
      <w:marRight w:val="0"/>
      <w:marTop w:val="0"/>
      <w:marBottom w:val="0"/>
      <w:divBdr>
        <w:top w:val="none" w:sz="0" w:space="0" w:color="auto"/>
        <w:left w:val="none" w:sz="0" w:space="0" w:color="auto"/>
        <w:bottom w:val="none" w:sz="0" w:space="0" w:color="auto"/>
        <w:right w:val="none" w:sz="0" w:space="0" w:color="auto"/>
      </w:divBdr>
    </w:div>
    <w:div w:id="1275282209">
      <w:bodyDiv w:val="1"/>
      <w:marLeft w:val="0"/>
      <w:marRight w:val="0"/>
      <w:marTop w:val="0"/>
      <w:marBottom w:val="0"/>
      <w:divBdr>
        <w:top w:val="none" w:sz="0" w:space="0" w:color="auto"/>
        <w:left w:val="none" w:sz="0" w:space="0" w:color="auto"/>
        <w:bottom w:val="none" w:sz="0" w:space="0" w:color="auto"/>
        <w:right w:val="none" w:sz="0" w:space="0" w:color="auto"/>
      </w:divBdr>
    </w:div>
    <w:div w:id="1276059871">
      <w:bodyDiv w:val="1"/>
      <w:marLeft w:val="0"/>
      <w:marRight w:val="0"/>
      <w:marTop w:val="0"/>
      <w:marBottom w:val="0"/>
      <w:divBdr>
        <w:top w:val="none" w:sz="0" w:space="0" w:color="auto"/>
        <w:left w:val="none" w:sz="0" w:space="0" w:color="auto"/>
        <w:bottom w:val="none" w:sz="0" w:space="0" w:color="auto"/>
        <w:right w:val="none" w:sz="0" w:space="0" w:color="auto"/>
      </w:divBdr>
    </w:div>
    <w:div w:id="1278836059">
      <w:bodyDiv w:val="1"/>
      <w:marLeft w:val="0"/>
      <w:marRight w:val="0"/>
      <w:marTop w:val="0"/>
      <w:marBottom w:val="0"/>
      <w:divBdr>
        <w:top w:val="none" w:sz="0" w:space="0" w:color="auto"/>
        <w:left w:val="none" w:sz="0" w:space="0" w:color="auto"/>
        <w:bottom w:val="none" w:sz="0" w:space="0" w:color="auto"/>
        <w:right w:val="none" w:sz="0" w:space="0" w:color="auto"/>
      </w:divBdr>
    </w:div>
    <w:div w:id="1286885720">
      <w:bodyDiv w:val="1"/>
      <w:marLeft w:val="0"/>
      <w:marRight w:val="0"/>
      <w:marTop w:val="0"/>
      <w:marBottom w:val="0"/>
      <w:divBdr>
        <w:top w:val="none" w:sz="0" w:space="0" w:color="auto"/>
        <w:left w:val="none" w:sz="0" w:space="0" w:color="auto"/>
        <w:bottom w:val="none" w:sz="0" w:space="0" w:color="auto"/>
        <w:right w:val="none" w:sz="0" w:space="0" w:color="auto"/>
      </w:divBdr>
    </w:div>
    <w:div w:id="1299455246">
      <w:bodyDiv w:val="1"/>
      <w:marLeft w:val="0"/>
      <w:marRight w:val="0"/>
      <w:marTop w:val="0"/>
      <w:marBottom w:val="0"/>
      <w:divBdr>
        <w:top w:val="none" w:sz="0" w:space="0" w:color="auto"/>
        <w:left w:val="none" w:sz="0" w:space="0" w:color="auto"/>
        <w:bottom w:val="none" w:sz="0" w:space="0" w:color="auto"/>
        <w:right w:val="none" w:sz="0" w:space="0" w:color="auto"/>
      </w:divBdr>
    </w:div>
    <w:div w:id="1303774012">
      <w:bodyDiv w:val="1"/>
      <w:marLeft w:val="0"/>
      <w:marRight w:val="0"/>
      <w:marTop w:val="0"/>
      <w:marBottom w:val="0"/>
      <w:divBdr>
        <w:top w:val="none" w:sz="0" w:space="0" w:color="auto"/>
        <w:left w:val="none" w:sz="0" w:space="0" w:color="auto"/>
        <w:bottom w:val="none" w:sz="0" w:space="0" w:color="auto"/>
        <w:right w:val="none" w:sz="0" w:space="0" w:color="auto"/>
      </w:divBdr>
    </w:div>
    <w:div w:id="1312753704">
      <w:bodyDiv w:val="1"/>
      <w:marLeft w:val="0"/>
      <w:marRight w:val="0"/>
      <w:marTop w:val="0"/>
      <w:marBottom w:val="0"/>
      <w:divBdr>
        <w:top w:val="none" w:sz="0" w:space="0" w:color="auto"/>
        <w:left w:val="none" w:sz="0" w:space="0" w:color="auto"/>
        <w:bottom w:val="none" w:sz="0" w:space="0" w:color="auto"/>
        <w:right w:val="none" w:sz="0" w:space="0" w:color="auto"/>
      </w:divBdr>
    </w:div>
    <w:div w:id="1334184484">
      <w:bodyDiv w:val="1"/>
      <w:marLeft w:val="0"/>
      <w:marRight w:val="0"/>
      <w:marTop w:val="0"/>
      <w:marBottom w:val="0"/>
      <w:divBdr>
        <w:top w:val="none" w:sz="0" w:space="0" w:color="auto"/>
        <w:left w:val="none" w:sz="0" w:space="0" w:color="auto"/>
        <w:bottom w:val="none" w:sz="0" w:space="0" w:color="auto"/>
        <w:right w:val="none" w:sz="0" w:space="0" w:color="auto"/>
      </w:divBdr>
    </w:div>
    <w:div w:id="1338266151">
      <w:bodyDiv w:val="1"/>
      <w:marLeft w:val="0"/>
      <w:marRight w:val="0"/>
      <w:marTop w:val="0"/>
      <w:marBottom w:val="0"/>
      <w:divBdr>
        <w:top w:val="none" w:sz="0" w:space="0" w:color="auto"/>
        <w:left w:val="none" w:sz="0" w:space="0" w:color="auto"/>
        <w:bottom w:val="none" w:sz="0" w:space="0" w:color="auto"/>
        <w:right w:val="none" w:sz="0" w:space="0" w:color="auto"/>
      </w:divBdr>
    </w:div>
    <w:div w:id="1338271264">
      <w:bodyDiv w:val="1"/>
      <w:marLeft w:val="0"/>
      <w:marRight w:val="0"/>
      <w:marTop w:val="0"/>
      <w:marBottom w:val="0"/>
      <w:divBdr>
        <w:top w:val="none" w:sz="0" w:space="0" w:color="auto"/>
        <w:left w:val="none" w:sz="0" w:space="0" w:color="auto"/>
        <w:bottom w:val="none" w:sz="0" w:space="0" w:color="auto"/>
        <w:right w:val="none" w:sz="0" w:space="0" w:color="auto"/>
      </w:divBdr>
    </w:div>
    <w:div w:id="1338314553">
      <w:bodyDiv w:val="1"/>
      <w:marLeft w:val="0"/>
      <w:marRight w:val="0"/>
      <w:marTop w:val="0"/>
      <w:marBottom w:val="0"/>
      <w:divBdr>
        <w:top w:val="none" w:sz="0" w:space="0" w:color="auto"/>
        <w:left w:val="none" w:sz="0" w:space="0" w:color="auto"/>
        <w:bottom w:val="none" w:sz="0" w:space="0" w:color="auto"/>
        <w:right w:val="none" w:sz="0" w:space="0" w:color="auto"/>
      </w:divBdr>
    </w:div>
    <w:div w:id="1339388465">
      <w:bodyDiv w:val="1"/>
      <w:marLeft w:val="0"/>
      <w:marRight w:val="0"/>
      <w:marTop w:val="0"/>
      <w:marBottom w:val="0"/>
      <w:divBdr>
        <w:top w:val="none" w:sz="0" w:space="0" w:color="auto"/>
        <w:left w:val="none" w:sz="0" w:space="0" w:color="auto"/>
        <w:bottom w:val="none" w:sz="0" w:space="0" w:color="auto"/>
        <w:right w:val="none" w:sz="0" w:space="0" w:color="auto"/>
      </w:divBdr>
    </w:div>
    <w:div w:id="1340035374">
      <w:bodyDiv w:val="1"/>
      <w:marLeft w:val="0"/>
      <w:marRight w:val="0"/>
      <w:marTop w:val="0"/>
      <w:marBottom w:val="0"/>
      <w:divBdr>
        <w:top w:val="none" w:sz="0" w:space="0" w:color="auto"/>
        <w:left w:val="none" w:sz="0" w:space="0" w:color="auto"/>
        <w:bottom w:val="none" w:sz="0" w:space="0" w:color="auto"/>
        <w:right w:val="none" w:sz="0" w:space="0" w:color="auto"/>
      </w:divBdr>
    </w:div>
    <w:div w:id="1341815243">
      <w:bodyDiv w:val="1"/>
      <w:marLeft w:val="0"/>
      <w:marRight w:val="0"/>
      <w:marTop w:val="0"/>
      <w:marBottom w:val="0"/>
      <w:divBdr>
        <w:top w:val="none" w:sz="0" w:space="0" w:color="auto"/>
        <w:left w:val="none" w:sz="0" w:space="0" w:color="auto"/>
        <w:bottom w:val="none" w:sz="0" w:space="0" w:color="auto"/>
        <w:right w:val="none" w:sz="0" w:space="0" w:color="auto"/>
      </w:divBdr>
    </w:div>
    <w:div w:id="1367147011">
      <w:bodyDiv w:val="1"/>
      <w:marLeft w:val="0"/>
      <w:marRight w:val="0"/>
      <w:marTop w:val="0"/>
      <w:marBottom w:val="0"/>
      <w:divBdr>
        <w:top w:val="none" w:sz="0" w:space="0" w:color="auto"/>
        <w:left w:val="none" w:sz="0" w:space="0" w:color="auto"/>
        <w:bottom w:val="none" w:sz="0" w:space="0" w:color="auto"/>
        <w:right w:val="none" w:sz="0" w:space="0" w:color="auto"/>
      </w:divBdr>
    </w:div>
    <w:div w:id="1372343313">
      <w:bodyDiv w:val="1"/>
      <w:marLeft w:val="0"/>
      <w:marRight w:val="0"/>
      <w:marTop w:val="0"/>
      <w:marBottom w:val="0"/>
      <w:divBdr>
        <w:top w:val="none" w:sz="0" w:space="0" w:color="auto"/>
        <w:left w:val="none" w:sz="0" w:space="0" w:color="auto"/>
        <w:bottom w:val="none" w:sz="0" w:space="0" w:color="auto"/>
        <w:right w:val="none" w:sz="0" w:space="0" w:color="auto"/>
      </w:divBdr>
    </w:div>
    <w:div w:id="1374698825">
      <w:bodyDiv w:val="1"/>
      <w:marLeft w:val="0"/>
      <w:marRight w:val="0"/>
      <w:marTop w:val="0"/>
      <w:marBottom w:val="0"/>
      <w:divBdr>
        <w:top w:val="none" w:sz="0" w:space="0" w:color="auto"/>
        <w:left w:val="none" w:sz="0" w:space="0" w:color="auto"/>
        <w:bottom w:val="none" w:sz="0" w:space="0" w:color="auto"/>
        <w:right w:val="none" w:sz="0" w:space="0" w:color="auto"/>
      </w:divBdr>
    </w:div>
    <w:div w:id="1381972568">
      <w:bodyDiv w:val="1"/>
      <w:marLeft w:val="0"/>
      <w:marRight w:val="0"/>
      <w:marTop w:val="0"/>
      <w:marBottom w:val="0"/>
      <w:divBdr>
        <w:top w:val="none" w:sz="0" w:space="0" w:color="auto"/>
        <w:left w:val="none" w:sz="0" w:space="0" w:color="auto"/>
        <w:bottom w:val="none" w:sz="0" w:space="0" w:color="auto"/>
        <w:right w:val="none" w:sz="0" w:space="0" w:color="auto"/>
      </w:divBdr>
    </w:div>
    <w:div w:id="1390768372">
      <w:bodyDiv w:val="1"/>
      <w:marLeft w:val="0"/>
      <w:marRight w:val="0"/>
      <w:marTop w:val="0"/>
      <w:marBottom w:val="0"/>
      <w:divBdr>
        <w:top w:val="none" w:sz="0" w:space="0" w:color="auto"/>
        <w:left w:val="none" w:sz="0" w:space="0" w:color="auto"/>
        <w:bottom w:val="none" w:sz="0" w:space="0" w:color="auto"/>
        <w:right w:val="none" w:sz="0" w:space="0" w:color="auto"/>
      </w:divBdr>
    </w:div>
    <w:div w:id="1395280239">
      <w:bodyDiv w:val="1"/>
      <w:marLeft w:val="0"/>
      <w:marRight w:val="0"/>
      <w:marTop w:val="0"/>
      <w:marBottom w:val="0"/>
      <w:divBdr>
        <w:top w:val="none" w:sz="0" w:space="0" w:color="auto"/>
        <w:left w:val="none" w:sz="0" w:space="0" w:color="auto"/>
        <w:bottom w:val="none" w:sz="0" w:space="0" w:color="auto"/>
        <w:right w:val="none" w:sz="0" w:space="0" w:color="auto"/>
      </w:divBdr>
    </w:div>
    <w:div w:id="1402676138">
      <w:bodyDiv w:val="1"/>
      <w:marLeft w:val="0"/>
      <w:marRight w:val="0"/>
      <w:marTop w:val="0"/>
      <w:marBottom w:val="0"/>
      <w:divBdr>
        <w:top w:val="none" w:sz="0" w:space="0" w:color="auto"/>
        <w:left w:val="none" w:sz="0" w:space="0" w:color="auto"/>
        <w:bottom w:val="none" w:sz="0" w:space="0" w:color="auto"/>
        <w:right w:val="none" w:sz="0" w:space="0" w:color="auto"/>
      </w:divBdr>
    </w:div>
    <w:div w:id="1408455460">
      <w:bodyDiv w:val="1"/>
      <w:marLeft w:val="0"/>
      <w:marRight w:val="0"/>
      <w:marTop w:val="0"/>
      <w:marBottom w:val="0"/>
      <w:divBdr>
        <w:top w:val="none" w:sz="0" w:space="0" w:color="auto"/>
        <w:left w:val="none" w:sz="0" w:space="0" w:color="auto"/>
        <w:bottom w:val="none" w:sz="0" w:space="0" w:color="auto"/>
        <w:right w:val="none" w:sz="0" w:space="0" w:color="auto"/>
      </w:divBdr>
    </w:div>
    <w:div w:id="1408651577">
      <w:bodyDiv w:val="1"/>
      <w:marLeft w:val="0"/>
      <w:marRight w:val="0"/>
      <w:marTop w:val="0"/>
      <w:marBottom w:val="0"/>
      <w:divBdr>
        <w:top w:val="none" w:sz="0" w:space="0" w:color="auto"/>
        <w:left w:val="none" w:sz="0" w:space="0" w:color="auto"/>
        <w:bottom w:val="none" w:sz="0" w:space="0" w:color="auto"/>
        <w:right w:val="none" w:sz="0" w:space="0" w:color="auto"/>
      </w:divBdr>
    </w:div>
    <w:div w:id="1423841288">
      <w:bodyDiv w:val="1"/>
      <w:marLeft w:val="0"/>
      <w:marRight w:val="0"/>
      <w:marTop w:val="0"/>
      <w:marBottom w:val="0"/>
      <w:divBdr>
        <w:top w:val="none" w:sz="0" w:space="0" w:color="auto"/>
        <w:left w:val="none" w:sz="0" w:space="0" w:color="auto"/>
        <w:bottom w:val="none" w:sz="0" w:space="0" w:color="auto"/>
        <w:right w:val="none" w:sz="0" w:space="0" w:color="auto"/>
      </w:divBdr>
    </w:div>
    <w:div w:id="1424572444">
      <w:bodyDiv w:val="1"/>
      <w:marLeft w:val="0"/>
      <w:marRight w:val="0"/>
      <w:marTop w:val="0"/>
      <w:marBottom w:val="0"/>
      <w:divBdr>
        <w:top w:val="none" w:sz="0" w:space="0" w:color="auto"/>
        <w:left w:val="none" w:sz="0" w:space="0" w:color="auto"/>
        <w:bottom w:val="none" w:sz="0" w:space="0" w:color="auto"/>
        <w:right w:val="none" w:sz="0" w:space="0" w:color="auto"/>
      </w:divBdr>
    </w:div>
    <w:div w:id="1429349855">
      <w:bodyDiv w:val="1"/>
      <w:marLeft w:val="0"/>
      <w:marRight w:val="0"/>
      <w:marTop w:val="0"/>
      <w:marBottom w:val="0"/>
      <w:divBdr>
        <w:top w:val="none" w:sz="0" w:space="0" w:color="auto"/>
        <w:left w:val="none" w:sz="0" w:space="0" w:color="auto"/>
        <w:bottom w:val="none" w:sz="0" w:space="0" w:color="auto"/>
        <w:right w:val="none" w:sz="0" w:space="0" w:color="auto"/>
      </w:divBdr>
    </w:div>
    <w:div w:id="1463621846">
      <w:bodyDiv w:val="1"/>
      <w:marLeft w:val="0"/>
      <w:marRight w:val="0"/>
      <w:marTop w:val="0"/>
      <w:marBottom w:val="0"/>
      <w:divBdr>
        <w:top w:val="none" w:sz="0" w:space="0" w:color="auto"/>
        <w:left w:val="none" w:sz="0" w:space="0" w:color="auto"/>
        <w:bottom w:val="none" w:sz="0" w:space="0" w:color="auto"/>
        <w:right w:val="none" w:sz="0" w:space="0" w:color="auto"/>
      </w:divBdr>
    </w:div>
    <w:div w:id="1463646026">
      <w:bodyDiv w:val="1"/>
      <w:marLeft w:val="0"/>
      <w:marRight w:val="0"/>
      <w:marTop w:val="0"/>
      <w:marBottom w:val="0"/>
      <w:divBdr>
        <w:top w:val="none" w:sz="0" w:space="0" w:color="auto"/>
        <w:left w:val="none" w:sz="0" w:space="0" w:color="auto"/>
        <w:bottom w:val="none" w:sz="0" w:space="0" w:color="auto"/>
        <w:right w:val="none" w:sz="0" w:space="0" w:color="auto"/>
      </w:divBdr>
    </w:div>
    <w:div w:id="1465654044">
      <w:bodyDiv w:val="1"/>
      <w:marLeft w:val="0"/>
      <w:marRight w:val="0"/>
      <w:marTop w:val="0"/>
      <w:marBottom w:val="0"/>
      <w:divBdr>
        <w:top w:val="none" w:sz="0" w:space="0" w:color="auto"/>
        <w:left w:val="none" w:sz="0" w:space="0" w:color="auto"/>
        <w:bottom w:val="none" w:sz="0" w:space="0" w:color="auto"/>
        <w:right w:val="none" w:sz="0" w:space="0" w:color="auto"/>
      </w:divBdr>
    </w:div>
    <w:div w:id="1468864405">
      <w:bodyDiv w:val="1"/>
      <w:marLeft w:val="0"/>
      <w:marRight w:val="0"/>
      <w:marTop w:val="0"/>
      <w:marBottom w:val="0"/>
      <w:divBdr>
        <w:top w:val="none" w:sz="0" w:space="0" w:color="auto"/>
        <w:left w:val="none" w:sz="0" w:space="0" w:color="auto"/>
        <w:bottom w:val="none" w:sz="0" w:space="0" w:color="auto"/>
        <w:right w:val="none" w:sz="0" w:space="0" w:color="auto"/>
      </w:divBdr>
    </w:div>
    <w:div w:id="1473667937">
      <w:bodyDiv w:val="1"/>
      <w:marLeft w:val="0"/>
      <w:marRight w:val="0"/>
      <w:marTop w:val="0"/>
      <w:marBottom w:val="0"/>
      <w:divBdr>
        <w:top w:val="none" w:sz="0" w:space="0" w:color="auto"/>
        <w:left w:val="none" w:sz="0" w:space="0" w:color="auto"/>
        <w:bottom w:val="none" w:sz="0" w:space="0" w:color="auto"/>
        <w:right w:val="none" w:sz="0" w:space="0" w:color="auto"/>
      </w:divBdr>
    </w:div>
    <w:div w:id="1473936347">
      <w:bodyDiv w:val="1"/>
      <w:marLeft w:val="0"/>
      <w:marRight w:val="0"/>
      <w:marTop w:val="0"/>
      <w:marBottom w:val="0"/>
      <w:divBdr>
        <w:top w:val="none" w:sz="0" w:space="0" w:color="auto"/>
        <w:left w:val="none" w:sz="0" w:space="0" w:color="auto"/>
        <w:bottom w:val="none" w:sz="0" w:space="0" w:color="auto"/>
        <w:right w:val="none" w:sz="0" w:space="0" w:color="auto"/>
      </w:divBdr>
    </w:div>
    <w:div w:id="1479880152">
      <w:bodyDiv w:val="1"/>
      <w:marLeft w:val="0"/>
      <w:marRight w:val="0"/>
      <w:marTop w:val="0"/>
      <w:marBottom w:val="0"/>
      <w:divBdr>
        <w:top w:val="none" w:sz="0" w:space="0" w:color="auto"/>
        <w:left w:val="none" w:sz="0" w:space="0" w:color="auto"/>
        <w:bottom w:val="none" w:sz="0" w:space="0" w:color="auto"/>
        <w:right w:val="none" w:sz="0" w:space="0" w:color="auto"/>
      </w:divBdr>
    </w:div>
    <w:div w:id="1480418792">
      <w:bodyDiv w:val="1"/>
      <w:marLeft w:val="0"/>
      <w:marRight w:val="0"/>
      <w:marTop w:val="0"/>
      <w:marBottom w:val="0"/>
      <w:divBdr>
        <w:top w:val="none" w:sz="0" w:space="0" w:color="auto"/>
        <w:left w:val="none" w:sz="0" w:space="0" w:color="auto"/>
        <w:bottom w:val="none" w:sz="0" w:space="0" w:color="auto"/>
        <w:right w:val="none" w:sz="0" w:space="0" w:color="auto"/>
      </w:divBdr>
    </w:div>
    <w:div w:id="1482580815">
      <w:bodyDiv w:val="1"/>
      <w:marLeft w:val="0"/>
      <w:marRight w:val="0"/>
      <w:marTop w:val="0"/>
      <w:marBottom w:val="0"/>
      <w:divBdr>
        <w:top w:val="none" w:sz="0" w:space="0" w:color="auto"/>
        <w:left w:val="none" w:sz="0" w:space="0" w:color="auto"/>
        <w:bottom w:val="none" w:sz="0" w:space="0" w:color="auto"/>
        <w:right w:val="none" w:sz="0" w:space="0" w:color="auto"/>
      </w:divBdr>
    </w:div>
    <w:div w:id="1488591365">
      <w:bodyDiv w:val="1"/>
      <w:marLeft w:val="0"/>
      <w:marRight w:val="0"/>
      <w:marTop w:val="0"/>
      <w:marBottom w:val="0"/>
      <w:divBdr>
        <w:top w:val="none" w:sz="0" w:space="0" w:color="auto"/>
        <w:left w:val="none" w:sz="0" w:space="0" w:color="auto"/>
        <w:bottom w:val="none" w:sz="0" w:space="0" w:color="auto"/>
        <w:right w:val="none" w:sz="0" w:space="0" w:color="auto"/>
      </w:divBdr>
    </w:div>
    <w:div w:id="1501002788">
      <w:bodyDiv w:val="1"/>
      <w:marLeft w:val="0"/>
      <w:marRight w:val="0"/>
      <w:marTop w:val="0"/>
      <w:marBottom w:val="0"/>
      <w:divBdr>
        <w:top w:val="none" w:sz="0" w:space="0" w:color="auto"/>
        <w:left w:val="none" w:sz="0" w:space="0" w:color="auto"/>
        <w:bottom w:val="none" w:sz="0" w:space="0" w:color="auto"/>
        <w:right w:val="none" w:sz="0" w:space="0" w:color="auto"/>
      </w:divBdr>
    </w:div>
    <w:div w:id="1504976070">
      <w:bodyDiv w:val="1"/>
      <w:marLeft w:val="0"/>
      <w:marRight w:val="0"/>
      <w:marTop w:val="0"/>
      <w:marBottom w:val="0"/>
      <w:divBdr>
        <w:top w:val="none" w:sz="0" w:space="0" w:color="auto"/>
        <w:left w:val="none" w:sz="0" w:space="0" w:color="auto"/>
        <w:bottom w:val="none" w:sz="0" w:space="0" w:color="auto"/>
        <w:right w:val="none" w:sz="0" w:space="0" w:color="auto"/>
      </w:divBdr>
    </w:div>
    <w:div w:id="1511137702">
      <w:bodyDiv w:val="1"/>
      <w:marLeft w:val="0"/>
      <w:marRight w:val="0"/>
      <w:marTop w:val="0"/>
      <w:marBottom w:val="0"/>
      <w:divBdr>
        <w:top w:val="none" w:sz="0" w:space="0" w:color="auto"/>
        <w:left w:val="none" w:sz="0" w:space="0" w:color="auto"/>
        <w:bottom w:val="none" w:sz="0" w:space="0" w:color="auto"/>
        <w:right w:val="none" w:sz="0" w:space="0" w:color="auto"/>
      </w:divBdr>
    </w:div>
    <w:div w:id="1512836509">
      <w:bodyDiv w:val="1"/>
      <w:marLeft w:val="0"/>
      <w:marRight w:val="0"/>
      <w:marTop w:val="0"/>
      <w:marBottom w:val="0"/>
      <w:divBdr>
        <w:top w:val="none" w:sz="0" w:space="0" w:color="auto"/>
        <w:left w:val="none" w:sz="0" w:space="0" w:color="auto"/>
        <w:bottom w:val="none" w:sz="0" w:space="0" w:color="auto"/>
        <w:right w:val="none" w:sz="0" w:space="0" w:color="auto"/>
      </w:divBdr>
    </w:div>
    <w:div w:id="1515994237">
      <w:bodyDiv w:val="1"/>
      <w:marLeft w:val="0"/>
      <w:marRight w:val="0"/>
      <w:marTop w:val="0"/>
      <w:marBottom w:val="0"/>
      <w:divBdr>
        <w:top w:val="none" w:sz="0" w:space="0" w:color="auto"/>
        <w:left w:val="none" w:sz="0" w:space="0" w:color="auto"/>
        <w:bottom w:val="none" w:sz="0" w:space="0" w:color="auto"/>
        <w:right w:val="none" w:sz="0" w:space="0" w:color="auto"/>
      </w:divBdr>
    </w:div>
    <w:div w:id="1517426842">
      <w:bodyDiv w:val="1"/>
      <w:marLeft w:val="0"/>
      <w:marRight w:val="0"/>
      <w:marTop w:val="0"/>
      <w:marBottom w:val="0"/>
      <w:divBdr>
        <w:top w:val="none" w:sz="0" w:space="0" w:color="auto"/>
        <w:left w:val="none" w:sz="0" w:space="0" w:color="auto"/>
        <w:bottom w:val="none" w:sz="0" w:space="0" w:color="auto"/>
        <w:right w:val="none" w:sz="0" w:space="0" w:color="auto"/>
      </w:divBdr>
    </w:div>
    <w:div w:id="1521580063">
      <w:bodyDiv w:val="1"/>
      <w:marLeft w:val="0"/>
      <w:marRight w:val="0"/>
      <w:marTop w:val="0"/>
      <w:marBottom w:val="0"/>
      <w:divBdr>
        <w:top w:val="none" w:sz="0" w:space="0" w:color="auto"/>
        <w:left w:val="none" w:sz="0" w:space="0" w:color="auto"/>
        <w:bottom w:val="none" w:sz="0" w:space="0" w:color="auto"/>
        <w:right w:val="none" w:sz="0" w:space="0" w:color="auto"/>
      </w:divBdr>
    </w:div>
    <w:div w:id="1527593101">
      <w:bodyDiv w:val="1"/>
      <w:marLeft w:val="0"/>
      <w:marRight w:val="0"/>
      <w:marTop w:val="0"/>
      <w:marBottom w:val="0"/>
      <w:divBdr>
        <w:top w:val="none" w:sz="0" w:space="0" w:color="auto"/>
        <w:left w:val="none" w:sz="0" w:space="0" w:color="auto"/>
        <w:bottom w:val="none" w:sz="0" w:space="0" w:color="auto"/>
        <w:right w:val="none" w:sz="0" w:space="0" w:color="auto"/>
      </w:divBdr>
    </w:div>
    <w:div w:id="1539976753">
      <w:bodyDiv w:val="1"/>
      <w:marLeft w:val="0"/>
      <w:marRight w:val="0"/>
      <w:marTop w:val="0"/>
      <w:marBottom w:val="0"/>
      <w:divBdr>
        <w:top w:val="none" w:sz="0" w:space="0" w:color="auto"/>
        <w:left w:val="none" w:sz="0" w:space="0" w:color="auto"/>
        <w:bottom w:val="none" w:sz="0" w:space="0" w:color="auto"/>
        <w:right w:val="none" w:sz="0" w:space="0" w:color="auto"/>
      </w:divBdr>
    </w:div>
    <w:div w:id="1540319007">
      <w:bodyDiv w:val="1"/>
      <w:marLeft w:val="0"/>
      <w:marRight w:val="0"/>
      <w:marTop w:val="0"/>
      <w:marBottom w:val="0"/>
      <w:divBdr>
        <w:top w:val="none" w:sz="0" w:space="0" w:color="auto"/>
        <w:left w:val="none" w:sz="0" w:space="0" w:color="auto"/>
        <w:bottom w:val="none" w:sz="0" w:space="0" w:color="auto"/>
        <w:right w:val="none" w:sz="0" w:space="0" w:color="auto"/>
      </w:divBdr>
    </w:div>
    <w:div w:id="1543664464">
      <w:bodyDiv w:val="1"/>
      <w:marLeft w:val="0"/>
      <w:marRight w:val="0"/>
      <w:marTop w:val="0"/>
      <w:marBottom w:val="0"/>
      <w:divBdr>
        <w:top w:val="none" w:sz="0" w:space="0" w:color="auto"/>
        <w:left w:val="none" w:sz="0" w:space="0" w:color="auto"/>
        <w:bottom w:val="none" w:sz="0" w:space="0" w:color="auto"/>
        <w:right w:val="none" w:sz="0" w:space="0" w:color="auto"/>
      </w:divBdr>
    </w:div>
    <w:div w:id="1548489743">
      <w:bodyDiv w:val="1"/>
      <w:marLeft w:val="0"/>
      <w:marRight w:val="0"/>
      <w:marTop w:val="0"/>
      <w:marBottom w:val="0"/>
      <w:divBdr>
        <w:top w:val="none" w:sz="0" w:space="0" w:color="auto"/>
        <w:left w:val="none" w:sz="0" w:space="0" w:color="auto"/>
        <w:bottom w:val="none" w:sz="0" w:space="0" w:color="auto"/>
        <w:right w:val="none" w:sz="0" w:space="0" w:color="auto"/>
      </w:divBdr>
    </w:div>
    <w:div w:id="1553271039">
      <w:bodyDiv w:val="1"/>
      <w:marLeft w:val="0"/>
      <w:marRight w:val="0"/>
      <w:marTop w:val="0"/>
      <w:marBottom w:val="0"/>
      <w:divBdr>
        <w:top w:val="none" w:sz="0" w:space="0" w:color="auto"/>
        <w:left w:val="none" w:sz="0" w:space="0" w:color="auto"/>
        <w:bottom w:val="none" w:sz="0" w:space="0" w:color="auto"/>
        <w:right w:val="none" w:sz="0" w:space="0" w:color="auto"/>
      </w:divBdr>
    </w:div>
    <w:div w:id="1555703728">
      <w:bodyDiv w:val="1"/>
      <w:marLeft w:val="0"/>
      <w:marRight w:val="0"/>
      <w:marTop w:val="0"/>
      <w:marBottom w:val="0"/>
      <w:divBdr>
        <w:top w:val="none" w:sz="0" w:space="0" w:color="auto"/>
        <w:left w:val="none" w:sz="0" w:space="0" w:color="auto"/>
        <w:bottom w:val="none" w:sz="0" w:space="0" w:color="auto"/>
        <w:right w:val="none" w:sz="0" w:space="0" w:color="auto"/>
      </w:divBdr>
    </w:div>
    <w:div w:id="1561554032">
      <w:bodyDiv w:val="1"/>
      <w:marLeft w:val="0"/>
      <w:marRight w:val="0"/>
      <w:marTop w:val="0"/>
      <w:marBottom w:val="0"/>
      <w:divBdr>
        <w:top w:val="none" w:sz="0" w:space="0" w:color="auto"/>
        <w:left w:val="none" w:sz="0" w:space="0" w:color="auto"/>
        <w:bottom w:val="none" w:sz="0" w:space="0" w:color="auto"/>
        <w:right w:val="none" w:sz="0" w:space="0" w:color="auto"/>
      </w:divBdr>
    </w:div>
    <w:div w:id="1564950914">
      <w:bodyDiv w:val="1"/>
      <w:marLeft w:val="0"/>
      <w:marRight w:val="0"/>
      <w:marTop w:val="0"/>
      <w:marBottom w:val="0"/>
      <w:divBdr>
        <w:top w:val="none" w:sz="0" w:space="0" w:color="auto"/>
        <w:left w:val="none" w:sz="0" w:space="0" w:color="auto"/>
        <w:bottom w:val="none" w:sz="0" w:space="0" w:color="auto"/>
        <w:right w:val="none" w:sz="0" w:space="0" w:color="auto"/>
      </w:divBdr>
    </w:div>
    <w:div w:id="1568760507">
      <w:bodyDiv w:val="1"/>
      <w:marLeft w:val="0"/>
      <w:marRight w:val="0"/>
      <w:marTop w:val="0"/>
      <w:marBottom w:val="0"/>
      <w:divBdr>
        <w:top w:val="none" w:sz="0" w:space="0" w:color="auto"/>
        <w:left w:val="none" w:sz="0" w:space="0" w:color="auto"/>
        <w:bottom w:val="none" w:sz="0" w:space="0" w:color="auto"/>
        <w:right w:val="none" w:sz="0" w:space="0" w:color="auto"/>
      </w:divBdr>
    </w:div>
    <w:div w:id="1582105413">
      <w:bodyDiv w:val="1"/>
      <w:marLeft w:val="0"/>
      <w:marRight w:val="0"/>
      <w:marTop w:val="0"/>
      <w:marBottom w:val="0"/>
      <w:divBdr>
        <w:top w:val="none" w:sz="0" w:space="0" w:color="auto"/>
        <w:left w:val="none" w:sz="0" w:space="0" w:color="auto"/>
        <w:bottom w:val="none" w:sz="0" w:space="0" w:color="auto"/>
        <w:right w:val="none" w:sz="0" w:space="0" w:color="auto"/>
      </w:divBdr>
    </w:div>
    <w:div w:id="1589659799">
      <w:bodyDiv w:val="1"/>
      <w:marLeft w:val="0"/>
      <w:marRight w:val="0"/>
      <w:marTop w:val="0"/>
      <w:marBottom w:val="0"/>
      <w:divBdr>
        <w:top w:val="none" w:sz="0" w:space="0" w:color="auto"/>
        <w:left w:val="none" w:sz="0" w:space="0" w:color="auto"/>
        <w:bottom w:val="none" w:sz="0" w:space="0" w:color="auto"/>
        <w:right w:val="none" w:sz="0" w:space="0" w:color="auto"/>
      </w:divBdr>
    </w:div>
    <w:div w:id="1590187636">
      <w:bodyDiv w:val="1"/>
      <w:marLeft w:val="0"/>
      <w:marRight w:val="0"/>
      <w:marTop w:val="0"/>
      <w:marBottom w:val="0"/>
      <w:divBdr>
        <w:top w:val="none" w:sz="0" w:space="0" w:color="auto"/>
        <w:left w:val="none" w:sz="0" w:space="0" w:color="auto"/>
        <w:bottom w:val="none" w:sz="0" w:space="0" w:color="auto"/>
        <w:right w:val="none" w:sz="0" w:space="0" w:color="auto"/>
      </w:divBdr>
    </w:div>
    <w:div w:id="1592472477">
      <w:bodyDiv w:val="1"/>
      <w:marLeft w:val="0"/>
      <w:marRight w:val="0"/>
      <w:marTop w:val="0"/>
      <w:marBottom w:val="0"/>
      <w:divBdr>
        <w:top w:val="none" w:sz="0" w:space="0" w:color="auto"/>
        <w:left w:val="none" w:sz="0" w:space="0" w:color="auto"/>
        <w:bottom w:val="none" w:sz="0" w:space="0" w:color="auto"/>
        <w:right w:val="none" w:sz="0" w:space="0" w:color="auto"/>
      </w:divBdr>
    </w:div>
    <w:div w:id="1593539443">
      <w:bodyDiv w:val="1"/>
      <w:marLeft w:val="0"/>
      <w:marRight w:val="0"/>
      <w:marTop w:val="0"/>
      <w:marBottom w:val="0"/>
      <w:divBdr>
        <w:top w:val="none" w:sz="0" w:space="0" w:color="auto"/>
        <w:left w:val="none" w:sz="0" w:space="0" w:color="auto"/>
        <w:bottom w:val="none" w:sz="0" w:space="0" w:color="auto"/>
        <w:right w:val="none" w:sz="0" w:space="0" w:color="auto"/>
      </w:divBdr>
    </w:div>
    <w:div w:id="1596865851">
      <w:bodyDiv w:val="1"/>
      <w:marLeft w:val="0"/>
      <w:marRight w:val="0"/>
      <w:marTop w:val="0"/>
      <w:marBottom w:val="0"/>
      <w:divBdr>
        <w:top w:val="none" w:sz="0" w:space="0" w:color="auto"/>
        <w:left w:val="none" w:sz="0" w:space="0" w:color="auto"/>
        <w:bottom w:val="none" w:sz="0" w:space="0" w:color="auto"/>
        <w:right w:val="none" w:sz="0" w:space="0" w:color="auto"/>
      </w:divBdr>
    </w:div>
    <w:div w:id="1614940807">
      <w:bodyDiv w:val="1"/>
      <w:marLeft w:val="0"/>
      <w:marRight w:val="0"/>
      <w:marTop w:val="0"/>
      <w:marBottom w:val="0"/>
      <w:divBdr>
        <w:top w:val="none" w:sz="0" w:space="0" w:color="auto"/>
        <w:left w:val="none" w:sz="0" w:space="0" w:color="auto"/>
        <w:bottom w:val="none" w:sz="0" w:space="0" w:color="auto"/>
        <w:right w:val="none" w:sz="0" w:space="0" w:color="auto"/>
      </w:divBdr>
    </w:div>
    <w:div w:id="1616518310">
      <w:bodyDiv w:val="1"/>
      <w:marLeft w:val="0"/>
      <w:marRight w:val="0"/>
      <w:marTop w:val="0"/>
      <w:marBottom w:val="0"/>
      <w:divBdr>
        <w:top w:val="none" w:sz="0" w:space="0" w:color="auto"/>
        <w:left w:val="none" w:sz="0" w:space="0" w:color="auto"/>
        <w:bottom w:val="none" w:sz="0" w:space="0" w:color="auto"/>
        <w:right w:val="none" w:sz="0" w:space="0" w:color="auto"/>
      </w:divBdr>
    </w:div>
    <w:div w:id="1621372689">
      <w:bodyDiv w:val="1"/>
      <w:marLeft w:val="0"/>
      <w:marRight w:val="0"/>
      <w:marTop w:val="0"/>
      <w:marBottom w:val="0"/>
      <w:divBdr>
        <w:top w:val="none" w:sz="0" w:space="0" w:color="auto"/>
        <w:left w:val="none" w:sz="0" w:space="0" w:color="auto"/>
        <w:bottom w:val="none" w:sz="0" w:space="0" w:color="auto"/>
        <w:right w:val="none" w:sz="0" w:space="0" w:color="auto"/>
      </w:divBdr>
    </w:div>
    <w:div w:id="1621493256">
      <w:bodyDiv w:val="1"/>
      <w:marLeft w:val="0"/>
      <w:marRight w:val="0"/>
      <w:marTop w:val="0"/>
      <w:marBottom w:val="0"/>
      <w:divBdr>
        <w:top w:val="none" w:sz="0" w:space="0" w:color="auto"/>
        <w:left w:val="none" w:sz="0" w:space="0" w:color="auto"/>
        <w:bottom w:val="none" w:sz="0" w:space="0" w:color="auto"/>
        <w:right w:val="none" w:sz="0" w:space="0" w:color="auto"/>
      </w:divBdr>
    </w:div>
    <w:div w:id="1628589536">
      <w:bodyDiv w:val="1"/>
      <w:marLeft w:val="0"/>
      <w:marRight w:val="0"/>
      <w:marTop w:val="0"/>
      <w:marBottom w:val="0"/>
      <w:divBdr>
        <w:top w:val="none" w:sz="0" w:space="0" w:color="auto"/>
        <w:left w:val="none" w:sz="0" w:space="0" w:color="auto"/>
        <w:bottom w:val="none" w:sz="0" w:space="0" w:color="auto"/>
        <w:right w:val="none" w:sz="0" w:space="0" w:color="auto"/>
      </w:divBdr>
    </w:div>
    <w:div w:id="1632323677">
      <w:bodyDiv w:val="1"/>
      <w:marLeft w:val="0"/>
      <w:marRight w:val="0"/>
      <w:marTop w:val="0"/>
      <w:marBottom w:val="0"/>
      <w:divBdr>
        <w:top w:val="none" w:sz="0" w:space="0" w:color="auto"/>
        <w:left w:val="none" w:sz="0" w:space="0" w:color="auto"/>
        <w:bottom w:val="none" w:sz="0" w:space="0" w:color="auto"/>
        <w:right w:val="none" w:sz="0" w:space="0" w:color="auto"/>
      </w:divBdr>
    </w:div>
    <w:div w:id="1643652521">
      <w:bodyDiv w:val="1"/>
      <w:marLeft w:val="0"/>
      <w:marRight w:val="0"/>
      <w:marTop w:val="0"/>
      <w:marBottom w:val="0"/>
      <w:divBdr>
        <w:top w:val="none" w:sz="0" w:space="0" w:color="auto"/>
        <w:left w:val="none" w:sz="0" w:space="0" w:color="auto"/>
        <w:bottom w:val="none" w:sz="0" w:space="0" w:color="auto"/>
        <w:right w:val="none" w:sz="0" w:space="0" w:color="auto"/>
      </w:divBdr>
    </w:div>
    <w:div w:id="1644000796">
      <w:bodyDiv w:val="1"/>
      <w:marLeft w:val="0"/>
      <w:marRight w:val="0"/>
      <w:marTop w:val="0"/>
      <w:marBottom w:val="0"/>
      <w:divBdr>
        <w:top w:val="none" w:sz="0" w:space="0" w:color="auto"/>
        <w:left w:val="none" w:sz="0" w:space="0" w:color="auto"/>
        <w:bottom w:val="none" w:sz="0" w:space="0" w:color="auto"/>
        <w:right w:val="none" w:sz="0" w:space="0" w:color="auto"/>
      </w:divBdr>
    </w:div>
    <w:div w:id="1654025884">
      <w:bodyDiv w:val="1"/>
      <w:marLeft w:val="0"/>
      <w:marRight w:val="0"/>
      <w:marTop w:val="0"/>
      <w:marBottom w:val="0"/>
      <w:divBdr>
        <w:top w:val="none" w:sz="0" w:space="0" w:color="auto"/>
        <w:left w:val="none" w:sz="0" w:space="0" w:color="auto"/>
        <w:bottom w:val="none" w:sz="0" w:space="0" w:color="auto"/>
        <w:right w:val="none" w:sz="0" w:space="0" w:color="auto"/>
      </w:divBdr>
    </w:div>
    <w:div w:id="1685133380">
      <w:bodyDiv w:val="1"/>
      <w:marLeft w:val="0"/>
      <w:marRight w:val="0"/>
      <w:marTop w:val="0"/>
      <w:marBottom w:val="0"/>
      <w:divBdr>
        <w:top w:val="none" w:sz="0" w:space="0" w:color="auto"/>
        <w:left w:val="none" w:sz="0" w:space="0" w:color="auto"/>
        <w:bottom w:val="none" w:sz="0" w:space="0" w:color="auto"/>
        <w:right w:val="none" w:sz="0" w:space="0" w:color="auto"/>
      </w:divBdr>
    </w:div>
    <w:div w:id="1685814316">
      <w:bodyDiv w:val="1"/>
      <w:marLeft w:val="0"/>
      <w:marRight w:val="0"/>
      <w:marTop w:val="0"/>
      <w:marBottom w:val="0"/>
      <w:divBdr>
        <w:top w:val="none" w:sz="0" w:space="0" w:color="auto"/>
        <w:left w:val="none" w:sz="0" w:space="0" w:color="auto"/>
        <w:bottom w:val="none" w:sz="0" w:space="0" w:color="auto"/>
        <w:right w:val="none" w:sz="0" w:space="0" w:color="auto"/>
      </w:divBdr>
    </w:div>
    <w:div w:id="1688405073">
      <w:bodyDiv w:val="1"/>
      <w:marLeft w:val="0"/>
      <w:marRight w:val="0"/>
      <w:marTop w:val="0"/>
      <w:marBottom w:val="0"/>
      <w:divBdr>
        <w:top w:val="none" w:sz="0" w:space="0" w:color="auto"/>
        <w:left w:val="none" w:sz="0" w:space="0" w:color="auto"/>
        <w:bottom w:val="none" w:sz="0" w:space="0" w:color="auto"/>
        <w:right w:val="none" w:sz="0" w:space="0" w:color="auto"/>
      </w:divBdr>
    </w:div>
    <w:div w:id="1689672095">
      <w:bodyDiv w:val="1"/>
      <w:marLeft w:val="0"/>
      <w:marRight w:val="0"/>
      <w:marTop w:val="0"/>
      <w:marBottom w:val="0"/>
      <w:divBdr>
        <w:top w:val="none" w:sz="0" w:space="0" w:color="auto"/>
        <w:left w:val="none" w:sz="0" w:space="0" w:color="auto"/>
        <w:bottom w:val="none" w:sz="0" w:space="0" w:color="auto"/>
        <w:right w:val="none" w:sz="0" w:space="0" w:color="auto"/>
      </w:divBdr>
    </w:div>
    <w:div w:id="1691956036">
      <w:bodyDiv w:val="1"/>
      <w:marLeft w:val="0"/>
      <w:marRight w:val="0"/>
      <w:marTop w:val="0"/>
      <w:marBottom w:val="0"/>
      <w:divBdr>
        <w:top w:val="none" w:sz="0" w:space="0" w:color="auto"/>
        <w:left w:val="none" w:sz="0" w:space="0" w:color="auto"/>
        <w:bottom w:val="none" w:sz="0" w:space="0" w:color="auto"/>
        <w:right w:val="none" w:sz="0" w:space="0" w:color="auto"/>
      </w:divBdr>
    </w:div>
    <w:div w:id="1695108408">
      <w:bodyDiv w:val="1"/>
      <w:marLeft w:val="0"/>
      <w:marRight w:val="0"/>
      <w:marTop w:val="0"/>
      <w:marBottom w:val="0"/>
      <w:divBdr>
        <w:top w:val="none" w:sz="0" w:space="0" w:color="auto"/>
        <w:left w:val="none" w:sz="0" w:space="0" w:color="auto"/>
        <w:bottom w:val="none" w:sz="0" w:space="0" w:color="auto"/>
        <w:right w:val="none" w:sz="0" w:space="0" w:color="auto"/>
      </w:divBdr>
    </w:div>
    <w:div w:id="1695233345">
      <w:bodyDiv w:val="1"/>
      <w:marLeft w:val="0"/>
      <w:marRight w:val="0"/>
      <w:marTop w:val="0"/>
      <w:marBottom w:val="0"/>
      <w:divBdr>
        <w:top w:val="none" w:sz="0" w:space="0" w:color="auto"/>
        <w:left w:val="none" w:sz="0" w:space="0" w:color="auto"/>
        <w:bottom w:val="none" w:sz="0" w:space="0" w:color="auto"/>
        <w:right w:val="none" w:sz="0" w:space="0" w:color="auto"/>
      </w:divBdr>
    </w:div>
    <w:div w:id="1696807070">
      <w:bodyDiv w:val="1"/>
      <w:marLeft w:val="0"/>
      <w:marRight w:val="0"/>
      <w:marTop w:val="0"/>
      <w:marBottom w:val="0"/>
      <w:divBdr>
        <w:top w:val="none" w:sz="0" w:space="0" w:color="auto"/>
        <w:left w:val="none" w:sz="0" w:space="0" w:color="auto"/>
        <w:bottom w:val="none" w:sz="0" w:space="0" w:color="auto"/>
        <w:right w:val="none" w:sz="0" w:space="0" w:color="auto"/>
      </w:divBdr>
    </w:div>
    <w:div w:id="1703943518">
      <w:bodyDiv w:val="1"/>
      <w:marLeft w:val="0"/>
      <w:marRight w:val="0"/>
      <w:marTop w:val="0"/>
      <w:marBottom w:val="0"/>
      <w:divBdr>
        <w:top w:val="none" w:sz="0" w:space="0" w:color="auto"/>
        <w:left w:val="none" w:sz="0" w:space="0" w:color="auto"/>
        <w:bottom w:val="none" w:sz="0" w:space="0" w:color="auto"/>
        <w:right w:val="none" w:sz="0" w:space="0" w:color="auto"/>
      </w:divBdr>
    </w:div>
    <w:div w:id="1708413332">
      <w:bodyDiv w:val="1"/>
      <w:marLeft w:val="0"/>
      <w:marRight w:val="0"/>
      <w:marTop w:val="0"/>
      <w:marBottom w:val="0"/>
      <w:divBdr>
        <w:top w:val="none" w:sz="0" w:space="0" w:color="auto"/>
        <w:left w:val="none" w:sz="0" w:space="0" w:color="auto"/>
        <w:bottom w:val="none" w:sz="0" w:space="0" w:color="auto"/>
        <w:right w:val="none" w:sz="0" w:space="0" w:color="auto"/>
      </w:divBdr>
    </w:div>
    <w:div w:id="1716849790">
      <w:bodyDiv w:val="1"/>
      <w:marLeft w:val="0"/>
      <w:marRight w:val="0"/>
      <w:marTop w:val="0"/>
      <w:marBottom w:val="0"/>
      <w:divBdr>
        <w:top w:val="none" w:sz="0" w:space="0" w:color="auto"/>
        <w:left w:val="none" w:sz="0" w:space="0" w:color="auto"/>
        <w:bottom w:val="none" w:sz="0" w:space="0" w:color="auto"/>
        <w:right w:val="none" w:sz="0" w:space="0" w:color="auto"/>
      </w:divBdr>
    </w:div>
    <w:div w:id="1718159513">
      <w:bodyDiv w:val="1"/>
      <w:marLeft w:val="0"/>
      <w:marRight w:val="0"/>
      <w:marTop w:val="0"/>
      <w:marBottom w:val="0"/>
      <w:divBdr>
        <w:top w:val="none" w:sz="0" w:space="0" w:color="auto"/>
        <w:left w:val="none" w:sz="0" w:space="0" w:color="auto"/>
        <w:bottom w:val="none" w:sz="0" w:space="0" w:color="auto"/>
        <w:right w:val="none" w:sz="0" w:space="0" w:color="auto"/>
      </w:divBdr>
    </w:div>
    <w:div w:id="1733456585">
      <w:bodyDiv w:val="1"/>
      <w:marLeft w:val="0"/>
      <w:marRight w:val="0"/>
      <w:marTop w:val="0"/>
      <w:marBottom w:val="0"/>
      <w:divBdr>
        <w:top w:val="none" w:sz="0" w:space="0" w:color="auto"/>
        <w:left w:val="none" w:sz="0" w:space="0" w:color="auto"/>
        <w:bottom w:val="none" w:sz="0" w:space="0" w:color="auto"/>
        <w:right w:val="none" w:sz="0" w:space="0" w:color="auto"/>
      </w:divBdr>
    </w:div>
    <w:div w:id="1735738902">
      <w:bodyDiv w:val="1"/>
      <w:marLeft w:val="0"/>
      <w:marRight w:val="0"/>
      <w:marTop w:val="0"/>
      <w:marBottom w:val="0"/>
      <w:divBdr>
        <w:top w:val="none" w:sz="0" w:space="0" w:color="auto"/>
        <w:left w:val="none" w:sz="0" w:space="0" w:color="auto"/>
        <w:bottom w:val="none" w:sz="0" w:space="0" w:color="auto"/>
        <w:right w:val="none" w:sz="0" w:space="0" w:color="auto"/>
      </w:divBdr>
    </w:div>
    <w:div w:id="1741833112">
      <w:bodyDiv w:val="1"/>
      <w:marLeft w:val="0"/>
      <w:marRight w:val="0"/>
      <w:marTop w:val="0"/>
      <w:marBottom w:val="0"/>
      <w:divBdr>
        <w:top w:val="none" w:sz="0" w:space="0" w:color="auto"/>
        <w:left w:val="none" w:sz="0" w:space="0" w:color="auto"/>
        <w:bottom w:val="none" w:sz="0" w:space="0" w:color="auto"/>
        <w:right w:val="none" w:sz="0" w:space="0" w:color="auto"/>
      </w:divBdr>
    </w:div>
    <w:div w:id="1742680603">
      <w:bodyDiv w:val="1"/>
      <w:marLeft w:val="0"/>
      <w:marRight w:val="0"/>
      <w:marTop w:val="0"/>
      <w:marBottom w:val="0"/>
      <w:divBdr>
        <w:top w:val="none" w:sz="0" w:space="0" w:color="auto"/>
        <w:left w:val="none" w:sz="0" w:space="0" w:color="auto"/>
        <w:bottom w:val="none" w:sz="0" w:space="0" w:color="auto"/>
        <w:right w:val="none" w:sz="0" w:space="0" w:color="auto"/>
      </w:divBdr>
    </w:div>
    <w:div w:id="1742756476">
      <w:bodyDiv w:val="1"/>
      <w:marLeft w:val="0"/>
      <w:marRight w:val="0"/>
      <w:marTop w:val="0"/>
      <w:marBottom w:val="0"/>
      <w:divBdr>
        <w:top w:val="none" w:sz="0" w:space="0" w:color="auto"/>
        <w:left w:val="none" w:sz="0" w:space="0" w:color="auto"/>
        <w:bottom w:val="none" w:sz="0" w:space="0" w:color="auto"/>
        <w:right w:val="none" w:sz="0" w:space="0" w:color="auto"/>
      </w:divBdr>
    </w:div>
    <w:div w:id="1751077114">
      <w:bodyDiv w:val="1"/>
      <w:marLeft w:val="0"/>
      <w:marRight w:val="0"/>
      <w:marTop w:val="0"/>
      <w:marBottom w:val="0"/>
      <w:divBdr>
        <w:top w:val="none" w:sz="0" w:space="0" w:color="auto"/>
        <w:left w:val="none" w:sz="0" w:space="0" w:color="auto"/>
        <w:bottom w:val="none" w:sz="0" w:space="0" w:color="auto"/>
        <w:right w:val="none" w:sz="0" w:space="0" w:color="auto"/>
      </w:divBdr>
    </w:div>
    <w:div w:id="1752727063">
      <w:bodyDiv w:val="1"/>
      <w:marLeft w:val="0"/>
      <w:marRight w:val="0"/>
      <w:marTop w:val="0"/>
      <w:marBottom w:val="0"/>
      <w:divBdr>
        <w:top w:val="none" w:sz="0" w:space="0" w:color="auto"/>
        <w:left w:val="none" w:sz="0" w:space="0" w:color="auto"/>
        <w:bottom w:val="none" w:sz="0" w:space="0" w:color="auto"/>
        <w:right w:val="none" w:sz="0" w:space="0" w:color="auto"/>
      </w:divBdr>
    </w:div>
    <w:div w:id="1760834744">
      <w:bodyDiv w:val="1"/>
      <w:marLeft w:val="0"/>
      <w:marRight w:val="0"/>
      <w:marTop w:val="0"/>
      <w:marBottom w:val="0"/>
      <w:divBdr>
        <w:top w:val="none" w:sz="0" w:space="0" w:color="auto"/>
        <w:left w:val="none" w:sz="0" w:space="0" w:color="auto"/>
        <w:bottom w:val="none" w:sz="0" w:space="0" w:color="auto"/>
        <w:right w:val="none" w:sz="0" w:space="0" w:color="auto"/>
      </w:divBdr>
    </w:div>
    <w:div w:id="1769227853">
      <w:bodyDiv w:val="1"/>
      <w:marLeft w:val="0"/>
      <w:marRight w:val="0"/>
      <w:marTop w:val="0"/>
      <w:marBottom w:val="0"/>
      <w:divBdr>
        <w:top w:val="none" w:sz="0" w:space="0" w:color="auto"/>
        <w:left w:val="none" w:sz="0" w:space="0" w:color="auto"/>
        <w:bottom w:val="none" w:sz="0" w:space="0" w:color="auto"/>
        <w:right w:val="none" w:sz="0" w:space="0" w:color="auto"/>
      </w:divBdr>
    </w:div>
    <w:div w:id="1774011221">
      <w:bodyDiv w:val="1"/>
      <w:marLeft w:val="0"/>
      <w:marRight w:val="0"/>
      <w:marTop w:val="0"/>
      <w:marBottom w:val="0"/>
      <w:divBdr>
        <w:top w:val="none" w:sz="0" w:space="0" w:color="auto"/>
        <w:left w:val="none" w:sz="0" w:space="0" w:color="auto"/>
        <w:bottom w:val="none" w:sz="0" w:space="0" w:color="auto"/>
        <w:right w:val="none" w:sz="0" w:space="0" w:color="auto"/>
      </w:divBdr>
    </w:div>
    <w:div w:id="1784423059">
      <w:bodyDiv w:val="1"/>
      <w:marLeft w:val="0"/>
      <w:marRight w:val="0"/>
      <w:marTop w:val="0"/>
      <w:marBottom w:val="0"/>
      <w:divBdr>
        <w:top w:val="none" w:sz="0" w:space="0" w:color="auto"/>
        <w:left w:val="none" w:sz="0" w:space="0" w:color="auto"/>
        <w:bottom w:val="none" w:sz="0" w:space="0" w:color="auto"/>
        <w:right w:val="none" w:sz="0" w:space="0" w:color="auto"/>
      </w:divBdr>
    </w:div>
    <w:div w:id="1786271178">
      <w:bodyDiv w:val="1"/>
      <w:marLeft w:val="0"/>
      <w:marRight w:val="0"/>
      <w:marTop w:val="0"/>
      <w:marBottom w:val="0"/>
      <w:divBdr>
        <w:top w:val="none" w:sz="0" w:space="0" w:color="auto"/>
        <w:left w:val="none" w:sz="0" w:space="0" w:color="auto"/>
        <w:bottom w:val="none" w:sz="0" w:space="0" w:color="auto"/>
        <w:right w:val="none" w:sz="0" w:space="0" w:color="auto"/>
      </w:divBdr>
    </w:div>
    <w:div w:id="1788505355">
      <w:bodyDiv w:val="1"/>
      <w:marLeft w:val="0"/>
      <w:marRight w:val="0"/>
      <w:marTop w:val="0"/>
      <w:marBottom w:val="0"/>
      <w:divBdr>
        <w:top w:val="none" w:sz="0" w:space="0" w:color="auto"/>
        <w:left w:val="none" w:sz="0" w:space="0" w:color="auto"/>
        <w:bottom w:val="none" w:sz="0" w:space="0" w:color="auto"/>
        <w:right w:val="none" w:sz="0" w:space="0" w:color="auto"/>
      </w:divBdr>
    </w:div>
    <w:div w:id="1810055941">
      <w:bodyDiv w:val="1"/>
      <w:marLeft w:val="0"/>
      <w:marRight w:val="0"/>
      <w:marTop w:val="0"/>
      <w:marBottom w:val="0"/>
      <w:divBdr>
        <w:top w:val="none" w:sz="0" w:space="0" w:color="auto"/>
        <w:left w:val="none" w:sz="0" w:space="0" w:color="auto"/>
        <w:bottom w:val="none" w:sz="0" w:space="0" w:color="auto"/>
        <w:right w:val="none" w:sz="0" w:space="0" w:color="auto"/>
      </w:divBdr>
    </w:div>
    <w:div w:id="1823933647">
      <w:bodyDiv w:val="1"/>
      <w:marLeft w:val="0"/>
      <w:marRight w:val="0"/>
      <w:marTop w:val="0"/>
      <w:marBottom w:val="0"/>
      <w:divBdr>
        <w:top w:val="none" w:sz="0" w:space="0" w:color="auto"/>
        <w:left w:val="none" w:sz="0" w:space="0" w:color="auto"/>
        <w:bottom w:val="none" w:sz="0" w:space="0" w:color="auto"/>
        <w:right w:val="none" w:sz="0" w:space="0" w:color="auto"/>
      </w:divBdr>
    </w:div>
    <w:div w:id="1840579703">
      <w:bodyDiv w:val="1"/>
      <w:marLeft w:val="0"/>
      <w:marRight w:val="0"/>
      <w:marTop w:val="0"/>
      <w:marBottom w:val="0"/>
      <w:divBdr>
        <w:top w:val="none" w:sz="0" w:space="0" w:color="auto"/>
        <w:left w:val="none" w:sz="0" w:space="0" w:color="auto"/>
        <w:bottom w:val="none" w:sz="0" w:space="0" w:color="auto"/>
        <w:right w:val="none" w:sz="0" w:space="0" w:color="auto"/>
      </w:divBdr>
    </w:div>
    <w:div w:id="1842160248">
      <w:bodyDiv w:val="1"/>
      <w:marLeft w:val="0"/>
      <w:marRight w:val="0"/>
      <w:marTop w:val="0"/>
      <w:marBottom w:val="0"/>
      <w:divBdr>
        <w:top w:val="none" w:sz="0" w:space="0" w:color="auto"/>
        <w:left w:val="none" w:sz="0" w:space="0" w:color="auto"/>
        <w:bottom w:val="none" w:sz="0" w:space="0" w:color="auto"/>
        <w:right w:val="none" w:sz="0" w:space="0" w:color="auto"/>
      </w:divBdr>
    </w:div>
    <w:div w:id="1844587742">
      <w:bodyDiv w:val="1"/>
      <w:marLeft w:val="0"/>
      <w:marRight w:val="0"/>
      <w:marTop w:val="0"/>
      <w:marBottom w:val="0"/>
      <w:divBdr>
        <w:top w:val="none" w:sz="0" w:space="0" w:color="auto"/>
        <w:left w:val="none" w:sz="0" w:space="0" w:color="auto"/>
        <w:bottom w:val="none" w:sz="0" w:space="0" w:color="auto"/>
        <w:right w:val="none" w:sz="0" w:space="0" w:color="auto"/>
      </w:divBdr>
    </w:div>
    <w:div w:id="1855146595">
      <w:bodyDiv w:val="1"/>
      <w:marLeft w:val="0"/>
      <w:marRight w:val="0"/>
      <w:marTop w:val="0"/>
      <w:marBottom w:val="0"/>
      <w:divBdr>
        <w:top w:val="none" w:sz="0" w:space="0" w:color="auto"/>
        <w:left w:val="none" w:sz="0" w:space="0" w:color="auto"/>
        <w:bottom w:val="none" w:sz="0" w:space="0" w:color="auto"/>
        <w:right w:val="none" w:sz="0" w:space="0" w:color="auto"/>
      </w:divBdr>
    </w:div>
    <w:div w:id="1856844531">
      <w:bodyDiv w:val="1"/>
      <w:marLeft w:val="0"/>
      <w:marRight w:val="0"/>
      <w:marTop w:val="0"/>
      <w:marBottom w:val="0"/>
      <w:divBdr>
        <w:top w:val="none" w:sz="0" w:space="0" w:color="auto"/>
        <w:left w:val="none" w:sz="0" w:space="0" w:color="auto"/>
        <w:bottom w:val="none" w:sz="0" w:space="0" w:color="auto"/>
        <w:right w:val="none" w:sz="0" w:space="0" w:color="auto"/>
      </w:divBdr>
    </w:div>
    <w:div w:id="1859658063">
      <w:bodyDiv w:val="1"/>
      <w:marLeft w:val="0"/>
      <w:marRight w:val="0"/>
      <w:marTop w:val="0"/>
      <w:marBottom w:val="0"/>
      <w:divBdr>
        <w:top w:val="none" w:sz="0" w:space="0" w:color="auto"/>
        <w:left w:val="none" w:sz="0" w:space="0" w:color="auto"/>
        <w:bottom w:val="none" w:sz="0" w:space="0" w:color="auto"/>
        <w:right w:val="none" w:sz="0" w:space="0" w:color="auto"/>
      </w:divBdr>
    </w:div>
    <w:div w:id="1868369413">
      <w:bodyDiv w:val="1"/>
      <w:marLeft w:val="0"/>
      <w:marRight w:val="0"/>
      <w:marTop w:val="0"/>
      <w:marBottom w:val="0"/>
      <w:divBdr>
        <w:top w:val="none" w:sz="0" w:space="0" w:color="auto"/>
        <w:left w:val="none" w:sz="0" w:space="0" w:color="auto"/>
        <w:bottom w:val="none" w:sz="0" w:space="0" w:color="auto"/>
        <w:right w:val="none" w:sz="0" w:space="0" w:color="auto"/>
      </w:divBdr>
    </w:div>
    <w:div w:id="1872109444">
      <w:bodyDiv w:val="1"/>
      <w:marLeft w:val="0"/>
      <w:marRight w:val="0"/>
      <w:marTop w:val="0"/>
      <w:marBottom w:val="0"/>
      <w:divBdr>
        <w:top w:val="none" w:sz="0" w:space="0" w:color="auto"/>
        <w:left w:val="none" w:sz="0" w:space="0" w:color="auto"/>
        <w:bottom w:val="none" w:sz="0" w:space="0" w:color="auto"/>
        <w:right w:val="none" w:sz="0" w:space="0" w:color="auto"/>
      </w:divBdr>
    </w:div>
    <w:div w:id="1874461574">
      <w:bodyDiv w:val="1"/>
      <w:marLeft w:val="0"/>
      <w:marRight w:val="0"/>
      <w:marTop w:val="0"/>
      <w:marBottom w:val="0"/>
      <w:divBdr>
        <w:top w:val="none" w:sz="0" w:space="0" w:color="auto"/>
        <w:left w:val="none" w:sz="0" w:space="0" w:color="auto"/>
        <w:bottom w:val="none" w:sz="0" w:space="0" w:color="auto"/>
        <w:right w:val="none" w:sz="0" w:space="0" w:color="auto"/>
      </w:divBdr>
    </w:div>
    <w:div w:id="1887139351">
      <w:bodyDiv w:val="1"/>
      <w:marLeft w:val="0"/>
      <w:marRight w:val="0"/>
      <w:marTop w:val="0"/>
      <w:marBottom w:val="0"/>
      <w:divBdr>
        <w:top w:val="none" w:sz="0" w:space="0" w:color="auto"/>
        <w:left w:val="none" w:sz="0" w:space="0" w:color="auto"/>
        <w:bottom w:val="none" w:sz="0" w:space="0" w:color="auto"/>
        <w:right w:val="none" w:sz="0" w:space="0" w:color="auto"/>
      </w:divBdr>
    </w:div>
    <w:div w:id="1893468452">
      <w:bodyDiv w:val="1"/>
      <w:marLeft w:val="0"/>
      <w:marRight w:val="0"/>
      <w:marTop w:val="0"/>
      <w:marBottom w:val="0"/>
      <w:divBdr>
        <w:top w:val="none" w:sz="0" w:space="0" w:color="auto"/>
        <w:left w:val="none" w:sz="0" w:space="0" w:color="auto"/>
        <w:bottom w:val="none" w:sz="0" w:space="0" w:color="auto"/>
        <w:right w:val="none" w:sz="0" w:space="0" w:color="auto"/>
      </w:divBdr>
    </w:div>
    <w:div w:id="1898976135">
      <w:bodyDiv w:val="1"/>
      <w:marLeft w:val="0"/>
      <w:marRight w:val="0"/>
      <w:marTop w:val="0"/>
      <w:marBottom w:val="0"/>
      <w:divBdr>
        <w:top w:val="none" w:sz="0" w:space="0" w:color="auto"/>
        <w:left w:val="none" w:sz="0" w:space="0" w:color="auto"/>
        <w:bottom w:val="none" w:sz="0" w:space="0" w:color="auto"/>
        <w:right w:val="none" w:sz="0" w:space="0" w:color="auto"/>
      </w:divBdr>
    </w:div>
    <w:div w:id="1903321985">
      <w:bodyDiv w:val="1"/>
      <w:marLeft w:val="0"/>
      <w:marRight w:val="0"/>
      <w:marTop w:val="0"/>
      <w:marBottom w:val="0"/>
      <w:divBdr>
        <w:top w:val="none" w:sz="0" w:space="0" w:color="auto"/>
        <w:left w:val="none" w:sz="0" w:space="0" w:color="auto"/>
        <w:bottom w:val="none" w:sz="0" w:space="0" w:color="auto"/>
        <w:right w:val="none" w:sz="0" w:space="0" w:color="auto"/>
      </w:divBdr>
    </w:div>
    <w:div w:id="1909608754">
      <w:bodyDiv w:val="1"/>
      <w:marLeft w:val="0"/>
      <w:marRight w:val="0"/>
      <w:marTop w:val="0"/>
      <w:marBottom w:val="0"/>
      <w:divBdr>
        <w:top w:val="none" w:sz="0" w:space="0" w:color="auto"/>
        <w:left w:val="none" w:sz="0" w:space="0" w:color="auto"/>
        <w:bottom w:val="none" w:sz="0" w:space="0" w:color="auto"/>
        <w:right w:val="none" w:sz="0" w:space="0" w:color="auto"/>
      </w:divBdr>
    </w:div>
    <w:div w:id="1914241737">
      <w:bodyDiv w:val="1"/>
      <w:marLeft w:val="0"/>
      <w:marRight w:val="0"/>
      <w:marTop w:val="0"/>
      <w:marBottom w:val="0"/>
      <w:divBdr>
        <w:top w:val="none" w:sz="0" w:space="0" w:color="auto"/>
        <w:left w:val="none" w:sz="0" w:space="0" w:color="auto"/>
        <w:bottom w:val="none" w:sz="0" w:space="0" w:color="auto"/>
        <w:right w:val="none" w:sz="0" w:space="0" w:color="auto"/>
      </w:divBdr>
    </w:div>
    <w:div w:id="1916474492">
      <w:bodyDiv w:val="1"/>
      <w:marLeft w:val="0"/>
      <w:marRight w:val="0"/>
      <w:marTop w:val="0"/>
      <w:marBottom w:val="0"/>
      <w:divBdr>
        <w:top w:val="none" w:sz="0" w:space="0" w:color="auto"/>
        <w:left w:val="none" w:sz="0" w:space="0" w:color="auto"/>
        <w:bottom w:val="none" w:sz="0" w:space="0" w:color="auto"/>
        <w:right w:val="none" w:sz="0" w:space="0" w:color="auto"/>
      </w:divBdr>
    </w:div>
    <w:div w:id="1923903719">
      <w:bodyDiv w:val="1"/>
      <w:marLeft w:val="0"/>
      <w:marRight w:val="0"/>
      <w:marTop w:val="0"/>
      <w:marBottom w:val="0"/>
      <w:divBdr>
        <w:top w:val="none" w:sz="0" w:space="0" w:color="auto"/>
        <w:left w:val="none" w:sz="0" w:space="0" w:color="auto"/>
        <w:bottom w:val="none" w:sz="0" w:space="0" w:color="auto"/>
        <w:right w:val="none" w:sz="0" w:space="0" w:color="auto"/>
      </w:divBdr>
    </w:div>
    <w:div w:id="1928613418">
      <w:bodyDiv w:val="1"/>
      <w:marLeft w:val="0"/>
      <w:marRight w:val="0"/>
      <w:marTop w:val="0"/>
      <w:marBottom w:val="0"/>
      <w:divBdr>
        <w:top w:val="none" w:sz="0" w:space="0" w:color="auto"/>
        <w:left w:val="none" w:sz="0" w:space="0" w:color="auto"/>
        <w:bottom w:val="none" w:sz="0" w:space="0" w:color="auto"/>
        <w:right w:val="none" w:sz="0" w:space="0" w:color="auto"/>
      </w:divBdr>
    </w:div>
    <w:div w:id="1930381291">
      <w:bodyDiv w:val="1"/>
      <w:marLeft w:val="0"/>
      <w:marRight w:val="0"/>
      <w:marTop w:val="0"/>
      <w:marBottom w:val="0"/>
      <w:divBdr>
        <w:top w:val="none" w:sz="0" w:space="0" w:color="auto"/>
        <w:left w:val="none" w:sz="0" w:space="0" w:color="auto"/>
        <w:bottom w:val="none" w:sz="0" w:space="0" w:color="auto"/>
        <w:right w:val="none" w:sz="0" w:space="0" w:color="auto"/>
      </w:divBdr>
    </w:div>
    <w:div w:id="1937008937">
      <w:bodyDiv w:val="1"/>
      <w:marLeft w:val="0"/>
      <w:marRight w:val="0"/>
      <w:marTop w:val="0"/>
      <w:marBottom w:val="0"/>
      <w:divBdr>
        <w:top w:val="none" w:sz="0" w:space="0" w:color="auto"/>
        <w:left w:val="none" w:sz="0" w:space="0" w:color="auto"/>
        <w:bottom w:val="none" w:sz="0" w:space="0" w:color="auto"/>
        <w:right w:val="none" w:sz="0" w:space="0" w:color="auto"/>
      </w:divBdr>
    </w:div>
    <w:div w:id="1946616474">
      <w:bodyDiv w:val="1"/>
      <w:marLeft w:val="0"/>
      <w:marRight w:val="0"/>
      <w:marTop w:val="0"/>
      <w:marBottom w:val="0"/>
      <w:divBdr>
        <w:top w:val="none" w:sz="0" w:space="0" w:color="auto"/>
        <w:left w:val="none" w:sz="0" w:space="0" w:color="auto"/>
        <w:bottom w:val="none" w:sz="0" w:space="0" w:color="auto"/>
        <w:right w:val="none" w:sz="0" w:space="0" w:color="auto"/>
      </w:divBdr>
    </w:div>
    <w:div w:id="1968925689">
      <w:bodyDiv w:val="1"/>
      <w:marLeft w:val="0"/>
      <w:marRight w:val="0"/>
      <w:marTop w:val="0"/>
      <w:marBottom w:val="0"/>
      <w:divBdr>
        <w:top w:val="none" w:sz="0" w:space="0" w:color="auto"/>
        <w:left w:val="none" w:sz="0" w:space="0" w:color="auto"/>
        <w:bottom w:val="none" w:sz="0" w:space="0" w:color="auto"/>
        <w:right w:val="none" w:sz="0" w:space="0" w:color="auto"/>
      </w:divBdr>
    </w:div>
    <w:div w:id="1970433025">
      <w:bodyDiv w:val="1"/>
      <w:marLeft w:val="0"/>
      <w:marRight w:val="0"/>
      <w:marTop w:val="0"/>
      <w:marBottom w:val="0"/>
      <w:divBdr>
        <w:top w:val="none" w:sz="0" w:space="0" w:color="auto"/>
        <w:left w:val="none" w:sz="0" w:space="0" w:color="auto"/>
        <w:bottom w:val="none" w:sz="0" w:space="0" w:color="auto"/>
        <w:right w:val="none" w:sz="0" w:space="0" w:color="auto"/>
      </w:divBdr>
    </w:div>
    <w:div w:id="1978102917">
      <w:bodyDiv w:val="1"/>
      <w:marLeft w:val="0"/>
      <w:marRight w:val="0"/>
      <w:marTop w:val="0"/>
      <w:marBottom w:val="0"/>
      <w:divBdr>
        <w:top w:val="none" w:sz="0" w:space="0" w:color="auto"/>
        <w:left w:val="none" w:sz="0" w:space="0" w:color="auto"/>
        <w:bottom w:val="none" w:sz="0" w:space="0" w:color="auto"/>
        <w:right w:val="none" w:sz="0" w:space="0" w:color="auto"/>
      </w:divBdr>
    </w:div>
    <w:div w:id="1980842924">
      <w:bodyDiv w:val="1"/>
      <w:marLeft w:val="0"/>
      <w:marRight w:val="0"/>
      <w:marTop w:val="0"/>
      <w:marBottom w:val="0"/>
      <w:divBdr>
        <w:top w:val="none" w:sz="0" w:space="0" w:color="auto"/>
        <w:left w:val="none" w:sz="0" w:space="0" w:color="auto"/>
        <w:bottom w:val="none" w:sz="0" w:space="0" w:color="auto"/>
        <w:right w:val="none" w:sz="0" w:space="0" w:color="auto"/>
      </w:divBdr>
    </w:div>
    <w:div w:id="2003042961">
      <w:bodyDiv w:val="1"/>
      <w:marLeft w:val="0"/>
      <w:marRight w:val="0"/>
      <w:marTop w:val="0"/>
      <w:marBottom w:val="0"/>
      <w:divBdr>
        <w:top w:val="none" w:sz="0" w:space="0" w:color="auto"/>
        <w:left w:val="none" w:sz="0" w:space="0" w:color="auto"/>
        <w:bottom w:val="none" w:sz="0" w:space="0" w:color="auto"/>
        <w:right w:val="none" w:sz="0" w:space="0" w:color="auto"/>
      </w:divBdr>
    </w:div>
    <w:div w:id="2009670231">
      <w:bodyDiv w:val="1"/>
      <w:marLeft w:val="0"/>
      <w:marRight w:val="0"/>
      <w:marTop w:val="0"/>
      <w:marBottom w:val="0"/>
      <w:divBdr>
        <w:top w:val="none" w:sz="0" w:space="0" w:color="auto"/>
        <w:left w:val="none" w:sz="0" w:space="0" w:color="auto"/>
        <w:bottom w:val="none" w:sz="0" w:space="0" w:color="auto"/>
        <w:right w:val="none" w:sz="0" w:space="0" w:color="auto"/>
      </w:divBdr>
    </w:div>
    <w:div w:id="2014990156">
      <w:bodyDiv w:val="1"/>
      <w:marLeft w:val="0"/>
      <w:marRight w:val="0"/>
      <w:marTop w:val="0"/>
      <w:marBottom w:val="0"/>
      <w:divBdr>
        <w:top w:val="none" w:sz="0" w:space="0" w:color="auto"/>
        <w:left w:val="none" w:sz="0" w:space="0" w:color="auto"/>
        <w:bottom w:val="none" w:sz="0" w:space="0" w:color="auto"/>
        <w:right w:val="none" w:sz="0" w:space="0" w:color="auto"/>
      </w:divBdr>
    </w:div>
    <w:div w:id="2023504619">
      <w:bodyDiv w:val="1"/>
      <w:marLeft w:val="0"/>
      <w:marRight w:val="0"/>
      <w:marTop w:val="0"/>
      <w:marBottom w:val="0"/>
      <w:divBdr>
        <w:top w:val="none" w:sz="0" w:space="0" w:color="auto"/>
        <w:left w:val="none" w:sz="0" w:space="0" w:color="auto"/>
        <w:bottom w:val="none" w:sz="0" w:space="0" w:color="auto"/>
        <w:right w:val="none" w:sz="0" w:space="0" w:color="auto"/>
      </w:divBdr>
    </w:div>
    <w:div w:id="2026515591">
      <w:bodyDiv w:val="1"/>
      <w:marLeft w:val="0"/>
      <w:marRight w:val="0"/>
      <w:marTop w:val="0"/>
      <w:marBottom w:val="0"/>
      <w:divBdr>
        <w:top w:val="none" w:sz="0" w:space="0" w:color="auto"/>
        <w:left w:val="none" w:sz="0" w:space="0" w:color="auto"/>
        <w:bottom w:val="none" w:sz="0" w:space="0" w:color="auto"/>
        <w:right w:val="none" w:sz="0" w:space="0" w:color="auto"/>
      </w:divBdr>
    </w:div>
    <w:div w:id="2038576799">
      <w:bodyDiv w:val="1"/>
      <w:marLeft w:val="0"/>
      <w:marRight w:val="0"/>
      <w:marTop w:val="0"/>
      <w:marBottom w:val="0"/>
      <w:divBdr>
        <w:top w:val="none" w:sz="0" w:space="0" w:color="auto"/>
        <w:left w:val="none" w:sz="0" w:space="0" w:color="auto"/>
        <w:bottom w:val="none" w:sz="0" w:space="0" w:color="auto"/>
        <w:right w:val="none" w:sz="0" w:space="0" w:color="auto"/>
      </w:divBdr>
    </w:div>
    <w:div w:id="2041280060">
      <w:bodyDiv w:val="1"/>
      <w:marLeft w:val="0"/>
      <w:marRight w:val="0"/>
      <w:marTop w:val="0"/>
      <w:marBottom w:val="0"/>
      <w:divBdr>
        <w:top w:val="none" w:sz="0" w:space="0" w:color="auto"/>
        <w:left w:val="none" w:sz="0" w:space="0" w:color="auto"/>
        <w:bottom w:val="none" w:sz="0" w:space="0" w:color="auto"/>
        <w:right w:val="none" w:sz="0" w:space="0" w:color="auto"/>
      </w:divBdr>
    </w:div>
    <w:div w:id="2045858558">
      <w:bodyDiv w:val="1"/>
      <w:marLeft w:val="0"/>
      <w:marRight w:val="0"/>
      <w:marTop w:val="0"/>
      <w:marBottom w:val="0"/>
      <w:divBdr>
        <w:top w:val="none" w:sz="0" w:space="0" w:color="auto"/>
        <w:left w:val="none" w:sz="0" w:space="0" w:color="auto"/>
        <w:bottom w:val="none" w:sz="0" w:space="0" w:color="auto"/>
        <w:right w:val="none" w:sz="0" w:space="0" w:color="auto"/>
      </w:divBdr>
    </w:div>
    <w:div w:id="2057503854">
      <w:bodyDiv w:val="1"/>
      <w:marLeft w:val="0"/>
      <w:marRight w:val="0"/>
      <w:marTop w:val="0"/>
      <w:marBottom w:val="0"/>
      <w:divBdr>
        <w:top w:val="none" w:sz="0" w:space="0" w:color="auto"/>
        <w:left w:val="none" w:sz="0" w:space="0" w:color="auto"/>
        <w:bottom w:val="none" w:sz="0" w:space="0" w:color="auto"/>
        <w:right w:val="none" w:sz="0" w:space="0" w:color="auto"/>
      </w:divBdr>
    </w:div>
    <w:div w:id="2057580877">
      <w:bodyDiv w:val="1"/>
      <w:marLeft w:val="0"/>
      <w:marRight w:val="0"/>
      <w:marTop w:val="0"/>
      <w:marBottom w:val="0"/>
      <w:divBdr>
        <w:top w:val="none" w:sz="0" w:space="0" w:color="auto"/>
        <w:left w:val="none" w:sz="0" w:space="0" w:color="auto"/>
        <w:bottom w:val="none" w:sz="0" w:space="0" w:color="auto"/>
        <w:right w:val="none" w:sz="0" w:space="0" w:color="auto"/>
      </w:divBdr>
    </w:div>
    <w:div w:id="2062706054">
      <w:bodyDiv w:val="1"/>
      <w:marLeft w:val="0"/>
      <w:marRight w:val="0"/>
      <w:marTop w:val="0"/>
      <w:marBottom w:val="0"/>
      <w:divBdr>
        <w:top w:val="none" w:sz="0" w:space="0" w:color="auto"/>
        <w:left w:val="none" w:sz="0" w:space="0" w:color="auto"/>
        <w:bottom w:val="none" w:sz="0" w:space="0" w:color="auto"/>
        <w:right w:val="none" w:sz="0" w:space="0" w:color="auto"/>
      </w:divBdr>
    </w:div>
    <w:div w:id="2063366849">
      <w:bodyDiv w:val="1"/>
      <w:marLeft w:val="0"/>
      <w:marRight w:val="0"/>
      <w:marTop w:val="0"/>
      <w:marBottom w:val="0"/>
      <w:divBdr>
        <w:top w:val="none" w:sz="0" w:space="0" w:color="auto"/>
        <w:left w:val="none" w:sz="0" w:space="0" w:color="auto"/>
        <w:bottom w:val="none" w:sz="0" w:space="0" w:color="auto"/>
        <w:right w:val="none" w:sz="0" w:space="0" w:color="auto"/>
      </w:divBdr>
    </w:div>
    <w:div w:id="2088527127">
      <w:bodyDiv w:val="1"/>
      <w:marLeft w:val="0"/>
      <w:marRight w:val="0"/>
      <w:marTop w:val="0"/>
      <w:marBottom w:val="0"/>
      <w:divBdr>
        <w:top w:val="none" w:sz="0" w:space="0" w:color="auto"/>
        <w:left w:val="none" w:sz="0" w:space="0" w:color="auto"/>
        <w:bottom w:val="none" w:sz="0" w:space="0" w:color="auto"/>
        <w:right w:val="none" w:sz="0" w:space="0" w:color="auto"/>
      </w:divBdr>
    </w:div>
    <w:div w:id="2092461749">
      <w:bodyDiv w:val="1"/>
      <w:marLeft w:val="0"/>
      <w:marRight w:val="0"/>
      <w:marTop w:val="0"/>
      <w:marBottom w:val="0"/>
      <w:divBdr>
        <w:top w:val="none" w:sz="0" w:space="0" w:color="auto"/>
        <w:left w:val="none" w:sz="0" w:space="0" w:color="auto"/>
        <w:bottom w:val="none" w:sz="0" w:space="0" w:color="auto"/>
        <w:right w:val="none" w:sz="0" w:space="0" w:color="auto"/>
      </w:divBdr>
    </w:div>
    <w:div w:id="2092501605">
      <w:bodyDiv w:val="1"/>
      <w:marLeft w:val="0"/>
      <w:marRight w:val="0"/>
      <w:marTop w:val="0"/>
      <w:marBottom w:val="0"/>
      <w:divBdr>
        <w:top w:val="none" w:sz="0" w:space="0" w:color="auto"/>
        <w:left w:val="none" w:sz="0" w:space="0" w:color="auto"/>
        <w:bottom w:val="none" w:sz="0" w:space="0" w:color="auto"/>
        <w:right w:val="none" w:sz="0" w:space="0" w:color="auto"/>
      </w:divBdr>
    </w:div>
    <w:div w:id="2092970226">
      <w:bodyDiv w:val="1"/>
      <w:marLeft w:val="0"/>
      <w:marRight w:val="0"/>
      <w:marTop w:val="0"/>
      <w:marBottom w:val="0"/>
      <w:divBdr>
        <w:top w:val="none" w:sz="0" w:space="0" w:color="auto"/>
        <w:left w:val="none" w:sz="0" w:space="0" w:color="auto"/>
        <w:bottom w:val="none" w:sz="0" w:space="0" w:color="auto"/>
        <w:right w:val="none" w:sz="0" w:space="0" w:color="auto"/>
      </w:divBdr>
    </w:div>
    <w:div w:id="2094160936">
      <w:bodyDiv w:val="1"/>
      <w:marLeft w:val="0"/>
      <w:marRight w:val="0"/>
      <w:marTop w:val="0"/>
      <w:marBottom w:val="0"/>
      <w:divBdr>
        <w:top w:val="none" w:sz="0" w:space="0" w:color="auto"/>
        <w:left w:val="none" w:sz="0" w:space="0" w:color="auto"/>
        <w:bottom w:val="none" w:sz="0" w:space="0" w:color="auto"/>
        <w:right w:val="none" w:sz="0" w:space="0" w:color="auto"/>
      </w:divBdr>
    </w:div>
    <w:div w:id="2097239351">
      <w:bodyDiv w:val="1"/>
      <w:marLeft w:val="0"/>
      <w:marRight w:val="0"/>
      <w:marTop w:val="0"/>
      <w:marBottom w:val="0"/>
      <w:divBdr>
        <w:top w:val="none" w:sz="0" w:space="0" w:color="auto"/>
        <w:left w:val="none" w:sz="0" w:space="0" w:color="auto"/>
        <w:bottom w:val="none" w:sz="0" w:space="0" w:color="auto"/>
        <w:right w:val="none" w:sz="0" w:space="0" w:color="auto"/>
      </w:divBdr>
    </w:div>
    <w:div w:id="2104911602">
      <w:bodyDiv w:val="1"/>
      <w:marLeft w:val="0"/>
      <w:marRight w:val="0"/>
      <w:marTop w:val="0"/>
      <w:marBottom w:val="0"/>
      <w:divBdr>
        <w:top w:val="none" w:sz="0" w:space="0" w:color="auto"/>
        <w:left w:val="none" w:sz="0" w:space="0" w:color="auto"/>
        <w:bottom w:val="none" w:sz="0" w:space="0" w:color="auto"/>
        <w:right w:val="none" w:sz="0" w:space="0" w:color="auto"/>
      </w:divBdr>
    </w:div>
    <w:div w:id="2114199684">
      <w:bodyDiv w:val="1"/>
      <w:marLeft w:val="0"/>
      <w:marRight w:val="0"/>
      <w:marTop w:val="0"/>
      <w:marBottom w:val="0"/>
      <w:divBdr>
        <w:top w:val="none" w:sz="0" w:space="0" w:color="auto"/>
        <w:left w:val="none" w:sz="0" w:space="0" w:color="auto"/>
        <w:bottom w:val="none" w:sz="0" w:space="0" w:color="auto"/>
        <w:right w:val="none" w:sz="0" w:space="0" w:color="auto"/>
      </w:divBdr>
    </w:div>
    <w:div w:id="2128892755">
      <w:bodyDiv w:val="1"/>
      <w:marLeft w:val="0"/>
      <w:marRight w:val="0"/>
      <w:marTop w:val="0"/>
      <w:marBottom w:val="0"/>
      <w:divBdr>
        <w:top w:val="none" w:sz="0" w:space="0" w:color="auto"/>
        <w:left w:val="none" w:sz="0" w:space="0" w:color="auto"/>
        <w:bottom w:val="none" w:sz="0" w:space="0" w:color="auto"/>
        <w:right w:val="none" w:sz="0" w:space="0" w:color="auto"/>
      </w:divBdr>
    </w:div>
    <w:div w:id="2129077638">
      <w:bodyDiv w:val="1"/>
      <w:marLeft w:val="0"/>
      <w:marRight w:val="0"/>
      <w:marTop w:val="0"/>
      <w:marBottom w:val="0"/>
      <w:divBdr>
        <w:top w:val="none" w:sz="0" w:space="0" w:color="auto"/>
        <w:left w:val="none" w:sz="0" w:space="0" w:color="auto"/>
        <w:bottom w:val="none" w:sz="0" w:space="0" w:color="auto"/>
        <w:right w:val="none" w:sz="0" w:space="0" w:color="auto"/>
      </w:divBdr>
    </w:div>
    <w:div w:id="2133161910">
      <w:bodyDiv w:val="1"/>
      <w:marLeft w:val="0"/>
      <w:marRight w:val="0"/>
      <w:marTop w:val="0"/>
      <w:marBottom w:val="0"/>
      <w:divBdr>
        <w:top w:val="none" w:sz="0" w:space="0" w:color="auto"/>
        <w:left w:val="none" w:sz="0" w:space="0" w:color="auto"/>
        <w:bottom w:val="none" w:sz="0" w:space="0" w:color="auto"/>
        <w:right w:val="none" w:sz="0" w:space="0" w:color="auto"/>
      </w:divBdr>
    </w:div>
    <w:div w:id="2137478452">
      <w:bodyDiv w:val="1"/>
      <w:marLeft w:val="0"/>
      <w:marRight w:val="0"/>
      <w:marTop w:val="0"/>
      <w:marBottom w:val="0"/>
      <w:divBdr>
        <w:top w:val="none" w:sz="0" w:space="0" w:color="auto"/>
        <w:left w:val="none" w:sz="0" w:space="0" w:color="auto"/>
        <w:bottom w:val="none" w:sz="0" w:space="0" w:color="auto"/>
        <w:right w:val="none" w:sz="0" w:space="0" w:color="auto"/>
      </w:divBdr>
    </w:div>
    <w:div w:id="2137750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hyperlink" Target="http://www.cninfo.com.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206</Pages>
  <Words>29546</Words>
  <Characters>168417</Characters>
  <Application>Microsoft Office Word</Application>
  <DocSecurity>0</DocSecurity>
  <Lines>1403</Lines>
  <Paragraphs>395</Paragraphs>
  <ScaleCrop>false</ScaleCrop>
  <Company>MicroSoft</Company>
  <LinksUpToDate>false</LinksUpToDate>
  <CharactersWithSpaces>197568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孙献</dc:creator>
  <cp:lastModifiedBy>孙献</cp:lastModifiedBy>
  <cp:revision>17</cp:revision>
  <dcterms:created xsi:type="dcterms:W3CDTF">2025-04-25T09:09:00Z</dcterms:created>
  <dcterms:modified xsi:type="dcterms:W3CDTF">2025-04-25T11:13:00Z</dcterms:modified>
</cp:coreProperties>
</file>