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F3924">
      <w:pPr>
        <w:widowControl/>
        <w:spacing w:before="120" w:line="360" w:lineRule="auto"/>
        <w:ind w:firstLine="279" w:firstLineChars="133"/>
        <w:rPr>
          <w:rFonts w:ascii="黑体" w:hAnsi="黑体" w:eastAsia="黑体" w:cs="宋体"/>
          <w:kern w:val="0"/>
          <w:sz w:val="21"/>
          <w:szCs w:val="21"/>
        </w:rPr>
      </w:pPr>
      <w:r>
        <w:rPr>
          <w:rFonts w:hint="eastAsia" w:ascii="黑体" w:hAnsi="黑体" w:eastAsia="黑体" w:cs="宋体"/>
          <w:kern w:val="0"/>
          <w:sz w:val="21"/>
          <w:szCs w:val="21"/>
        </w:rPr>
        <w:t>证券代码：002042             证券简称：华孚时尚             公告编号：2025-15</w:t>
      </w:r>
    </w:p>
    <w:p w14:paraId="19826ACB">
      <w:pPr>
        <w:widowControl/>
        <w:spacing w:before="120" w:line="360" w:lineRule="auto"/>
        <w:ind w:firstLine="481" w:firstLineChars="133"/>
        <w:jc w:val="center"/>
        <w:rPr>
          <w:rFonts w:ascii="宋体" w:hAnsi="宋体" w:eastAsia="宋体" w:cs="宋体"/>
          <w:b/>
          <w:kern w:val="0"/>
          <w:sz w:val="36"/>
          <w:szCs w:val="36"/>
        </w:rPr>
      </w:pPr>
      <w:r>
        <w:rPr>
          <w:rFonts w:hint="eastAsia" w:ascii="宋体" w:hAnsi="宋体" w:eastAsia="宋体" w:cs="宋体"/>
          <w:b/>
          <w:kern w:val="0"/>
          <w:sz w:val="36"/>
          <w:szCs w:val="36"/>
        </w:rPr>
        <w:t>华孚时尚股份有限公司</w:t>
      </w:r>
    </w:p>
    <w:p w14:paraId="448358AB">
      <w:pPr>
        <w:widowControl/>
        <w:spacing w:before="120" w:line="360" w:lineRule="auto"/>
        <w:ind w:firstLine="481" w:firstLineChars="133"/>
        <w:jc w:val="center"/>
        <w:rPr>
          <w:rFonts w:ascii="宋体" w:hAnsi="宋体" w:eastAsia="宋体" w:cs="宋体"/>
          <w:b/>
          <w:kern w:val="0"/>
          <w:sz w:val="36"/>
          <w:szCs w:val="36"/>
        </w:rPr>
      </w:pPr>
      <w:r>
        <w:rPr>
          <w:rFonts w:hint="eastAsia" w:ascii="宋体" w:hAnsi="宋体" w:eastAsia="宋体" w:cs="宋体"/>
          <w:b/>
          <w:kern w:val="0"/>
          <w:sz w:val="36"/>
          <w:szCs w:val="36"/>
        </w:rPr>
        <w:t>关于续聘2025年度会计师事务所的公告</w:t>
      </w:r>
    </w:p>
    <w:p w14:paraId="53B18B81">
      <w:pPr>
        <w:widowControl/>
        <w:spacing w:before="120" w:after="156" w:afterLines="50" w:line="360" w:lineRule="auto"/>
        <w:ind w:firstLine="424" w:firstLineChars="177"/>
        <w:jc w:val="left"/>
        <w:rPr>
          <w:rFonts w:ascii="楷体" w:hAnsi="楷体" w:eastAsia="楷体" w:cs="宋体"/>
          <w:kern w:val="0"/>
          <w:sz w:val="24"/>
        </w:rPr>
      </w:pPr>
      <w:r>
        <w:rPr>
          <w:rFonts w:ascii="楷体" w:hAnsi="楷体" w:eastAsia="楷体" w:cs="宋体"/>
          <w:kern w:val="0"/>
          <w:sz w:val="24"/>
        </w:rPr>
        <w:t>本公司及董事会全体成员保证信息披露的内容真实、准确、完整，没有虚假记载、误导性陈述或重大遗漏。</w:t>
      </w:r>
    </w:p>
    <w:p w14:paraId="2C73ECF6">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华孚时尚股份有限公司（以下简称“公司”）于2025年4月24日召开了第九届董事会第一次会议及第九届监事会第二次会议，审议通过了《关于续聘2025年度会计师事务所的议案》。公司拟续聘政旦志远（深圳）会计师事务所（特殊普通合伙）（以下简称“</w:t>
      </w:r>
      <w:r>
        <w:rPr>
          <w:rFonts w:hint="eastAsia" w:ascii="宋体" w:hAnsi="宋体" w:eastAsia="宋体" w:cs="宋体"/>
          <w:sz w:val="24"/>
        </w:rPr>
        <w:t>政旦志远</w:t>
      </w:r>
      <w:r>
        <w:rPr>
          <w:rFonts w:hint="eastAsia" w:ascii="宋体" w:hAnsi="宋体" w:eastAsia="宋体" w:cs="宋体"/>
          <w:kern w:val="0"/>
          <w:sz w:val="24"/>
        </w:rPr>
        <w:t>”）为公司2025年度审计机构。该事项尚需提交公司股东大会审议，现将有关事宜公告如下：</w:t>
      </w:r>
    </w:p>
    <w:p w14:paraId="40F90F16">
      <w:pPr>
        <w:pStyle w:val="18"/>
        <w:numPr>
          <w:ilvl w:val="0"/>
          <w:numId w:val="1"/>
        </w:numPr>
        <w:kinsoku w:val="0"/>
        <w:overflowPunct w:val="0"/>
        <w:autoSpaceDE w:val="0"/>
        <w:autoSpaceDN w:val="0"/>
        <w:adjustRightInd w:val="0"/>
        <w:snapToGrid w:val="0"/>
        <w:spacing w:line="360" w:lineRule="auto"/>
        <w:ind w:left="0" w:firstLine="482"/>
        <w:rPr>
          <w:rFonts w:ascii="宋体" w:hAnsi="宋体" w:eastAsia="宋体" w:cs="宋体"/>
          <w:b/>
          <w:bCs/>
          <w:sz w:val="24"/>
          <w:szCs w:val="24"/>
        </w:rPr>
      </w:pPr>
      <w:r>
        <w:rPr>
          <w:rFonts w:hint="eastAsia" w:ascii="宋体" w:hAnsi="宋体" w:eastAsia="宋体" w:cs="宋体"/>
          <w:b/>
          <w:bCs/>
          <w:sz w:val="24"/>
          <w:szCs w:val="24"/>
        </w:rPr>
        <w:t>拟</w:t>
      </w:r>
      <w:r>
        <w:rPr>
          <w:rFonts w:hint="eastAsia" w:ascii="宋体" w:hAnsi="宋体" w:eastAsia="宋体" w:cs="宋体"/>
          <w:b/>
          <w:bCs/>
          <w:iCs/>
          <w:color w:val="000000" w:themeColor="text1"/>
          <w:sz w:val="24"/>
          <w:szCs w:val="24"/>
          <w14:textFill>
            <w14:solidFill>
              <w14:schemeClr w14:val="tx1"/>
            </w14:solidFill>
          </w14:textFill>
        </w:rPr>
        <w:t>续聘</w:t>
      </w:r>
      <w:r>
        <w:rPr>
          <w:rFonts w:hint="eastAsia" w:ascii="宋体" w:hAnsi="宋体" w:eastAsia="宋体" w:cs="宋体"/>
          <w:b/>
          <w:bCs/>
          <w:sz w:val="24"/>
          <w:szCs w:val="24"/>
        </w:rPr>
        <w:t>会计师事务所的基本情况</w:t>
      </w:r>
    </w:p>
    <w:p w14:paraId="6460045A">
      <w:pPr>
        <w:kinsoku w:val="0"/>
        <w:overflowPunct w:val="0"/>
        <w:autoSpaceDE w:val="0"/>
        <w:autoSpaceDN w:val="0"/>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（一）机构信息情况</w:t>
      </w:r>
    </w:p>
    <w:p w14:paraId="0D5A2795">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1．机构信息</w:t>
      </w:r>
    </w:p>
    <w:p w14:paraId="581B50EF">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名称:政旦志远（深圳）会计师事务所（特殊普通合伙）</w:t>
      </w:r>
    </w:p>
    <w:p w14:paraId="33047F0D">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成立日期:2005年1月12日</w:t>
      </w:r>
    </w:p>
    <w:p w14:paraId="0C683E43">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组织形式:特殊普通合伙</w:t>
      </w:r>
    </w:p>
    <w:p w14:paraId="6CF934CA">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注册地址:深圳市福田区莲花街道福新社区鹏程一路9号广电金融中心11F</w:t>
      </w:r>
    </w:p>
    <w:p w14:paraId="636C719C">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首席合伙人:李建伟</w:t>
      </w:r>
    </w:p>
    <w:p w14:paraId="3CACB888">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截止2024年12月31日，政旦志远（深圳）会计师事务所（特殊普通合伙）合伙人29人，注册会计师91人。签署过证券服务业务审计报告的注册会计师人数</w:t>
      </w:r>
      <w:r>
        <w:rPr>
          <w:rFonts w:hint="eastAsia" w:ascii="宋体" w:hAnsi="宋体" w:eastAsia="宋体" w:cs="宋体"/>
          <w:color w:val="000000" w:themeColor="text1"/>
          <w:sz w:val="24"/>
          <w14:textFill>
            <w14:solidFill>
              <w14:schemeClr w14:val="tx1"/>
            </w14:solidFill>
          </w14:textFill>
        </w:rPr>
        <w:t>68</w:t>
      </w:r>
      <w:r>
        <w:rPr>
          <w:rFonts w:hint="eastAsia" w:ascii="宋体" w:hAnsi="宋体" w:eastAsia="宋体" w:cs="宋体"/>
          <w:sz w:val="24"/>
        </w:rPr>
        <w:t>人。</w:t>
      </w:r>
      <w:bookmarkStart w:id="2" w:name="_GoBack"/>
      <w:bookmarkEnd w:id="2"/>
    </w:p>
    <w:p w14:paraId="1DD24891">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最近一个会计年度（2024年度，下同）经审计的收入总额为7,268.94万元，审计业务收入为6,340.74万元，管理咨询业务收入为797.30万元，证券业务收入为3,434.75万元。</w:t>
      </w:r>
    </w:p>
    <w:p w14:paraId="53B9CEBF">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2024年度上市公司审计客户家数：16家</w:t>
      </w:r>
    </w:p>
    <w:p w14:paraId="0514CE0B">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2024年上市公司审计客户前五大主要行业：制造业；信息传输、软件和信息技术服务业；租赁和商务服务业（按证监会行业分类）</w:t>
      </w:r>
    </w:p>
    <w:p w14:paraId="4DF2BF75">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2024年度上市公司年报审计收费：2,459.60万元</w:t>
      </w:r>
    </w:p>
    <w:p w14:paraId="287DD181">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2024年度本公司同行业上市公司审计客户家数：</w:t>
      </w:r>
      <w:r>
        <w:rPr>
          <w:rFonts w:hint="eastAsia" w:ascii="宋体" w:hAnsi="宋体" w:eastAsia="宋体" w:cs="宋体"/>
          <w:color w:val="000000" w:themeColor="text1"/>
          <w:sz w:val="24"/>
          <w14:textFill>
            <w14:solidFill>
              <w14:schemeClr w14:val="tx1"/>
            </w14:solidFill>
          </w14:textFill>
        </w:rPr>
        <w:t>0</w:t>
      </w:r>
      <w:r>
        <w:rPr>
          <w:rFonts w:hint="eastAsia" w:ascii="宋体" w:hAnsi="宋体" w:eastAsia="宋体" w:cs="宋体"/>
          <w:sz w:val="24"/>
        </w:rPr>
        <w:t>家</w:t>
      </w:r>
    </w:p>
    <w:p w14:paraId="46536EAB">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2．投资者保护能力</w:t>
      </w:r>
    </w:p>
    <w:p w14:paraId="3FA3C642">
      <w:pPr>
        <w:kinsoku w:val="0"/>
        <w:overflowPunct w:val="0"/>
        <w:autoSpaceDE w:val="0"/>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截止公告日，政旦志远（深圳）会计师事务所（特殊普通合伙）已购买职业责任保险，职业责任保险累计赔偿限额5,000万元，并计提职业风险基金。职业风险基金2024年年末数（经审计）：217.58万元。政旦志远（深圳）会计师事务所（特殊普通合伙）职业风险基金的计提及职业责任保险的购买符合相关规定；近三年无在执业行为相关民事诉讼中承担民事责任的情况。</w:t>
      </w:r>
    </w:p>
    <w:p w14:paraId="703B2BAD">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3．诚信记录</w:t>
      </w:r>
    </w:p>
    <w:p w14:paraId="7B3028C0">
      <w:pPr>
        <w:kinsoku w:val="0"/>
        <w:overflowPunct w:val="0"/>
        <w:autoSpaceDE w:val="0"/>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政旦志远（深圳）会计师事务所（特殊普通合伙）近三年因执业行为受到刑事处罚0次、行政处罚0次、监督管理措施1次、自律监管措施0次和纪律处分0次；</w:t>
      </w:r>
    </w:p>
    <w:p w14:paraId="72DA1E6B">
      <w:pPr>
        <w:kinsoku w:val="0"/>
        <w:overflowPunct w:val="0"/>
        <w:autoSpaceDE w:val="0"/>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14名从业人员近三年（最近三个完整自然年度及当年）因执业行为受到刑事处罚0次、行政处罚0次、监督管理措施11次、自律监管措施5次和纪律处分0次。</w:t>
      </w:r>
    </w:p>
    <w:p w14:paraId="4195873E">
      <w:pPr>
        <w:kinsoku w:val="0"/>
        <w:overflowPunct w:val="0"/>
        <w:autoSpaceDE w:val="0"/>
        <w:autoSpaceDN w:val="0"/>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（二）项目信息</w:t>
      </w:r>
    </w:p>
    <w:p w14:paraId="1EC6E9EC">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1.基本信息</w:t>
      </w:r>
    </w:p>
    <w:p w14:paraId="5076EEE6">
      <w:pPr>
        <w:kinsoku w:val="0"/>
        <w:overflowPunct w:val="0"/>
        <w:autoSpaceDE w:val="0"/>
        <w:autoSpaceDN w:val="0"/>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拟签字项目合伙人：</w:t>
      </w:r>
      <w:r>
        <w:rPr>
          <w:rFonts w:hint="eastAsia" w:ascii="宋体" w:hAnsi="宋体" w:eastAsia="宋体" w:cs="宋体"/>
          <w:color w:val="000000" w:themeColor="text1"/>
          <w:sz w:val="24"/>
          <w14:textFill>
            <w14:solidFill>
              <w14:schemeClr w14:val="tx1"/>
            </w14:solidFill>
          </w14:textFill>
        </w:rPr>
        <w:t>陈磊，2014年10月成为注册会计师，2015年9月开始从事上市公司审计，2023年11月开始在政旦志远执业，2024年开始为本公司提供审计服务，近三年负责并签字的上市公司审计报告合计11家。</w:t>
      </w:r>
    </w:p>
    <w:p w14:paraId="7F47970D">
      <w:pPr>
        <w:kinsoku w:val="0"/>
        <w:overflowPunct w:val="0"/>
        <w:autoSpaceDE w:val="0"/>
        <w:autoSpaceDN w:val="0"/>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拟签字注册会计师：张吉宝，2021年11月成为注册会计师，2017年10月开始从事上市公司审计，2023年11月开始在政旦志远执业，2024年开始为本公司提供审计服务，近三年签署上市公司3家。</w:t>
      </w:r>
    </w:p>
    <w:p w14:paraId="6C2AB3EF">
      <w:pPr>
        <w:kinsoku w:val="0"/>
        <w:overflowPunct w:val="0"/>
        <w:autoSpaceDE w:val="0"/>
        <w:autoSpaceDN w:val="0"/>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bookmarkStart w:id="0" w:name="_Hlk177141995"/>
      <w:r>
        <w:rPr>
          <w:rFonts w:hint="eastAsia" w:ascii="宋体" w:hAnsi="宋体" w:eastAsia="宋体" w:cs="宋体"/>
          <w:color w:val="000000" w:themeColor="text1"/>
          <w:sz w:val="24"/>
          <w14:textFill>
            <w14:solidFill>
              <w14:schemeClr w14:val="tx1"/>
            </w14:solidFill>
          </w14:textFill>
        </w:rPr>
        <w:t>拟安排的项目质量复核人员：崔芳，2007年9月成为注册会计师，2005年开始从事上市公司审计，2024年12月开始在政旦志远（深圳）会计师事务所（特殊普通合伙）执业，2024年开始为本公司提供审计业务，近三年签署或复核的上市公司和挂牌公司审计报告合计超过30家。</w:t>
      </w:r>
    </w:p>
    <w:bookmarkEnd w:id="0"/>
    <w:p w14:paraId="13278CBF">
      <w:pPr>
        <w:kinsoku w:val="0"/>
        <w:overflowPunct w:val="0"/>
        <w:autoSpaceDE w:val="0"/>
        <w:autoSpaceDN w:val="0"/>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2.诚信记录</w:t>
      </w:r>
    </w:p>
    <w:p w14:paraId="5B13FA20">
      <w:pPr>
        <w:kinsoku w:val="0"/>
        <w:overflowPunct w:val="0"/>
        <w:autoSpaceDE w:val="0"/>
        <w:autoSpaceDN w:val="0"/>
        <w:adjustRightInd w:val="0"/>
        <w:snapToGrid w:val="0"/>
        <w:spacing w:line="360" w:lineRule="auto"/>
        <w:ind w:firstLine="480" w:firstLineChars="200"/>
        <w:rPr>
          <w:rFonts w:ascii="宋体" w:hAnsi="宋体" w:eastAsia="宋体" w:cs="宋体"/>
          <w:iCs/>
          <w:color w:val="000000" w:themeColor="text1"/>
          <w:sz w:val="24"/>
          <w14:textFill>
            <w14:solidFill>
              <w14:schemeClr w14:val="tx1"/>
            </w14:solidFill>
          </w14:textFill>
        </w:rPr>
      </w:pPr>
      <w:bookmarkStart w:id="1" w:name="_Hlk177123063"/>
      <w:r>
        <w:rPr>
          <w:rFonts w:hint="eastAsia" w:ascii="宋体" w:hAnsi="宋体" w:eastAsia="宋体" w:cs="宋体"/>
          <w:iCs/>
          <w:color w:val="000000" w:themeColor="text1"/>
          <w:sz w:val="24"/>
          <w14:textFill>
            <w14:solidFill>
              <w14:schemeClr w14:val="tx1"/>
            </w14:solidFill>
          </w14:textFill>
        </w:rPr>
        <w:t>项目合伙人、签字注册会计师、项目质量控制复核人近三年因执业行为受到刑事处罚，受到证监会及其派出机构、行业主管部门等的行政处罚、监督管理措施，受到证券交易所、行业协会等自律组织的自律监管措施、纪律处分的具体情况：陈磊，在富满微电子集团股份有限公司2023年年报审计项目中，因部分审计程序执行不到位，于2024年12月24日被中国证券监督管理委员会深圳监管局出具警示函。</w:t>
      </w:r>
    </w:p>
    <w:bookmarkEnd w:id="1"/>
    <w:p w14:paraId="4F087E14">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3.独立性 </w:t>
      </w:r>
    </w:p>
    <w:p w14:paraId="05659371">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政旦志远（深圳）会计师事务所（特殊普通合伙）及项目合伙人、签字注册会计师、项目质量控制复核人等从业人员不存在违反《中国注册会计师职业道德守则》对独立性要求的情形。</w:t>
      </w:r>
    </w:p>
    <w:p w14:paraId="6FC39348">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4.审计收费 </w:t>
      </w:r>
    </w:p>
    <w:p w14:paraId="19DFA9FF">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关于2025年</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sz w:val="24"/>
        </w:rPr>
        <w:t>度审计费用</w:t>
      </w:r>
      <w:r>
        <w:rPr>
          <w:rFonts w:hint="eastAsia" w:ascii="宋体" w:hAnsi="宋体" w:eastAsia="宋体" w:cs="宋体"/>
          <w:i/>
          <w:color w:val="0070C0"/>
          <w:sz w:val="24"/>
        </w:rPr>
        <w:t>，</w:t>
      </w:r>
      <w:r>
        <w:rPr>
          <w:rFonts w:hint="eastAsia" w:ascii="宋体" w:hAnsi="宋体" w:eastAsia="宋体" w:cs="宋体"/>
          <w:sz w:val="24"/>
        </w:rPr>
        <w:t>公司董事会拟提请股东大会授权管理层依审计工作量与审计机构协商确定。</w:t>
      </w:r>
    </w:p>
    <w:p w14:paraId="5EC65C3E">
      <w:pPr>
        <w:pStyle w:val="7"/>
        <w:shd w:val="clear" w:color="auto" w:fill="FFFFFF"/>
        <w:spacing w:before="0" w:beforeAutospacing="0" w:after="0" w:afterAutospacing="0" w:line="360" w:lineRule="auto"/>
        <w:ind w:firstLine="514" w:firstLineChars="200"/>
        <w:rPr>
          <w:b/>
          <w:spacing w:val="8"/>
        </w:rPr>
      </w:pPr>
      <w:r>
        <w:rPr>
          <w:rFonts w:hint="eastAsia"/>
          <w:b/>
          <w:spacing w:val="8"/>
          <w:lang w:val="en-US" w:eastAsia="zh-CN"/>
        </w:rPr>
        <w:t>二</w:t>
      </w:r>
      <w:r>
        <w:rPr>
          <w:rFonts w:hint="eastAsia"/>
          <w:b/>
          <w:spacing w:val="8"/>
        </w:rPr>
        <w:t>、拟续聘会计师事务所履行的程序</w:t>
      </w:r>
    </w:p>
    <w:p w14:paraId="3862AB90">
      <w:pPr>
        <w:pStyle w:val="7"/>
        <w:shd w:val="clear" w:color="auto" w:fill="FFFFFF"/>
        <w:spacing w:before="0" w:beforeAutospacing="0" w:after="0" w:afterAutospacing="0" w:line="360" w:lineRule="auto"/>
        <w:ind w:firstLine="480" w:firstLineChars="200"/>
      </w:pPr>
      <w:r>
        <w:rPr>
          <w:rFonts w:hint="eastAsia"/>
        </w:rPr>
        <w:t xml:space="preserve">（一）审计委员会履职情况 </w:t>
      </w:r>
    </w:p>
    <w:p w14:paraId="387720AA">
      <w:pPr>
        <w:pStyle w:val="7"/>
        <w:shd w:val="clear" w:color="auto" w:fill="FFFFFF"/>
        <w:spacing w:before="0" w:beforeAutospacing="0" w:after="0" w:afterAutospacing="0" w:line="360" w:lineRule="auto"/>
        <w:ind w:firstLine="480" w:firstLineChars="200"/>
      </w:pPr>
      <w:r>
        <w:rPr>
          <w:rFonts w:hint="eastAsia"/>
        </w:rPr>
        <w:t xml:space="preserve">公司董事会审计委员会已对政旦志远进行了审查，认为其在执业过程中坚持独立审计原则，客观、公正、公允地反映公司财务状况、经营成果，切实履行了审计机构应尽的职责，同意向董事会提议续聘政旦志远为公司2025年度审计机构。 </w:t>
      </w:r>
    </w:p>
    <w:p w14:paraId="6C845C60">
      <w:pPr>
        <w:pStyle w:val="7"/>
        <w:shd w:val="clear" w:color="auto" w:fill="FFFFFF"/>
        <w:spacing w:before="0" w:beforeAutospacing="0" w:after="0" w:afterAutospacing="0" w:line="360" w:lineRule="auto"/>
        <w:ind w:firstLine="480" w:firstLineChars="200"/>
      </w:pPr>
      <w:r>
        <w:rPr>
          <w:rFonts w:hint="eastAsia"/>
        </w:rPr>
        <w:t>（二）董事会审议情况</w:t>
      </w:r>
    </w:p>
    <w:p w14:paraId="53292994">
      <w:pPr>
        <w:pStyle w:val="7"/>
        <w:shd w:val="clear" w:color="auto" w:fill="FFFFFF"/>
        <w:spacing w:before="0" w:beforeAutospacing="0" w:after="0" w:afterAutospacing="0" w:line="360" w:lineRule="auto"/>
        <w:ind w:firstLine="480" w:firstLineChars="200"/>
      </w:pPr>
      <w:r>
        <w:rPr>
          <w:rFonts w:hint="eastAsia"/>
        </w:rPr>
        <w:t>公司于2025年4月24日召开了第九届董事会第一次会议及第九届监事会第二次会议，审议通过了《关于续聘2025年度会计师事务所的议案》。拟续聘政旦志远（深圳）会计师事务所（特殊普通合伙）为公司2025年度审计机构。该事项尚需提交公司股东大会审议。</w:t>
      </w:r>
    </w:p>
    <w:p w14:paraId="5761BA15">
      <w:pPr>
        <w:pStyle w:val="7"/>
        <w:shd w:val="clear" w:color="auto" w:fill="FFFFFF"/>
        <w:spacing w:before="0" w:beforeAutospacing="0" w:after="0" w:afterAutospacing="0" w:line="360" w:lineRule="auto"/>
        <w:ind w:firstLine="514" w:firstLineChars="200"/>
        <w:rPr>
          <w:rFonts w:hint="default" w:eastAsia="宋体"/>
          <w:b/>
          <w:spacing w:val="8"/>
          <w:lang w:val="en-US" w:eastAsia="zh-CN"/>
        </w:rPr>
      </w:pPr>
      <w:r>
        <w:rPr>
          <w:rFonts w:hint="eastAsia"/>
          <w:b/>
          <w:spacing w:val="8"/>
          <w:lang w:val="en-US" w:eastAsia="zh-CN"/>
        </w:rPr>
        <w:t>三</w:t>
      </w:r>
      <w:r>
        <w:rPr>
          <w:rFonts w:hint="eastAsia"/>
          <w:b/>
          <w:spacing w:val="8"/>
        </w:rPr>
        <w:t>、</w:t>
      </w:r>
      <w:r>
        <w:rPr>
          <w:rFonts w:hint="eastAsia"/>
          <w:b/>
          <w:spacing w:val="8"/>
          <w:lang w:val="en-US" w:eastAsia="zh-CN"/>
        </w:rPr>
        <w:t>备查文件</w:t>
      </w:r>
    </w:p>
    <w:p w14:paraId="2E7178CF">
      <w:pPr>
        <w:pStyle w:val="7"/>
        <w:shd w:val="clear" w:color="auto" w:fill="FFFFFF"/>
        <w:spacing w:before="0" w:beforeAutospacing="0" w:after="0" w:afterAutospacing="0" w:line="360" w:lineRule="auto"/>
        <w:ind w:firstLine="480" w:firstLineChars="200"/>
      </w:pPr>
      <w:r>
        <w:rPr>
          <w:rFonts w:hint="eastAsia"/>
        </w:rPr>
        <w:t>1、公司第九届董事会第一次会议决议；</w:t>
      </w:r>
    </w:p>
    <w:p w14:paraId="136C7448">
      <w:pPr>
        <w:pStyle w:val="7"/>
        <w:shd w:val="clear" w:color="auto" w:fill="FFFFFF"/>
        <w:spacing w:before="0" w:beforeAutospacing="0" w:after="0" w:afterAutospacing="0" w:line="360" w:lineRule="auto"/>
        <w:ind w:firstLine="480" w:firstLineChars="200"/>
      </w:pPr>
      <w:r>
        <w:rPr>
          <w:rFonts w:hint="eastAsia"/>
        </w:rPr>
        <w:t>2、公司第九届监事会第二次会议决议；</w:t>
      </w:r>
    </w:p>
    <w:p w14:paraId="67223408">
      <w:pPr>
        <w:pStyle w:val="7"/>
        <w:shd w:val="clear" w:color="auto" w:fill="FFFFFF"/>
        <w:spacing w:before="0" w:beforeAutospacing="0" w:after="0" w:afterAutospacing="0" w:line="360" w:lineRule="auto"/>
        <w:ind w:firstLine="480" w:firstLineChars="200"/>
      </w:pPr>
      <w:r>
        <w:rPr>
          <w:rFonts w:hint="eastAsia"/>
        </w:rPr>
        <w:t>3、第九届董事会审计委员会2025年第二次会议决议；</w:t>
      </w:r>
    </w:p>
    <w:p w14:paraId="22DB6CD4">
      <w:pPr>
        <w:pStyle w:val="7"/>
        <w:shd w:val="clear" w:color="auto" w:fill="FFFFFF"/>
        <w:spacing w:before="0" w:beforeAutospacing="0" w:after="0" w:afterAutospacing="0" w:line="360" w:lineRule="auto"/>
        <w:ind w:firstLine="480" w:firstLineChars="200"/>
      </w:pPr>
      <w:r>
        <w:rPr>
          <w:rFonts w:hint="eastAsia"/>
        </w:rPr>
        <w:t>4、政旦志远（深圳）会计师事务所（特殊普通合伙）营业执业证照，主要负责人和监管业务联系人信息和联系方式，拟负责具体审计业务的签字注册会计师身份证件、执业证照和联系方式。</w:t>
      </w:r>
    </w:p>
    <w:p w14:paraId="22071FFF">
      <w:pPr>
        <w:pStyle w:val="7"/>
        <w:shd w:val="clear" w:color="auto" w:fill="FFFFFF"/>
        <w:spacing w:before="0" w:beforeAutospacing="0" w:after="0" w:afterAutospacing="0" w:line="360" w:lineRule="auto"/>
        <w:ind w:firstLine="480" w:firstLineChars="200"/>
      </w:pPr>
      <w:r>
        <w:rPr>
          <w:rFonts w:hint="eastAsia"/>
        </w:rPr>
        <w:t>特此公告。</w:t>
      </w:r>
    </w:p>
    <w:p w14:paraId="4AD13E74">
      <w:pPr>
        <w:pStyle w:val="7"/>
        <w:shd w:val="clear" w:color="auto" w:fill="FFFFFF"/>
        <w:spacing w:before="0" w:beforeAutospacing="0" w:after="0" w:afterAutospacing="0" w:line="360" w:lineRule="auto"/>
        <w:ind w:firstLine="512" w:firstLineChars="200"/>
        <w:jc w:val="right"/>
        <w:rPr>
          <w:rFonts w:asciiTheme="minorEastAsia" w:hAnsiTheme="minorEastAsia" w:eastAsiaTheme="minorEastAsia"/>
          <w:bCs/>
          <w:spacing w:val="8"/>
        </w:rPr>
      </w:pPr>
      <w:r>
        <w:rPr>
          <w:rFonts w:hint="eastAsia" w:asciiTheme="minorEastAsia" w:hAnsiTheme="minorEastAsia" w:eastAsiaTheme="minorEastAsia"/>
          <w:bCs/>
          <w:spacing w:val="8"/>
        </w:rPr>
        <w:t>华孚时尚股份有限公司董事会</w:t>
      </w:r>
    </w:p>
    <w:p w14:paraId="032F22B1">
      <w:pPr>
        <w:pStyle w:val="7"/>
        <w:shd w:val="clear" w:color="auto" w:fill="FFFFFF"/>
        <w:spacing w:before="0" w:beforeAutospacing="0" w:after="0" w:afterAutospacing="0" w:line="360" w:lineRule="auto"/>
        <w:ind w:firstLine="512" w:firstLineChars="200"/>
        <w:jc w:val="right"/>
        <w:rPr>
          <w:rFonts w:asciiTheme="minorEastAsia" w:hAnsiTheme="minorEastAsia" w:eastAsiaTheme="minorEastAsia"/>
          <w:bCs/>
          <w:spacing w:val="8"/>
        </w:rPr>
      </w:pPr>
      <w:r>
        <w:rPr>
          <w:rFonts w:hint="eastAsia" w:asciiTheme="minorEastAsia" w:hAnsiTheme="minorEastAsia" w:eastAsiaTheme="minorEastAsia"/>
          <w:bCs/>
          <w:spacing w:val="8"/>
        </w:rPr>
        <w:t>二〇二五年四月二十六日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10D9D"/>
    <w:multiLevelType w:val="multilevel"/>
    <w:tmpl w:val="1F110D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1E6F2730"/>
    <w:rsid w:val="000525FC"/>
    <w:rsid w:val="000671A1"/>
    <w:rsid w:val="0007480F"/>
    <w:rsid w:val="000C69D5"/>
    <w:rsid w:val="000F1EAD"/>
    <w:rsid w:val="00111030"/>
    <w:rsid w:val="001A3476"/>
    <w:rsid w:val="001B5EC2"/>
    <w:rsid w:val="001D486C"/>
    <w:rsid w:val="001E711B"/>
    <w:rsid w:val="001F24C3"/>
    <w:rsid w:val="00216DA9"/>
    <w:rsid w:val="0022595D"/>
    <w:rsid w:val="00255769"/>
    <w:rsid w:val="00285196"/>
    <w:rsid w:val="0031171C"/>
    <w:rsid w:val="00336044"/>
    <w:rsid w:val="00352420"/>
    <w:rsid w:val="00364D01"/>
    <w:rsid w:val="003659F4"/>
    <w:rsid w:val="00391FFA"/>
    <w:rsid w:val="00412509"/>
    <w:rsid w:val="00457509"/>
    <w:rsid w:val="004C62E8"/>
    <w:rsid w:val="004D6799"/>
    <w:rsid w:val="00526E29"/>
    <w:rsid w:val="0056526C"/>
    <w:rsid w:val="005B2333"/>
    <w:rsid w:val="006158B0"/>
    <w:rsid w:val="00636D05"/>
    <w:rsid w:val="006514FC"/>
    <w:rsid w:val="007044D3"/>
    <w:rsid w:val="00710138"/>
    <w:rsid w:val="007206FC"/>
    <w:rsid w:val="00737592"/>
    <w:rsid w:val="00761DF1"/>
    <w:rsid w:val="008128A7"/>
    <w:rsid w:val="00833605"/>
    <w:rsid w:val="00844E92"/>
    <w:rsid w:val="0085678C"/>
    <w:rsid w:val="00887A30"/>
    <w:rsid w:val="008F7133"/>
    <w:rsid w:val="00932BE1"/>
    <w:rsid w:val="00993753"/>
    <w:rsid w:val="009A58EF"/>
    <w:rsid w:val="009D1E76"/>
    <w:rsid w:val="00A0084F"/>
    <w:rsid w:val="00A16E21"/>
    <w:rsid w:val="00A25D78"/>
    <w:rsid w:val="00A5340A"/>
    <w:rsid w:val="00AA71DF"/>
    <w:rsid w:val="00AB6447"/>
    <w:rsid w:val="00B36F3C"/>
    <w:rsid w:val="00B72141"/>
    <w:rsid w:val="00B72B1D"/>
    <w:rsid w:val="00BB61F8"/>
    <w:rsid w:val="00BF6DDB"/>
    <w:rsid w:val="00C0387F"/>
    <w:rsid w:val="00C127C4"/>
    <w:rsid w:val="00C53793"/>
    <w:rsid w:val="00C6135F"/>
    <w:rsid w:val="00C7213E"/>
    <w:rsid w:val="00CB7752"/>
    <w:rsid w:val="00CE78D0"/>
    <w:rsid w:val="00D32442"/>
    <w:rsid w:val="00D33D0D"/>
    <w:rsid w:val="00D405B0"/>
    <w:rsid w:val="00D423D8"/>
    <w:rsid w:val="00DB365A"/>
    <w:rsid w:val="00E43574"/>
    <w:rsid w:val="00EB73F2"/>
    <w:rsid w:val="00EC15A3"/>
    <w:rsid w:val="00F143AE"/>
    <w:rsid w:val="00F14D29"/>
    <w:rsid w:val="00F51AA5"/>
    <w:rsid w:val="00F72B7F"/>
    <w:rsid w:val="00F80800"/>
    <w:rsid w:val="00F95F8E"/>
    <w:rsid w:val="00FE3DD4"/>
    <w:rsid w:val="00FF080F"/>
    <w:rsid w:val="0D611972"/>
    <w:rsid w:val="11372514"/>
    <w:rsid w:val="15E52C78"/>
    <w:rsid w:val="1B640C20"/>
    <w:rsid w:val="1C364CAD"/>
    <w:rsid w:val="1C9875C0"/>
    <w:rsid w:val="1D742ABD"/>
    <w:rsid w:val="1E6F2730"/>
    <w:rsid w:val="37A81B94"/>
    <w:rsid w:val="37E57DE3"/>
    <w:rsid w:val="3B25694E"/>
    <w:rsid w:val="3F9320C4"/>
    <w:rsid w:val="4B9C003D"/>
    <w:rsid w:val="577953A9"/>
    <w:rsid w:val="58911D1E"/>
    <w:rsid w:val="624D04CB"/>
    <w:rsid w:val="6C0A6511"/>
    <w:rsid w:val="7394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autoRedefine/>
    <w:qFormat/>
    <w:uiPriority w:val="0"/>
    <w:pPr>
      <w:spacing w:after="120"/>
      <w:ind w:left="200" w:leftChars="200"/>
    </w:pPr>
    <w:rPr>
      <w:rFonts w:ascii="宋体" w:hAnsi="宋体" w:eastAsia="宋体"/>
      <w:sz w:val="28"/>
    </w:rPr>
  </w:style>
  <w:style w:type="paragraph" w:styleId="4">
    <w:name w:val="Balloon Text"/>
    <w:basedOn w:val="1"/>
    <w:link w:val="17"/>
    <w:autoRedefine/>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6"/>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qFormat/>
    <w:uiPriority w:val="0"/>
    <w:rPr>
      <w:sz w:val="21"/>
      <w:szCs w:val="21"/>
    </w:rPr>
  </w:style>
  <w:style w:type="character" w:customStyle="1" w:styleId="13">
    <w:name w:val="页眉 Char"/>
    <w:basedOn w:val="11"/>
    <w:link w:val="6"/>
    <w:autoRedefine/>
    <w:qFormat/>
    <w:uiPriority w:val="0"/>
    <w:rPr>
      <w:rFonts w:eastAsia="仿宋"/>
      <w:kern w:val="2"/>
      <w:sz w:val="18"/>
      <w:szCs w:val="18"/>
    </w:rPr>
  </w:style>
  <w:style w:type="character" w:customStyle="1" w:styleId="14">
    <w:name w:val="页脚 Char"/>
    <w:basedOn w:val="11"/>
    <w:link w:val="5"/>
    <w:qFormat/>
    <w:uiPriority w:val="0"/>
    <w:rPr>
      <w:rFonts w:eastAsia="仿宋"/>
      <w:kern w:val="2"/>
      <w:sz w:val="18"/>
      <w:szCs w:val="18"/>
    </w:rPr>
  </w:style>
  <w:style w:type="character" w:customStyle="1" w:styleId="15">
    <w:name w:val="批注文字 Char"/>
    <w:basedOn w:val="11"/>
    <w:link w:val="2"/>
    <w:autoRedefine/>
    <w:qFormat/>
    <w:uiPriority w:val="0"/>
    <w:rPr>
      <w:rFonts w:eastAsia="仿宋"/>
      <w:kern w:val="2"/>
      <w:sz w:val="32"/>
      <w:szCs w:val="24"/>
    </w:rPr>
  </w:style>
  <w:style w:type="character" w:customStyle="1" w:styleId="16">
    <w:name w:val="批注主题 Char"/>
    <w:basedOn w:val="15"/>
    <w:link w:val="8"/>
    <w:autoRedefine/>
    <w:qFormat/>
    <w:uiPriority w:val="0"/>
    <w:rPr>
      <w:rFonts w:eastAsia="仿宋"/>
      <w:b/>
      <w:bCs/>
      <w:kern w:val="2"/>
      <w:sz w:val="32"/>
      <w:szCs w:val="24"/>
    </w:rPr>
  </w:style>
  <w:style w:type="character" w:customStyle="1" w:styleId="17">
    <w:name w:val="批注框文本 Char"/>
    <w:basedOn w:val="11"/>
    <w:link w:val="4"/>
    <w:autoRedefine/>
    <w:qFormat/>
    <w:uiPriority w:val="0"/>
    <w:rPr>
      <w:rFonts w:eastAsia="仿宋"/>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Pages>
  <Words>1969</Words>
  <Characters>2146</Characters>
  <Lines>2</Lines>
  <Paragraphs>4</Paragraphs>
  <TotalTime>11</TotalTime>
  <ScaleCrop>false</ScaleCrop>
  <LinksUpToDate>false</LinksUpToDate>
  <CharactersWithSpaces>2178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2025-04-23T10:27:00Z</dcterms:created>
  <dc:creator>陈磊</dc:creator>
  <cp:lastModifiedBy>WSY</cp:lastModifiedBy>
  <dcterms:modified xsi:type="dcterms:W3CDTF">2025-04-25T08:56:37Z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E4DA50E4D5F84E9492F4155328E1828F_13</vt:lpwstr>
  </property>
  <property fmtid="{D5CDD505-2E9C-101B-9397-08002B2CF9AE}" pid="4" name="KSOTemplateDocerSaveRecord">
    <vt:lpwstr>eyJoZGlkIjoiMGYyMzhhMzNmNzJhMTU4YjMxZTc1YjkyNzFjZGE5ZTciLCJ1c2VySWQiOiIyNjU0NTI1NDMifQ==</vt:lpwstr>
  </property>
</Properties>
</file>