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黑体" w:hAnsi="黑体" w:eastAsia="黑体"/>
          <w:szCs w:val="21"/>
          <w:highlight w:val="none"/>
          <w:lang w:val="en-US" w:eastAsia="zh-CN"/>
        </w:rPr>
      </w:pPr>
      <w:r>
        <w:rPr>
          <w:rFonts w:hint="eastAsia" w:ascii="黑体" w:hAnsi="黑体" w:eastAsia="黑体"/>
          <w:szCs w:val="21"/>
        </w:rPr>
        <w:t>证券代码：002042              证券简称：华孚时尚               公告编号：</w:t>
      </w:r>
      <w:r>
        <w:rPr>
          <w:rFonts w:hint="eastAsia" w:ascii="黑体" w:hAnsi="黑体" w:eastAsia="黑体"/>
          <w:szCs w:val="21"/>
          <w:highlight w:val="none"/>
        </w:rPr>
        <w:t>202</w:t>
      </w:r>
      <w:r>
        <w:rPr>
          <w:rFonts w:hint="eastAsia" w:ascii="黑体" w:hAnsi="黑体" w:eastAsia="黑体"/>
          <w:szCs w:val="21"/>
          <w:highlight w:val="none"/>
          <w:lang w:val="en-US" w:eastAsia="zh-CN"/>
        </w:rPr>
        <w:t>4</w:t>
      </w:r>
      <w:r>
        <w:rPr>
          <w:rFonts w:hint="eastAsia" w:ascii="黑体" w:hAnsi="黑体" w:eastAsia="黑体"/>
          <w:szCs w:val="21"/>
          <w:highlight w:val="none"/>
        </w:rPr>
        <w:t>-</w:t>
      </w:r>
      <w:r>
        <w:rPr>
          <w:rFonts w:hint="eastAsia" w:ascii="黑体" w:hAnsi="黑体" w:eastAsia="黑体"/>
          <w:szCs w:val="21"/>
          <w:highlight w:val="none"/>
          <w:lang w:val="en-US" w:eastAsia="zh-CN"/>
        </w:rPr>
        <w:t>12</w:t>
      </w:r>
    </w:p>
    <w:p>
      <w:pPr>
        <w:spacing w:line="200" w:lineRule="exact"/>
        <w:ind w:firstLine="422" w:firstLineChars="200"/>
        <w:jc w:val="center"/>
        <w:rPr>
          <w:rFonts w:asciiTheme="minorEastAsia" w:hAnsiTheme="minorEastAsia"/>
          <w:b/>
          <w:szCs w:val="24"/>
          <w:highlight w:val="yellow"/>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hint="eastAsia" w:asciiTheme="minorEastAsia" w:hAnsiTheme="minorEastAsia"/>
          <w:b/>
          <w:sz w:val="36"/>
          <w:szCs w:val="24"/>
          <w:lang w:val="en-US" w:eastAsia="zh-CN"/>
        </w:rPr>
      </w:pPr>
      <w:r>
        <w:rPr>
          <w:rFonts w:hint="eastAsia" w:asciiTheme="minorEastAsia" w:hAnsiTheme="minorEastAsia"/>
          <w:b/>
          <w:sz w:val="36"/>
          <w:szCs w:val="24"/>
        </w:rPr>
        <w:t>关于</w:t>
      </w:r>
      <w:r>
        <w:rPr>
          <w:rFonts w:hint="eastAsia" w:asciiTheme="minorEastAsia" w:hAnsiTheme="minorEastAsia"/>
          <w:b/>
          <w:sz w:val="36"/>
          <w:szCs w:val="24"/>
          <w:lang w:val="en-US" w:eastAsia="zh-CN"/>
        </w:rPr>
        <w:t>2024年</w:t>
      </w:r>
      <w:r>
        <w:rPr>
          <w:rFonts w:hint="eastAsia" w:asciiTheme="minorEastAsia" w:hAnsiTheme="minorEastAsia"/>
          <w:b/>
          <w:sz w:val="36"/>
          <w:szCs w:val="24"/>
        </w:rPr>
        <w:t>回购公司股份</w:t>
      </w:r>
      <w:r>
        <w:rPr>
          <w:rFonts w:hint="eastAsia" w:asciiTheme="minorEastAsia" w:hAnsiTheme="minorEastAsia"/>
          <w:b/>
          <w:sz w:val="36"/>
          <w:szCs w:val="24"/>
          <w:lang w:eastAsia="zh-CN"/>
        </w:rPr>
        <w:t>比例达到</w:t>
      </w:r>
      <w:r>
        <w:rPr>
          <w:rFonts w:hint="eastAsia" w:asciiTheme="minorEastAsia" w:hAnsiTheme="minorEastAsia"/>
          <w:b/>
          <w:sz w:val="36"/>
          <w:szCs w:val="24"/>
          <w:lang w:val="en-US" w:eastAsia="zh-CN"/>
        </w:rPr>
        <w:t>1%</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lang w:val="en-US" w:eastAsia="zh-CN"/>
        </w:rPr>
        <w:t>暨回购股份</w:t>
      </w:r>
      <w:r>
        <w:rPr>
          <w:rFonts w:hint="eastAsia" w:asciiTheme="minorEastAsia" w:hAnsiTheme="minorEastAsia"/>
          <w:b/>
          <w:sz w:val="36"/>
          <w:szCs w:val="24"/>
        </w:rPr>
        <w:t>进展公告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）于2024年1月31日召开第八届董事会2024年第二次临时会议，审议通过了《</w:t>
      </w:r>
      <w:r>
        <w:rPr>
          <w:rFonts w:hint="eastAsia" w:cs="宋体" w:asciiTheme="minorEastAsia" w:hAnsiTheme="minorEastAsia"/>
          <w:kern w:val="0"/>
          <w:sz w:val="24"/>
          <w:szCs w:val="24"/>
        </w:rPr>
        <w:t>关于2024年回购公司股份方案的议案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维护公司价值及股东权益，后续将按相关规定予以出售。回购总金额为不低于人民币10,000万元,不超过人民币20,000万元，回购价格不超过5.5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股，回购股份的实施期限为自董事会审议通过本次回购股份方案之日起不超过三个月。</w:t>
      </w:r>
    </w:p>
    <w:p>
      <w:pPr>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24年2月1日刊登在《中国证券报》、《证券时报》及巨潮资讯网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《关于2024年回购公司股份方案的公告》（2024-09）</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6"/>
        <w:spacing w:line="500" w:lineRule="exact"/>
        <w:ind w:firstLine="480" w:firstLineChars="200"/>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《深圳证券交易所上市公司自律监管指引第9号——回购股份》等法律法规、规范性文件的有关规定，回购股份占上市公司总股本的比例每增加百分之一的，</w:t>
      </w:r>
      <w:r>
        <w:rPr>
          <w:rFonts w:hint="eastAsia" w:asciiTheme="minorEastAsia" w:hAnsiTheme="minorEastAsia" w:eastAsiaTheme="minorEastAsia"/>
          <w:lang w:eastAsia="zh-CN"/>
        </w:rPr>
        <w:t>公司</w:t>
      </w:r>
      <w:r>
        <w:rPr>
          <w:rFonts w:hint="eastAsia" w:asciiTheme="minorEastAsia" w:hAnsiTheme="minorEastAsia" w:eastAsiaTheme="minorEastAsia"/>
        </w:rPr>
        <w:t>应当在事实发生之日起三个交易日内予以披露</w:t>
      </w:r>
      <w:r>
        <w:rPr>
          <w:rFonts w:hint="eastAsia" w:asciiTheme="minorEastAsia" w:hAnsiTheme="minorEastAsia" w:eastAsiaTheme="minorEastAsia"/>
          <w:lang w:eastAsia="zh-CN"/>
        </w:rPr>
        <w:t>，</w:t>
      </w:r>
      <w:r>
        <w:rPr>
          <w:rFonts w:hint="eastAsia" w:asciiTheme="minorEastAsia" w:hAnsiTheme="minorEastAsia" w:eastAsiaTheme="minorEastAsia"/>
          <w:highlight w:val="none"/>
        </w:rPr>
        <w:t>包括已回购股份的数量和比例、购买的最高价和最低价、已支付的总金额等</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rPr>
        <w:t>现</w:t>
      </w:r>
      <w:r>
        <w:rPr>
          <w:rFonts w:hint="eastAsia" w:asciiTheme="minorEastAsia" w:hAnsiTheme="minorEastAsia" w:eastAsiaTheme="minorEastAsia"/>
        </w:rPr>
        <w:t>将公司回购股份进展情况公告如下：</w:t>
      </w:r>
    </w:p>
    <w:p>
      <w:pPr>
        <w:pStyle w:val="6"/>
        <w:wordWrap w:val="0"/>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highlight w:val="none"/>
        </w:rPr>
        <w:t>公司自202</w:t>
      </w:r>
      <w:r>
        <w:rPr>
          <w:rFonts w:hint="eastAsia" w:asciiTheme="minorEastAsia" w:hAnsiTheme="minorEastAsia" w:eastAsiaTheme="minorEastAsia"/>
          <w:highlight w:val="none"/>
          <w:lang w:val="en-US" w:eastAsia="zh-CN"/>
        </w:rPr>
        <w:t>4</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2</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1</w:t>
      </w:r>
      <w:r>
        <w:rPr>
          <w:rFonts w:hint="eastAsia" w:asciiTheme="minorEastAsia" w:hAnsiTheme="minorEastAsia" w:eastAsiaTheme="minorEastAsia"/>
          <w:highlight w:val="none"/>
        </w:rPr>
        <w:t>日首次回购之日起至202</w:t>
      </w:r>
      <w:r>
        <w:rPr>
          <w:rFonts w:hint="eastAsia" w:asciiTheme="minorEastAsia" w:hAnsiTheme="minorEastAsia" w:eastAsiaTheme="minorEastAsia"/>
          <w:highlight w:val="none"/>
          <w:lang w:val="en-US" w:eastAsia="zh-CN"/>
        </w:rPr>
        <w:t>4</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2</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2</w:t>
      </w:r>
      <w:r>
        <w:rPr>
          <w:rFonts w:hint="eastAsia" w:asciiTheme="minorEastAsia" w:hAnsiTheme="minorEastAsia" w:eastAsiaTheme="minorEastAsia"/>
          <w:highlight w:val="none"/>
        </w:rPr>
        <w:t>日，通过股份回购专用证券账户以集中竞价方式回购股份数量</w:t>
      </w:r>
      <w:r>
        <w:rPr>
          <w:rFonts w:hint="eastAsia" w:asciiTheme="minorEastAsia" w:hAnsiTheme="minorEastAsia" w:eastAsiaTheme="minorEastAsia"/>
          <w:highlight w:val="none"/>
          <w:lang w:val="en-US" w:eastAsia="zh-CN"/>
        </w:rPr>
        <w:t>19,445,300</w:t>
      </w:r>
      <w:r>
        <w:rPr>
          <w:rFonts w:hint="eastAsia" w:asciiTheme="minorEastAsia" w:hAnsiTheme="minorEastAsia" w:eastAsiaTheme="minorEastAsia"/>
          <w:highlight w:val="none"/>
        </w:rPr>
        <w:t>股，占公司目前总股本的</w:t>
      </w:r>
      <w:r>
        <w:rPr>
          <w:rFonts w:hint="eastAsia" w:asciiTheme="minorEastAsia" w:hAnsiTheme="minorEastAsia" w:eastAsiaTheme="minorEastAsia"/>
          <w:highlight w:val="none"/>
          <w:lang w:val="en-US" w:eastAsia="zh-CN"/>
        </w:rPr>
        <w:t>1.14%</w:t>
      </w:r>
      <w:r>
        <w:rPr>
          <w:rFonts w:hint="eastAsia" w:asciiTheme="minorEastAsia" w:hAnsiTheme="minorEastAsia" w:eastAsiaTheme="minorEastAsia"/>
          <w:highlight w:val="none"/>
        </w:rPr>
        <w:t>。最高成交价格3.</w:t>
      </w:r>
      <w:r>
        <w:rPr>
          <w:rFonts w:hint="eastAsia" w:asciiTheme="minorEastAsia" w:hAnsiTheme="minorEastAsia" w:eastAsiaTheme="minorEastAsia"/>
          <w:highlight w:val="none"/>
          <w:lang w:val="en-US" w:eastAsia="zh-CN"/>
        </w:rPr>
        <w:t>11</w:t>
      </w:r>
      <w:r>
        <w:rPr>
          <w:rFonts w:hint="eastAsia" w:asciiTheme="minorEastAsia" w:hAnsiTheme="minorEastAsia" w:eastAsiaTheme="minorEastAsia"/>
          <w:highlight w:val="none"/>
        </w:rPr>
        <w:t>元/股，最低成交价格</w:t>
      </w:r>
      <w:r>
        <w:rPr>
          <w:rFonts w:hint="eastAsia" w:asciiTheme="minorEastAsia" w:hAnsiTheme="minorEastAsia" w:eastAsiaTheme="minorEastAsia"/>
          <w:highlight w:val="none"/>
          <w:lang w:val="en-US" w:eastAsia="zh-CN"/>
        </w:rPr>
        <w:t>2.80</w:t>
      </w:r>
      <w:r>
        <w:rPr>
          <w:rFonts w:hint="eastAsia" w:asciiTheme="minorEastAsia" w:hAnsiTheme="minorEastAsia" w:eastAsiaTheme="minorEastAsia"/>
          <w:highlight w:val="none"/>
        </w:rPr>
        <w:t>元/股，成交总金额为</w:t>
      </w:r>
      <w:r>
        <w:rPr>
          <w:rFonts w:hint="eastAsia" w:asciiTheme="minorEastAsia" w:hAnsiTheme="minorEastAsia" w:eastAsiaTheme="minorEastAsia"/>
          <w:highlight w:val="none"/>
          <w:lang w:val="en-US" w:eastAsia="zh-CN"/>
        </w:rPr>
        <w:t>57,789,928</w:t>
      </w:r>
      <w:r>
        <w:rPr>
          <w:rFonts w:hint="eastAsia" w:asciiTheme="minorEastAsia" w:hAnsiTheme="minorEastAsia" w:eastAsiaTheme="minorEastAsia"/>
          <w:highlight w:val="none"/>
        </w:rPr>
        <w:t>.00元（不含手续费）</w:t>
      </w:r>
      <w:r>
        <w:rPr>
          <w:rFonts w:hint="eastAsia" w:asciiTheme="minorEastAsia" w:hAnsiTheme="minorEastAsia" w:eastAsiaTheme="minorEastAsia"/>
          <w:highlight w:val="none"/>
          <w:lang w:eastAsia="zh-CN"/>
        </w:rPr>
        <w:t>。</w:t>
      </w:r>
      <w:bookmarkStart w:id="0" w:name="_GoBack"/>
      <w:bookmarkEnd w:id="0"/>
      <w:r>
        <w:rPr>
          <w:rFonts w:hint="eastAsia" w:asciiTheme="minorEastAsia" w:hAnsiTheme="minorEastAsia" w:eastAsiaTheme="minorEastAsia"/>
        </w:rPr>
        <w:t>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公司回购股份的时间、回购股份数量及集中竞价交易的委托时段符合《深圳证券交易所上市公司自律监管指引第9号——回购股份》的相关规定，具体如下：</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（1）自可能对本公司证券及其衍生品种交易价格产生重大影响的重大事项发生之日或者在决策过程中，至依法披露之日内；</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（2）中国证监会和深圳证券交易所规定的其他情形。</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2、公司以集中竞价交易方式回购公司股份符合下列要求：</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（2）不得在深圳证券交易所开盘集合竞价、收盘集合竞价及股票价格无涨跌幅限制的交易日内进行股份回购的委托</w:t>
      </w:r>
    </w:p>
    <w:p>
      <w:pPr>
        <w:autoSpaceDE w:val="0"/>
        <w:autoSpaceDN w:val="0"/>
        <w:adjustRightInd w:val="0"/>
        <w:spacing w:line="500" w:lineRule="exact"/>
        <w:ind w:firstLine="480" w:firstLineChars="200"/>
        <w:jc w:val="both"/>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p>
    <w:p>
      <w:pPr>
        <w:spacing w:line="500" w:lineRule="exact"/>
        <w:ind w:firstLine="480" w:firstLineChars="200"/>
        <w:jc w:val="right"/>
        <w:rPr>
          <w:rFonts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二〇二</w:t>
      </w:r>
      <w:r>
        <w:rPr>
          <w:rFonts w:hint="eastAsia" w:cs="宋体" w:asciiTheme="minorEastAsia" w:hAnsiTheme="minorEastAsia"/>
          <w:color w:val="000000"/>
          <w:kern w:val="0"/>
          <w:sz w:val="24"/>
          <w:szCs w:val="24"/>
          <w:highlight w:val="none"/>
          <w:lang w:eastAsia="zh-CN"/>
        </w:rPr>
        <w:t>四</w:t>
      </w:r>
      <w:r>
        <w:rPr>
          <w:rFonts w:hint="eastAsia" w:cs="宋体" w:asciiTheme="minorEastAsia" w:hAnsiTheme="minorEastAsia"/>
          <w:color w:val="000000"/>
          <w:kern w:val="0"/>
          <w:sz w:val="24"/>
          <w:szCs w:val="24"/>
          <w:highlight w:val="none"/>
        </w:rPr>
        <w:t>年</w:t>
      </w:r>
      <w:r>
        <w:rPr>
          <w:rFonts w:hint="eastAsia" w:cs="宋体" w:asciiTheme="minorEastAsia" w:hAnsiTheme="minorEastAsia"/>
          <w:color w:val="000000"/>
          <w:kern w:val="0"/>
          <w:sz w:val="24"/>
          <w:szCs w:val="24"/>
          <w:highlight w:val="none"/>
          <w:lang w:eastAsia="zh-CN"/>
        </w:rPr>
        <w:t>二</w:t>
      </w:r>
      <w:r>
        <w:rPr>
          <w:rFonts w:hint="eastAsia" w:cs="宋体" w:asciiTheme="minorEastAsia" w:hAnsiTheme="minorEastAsia"/>
          <w:color w:val="000000"/>
          <w:kern w:val="0"/>
          <w:sz w:val="24"/>
          <w:szCs w:val="24"/>
          <w:highlight w:val="none"/>
        </w:rPr>
        <w:t>月</w:t>
      </w:r>
      <w:r>
        <w:rPr>
          <w:rFonts w:hint="eastAsia" w:cs="宋体" w:asciiTheme="minorEastAsia" w:hAnsiTheme="minorEastAsia"/>
          <w:color w:val="000000"/>
          <w:kern w:val="0"/>
          <w:sz w:val="24"/>
          <w:szCs w:val="24"/>
          <w:highlight w:val="none"/>
          <w:lang w:eastAsia="zh-CN"/>
        </w:rPr>
        <w:t>六</w:t>
      </w:r>
      <w:r>
        <w:rPr>
          <w:rFonts w:hint="eastAsia" w:cs="宋体" w:asciiTheme="minorEastAsia" w:hAnsiTheme="minorEastAsia"/>
          <w:color w:val="000000"/>
          <w:kern w:val="0"/>
          <w:sz w:val="24"/>
          <w:szCs w:val="24"/>
          <w:highlight w:val="none"/>
        </w:rPr>
        <w:t>日</w:t>
      </w:r>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35A25"/>
    <w:rsid w:val="00986D8D"/>
    <w:rsid w:val="00BA0748"/>
    <w:rsid w:val="00BA6369"/>
    <w:rsid w:val="00BF5C14"/>
    <w:rsid w:val="00CA559B"/>
    <w:rsid w:val="00CC752E"/>
    <w:rsid w:val="00CF5C00"/>
    <w:rsid w:val="00D5514E"/>
    <w:rsid w:val="00D84818"/>
    <w:rsid w:val="00E442C9"/>
    <w:rsid w:val="01422176"/>
    <w:rsid w:val="018E7169"/>
    <w:rsid w:val="0BD031BB"/>
    <w:rsid w:val="0C594818"/>
    <w:rsid w:val="0D1A6B28"/>
    <w:rsid w:val="0E4A4418"/>
    <w:rsid w:val="0EEA18E6"/>
    <w:rsid w:val="15405D11"/>
    <w:rsid w:val="233F60BE"/>
    <w:rsid w:val="24B2466D"/>
    <w:rsid w:val="2701757E"/>
    <w:rsid w:val="2E7079CB"/>
    <w:rsid w:val="31140B8A"/>
    <w:rsid w:val="33323696"/>
    <w:rsid w:val="34B9124E"/>
    <w:rsid w:val="36637EBD"/>
    <w:rsid w:val="3C8C44C7"/>
    <w:rsid w:val="3F632E34"/>
    <w:rsid w:val="4E370B1C"/>
    <w:rsid w:val="4E5F0BA2"/>
    <w:rsid w:val="52456096"/>
    <w:rsid w:val="56F579D2"/>
    <w:rsid w:val="5ABC726B"/>
    <w:rsid w:val="6A52699A"/>
    <w:rsid w:val="72B035E5"/>
    <w:rsid w:val="75EF0061"/>
    <w:rsid w:val="7AD93877"/>
    <w:rsid w:val="7DB979D8"/>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1237</Words>
  <Characters>1364</Characters>
  <Lines>9</Lines>
  <Paragraphs>2</Paragraphs>
  <TotalTime>5</TotalTime>
  <ScaleCrop>false</ScaleCrop>
  <LinksUpToDate>false</LinksUpToDate>
  <CharactersWithSpaces>1401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2024-02-05T10:31:13Z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5D2804C3FE6F4129BF8BEB04A35D8F1F</vt:lpwstr>
  </property>
</Properties>
</file>