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DF" w:rsidRDefault="001C64DF" w:rsidP="001C64DF">
      <w:pPr>
        <w:spacing w:before="600" w:line="773" w:lineRule="exact"/>
        <w:jc w:val="center"/>
        <w:rPr>
          <w:rFonts w:ascii="宋体" w:eastAsia="宋体" w:hAnsi="宋体" w:cs="宋体"/>
          <w:b/>
          <w:bCs/>
          <w:sz w:val="36"/>
          <w:szCs w:val="36"/>
        </w:rPr>
      </w:pPr>
    </w:p>
    <w:p w:rsidR="00B54A20" w:rsidRDefault="00B54A20">
      <w:pPr>
        <w:spacing w:before="2400" w:line="773" w:lineRule="exact"/>
        <w:jc w:val="center"/>
        <w:rPr>
          <w:rFonts w:ascii="宋体" w:eastAsia="宋体" w:hAnsi="宋体" w:cs="宋体"/>
          <w:b/>
          <w:bCs/>
          <w:sz w:val="36"/>
          <w:szCs w:val="36"/>
        </w:rPr>
      </w:pPr>
      <w:r>
        <w:rPr>
          <w:noProof/>
          <w:kern w:val="0"/>
          <w:sz w:val="24"/>
          <w:szCs w:val="24"/>
        </w:rPr>
        <w:drawing>
          <wp:inline distT="0" distB="0" distL="0" distR="0" wp14:anchorId="72AD7DC5" wp14:editId="04BEE495">
            <wp:extent cx="1409700" cy="390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E62F69" w:rsidRDefault="00B54A20" w:rsidP="00B54A20">
      <w:pPr>
        <w:spacing w:beforeLines="100" w:before="312" w:afterLines="100" w:after="312" w:line="773" w:lineRule="exact"/>
        <w:jc w:val="center"/>
        <w:rPr>
          <w:rFonts w:ascii="宋体" w:eastAsia="宋体" w:hAnsi="宋体" w:cs="宋体"/>
          <w:b/>
          <w:bCs/>
          <w:sz w:val="36"/>
          <w:szCs w:val="36"/>
        </w:rPr>
      </w:pPr>
      <w:r>
        <w:rPr>
          <w:rFonts w:ascii="宋体" w:eastAsia="宋体" w:hAnsi="宋体" w:cs="宋体"/>
          <w:b/>
          <w:bCs/>
          <w:sz w:val="36"/>
          <w:szCs w:val="36"/>
        </w:rPr>
        <w:t>华孚时尚股份有限公司</w:t>
      </w:r>
    </w:p>
    <w:p w:rsidR="00E62F69" w:rsidRDefault="00B54A20" w:rsidP="00B54A20">
      <w:pPr>
        <w:spacing w:beforeLines="100" w:before="312" w:afterLines="100" w:after="312" w:line="320" w:lineRule="exact"/>
        <w:jc w:val="center"/>
        <w:rPr>
          <w:rFonts w:ascii="宋体" w:eastAsia="宋体" w:hAnsi="宋体" w:cs="宋体"/>
          <w:b/>
          <w:bCs/>
          <w:sz w:val="32"/>
          <w:szCs w:val="32"/>
        </w:rPr>
      </w:pPr>
      <w:r>
        <w:rPr>
          <w:rFonts w:ascii="宋体" w:eastAsia="宋体" w:hAnsi="宋体" w:cs="宋体"/>
          <w:b/>
          <w:bCs/>
          <w:sz w:val="32"/>
          <w:szCs w:val="32"/>
        </w:rPr>
        <w:t>2023</w:t>
      </w:r>
      <w:r w:rsidR="00085E62">
        <w:rPr>
          <w:rFonts w:ascii="宋体" w:eastAsia="宋体" w:hAnsi="宋体" w:cs="宋体"/>
          <w:b/>
          <w:bCs/>
          <w:sz w:val="32"/>
          <w:szCs w:val="32"/>
        </w:rPr>
        <w:t>年半年度</w:t>
      </w:r>
      <w:r w:rsidR="00085E62">
        <w:rPr>
          <w:rFonts w:ascii="宋体" w:eastAsia="宋体" w:hAnsi="宋体" w:cs="宋体" w:hint="eastAsia"/>
          <w:b/>
          <w:bCs/>
          <w:sz w:val="32"/>
          <w:szCs w:val="32"/>
        </w:rPr>
        <w:t>财务报告</w:t>
      </w:r>
    </w:p>
    <w:p w:rsidR="00E62F69" w:rsidRDefault="00E62F69">
      <w:pPr>
        <w:spacing w:before="1000" w:line="240" w:lineRule="exact"/>
        <w:jc w:val="center"/>
        <w:rPr>
          <w:rFonts w:ascii="宋体" w:eastAsia="宋体" w:hAnsi="宋体" w:cs="宋体"/>
          <w:b/>
          <w:bCs/>
          <w:szCs w:val="21"/>
        </w:rPr>
      </w:pPr>
    </w:p>
    <w:p w:rsidR="00E62F69" w:rsidRDefault="00E62F69">
      <w:pPr>
        <w:spacing w:before="1000" w:after="1000" w:line="0" w:lineRule="atLeast"/>
        <w:jc w:val="center"/>
        <w:rPr>
          <w:rFonts w:ascii="Times New Roman" w:eastAsia="宋体" w:hAnsi="Times New Roman" w:cs="Times New Roman"/>
        </w:rPr>
      </w:pPr>
    </w:p>
    <w:p w:rsidR="00E62F69" w:rsidRDefault="00B54A20">
      <w:pPr>
        <w:spacing w:before="400" w:line="320" w:lineRule="exact"/>
        <w:jc w:val="center"/>
        <w:rPr>
          <w:rFonts w:ascii="宋体" w:eastAsia="宋体" w:hAnsi="宋体" w:cs="宋体"/>
          <w:b/>
          <w:bCs/>
          <w:sz w:val="32"/>
          <w:szCs w:val="32"/>
        </w:rPr>
      </w:pPr>
      <w:r>
        <w:rPr>
          <w:rFonts w:ascii="宋体" w:eastAsia="宋体" w:hAnsi="宋体" w:cs="宋体" w:hint="eastAsia"/>
          <w:b/>
          <w:bCs/>
          <w:sz w:val="32"/>
          <w:szCs w:val="32"/>
        </w:rPr>
        <w:t>2023年8月</w:t>
      </w:r>
    </w:p>
    <w:p w:rsidR="00E62F69" w:rsidRDefault="00B54A20">
      <w:r>
        <w:br w:type="page"/>
      </w:r>
    </w:p>
    <w:p w:rsidR="00E62F69" w:rsidRDefault="00085E62">
      <w:pPr>
        <w:pStyle w:val="headingh1"/>
        <w:spacing w:before="340" w:after="330" w:line="773" w:lineRule="exact"/>
        <w:jc w:val="center"/>
        <w:rPr>
          <w:rFonts w:ascii="宋体" w:eastAsia="宋体" w:hAnsi="宋体" w:cs="宋体"/>
          <w:b/>
          <w:bCs/>
          <w:sz w:val="32"/>
          <w:szCs w:val="32"/>
        </w:rPr>
      </w:pPr>
      <w:bookmarkStart w:id="0" w:name="_Toc988993"/>
      <w:r>
        <w:rPr>
          <w:rFonts w:ascii="宋体" w:eastAsia="宋体" w:hAnsi="宋体" w:cs="宋体" w:hint="eastAsia"/>
          <w:b/>
          <w:bCs/>
          <w:sz w:val="32"/>
          <w:szCs w:val="32"/>
        </w:rPr>
        <w:lastRenderedPageBreak/>
        <w:t>2023年半年度</w:t>
      </w:r>
      <w:r w:rsidR="00B54A20">
        <w:rPr>
          <w:rFonts w:ascii="宋体" w:eastAsia="宋体" w:hAnsi="宋体" w:cs="宋体"/>
          <w:b/>
          <w:bCs/>
          <w:sz w:val="32"/>
          <w:szCs w:val="32"/>
        </w:rPr>
        <w:t>财务报告</w:t>
      </w:r>
      <w:bookmarkEnd w:id="0"/>
    </w:p>
    <w:p w:rsidR="00E62F69" w:rsidRDefault="00B54A20">
      <w:pPr>
        <w:pStyle w:val="2"/>
        <w:spacing w:before="300" w:after="300" w:line="320" w:lineRule="exact"/>
        <w:rPr>
          <w:rFonts w:ascii="宋体" w:eastAsia="宋体" w:hAnsi="宋体" w:cs="宋体"/>
          <w:b/>
          <w:bCs/>
          <w:sz w:val="24"/>
          <w:szCs w:val="24"/>
        </w:rPr>
      </w:pPr>
      <w:bookmarkStart w:id="1" w:name="_Toc988994"/>
      <w:r>
        <w:rPr>
          <w:rFonts w:ascii="宋体" w:eastAsia="宋体" w:hAnsi="宋体" w:cs="宋体"/>
          <w:b/>
          <w:bCs/>
          <w:sz w:val="24"/>
          <w:szCs w:val="24"/>
        </w:rPr>
        <w:t>一、审计报告</w:t>
      </w:r>
      <w:bookmarkEnd w:id="1"/>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半年度报告是否经过审计</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公司半年度财务报告未经审计。</w:t>
      </w:r>
    </w:p>
    <w:p w:rsidR="00E62F69" w:rsidRDefault="00B54A20">
      <w:pPr>
        <w:pStyle w:val="2"/>
        <w:spacing w:before="300" w:after="300" w:line="320" w:lineRule="exact"/>
        <w:rPr>
          <w:rFonts w:ascii="宋体" w:eastAsia="宋体" w:hAnsi="宋体" w:cs="宋体"/>
          <w:b/>
          <w:bCs/>
          <w:sz w:val="24"/>
          <w:szCs w:val="24"/>
        </w:rPr>
      </w:pPr>
      <w:bookmarkStart w:id="2" w:name="_Toc988995"/>
      <w:r>
        <w:rPr>
          <w:rFonts w:ascii="宋体" w:eastAsia="宋体" w:hAnsi="宋体" w:cs="宋体"/>
          <w:b/>
          <w:bCs/>
          <w:sz w:val="24"/>
          <w:szCs w:val="24"/>
        </w:rPr>
        <w:t>二、财务报表</w:t>
      </w:r>
      <w:bookmarkEnd w:id="2"/>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E62F69" w:rsidRDefault="00B54A20">
      <w:pPr>
        <w:pStyle w:val="3"/>
        <w:spacing w:line="280" w:lineRule="exact"/>
        <w:jc w:val="left"/>
        <w:rPr>
          <w:rFonts w:ascii="宋体" w:hAnsi="宋体" w:cs="宋体"/>
          <w:b/>
          <w:bCs/>
        </w:rPr>
      </w:pPr>
      <w:bookmarkStart w:id="3" w:name="_Toc988996"/>
      <w:r>
        <w:rPr>
          <w:rFonts w:ascii="宋体" w:hAnsi="宋体" w:cs="宋体"/>
          <w:b/>
          <w:bCs/>
        </w:rPr>
        <w:t>1、合并资产负债表</w:t>
      </w:r>
      <w:bookmarkEnd w:id="3"/>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编制单位：华孚时尚股份有限公司</w:t>
      </w:r>
    </w:p>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2023年08月30日</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4,303,041,362.63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963,368,344.88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1,236,003,182.82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766,827,324.84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3,215,637,984.55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4,486,244.14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104,728,097.42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10,782,343,103.07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10,871,389,135.73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2,833,724.06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326,977,121.34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80,784,383.29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59,601,999.31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4,766,180,757.71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21,451,260.14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943,373,662.83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23,254,450.89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31,328,384.06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183,765,862.59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202,245,661.31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7,185,272,199.77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7,272,611,641.04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17,967,615,302.84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7,322,725,209.62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383,600.00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159,755,085.54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941,991,546.03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10,026,188.98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757,846,830.73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74,348,594.10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75,418,931.48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67,169,849.43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203,044,136.00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76,067,645.39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9,889,559,099.05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10,089,709,607.45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1,093,476,000.00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16,540,650.19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94,782.80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237,600.78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89,437,900.44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21,669,328.59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1,401,547,323.18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1,275,627,039.90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11,291,106,422.23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11,365,336,647.35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2,719,710,516.39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2,740,826,583.55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-25,811,620.66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-48,175,536.34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1,724,989,647.99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6,222,236,693.15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6,292,682,730.29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454,272,187.46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485,981,399.13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6,676,508,880.61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17,967,615,302.84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18,144,000,776.77</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法定代表人：孙伟挺    </w:t>
      </w:r>
      <w:r w:rsidR="00346D0D">
        <w:rPr>
          <w:rFonts w:ascii="宋体" w:eastAsia="宋体" w:hAnsi="宋体" w:cs="宋体" w:hint="eastAsia"/>
          <w:sz w:val="18"/>
          <w:szCs w:val="18"/>
        </w:rPr>
        <w:t xml:space="preserve">              </w:t>
      </w:r>
      <w:r>
        <w:rPr>
          <w:rFonts w:ascii="宋体" w:eastAsia="宋体" w:hAnsi="宋体" w:cs="宋体"/>
          <w:sz w:val="18"/>
          <w:szCs w:val="18"/>
        </w:rPr>
        <w:t xml:space="preserve">主管会计工作负责人：陈玲芬    </w:t>
      </w:r>
      <w:r w:rsidR="00346D0D">
        <w:rPr>
          <w:rFonts w:ascii="宋体" w:eastAsia="宋体" w:hAnsi="宋体" w:cs="宋体" w:hint="eastAsia"/>
          <w:sz w:val="18"/>
          <w:szCs w:val="18"/>
        </w:rPr>
        <w:t xml:space="preserve">               </w:t>
      </w:r>
      <w:r>
        <w:rPr>
          <w:rFonts w:ascii="宋体" w:eastAsia="宋体" w:hAnsi="宋体" w:cs="宋体"/>
          <w:sz w:val="18"/>
          <w:szCs w:val="18"/>
        </w:rPr>
        <w:t xml:space="preserve"> 会计机构负责人：王国友</w:t>
      </w:r>
    </w:p>
    <w:p w:rsidR="00E62F69" w:rsidRDefault="00B54A20">
      <w:pPr>
        <w:pStyle w:val="3"/>
        <w:spacing w:line="320" w:lineRule="exact"/>
        <w:jc w:val="left"/>
        <w:rPr>
          <w:rFonts w:ascii="宋体" w:hAnsi="宋体" w:cs="宋体"/>
          <w:b/>
          <w:bCs/>
          <w:sz w:val="24"/>
          <w:szCs w:val="24"/>
        </w:rPr>
      </w:pPr>
      <w:bookmarkStart w:id="4" w:name="_Toc988997"/>
      <w:r>
        <w:rPr>
          <w:rFonts w:ascii="宋体" w:hAnsi="宋体" w:cs="宋体"/>
          <w:b/>
          <w:bCs/>
          <w:sz w:val="24"/>
          <w:szCs w:val="24"/>
        </w:rPr>
        <w:t>2、母公司资产负债表</w:t>
      </w:r>
      <w:bookmarkEnd w:id="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2023年6月30日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45,270,745.45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139,261,684.58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43,285,280.65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112,928,000.00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1,234,945.02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148,484,296.90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102,740,284.64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77,367,357.16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207,518,302.59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20,581,720.51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260,758,404.90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253,740,956.07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9,520,130.76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19,112,853.79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817,577,445.89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767,458,241.39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57,822,437.39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56,479,234.53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40,202,959.96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41,085,463.98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562,119,540.92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581,049,392.86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67,624,539.54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207,957,210.34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210,490,194.19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3,723,799.17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4,796,910.99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8,398,435.78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7,872,541.22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71,914,485.79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6,667,157.05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5,463,253,729.35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5,390,972,834.42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6,280,831,175.24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6,158,431,075.81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1,519,000.00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183,652,022.43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246,367,020.88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31,055,074.08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426,747,408.76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8,883,247.53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5,253,412.55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3,688,900.73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2,571,462.06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210,263,371.25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193,524,772.19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263,923.24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67,029.53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607,806,539.26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876,050,105.97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333,664,343.98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3,642,973.62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9,343,422.67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9,590,898.67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2,931,346.11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4,667,565.68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345,939,112.76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17,901,437.97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953,745,652.02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893,951,543.94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16,610,961.28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15,469,238.85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271,142,449.26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431,791,092.89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217,230,090.53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5,327,085,523.22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6,280,831,175.24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6,158,431,075.81</w:t>
            </w:r>
          </w:p>
        </w:tc>
      </w:tr>
    </w:tbl>
    <w:p w:rsidR="00E62F69" w:rsidRDefault="00B54A20">
      <w:pPr>
        <w:pStyle w:val="3"/>
        <w:spacing w:line="280" w:lineRule="exact"/>
        <w:jc w:val="left"/>
        <w:rPr>
          <w:rFonts w:ascii="宋体" w:hAnsi="宋体" w:cs="宋体"/>
          <w:b/>
          <w:bCs/>
        </w:rPr>
      </w:pPr>
      <w:bookmarkStart w:id="5" w:name="_Toc988998"/>
      <w:r>
        <w:rPr>
          <w:rFonts w:ascii="宋体" w:hAnsi="宋体" w:cs="宋体"/>
          <w:b/>
          <w:bCs/>
        </w:rPr>
        <w:t>3、合并利润表</w:t>
      </w:r>
      <w:bookmarkEnd w:id="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8,535,970,102.43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8,535,970,102.43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7,734,294,576.04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8,238,224,497.18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7,335,998,463.15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7,763,742,768.20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42,943,545.86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30,348,134.66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69,697,200.52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67,971,661.01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181,512,594.41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181,368,278.88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55,547,119.18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59,396,311.64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48,595,652.92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135,397,342.79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115,951,528.29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148,584,419.08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13,105,439.74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15,842,714.37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73,566,623.46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24,267,340.56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18,675,476.46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62,881.23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4,839,951.85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-5,262,481.92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6,491,085.07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65,100,352.59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301,647,164.65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3,538,699.54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17,581,962.34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2,263,481.62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1,398,559.80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66,375,570.51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317,830,567.19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-5,914,623.64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16,575,402.53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72,290,194.15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301,255,164.66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292,496,599.75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-9,112,653.63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8,758,564.91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24,014,802.98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24,014,802.98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23,371,319.13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23,371,319.13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94,654,109.83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325,269,967.64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103,766,763.46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316,511,402.73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-9,112,653.63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8,758,564.91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0.17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0.17</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法定代表人：孙伟挺    </w:t>
      </w:r>
      <w:r w:rsidR="00346D0D">
        <w:rPr>
          <w:rFonts w:ascii="宋体" w:eastAsia="宋体" w:hAnsi="宋体" w:cs="宋体" w:hint="eastAsia"/>
          <w:sz w:val="18"/>
          <w:szCs w:val="18"/>
        </w:rPr>
        <w:t xml:space="preserve">             </w:t>
      </w:r>
      <w:r>
        <w:rPr>
          <w:rFonts w:ascii="宋体" w:eastAsia="宋体" w:hAnsi="宋体" w:cs="宋体"/>
          <w:sz w:val="18"/>
          <w:szCs w:val="18"/>
        </w:rPr>
        <w:t xml:space="preserve">主管会计工作负责人：陈玲芬    </w:t>
      </w:r>
      <w:r w:rsidR="00346D0D">
        <w:rPr>
          <w:rFonts w:ascii="宋体" w:eastAsia="宋体" w:hAnsi="宋体" w:cs="宋体" w:hint="eastAsia"/>
          <w:sz w:val="18"/>
          <w:szCs w:val="18"/>
        </w:rPr>
        <w:t xml:space="preserve">                </w:t>
      </w:r>
      <w:r>
        <w:rPr>
          <w:rFonts w:ascii="宋体" w:eastAsia="宋体" w:hAnsi="宋体" w:cs="宋体"/>
          <w:sz w:val="18"/>
          <w:szCs w:val="18"/>
        </w:rPr>
        <w:t>会计机构负责人：王国友</w:t>
      </w:r>
    </w:p>
    <w:p w:rsidR="00E62F69" w:rsidRDefault="00B54A20">
      <w:pPr>
        <w:pStyle w:val="3"/>
        <w:spacing w:line="280" w:lineRule="exact"/>
        <w:jc w:val="left"/>
        <w:rPr>
          <w:rFonts w:ascii="宋体" w:hAnsi="宋体" w:cs="宋体"/>
          <w:b/>
          <w:bCs/>
        </w:rPr>
      </w:pPr>
      <w:bookmarkStart w:id="6" w:name="_Toc988999"/>
      <w:r>
        <w:rPr>
          <w:rFonts w:ascii="宋体" w:hAnsi="宋体" w:cs="宋体"/>
          <w:b/>
          <w:bCs/>
        </w:rPr>
        <w:t>4、母公司利润表</w:t>
      </w:r>
      <w:bookmarkEnd w:id="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392,597,745.49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480,422,738.95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358,660,654.44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4,243,930.38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4,511,247.06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239,581.05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45,498.24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13,738,991.88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14,035,148.87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19,521,495.48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17,924,984.29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6,026,299.53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3,937,695.53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6,601,502.32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548,166.65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365,890.36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858,631.49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3,095,587.30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6,112,025.46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134,793,790.09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315,655,360.97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-18,123,719.35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-467,801.24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409,456.03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6,011,466.57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-9,255.07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212,069,268.64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315,650,104.45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43,140.14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463,094.58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15,000.98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212,097,407.80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316,113,199.03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-2,463,594.56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61,418.41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316,051,780.62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316,051,780.62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215,702,724.79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316,695,264.47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E62F69" w:rsidRDefault="00B54A20">
      <w:pPr>
        <w:pStyle w:val="3"/>
        <w:spacing w:line="280" w:lineRule="exact"/>
        <w:jc w:val="left"/>
        <w:rPr>
          <w:rFonts w:ascii="宋体" w:hAnsi="宋体" w:cs="宋体"/>
          <w:b/>
          <w:bCs/>
        </w:rPr>
      </w:pPr>
      <w:bookmarkStart w:id="7" w:name="_Toc989000"/>
      <w:r>
        <w:rPr>
          <w:rFonts w:ascii="宋体" w:hAnsi="宋体" w:cs="宋体"/>
          <w:b/>
          <w:bCs/>
        </w:rPr>
        <w:t>5、合并现金流量表</w:t>
      </w:r>
      <w:bookmarkEnd w:id="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7,158,635,091.85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8,130,535,553.09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15,913,783.54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94,598,417.08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531,898,079.79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518,878,126.28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7,706,446,955.18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8,744,012,096.45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5,002,770,829.25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6,504,248,880.15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403,966,231.37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558,186,897.21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179,327,704.60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231,080,731.63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595,660,630.84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685,058,536.95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6,181,725,396.06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7,978,575,045.94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765,437,050.51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57,920,200.00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11,734,817.29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52,251,517.41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54,584,302.30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21,902,479.12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13,575,404.00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77,350,000.00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827,984,314.21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719,544,277.65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1,037,408,510.74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799,438,801.24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183,764,050.22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86,513,997.92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47,465,000.00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140,000,000.00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562,100,036.98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321,276,969.66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793,329,087.20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547,790,967.58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244,079,423.54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251,647,833.66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5,901,274,619.72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5,763,560,787.61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166,977,948.39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195,207,287.32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6,068,252,568.11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5,958,768,074.93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5,796,675,905.22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6,535,160,396.56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120,539,176.99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398,842,710.90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1,519,402,260.31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807,939,294.39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7,436,617,342.52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7,741,942,401.85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-1,368,364,774.41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-1,783,174,326.92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-7,266,244.95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16,350,299.26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393,169,963.30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-749,739,143.49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2,395,731,098.44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1,645,991,954.95</w:t>
            </w:r>
          </w:p>
        </w:tc>
      </w:tr>
    </w:tbl>
    <w:p w:rsidR="00E62F69" w:rsidRDefault="00B54A20">
      <w:pPr>
        <w:pStyle w:val="3"/>
        <w:spacing w:line="280" w:lineRule="exact"/>
        <w:jc w:val="left"/>
        <w:rPr>
          <w:rFonts w:ascii="宋体" w:hAnsi="宋体" w:cs="宋体"/>
          <w:b/>
          <w:bCs/>
        </w:rPr>
      </w:pPr>
      <w:bookmarkStart w:id="8" w:name="_Toc989001"/>
      <w:r>
        <w:rPr>
          <w:rFonts w:ascii="宋体" w:hAnsi="宋体" w:cs="宋体"/>
          <w:b/>
          <w:bCs/>
        </w:rPr>
        <w:t>6、母公司现金流量表</w:t>
      </w:r>
      <w:bookmarkEnd w:id="8"/>
    </w:p>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2023年半年度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506,893,247.16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1,567,351,307.63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25,295,126.10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65,653,421.14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140,627,591.34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572,546,668.30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1,733,274,025.07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796,184,911.06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2,094,625,992.58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49,368,115.62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57,066,460.06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11,722,670.71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25,187,787.13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31,215,319.49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104,649,433.40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888,491,016.88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2,281,529,673.17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-315,944,348.58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-548,255,648.10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45,385,000.00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118,000,000.00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408,359,379.85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1,080,700.00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163,385,000.00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409,440,079.85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112,648,798.20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57,183,925.34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112,648,798.20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157,183,925.34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50,736,201.80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252,256,154.51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5,728,250.01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46,967,343.93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158,824,983.45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46,967,343.93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171,175,016.55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-46,967,343.93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42,191.10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14,715.31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-93,990,939.13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-342,952,122.21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136,786,651.88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792,735,638.54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42,795,712.75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449,783,516.33</w:t>
            </w:r>
          </w:p>
        </w:tc>
      </w:tr>
    </w:tbl>
    <w:p w:rsidR="00E62F69" w:rsidRDefault="00B54A20">
      <w:pPr>
        <w:pStyle w:val="3"/>
        <w:spacing w:line="280" w:lineRule="exact"/>
        <w:jc w:val="left"/>
        <w:rPr>
          <w:rFonts w:ascii="宋体" w:hAnsi="宋体" w:cs="宋体"/>
          <w:b/>
          <w:bCs/>
        </w:rPr>
      </w:pPr>
      <w:bookmarkStart w:id="9" w:name="_Toc989002"/>
      <w:r>
        <w:rPr>
          <w:rFonts w:ascii="宋体" w:hAnsi="宋体" w:cs="宋体"/>
          <w:b/>
          <w:bCs/>
        </w:rPr>
        <w:t>7、合并所有者权益变动表</w:t>
      </w:r>
      <w:bookmarkEnd w:id="9"/>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198"/>
        <w:gridCol w:w="562"/>
        <w:gridCol w:w="562"/>
        <w:gridCol w:w="562"/>
        <w:gridCol w:w="562"/>
        <w:gridCol w:w="563"/>
        <w:gridCol w:w="563"/>
        <w:gridCol w:w="563"/>
        <w:gridCol w:w="563"/>
        <w:gridCol w:w="563"/>
        <w:gridCol w:w="563"/>
        <w:gridCol w:w="563"/>
        <w:gridCol w:w="563"/>
        <w:gridCol w:w="563"/>
        <w:gridCol w:w="563"/>
        <w:gridCol w:w="563"/>
      </w:tblGrid>
      <w:tr w:rsidR="00E62F69">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6,292,682,730.29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485,981,399.13</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6,778,664,129.42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-70,446,037.14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-31,709,211.67</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-102,155,248.81</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103,766,763.46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-9,112,653.63</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94,654,109.83</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-174,212,800.60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-17,164,804.15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-191,377,604.75</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-174,212,800.60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-17,164,804.15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-191,377,604.75</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-5,431,753.89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-5,431,753.89</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-5,431,753.89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-5,431,753.89</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2,719,710,516.39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-25,811,620.66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1,724,989,647.99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6,222,236,693.15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454,272,187.46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6,676,508,880.61</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198"/>
        <w:gridCol w:w="562"/>
        <w:gridCol w:w="562"/>
        <w:gridCol w:w="562"/>
        <w:gridCol w:w="562"/>
        <w:gridCol w:w="563"/>
        <w:gridCol w:w="563"/>
        <w:gridCol w:w="563"/>
        <w:gridCol w:w="563"/>
        <w:gridCol w:w="563"/>
        <w:gridCol w:w="563"/>
        <w:gridCol w:w="563"/>
        <w:gridCol w:w="563"/>
        <w:gridCol w:w="563"/>
        <w:gridCol w:w="563"/>
        <w:gridCol w:w="563"/>
      </w:tblGrid>
      <w:tr w:rsidR="00E62F69">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314"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68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56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56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2,771,248,631.27</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-52,730,766.82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2,334,373,314.01</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519,171,926.70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7,528,369,130.82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2,771,248,631.27</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-52,730,766.82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2,334,373,314.01</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519,171,926.70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7,528,369,130.82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-3,548,146.00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24,014,802.98</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265,988,896.81</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4,180,930.29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270,169,827.10</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24,014,802.98</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292,496,599.75</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316,511,402.73</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8,758,564.91</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325,269,967.64</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-3,548,146.00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-50,522,505.92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-50,522,505.92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-3,548,146.00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-50,522,505.92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-50,522,505.92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-4,577,634.62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-4,577,634.62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-4,577,634.62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-4,577,634.62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2,767,700,485.27</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-28,715,963.84</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2,626,869,913.76</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7,275,186,100.93</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523,352,856.99</w:t>
            </w:r>
          </w:p>
        </w:tc>
        <w:tc>
          <w:tcPr>
            <w:tcW w:w="56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7,798,538,957.92</w:t>
            </w:r>
          </w:p>
        </w:tc>
      </w:tr>
    </w:tbl>
    <w:p w:rsidR="00E62F69" w:rsidRDefault="00B54A20">
      <w:pPr>
        <w:pStyle w:val="3"/>
        <w:spacing w:line="280" w:lineRule="exact"/>
        <w:jc w:val="left"/>
        <w:rPr>
          <w:rFonts w:ascii="宋体" w:hAnsi="宋体" w:cs="宋体"/>
          <w:b/>
          <w:bCs/>
        </w:rPr>
      </w:pPr>
      <w:bookmarkStart w:id="10" w:name="_Toc989003"/>
      <w:r>
        <w:rPr>
          <w:rFonts w:ascii="宋体" w:hAnsi="宋体" w:cs="宋体"/>
          <w:b/>
          <w:bCs/>
        </w:rPr>
        <w:t>8、母公司所有者权益变动表</w:t>
      </w:r>
      <w:bookmarkEnd w:id="10"/>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0"/>
        <w:gridCol w:w="703"/>
        <w:gridCol w:w="703"/>
        <w:gridCol w:w="703"/>
        <w:gridCol w:w="704"/>
        <w:gridCol w:w="703"/>
        <w:gridCol w:w="703"/>
        <w:gridCol w:w="703"/>
        <w:gridCol w:w="703"/>
        <w:gridCol w:w="703"/>
        <w:gridCol w:w="703"/>
        <w:gridCol w:w="703"/>
        <w:gridCol w:w="705"/>
      </w:tblGrid>
      <w:tr w:rsidR="00E62F69">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2023年半年度</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217,230,090.53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5,264,479,531.87</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62,605,991.35</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214,561,002.36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62,605,991.35</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200,071,093.36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16,610,961.28</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271,142,449.26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431,791,092.89</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5,327,085,523.22</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上年金额</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0"/>
        <w:gridCol w:w="703"/>
        <w:gridCol w:w="703"/>
        <w:gridCol w:w="703"/>
        <w:gridCol w:w="704"/>
        <w:gridCol w:w="703"/>
        <w:gridCol w:w="703"/>
        <w:gridCol w:w="703"/>
        <w:gridCol w:w="703"/>
        <w:gridCol w:w="703"/>
        <w:gridCol w:w="703"/>
        <w:gridCol w:w="703"/>
        <w:gridCol w:w="705"/>
      </w:tblGrid>
      <w:tr w:rsidR="00E62F69">
        <w:trPr>
          <w:trHeight w:val="240"/>
        </w:trPr>
        <w:tc>
          <w:tcPr>
            <w:tcW w:w="120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4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2022年半年度</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110"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E62F69">
        <w:trPr>
          <w:trHeight w:val="240"/>
        </w:trPr>
        <w:tc>
          <w:tcPr>
            <w:tcW w:w="120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vAlign w:val="center"/>
          </w:tcPr>
          <w:p w:rsidR="00E62F69" w:rsidRDefault="00E62F69"/>
        </w:tc>
        <w:tc>
          <w:tcPr>
            <w:tcW w:w="7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13,704,261.47</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96,989,352.24</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5,142,334,958.99</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13,704,261.47</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96,989,352.24</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5,142,334,958.99</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316,051,780.62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269,720,904.55</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643,483.85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316,051,780.62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316,695,264.47</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1．所有者投入的普通股</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2．其他权益工具持有者投入资本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2．盈余公积转增资本（或股本）</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20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3,106,930,758.15</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14,347,745.32</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224,029,232.13</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413,041,132.86</w:t>
            </w: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5,412,055,863.54</w:t>
            </w:r>
          </w:p>
        </w:tc>
      </w:tr>
    </w:tbl>
    <w:p w:rsidR="00E62F69" w:rsidRDefault="00B54A20">
      <w:pPr>
        <w:pStyle w:val="2"/>
        <w:spacing w:before="300" w:after="300" w:line="320" w:lineRule="exact"/>
        <w:rPr>
          <w:rFonts w:ascii="宋体" w:eastAsia="宋体" w:hAnsi="宋体" w:cs="宋体"/>
          <w:b/>
          <w:bCs/>
          <w:sz w:val="24"/>
          <w:szCs w:val="24"/>
        </w:rPr>
      </w:pPr>
      <w:bookmarkStart w:id="11" w:name="_Toc989004"/>
      <w:r>
        <w:rPr>
          <w:rFonts w:ascii="宋体" w:eastAsia="宋体" w:hAnsi="宋体" w:cs="宋体"/>
          <w:b/>
          <w:bCs/>
          <w:sz w:val="24"/>
          <w:szCs w:val="24"/>
        </w:rPr>
        <w:t>三、公司基本情况</w:t>
      </w:r>
      <w:bookmarkEnd w:id="11"/>
    </w:p>
    <w:p w:rsidR="00B54A20" w:rsidRDefault="00B54A20">
      <w:pPr>
        <w:pStyle w:val="a3"/>
        <w:spacing w:before="0" w:beforeAutospacing="0" w:after="0" w:afterAutospacing="0"/>
        <w:ind w:firstLine="450"/>
        <w:divId w:val="1234465001"/>
        <w:rPr>
          <w:rFonts w:ascii="Calibri" w:hAnsi="Calibri"/>
          <w:sz w:val="21"/>
          <w:szCs w:val="21"/>
        </w:rPr>
      </w:pPr>
      <w:r>
        <w:rPr>
          <w:rFonts w:ascii="Calibri" w:hAnsi="Calibri"/>
          <w:sz w:val="18"/>
          <w:szCs w:val="18"/>
        </w:rPr>
        <w:t>1</w:t>
      </w:r>
      <w:r>
        <w:rPr>
          <w:rFonts w:hint="eastAsia"/>
          <w:sz w:val="18"/>
          <w:szCs w:val="18"/>
        </w:rPr>
        <w:t>、公司注册地、组织形式和总部地址</w:t>
      </w:r>
    </w:p>
    <w:p w:rsidR="00B54A20" w:rsidRDefault="00B54A20">
      <w:pPr>
        <w:pStyle w:val="a3"/>
        <w:spacing w:before="0" w:beforeAutospacing="0" w:after="0" w:afterAutospacing="0"/>
        <w:ind w:firstLine="420"/>
        <w:jc w:val="both"/>
        <w:divId w:val="1234465001"/>
      </w:pPr>
      <w:r>
        <w:rPr>
          <w:rFonts w:hint="eastAsia"/>
          <w:sz w:val="18"/>
          <w:szCs w:val="18"/>
        </w:rPr>
        <w:t>华孚时尚股份有限公司（以下简称“公司”或“本公司”）前身系于2000年10月经安徽省体改委【皖体改函[2000]79号】、安徽省人民政府【皖府股字[2000]第37号】文批准，由安徽飞亚纺织集团有限公司(以下简称“飞亚集团”)作为主发起人，联合上海东华大学科技园发展有限公司、淮北印染集团公司、上海市纺织科学研究院、安徽省国有资产运营有限公司、淮北市国有资产运营有限公司等五家企业共同发起，采用募集方式设立的股份有限公司。并于2000 年10 月31 日在安徽省工商行政管理局登记注册，注册资本为6,000.00万元。根据本公司2003 年第一次临时股东大会决议，并经中国证券监督管理委员会证</w:t>
      </w:r>
      <w:proofErr w:type="gramStart"/>
      <w:r>
        <w:rPr>
          <w:rFonts w:hint="eastAsia"/>
          <w:sz w:val="18"/>
          <w:szCs w:val="18"/>
        </w:rPr>
        <w:t>监发行字</w:t>
      </w:r>
      <w:proofErr w:type="gramEnd"/>
      <w:r>
        <w:rPr>
          <w:rFonts w:hint="eastAsia"/>
          <w:sz w:val="18"/>
          <w:szCs w:val="18"/>
        </w:rPr>
        <w:t>[2005]9号文核准，本公司于2005 年4 月向社会公众公开发行股票4,000万股，2005年4 月27日在深圳证券交易所挂牌上市。</w:t>
      </w:r>
    </w:p>
    <w:p w:rsidR="00B54A20" w:rsidRDefault="00B54A20">
      <w:pPr>
        <w:pStyle w:val="a3"/>
        <w:spacing w:before="0" w:beforeAutospacing="0" w:after="0" w:afterAutospacing="0"/>
        <w:ind w:firstLine="420"/>
        <w:jc w:val="both"/>
        <w:divId w:val="1234465001"/>
      </w:pPr>
      <w:r>
        <w:rPr>
          <w:rFonts w:hint="eastAsia"/>
          <w:sz w:val="18"/>
          <w:szCs w:val="18"/>
        </w:rPr>
        <w:t>2008年1月22日淮北市人民政府国有资产监督管理委员会与华孚控股有限公司(以下简称“华孚控股”)</w:t>
      </w:r>
      <w:proofErr w:type="gramStart"/>
      <w:r>
        <w:rPr>
          <w:rFonts w:hint="eastAsia"/>
          <w:sz w:val="18"/>
          <w:szCs w:val="18"/>
        </w:rPr>
        <w:t>签定</w:t>
      </w:r>
      <w:proofErr w:type="gramEnd"/>
      <w:r>
        <w:rPr>
          <w:rFonts w:hint="eastAsia"/>
          <w:sz w:val="18"/>
          <w:szCs w:val="18"/>
        </w:rPr>
        <w:t>《产权交易合同》，华孚控股拟收购淮北市人民政府国有资产监督管理委员会持有的飞亚集团100%的股权，飞亚集团持有本公司40.55%的股权。</w:t>
      </w:r>
    </w:p>
    <w:p w:rsidR="00B54A20" w:rsidRDefault="00B54A20">
      <w:pPr>
        <w:pStyle w:val="a3"/>
        <w:spacing w:before="0" w:beforeAutospacing="0" w:after="0" w:afterAutospacing="0"/>
        <w:ind w:firstLine="420"/>
        <w:jc w:val="both"/>
        <w:divId w:val="1234465001"/>
      </w:pPr>
      <w:r>
        <w:rPr>
          <w:rFonts w:hint="eastAsia"/>
          <w:sz w:val="18"/>
          <w:szCs w:val="18"/>
        </w:rPr>
        <w:t>上述转让经2008年4月6日国务院国有资产监督管理委员会国资产权［2008］357号《关于安徽飞亚纺织发展股份有限公司间接转让涉及的国有股东性质变更有关问题的批复》以及2008年6月27日中国证券监督管理委员会证监许可［2008］849号《关于核准华孚控股有限公司公告安徽飞亚纺织发展股份有限公司收购报告书的批复》批准。2008年12月10日完成工商变更登记手续，飞亚集团变更为华孚控股全资子公司。</w:t>
      </w:r>
    </w:p>
    <w:p w:rsidR="00B54A20" w:rsidRDefault="00B54A20">
      <w:pPr>
        <w:pStyle w:val="a3"/>
        <w:spacing w:before="0" w:beforeAutospacing="0" w:after="0" w:afterAutospacing="0"/>
        <w:ind w:firstLine="420"/>
        <w:jc w:val="both"/>
        <w:divId w:val="1234465001"/>
      </w:pPr>
      <w:r>
        <w:rPr>
          <w:rFonts w:hint="eastAsia"/>
          <w:sz w:val="18"/>
          <w:szCs w:val="18"/>
        </w:rPr>
        <w:t>2008年1月30日，飞亚集团分别与受让方廖煜、赵伟光和陈敏签署了股权转让协议。飞亚集团以协议转让方式分别向廖煜、赵伟光和陈敏转让499万股本公司股权，合计转让1,497万股权，占本公司总股本的14.97%。飞亚集团减持后持有本公司2,557.91万股，占总股本的25.58%，该转让于2008年12月3日完成股权过户手续。</w:t>
      </w:r>
    </w:p>
    <w:p w:rsidR="00B54A20" w:rsidRDefault="00B54A20">
      <w:pPr>
        <w:pStyle w:val="a3"/>
        <w:spacing w:before="0" w:beforeAutospacing="0" w:after="0" w:afterAutospacing="0"/>
        <w:ind w:firstLine="420"/>
        <w:jc w:val="both"/>
        <w:divId w:val="1234465001"/>
      </w:pPr>
      <w:r>
        <w:rPr>
          <w:rFonts w:hint="eastAsia"/>
          <w:sz w:val="18"/>
          <w:szCs w:val="18"/>
        </w:rPr>
        <w:t>本公司2008年5月15日与华孚控股、深圳市华人投资有限公司及朱翠云、宋江、顾振华、潘金平、齐昌玮、张小荷、项小岳、王斌签署了《非公开发行股份与资产购买协议书》，并经2008年第三届董事会第三次会议决议、2008年第二次临时股东大会决议通过，本公司以通过非公开发行13,511.10万股普通股为对价，认购华孚控股、深圳市华人投资有限公司及朱翠云、宋江、顾振华、潘金平、齐昌玮、张小荷、项小岳、王斌八位自然人合计持有的深圳市华孚进出口有限公司100%股权；认购华孚控股持有的江西华孚色纺有限公司40%股权、持有的浙江缙云华孚纺织有限公司29.70%股权以及持有的浙江金棉纺织有限公司37.50%股权(以下简称“标的资产”)。</w:t>
      </w:r>
    </w:p>
    <w:p w:rsidR="00B54A20" w:rsidRDefault="00B54A20">
      <w:pPr>
        <w:pStyle w:val="a3"/>
        <w:spacing w:before="0" w:beforeAutospacing="0" w:after="0" w:afterAutospacing="0"/>
        <w:ind w:firstLine="420"/>
        <w:jc w:val="both"/>
        <w:divId w:val="1234465001"/>
      </w:pPr>
      <w:r>
        <w:rPr>
          <w:rFonts w:hint="eastAsia"/>
          <w:sz w:val="18"/>
          <w:szCs w:val="18"/>
        </w:rPr>
        <w:t>2008年12月29日，根据中国证券监督管理委员会上市公司并购重组审核委员会审核结果，本公司发行股份购买资产暨关联交易获得有条件通过。</w:t>
      </w:r>
    </w:p>
    <w:p w:rsidR="00B54A20" w:rsidRDefault="00B54A20">
      <w:pPr>
        <w:pStyle w:val="a3"/>
        <w:spacing w:before="0" w:beforeAutospacing="0" w:after="0" w:afterAutospacing="0"/>
        <w:ind w:firstLine="420"/>
        <w:jc w:val="both"/>
        <w:divId w:val="1234465001"/>
      </w:pPr>
      <w:r>
        <w:rPr>
          <w:rFonts w:hint="eastAsia"/>
          <w:sz w:val="18"/>
          <w:szCs w:val="18"/>
        </w:rPr>
        <w:t>2008年12月31日，本公司召开2008年第四次临时股东大会，决议通过《关于变更公司注册名称的议案》，本公司注册名称拟由“安徽飞亚纺织发展股份有限公司”变更为“安徽华孚色纺股份有限公司”，并于2009年1月5日完成工商变更登记手续。</w:t>
      </w:r>
    </w:p>
    <w:p w:rsidR="00B54A20" w:rsidRDefault="00B54A20">
      <w:pPr>
        <w:pStyle w:val="a3"/>
        <w:spacing w:before="0" w:beforeAutospacing="0" w:after="0" w:afterAutospacing="0"/>
        <w:ind w:firstLine="420"/>
        <w:jc w:val="both"/>
        <w:divId w:val="1234465001"/>
      </w:pPr>
      <w:r>
        <w:rPr>
          <w:rFonts w:hint="eastAsia"/>
          <w:sz w:val="18"/>
          <w:szCs w:val="18"/>
        </w:rPr>
        <w:t>2009年3月19日，本公司召开2008年度股东大会，决议通过《关于变更公司注册名称的议案》，本公司注册名称拟由“安徽华孚色纺股份有限公司”变更为“华孚色纺股份有限公司”。</w:t>
      </w:r>
    </w:p>
    <w:p w:rsidR="00B54A20" w:rsidRDefault="00B54A20">
      <w:pPr>
        <w:pStyle w:val="a3"/>
        <w:spacing w:before="0" w:beforeAutospacing="0" w:after="0" w:afterAutospacing="0"/>
        <w:ind w:firstLine="420"/>
        <w:jc w:val="both"/>
        <w:divId w:val="1234465001"/>
      </w:pPr>
      <w:r>
        <w:rPr>
          <w:rFonts w:hint="eastAsia"/>
          <w:sz w:val="18"/>
          <w:szCs w:val="18"/>
        </w:rPr>
        <w:t>本公司2017年8月23日召开第六届董事会第八次会议、2017年9月12日召开2017年第二次临时股东大会审议通过了《关于拟变更公司名称、证券简称及修订〈公司章程〉的议案》，公司名称由华孚色纺股份有限公司变更为华孚时尚股份有限公司，现持有统一社会信用代码为9134060072553187XK的营业执照。</w:t>
      </w:r>
    </w:p>
    <w:p w:rsidR="00B54A20" w:rsidRDefault="00B54A20">
      <w:pPr>
        <w:pStyle w:val="a3"/>
        <w:spacing w:before="0" w:beforeAutospacing="0" w:after="0" w:afterAutospacing="0"/>
        <w:ind w:firstLine="420"/>
        <w:jc w:val="both"/>
        <w:divId w:val="1234465001"/>
      </w:pPr>
      <w:r>
        <w:rPr>
          <w:rFonts w:hint="eastAsia"/>
          <w:sz w:val="18"/>
          <w:szCs w:val="18"/>
        </w:rPr>
        <w:t>经过历年的派送红股、配售新股、转增股本及增发新股，截止2022年12月31日，本公司累计发行股本总数170,068.1355万股，注册资本为170,068.1355万元，注册地址：淮北经济开发区新区石山路6号，总部地址：广东省深圳市福田区</w:t>
      </w:r>
      <w:proofErr w:type="gramStart"/>
      <w:r>
        <w:rPr>
          <w:rFonts w:hint="eastAsia"/>
          <w:sz w:val="18"/>
          <w:szCs w:val="18"/>
        </w:rPr>
        <w:t>市花路</w:t>
      </w:r>
      <w:proofErr w:type="gramEnd"/>
      <w:r>
        <w:rPr>
          <w:rFonts w:hint="eastAsia"/>
          <w:sz w:val="18"/>
          <w:szCs w:val="18"/>
        </w:rPr>
        <w:t>5号</w:t>
      </w:r>
      <w:proofErr w:type="gramStart"/>
      <w:r>
        <w:rPr>
          <w:rFonts w:hint="eastAsia"/>
          <w:sz w:val="18"/>
          <w:szCs w:val="18"/>
        </w:rPr>
        <w:t>长富金茂</w:t>
      </w:r>
      <w:proofErr w:type="gramEnd"/>
      <w:r>
        <w:rPr>
          <w:rFonts w:hint="eastAsia"/>
          <w:sz w:val="18"/>
          <w:szCs w:val="18"/>
        </w:rPr>
        <w:t>大厦59楼，母公司为华孚控股有限公司，最终实际控制人为孙伟挺、陈玲芬。</w:t>
      </w:r>
    </w:p>
    <w:p w:rsidR="00B54A20" w:rsidRDefault="00B54A20">
      <w:pPr>
        <w:pStyle w:val="a3"/>
        <w:spacing w:before="0" w:beforeAutospacing="0" w:after="0" w:afterAutospacing="0"/>
        <w:ind w:firstLine="450"/>
        <w:divId w:val="1234465001"/>
        <w:rPr>
          <w:rFonts w:ascii="Calibri" w:hAnsi="Calibri"/>
          <w:sz w:val="21"/>
          <w:szCs w:val="21"/>
        </w:rPr>
      </w:pPr>
      <w:r>
        <w:rPr>
          <w:rFonts w:ascii="Calibri" w:hAnsi="Calibri"/>
          <w:sz w:val="18"/>
          <w:szCs w:val="18"/>
        </w:rPr>
        <w:t>2</w:t>
      </w:r>
      <w:r>
        <w:rPr>
          <w:rFonts w:hint="eastAsia"/>
          <w:sz w:val="18"/>
          <w:szCs w:val="18"/>
        </w:rPr>
        <w:t>、公司业务性质和主要经营活动</w:t>
      </w:r>
    </w:p>
    <w:p w:rsidR="00B54A20" w:rsidRDefault="00B54A20" w:rsidP="00346D0D">
      <w:pPr>
        <w:pStyle w:val="a3"/>
        <w:spacing w:before="0" w:beforeAutospacing="0" w:after="0" w:afterAutospacing="0"/>
        <w:ind w:firstLineChars="200" w:firstLine="360"/>
        <w:divId w:val="1234465001"/>
        <w:rPr>
          <w:rFonts w:ascii="Calibri" w:hAnsi="Calibri"/>
          <w:sz w:val="21"/>
          <w:szCs w:val="21"/>
        </w:rPr>
      </w:pPr>
      <w:r>
        <w:rPr>
          <w:rFonts w:hint="eastAsia"/>
          <w:sz w:val="18"/>
          <w:szCs w:val="18"/>
        </w:rPr>
        <w:t>本公司属纺织行业，主要经营活动：纱线的研发、生产、销售；棉花的采购、加工、销售；</w:t>
      </w:r>
      <w:proofErr w:type="gramStart"/>
      <w:r>
        <w:rPr>
          <w:rFonts w:hint="eastAsia"/>
          <w:sz w:val="18"/>
          <w:szCs w:val="18"/>
        </w:rPr>
        <w:t>袜</w:t>
      </w:r>
      <w:proofErr w:type="gramEnd"/>
      <w:r>
        <w:rPr>
          <w:rFonts w:hint="eastAsia"/>
          <w:sz w:val="18"/>
          <w:szCs w:val="18"/>
        </w:rPr>
        <w:t>制品设计、生产、销售等。</w:t>
      </w:r>
    </w:p>
    <w:p w:rsidR="00B54A20" w:rsidRDefault="00B54A20">
      <w:pPr>
        <w:pStyle w:val="a3"/>
        <w:spacing w:before="0" w:beforeAutospacing="0" w:after="0" w:afterAutospacing="0"/>
        <w:ind w:left="359" w:firstLine="90"/>
        <w:divId w:val="1234465001"/>
        <w:rPr>
          <w:rFonts w:ascii="Calibri" w:hAnsi="Calibri"/>
          <w:sz w:val="21"/>
          <w:szCs w:val="21"/>
        </w:rPr>
      </w:pPr>
      <w:r>
        <w:rPr>
          <w:rFonts w:ascii="Calibri" w:hAnsi="Calibri"/>
          <w:sz w:val="18"/>
          <w:szCs w:val="18"/>
        </w:rPr>
        <w:t>3</w:t>
      </w:r>
      <w:r>
        <w:rPr>
          <w:rFonts w:hint="eastAsia"/>
          <w:sz w:val="18"/>
          <w:szCs w:val="18"/>
        </w:rPr>
        <w:t>、财务报表的批准报出</w:t>
      </w:r>
      <w:r>
        <w:rPr>
          <w:rFonts w:ascii="Calibri" w:hAnsi="Calibri"/>
          <w:sz w:val="18"/>
          <w:szCs w:val="18"/>
        </w:rPr>
        <w:t xml:space="preserve"> </w:t>
      </w:r>
    </w:p>
    <w:p w:rsidR="00B54A20" w:rsidRDefault="00B54A20">
      <w:pPr>
        <w:pStyle w:val="a3"/>
        <w:spacing w:before="0" w:beforeAutospacing="0" w:after="0" w:afterAutospacing="0"/>
        <w:ind w:firstLine="450"/>
        <w:jc w:val="both"/>
        <w:divId w:val="1234465001"/>
      </w:pPr>
      <w:r>
        <w:rPr>
          <w:rFonts w:hint="eastAsia"/>
          <w:sz w:val="18"/>
          <w:szCs w:val="18"/>
        </w:rPr>
        <w:t>本财务报表业经公司董事会于2023年8月30日批准报出。</w:t>
      </w:r>
    </w:p>
    <w:p w:rsidR="00B54A20" w:rsidRDefault="00B54A20">
      <w:pPr>
        <w:pStyle w:val="a3"/>
        <w:divId w:val="1182628176"/>
        <w:rPr>
          <w:sz w:val="18"/>
          <w:szCs w:val="18"/>
        </w:rPr>
      </w:pPr>
      <w:r>
        <w:rPr>
          <w:rFonts w:hint="eastAsia"/>
          <w:sz w:val="18"/>
          <w:szCs w:val="18"/>
        </w:rPr>
        <w:t>本期纳入合并财务报表范围的子公司共96户，具体包括：</w:t>
      </w:r>
    </w:p>
    <w:tbl>
      <w:tblPr>
        <w:tblW w:w="9508" w:type="dxa"/>
        <w:tblCellMar>
          <w:left w:w="0" w:type="dxa"/>
          <w:right w:w="0" w:type="dxa"/>
        </w:tblCellMar>
        <w:tblLook w:val="04A0" w:firstRow="1" w:lastRow="0" w:firstColumn="1" w:lastColumn="0" w:noHBand="0" w:noVBand="1"/>
      </w:tblPr>
      <w:tblGrid>
        <w:gridCol w:w="3979"/>
        <w:gridCol w:w="1560"/>
        <w:gridCol w:w="1134"/>
        <w:gridCol w:w="1417"/>
        <w:gridCol w:w="1418"/>
      </w:tblGrid>
      <w:tr w:rsidR="00B54A20" w:rsidTr="00346D0D">
        <w:trPr>
          <w:divId w:val="1182628176"/>
          <w:trHeight w:val="20"/>
        </w:trPr>
        <w:tc>
          <w:tcPr>
            <w:tcW w:w="3979" w:type="dxa"/>
            <w:tcBorders>
              <w:top w:val="single" w:sz="8" w:space="0" w:color="000000"/>
              <w:left w:val="single" w:sz="8" w:space="0" w:color="000000"/>
              <w:bottom w:val="single" w:sz="8" w:space="0" w:color="000000"/>
              <w:right w:val="single" w:sz="8" w:space="0" w:color="000000"/>
            </w:tcBorders>
            <w:vAlign w:val="center"/>
            <w:hideMark/>
          </w:tcPr>
          <w:p w:rsidR="00B54A20" w:rsidRDefault="00B54A20">
            <w:pPr>
              <w:jc w:val="center"/>
              <w:rPr>
                <w:rFonts w:ascii="宋体" w:eastAsia="宋体" w:hAnsi="宋体" w:cs="宋体"/>
                <w:sz w:val="18"/>
                <w:szCs w:val="18"/>
              </w:rPr>
            </w:pPr>
            <w:r>
              <w:rPr>
                <w:rFonts w:hint="eastAsia"/>
                <w:sz w:val="18"/>
                <w:szCs w:val="18"/>
              </w:rPr>
              <w:t>子公司名称</w:t>
            </w:r>
          </w:p>
        </w:tc>
        <w:tc>
          <w:tcPr>
            <w:tcW w:w="1560"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子公司类型</w:t>
            </w:r>
          </w:p>
        </w:tc>
        <w:tc>
          <w:tcPr>
            <w:tcW w:w="1134"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级次</w:t>
            </w:r>
          </w:p>
        </w:tc>
        <w:tc>
          <w:tcPr>
            <w:tcW w:w="1417"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持股比例（</w:t>
            </w:r>
            <w:r>
              <w:rPr>
                <w:rFonts w:ascii="Calibri" w:hAnsi="Calibri"/>
                <w:sz w:val="18"/>
                <w:szCs w:val="18"/>
              </w:rPr>
              <w:t>%</w:t>
            </w:r>
            <w:r>
              <w:rPr>
                <w:rFonts w:hint="eastAsia"/>
                <w:sz w:val="18"/>
                <w:szCs w:val="18"/>
              </w:rPr>
              <w:t>）</w:t>
            </w:r>
          </w:p>
        </w:tc>
        <w:tc>
          <w:tcPr>
            <w:tcW w:w="1418"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表决权比例（</w:t>
            </w:r>
            <w:r>
              <w:rPr>
                <w:rFonts w:ascii="Calibri" w:hAnsi="Calibri"/>
                <w:sz w:val="18"/>
                <w:szCs w:val="18"/>
              </w:rPr>
              <w:t>%</w:t>
            </w:r>
            <w:r>
              <w:rPr>
                <w:rFonts w:hint="eastAsia"/>
                <w:sz w:val="18"/>
                <w:szCs w:val="18"/>
              </w:rPr>
              <w:t>）</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深圳市华孚进出口有限公司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香港华孚有限公司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顺道（越南）实业独资有限公司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香港天成贸易有限公司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越南隆安英鸿投资股份有限公司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80.00%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80.00%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新加坡耀佳国际贸易有限公司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香港华孚贸易有限公司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宁海华孚纺织有限公司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浙江华孚色纺有限公司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余姚华</w:t>
            </w:r>
            <w:proofErr w:type="gramStart"/>
            <w:r>
              <w:rPr>
                <w:rFonts w:hint="eastAsia"/>
                <w:sz w:val="18"/>
                <w:szCs w:val="18"/>
              </w:rPr>
              <w:t>孚</w:t>
            </w:r>
            <w:proofErr w:type="gramEnd"/>
            <w:r>
              <w:rPr>
                <w:rFonts w:hint="eastAsia"/>
                <w:sz w:val="18"/>
                <w:szCs w:val="18"/>
              </w:rPr>
              <w:t>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浙江社标纤维有限公司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阿克苏</w:t>
            </w:r>
            <w:proofErr w:type="gramStart"/>
            <w:r>
              <w:rPr>
                <w:rFonts w:hint="eastAsia"/>
                <w:sz w:val="18"/>
                <w:szCs w:val="18"/>
              </w:rPr>
              <w:t>标信纤维</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proofErr w:type="gramStart"/>
            <w:r>
              <w:rPr>
                <w:rFonts w:hint="eastAsia"/>
                <w:sz w:val="18"/>
                <w:szCs w:val="18"/>
              </w:rPr>
              <w:t>石河子标配纤维</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浙江昇孚贸易有限公司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绍兴市上虞华孚物流有限公司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宁波华孚东</w:t>
            </w:r>
            <w:proofErr w:type="gramStart"/>
            <w:r>
              <w:rPr>
                <w:rFonts w:hint="eastAsia"/>
                <w:sz w:val="18"/>
                <w:szCs w:val="18"/>
              </w:rPr>
              <w:t>浩</w:t>
            </w:r>
            <w:proofErr w:type="gramEnd"/>
            <w:r>
              <w:rPr>
                <w:rFonts w:hint="eastAsia"/>
                <w:sz w:val="18"/>
                <w:szCs w:val="18"/>
              </w:rPr>
              <w:t>实业有限公司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九江中</w:t>
            </w:r>
            <w:proofErr w:type="gramStart"/>
            <w:r>
              <w:rPr>
                <w:rFonts w:hint="eastAsia"/>
                <w:sz w:val="18"/>
                <w:szCs w:val="18"/>
              </w:rPr>
              <w:t>浩</w:t>
            </w:r>
            <w:proofErr w:type="gramEnd"/>
            <w:r>
              <w:rPr>
                <w:rFonts w:hint="eastAsia"/>
                <w:sz w:val="18"/>
                <w:szCs w:val="18"/>
              </w:rPr>
              <w:t>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浙江缙云华孚纺织有限公司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浙江金华华孚纺织有限公司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平湖市华孚金瓶纺织有限公司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上海华孚色纺贸易有限公司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阿克苏华孚色纺有限公司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新疆华孚色纺集团有限公司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proofErr w:type="gramStart"/>
            <w:r>
              <w:rPr>
                <w:rFonts w:hint="eastAsia"/>
                <w:sz w:val="18"/>
                <w:szCs w:val="18"/>
              </w:rPr>
              <w:t>新疆六孚纺织工业</w:t>
            </w:r>
            <w:proofErr w:type="gramEnd"/>
            <w:r>
              <w:rPr>
                <w:rFonts w:hint="eastAsia"/>
                <w:sz w:val="18"/>
                <w:szCs w:val="18"/>
              </w:rPr>
              <w:t>园有限公司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新疆天宏新</w:t>
            </w:r>
            <w:proofErr w:type="gramStart"/>
            <w:r>
              <w:rPr>
                <w:rFonts w:hint="eastAsia"/>
                <w:sz w:val="18"/>
                <w:szCs w:val="18"/>
              </w:rPr>
              <w:t>八棉产业</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阿克苏华孚新能源有限公司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新疆华孚纺织有限公司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阿瓦提华</w:t>
            </w:r>
            <w:proofErr w:type="gramStart"/>
            <w:r>
              <w:rPr>
                <w:rFonts w:hint="eastAsia"/>
                <w:sz w:val="18"/>
                <w:szCs w:val="18"/>
              </w:rPr>
              <w:t>孚</w:t>
            </w:r>
            <w:proofErr w:type="gramEnd"/>
            <w:r>
              <w:rPr>
                <w:rFonts w:hint="eastAsia"/>
                <w:sz w:val="18"/>
                <w:szCs w:val="18"/>
              </w:rPr>
              <w:t>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新疆华孚棉业集团有限公司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新疆华孚</w:t>
            </w:r>
            <w:proofErr w:type="gramStart"/>
            <w:r>
              <w:rPr>
                <w:rFonts w:hint="eastAsia"/>
                <w:sz w:val="18"/>
                <w:szCs w:val="18"/>
              </w:rPr>
              <w:t>恒丰棉业</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库车</w:t>
            </w:r>
            <w:proofErr w:type="gramStart"/>
            <w:r>
              <w:rPr>
                <w:rFonts w:hint="eastAsia"/>
                <w:sz w:val="18"/>
                <w:szCs w:val="18"/>
              </w:rPr>
              <w:t>恒丰棉业</w:t>
            </w:r>
            <w:proofErr w:type="gramEnd"/>
            <w:r>
              <w:rPr>
                <w:rFonts w:hint="eastAsia"/>
                <w:sz w:val="18"/>
                <w:szCs w:val="18"/>
              </w:rPr>
              <w:t>有限责任公司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库车纵横棉业有限责任公司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沙雅银花棉业有限责任公司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proofErr w:type="gramStart"/>
            <w:r>
              <w:rPr>
                <w:rFonts w:hint="eastAsia"/>
                <w:sz w:val="18"/>
                <w:szCs w:val="18"/>
              </w:rPr>
              <w:t>胡杨河</w:t>
            </w:r>
            <w:proofErr w:type="gramEnd"/>
            <w:r>
              <w:rPr>
                <w:rFonts w:hint="eastAsia"/>
                <w:sz w:val="18"/>
                <w:szCs w:val="18"/>
              </w:rPr>
              <w:t>华孚</w:t>
            </w:r>
            <w:proofErr w:type="gramStart"/>
            <w:r>
              <w:rPr>
                <w:rFonts w:hint="eastAsia"/>
                <w:sz w:val="18"/>
                <w:szCs w:val="18"/>
              </w:rPr>
              <w:t>宏盛棉业</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浙江聚丰贸易有限公司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石河子华孚</w:t>
            </w:r>
            <w:proofErr w:type="gramStart"/>
            <w:r>
              <w:rPr>
                <w:rFonts w:hint="eastAsia"/>
                <w:sz w:val="18"/>
                <w:szCs w:val="18"/>
              </w:rPr>
              <w:t>宏盛棉业</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石河子市华孚</w:t>
            </w:r>
            <w:proofErr w:type="gramStart"/>
            <w:r>
              <w:rPr>
                <w:rFonts w:hint="eastAsia"/>
                <w:sz w:val="18"/>
                <w:szCs w:val="18"/>
              </w:rPr>
              <w:t>宏丰棉业</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浙江维新贸易有限公司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浙江恒孚贸易有限公司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新疆棉花交易市场有限责任公司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70.40%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70.40%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阿克苏银星物流有限公司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40.80%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40.80%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深圳华孚网链投资有限公司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淮北华孚供应链管理有限公司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浙江服人网络科技有限公司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阿大纺织股份有限公司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浙江阿大贸易有限公司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上海清澄时尚生活用品有限公司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66.70%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66.70%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江苏</w:t>
            </w:r>
            <w:proofErr w:type="gramStart"/>
            <w:r>
              <w:rPr>
                <w:rFonts w:hint="eastAsia"/>
                <w:sz w:val="18"/>
                <w:szCs w:val="18"/>
              </w:rPr>
              <w:t>清澄家</w:t>
            </w:r>
            <w:proofErr w:type="gramEnd"/>
            <w:r>
              <w:rPr>
                <w:rFonts w:hint="eastAsia"/>
                <w:sz w:val="18"/>
                <w:szCs w:val="18"/>
              </w:rPr>
              <w:t>生活用品有限公司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浙江鲲驰互联科技有限公司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64.95%</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64.95%</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新疆阿大数字科技产业园有限公司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浙江昊载科技有限公司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诸暨中</w:t>
            </w:r>
            <w:proofErr w:type="gramStart"/>
            <w:r>
              <w:rPr>
                <w:rFonts w:hint="eastAsia"/>
                <w:sz w:val="18"/>
                <w:szCs w:val="18"/>
              </w:rPr>
              <w:t>昊</w:t>
            </w:r>
            <w:proofErr w:type="gramEnd"/>
            <w:r>
              <w:rPr>
                <w:rFonts w:hint="eastAsia"/>
                <w:sz w:val="18"/>
                <w:szCs w:val="18"/>
              </w:rPr>
              <w:t>投资管理有限公司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诸暨市承影电子商务有限公司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w:t>
            </w:r>
            <w:proofErr w:type="gramStart"/>
            <w:r>
              <w:rPr>
                <w:rFonts w:hint="eastAsia"/>
                <w:sz w:val="18"/>
                <w:szCs w:val="18"/>
              </w:rPr>
              <w:t>市渊虹</w:t>
            </w:r>
            <w:proofErr w:type="gramEnd"/>
            <w:r>
              <w:rPr>
                <w:rFonts w:hint="eastAsia"/>
                <w:sz w:val="18"/>
                <w:szCs w:val="18"/>
              </w:rPr>
              <w:t>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杭州名</w:t>
            </w:r>
            <w:proofErr w:type="gramStart"/>
            <w:r>
              <w:rPr>
                <w:rFonts w:hint="eastAsia"/>
                <w:sz w:val="18"/>
                <w:szCs w:val="18"/>
              </w:rPr>
              <w:t>鲲</w:t>
            </w:r>
            <w:proofErr w:type="gramEnd"/>
            <w:r>
              <w:rPr>
                <w:rFonts w:hint="eastAsia"/>
                <w:sz w:val="18"/>
                <w:szCs w:val="18"/>
              </w:rPr>
              <w:t>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80.00%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80.00%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proofErr w:type="gramStart"/>
            <w:r>
              <w:rPr>
                <w:rFonts w:hint="eastAsia"/>
                <w:sz w:val="18"/>
                <w:szCs w:val="18"/>
              </w:rPr>
              <w:t>诸暨市卡拉美拉科技有限公司</w:t>
            </w:r>
            <w:proofErr w:type="gramEnd"/>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78.35%</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78.35%</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诸暨市龙渊电子商务有限公司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诸暨市湛</w:t>
            </w:r>
            <w:proofErr w:type="gramStart"/>
            <w:r>
              <w:rPr>
                <w:rFonts w:hint="eastAsia"/>
                <w:sz w:val="18"/>
                <w:szCs w:val="18"/>
              </w:rPr>
              <w:t>泸</w:t>
            </w:r>
            <w:proofErr w:type="gramEnd"/>
            <w:r>
              <w:rPr>
                <w:rFonts w:hint="eastAsia"/>
                <w:sz w:val="18"/>
                <w:szCs w:val="18"/>
              </w:rPr>
              <w:t>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w:t>
            </w:r>
            <w:proofErr w:type="gramStart"/>
            <w:r>
              <w:rPr>
                <w:rFonts w:hint="eastAsia"/>
                <w:sz w:val="18"/>
                <w:szCs w:val="18"/>
              </w:rPr>
              <w:t>赤</w:t>
            </w:r>
            <w:proofErr w:type="gramEnd"/>
            <w:r>
              <w:rPr>
                <w:rFonts w:hint="eastAsia"/>
                <w:sz w:val="18"/>
                <w:szCs w:val="18"/>
              </w:rPr>
              <w:t>霄电子商务有限公司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诸暨市新亭电子商务有限公司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w:t>
            </w:r>
            <w:proofErr w:type="gramStart"/>
            <w:r>
              <w:rPr>
                <w:rFonts w:hint="eastAsia"/>
                <w:sz w:val="18"/>
                <w:szCs w:val="18"/>
              </w:rPr>
              <w:t>市纯钧</w:t>
            </w:r>
            <w:proofErr w:type="gramEnd"/>
            <w:r>
              <w:rPr>
                <w:rFonts w:hint="eastAsia"/>
                <w:sz w:val="18"/>
                <w:szCs w:val="18"/>
              </w:rPr>
              <w:t>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诸暨市雪霁电子商务有限公司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w:t>
            </w:r>
            <w:proofErr w:type="gramStart"/>
            <w:r>
              <w:rPr>
                <w:rFonts w:hint="eastAsia"/>
                <w:sz w:val="18"/>
                <w:szCs w:val="18"/>
              </w:rPr>
              <w:t>市胜跃纺织</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杭州</w:t>
            </w:r>
            <w:proofErr w:type="gramStart"/>
            <w:r>
              <w:rPr>
                <w:rFonts w:hint="eastAsia"/>
                <w:sz w:val="18"/>
                <w:szCs w:val="18"/>
              </w:rPr>
              <w:t>一</w:t>
            </w:r>
            <w:proofErr w:type="gramEnd"/>
            <w:r>
              <w:rPr>
                <w:rFonts w:hint="eastAsia"/>
                <w:sz w:val="18"/>
                <w:szCs w:val="18"/>
              </w:rPr>
              <w:t>酷服饰有限公司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90.00%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90.00%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浙江昊驰信息咨询有限公司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浙江昊创贸易有限公司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浙江广孚色纺有限公司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诸暨市</w:t>
            </w:r>
            <w:proofErr w:type="gramStart"/>
            <w:r>
              <w:rPr>
                <w:rFonts w:hint="eastAsia"/>
                <w:sz w:val="18"/>
                <w:szCs w:val="18"/>
              </w:rPr>
              <w:t>鲲驰投资</w:t>
            </w:r>
            <w:proofErr w:type="gramEnd"/>
            <w:r>
              <w:rPr>
                <w:rFonts w:hint="eastAsia"/>
                <w:sz w:val="18"/>
                <w:szCs w:val="18"/>
              </w:rPr>
              <w:t>管理合伙企业（有限合伙）</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99.90%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99.90%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浙江易孚贸易有限公司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浙江博忆纺织科技有限公司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乌什县阿大纺织有限公司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安徽博忆纺织科技有限公司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浙江双琪进出口有限公司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浙江诸暨科宁投资有限公司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新疆科宁针纺科技有限公司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五级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诸暨广</w:t>
            </w:r>
            <w:proofErr w:type="gramStart"/>
            <w:r>
              <w:rPr>
                <w:rFonts w:hint="eastAsia"/>
                <w:sz w:val="18"/>
                <w:szCs w:val="18"/>
              </w:rPr>
              <w:t>昊</w:t>
            </w:r>
            <w:proofErr w:type="gramEnd"/>
            <w:r>
              <w:rPr>
                <w:rFonts w:hint="eastAsia"/>
                <w:sz w:val="18"/>
                <w:szCs w:val="18"/>
              </w:rPr>
              <w:t>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六级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proofErr w:type="gramStart"/>
            <w:r>
              <w:rPr>
                <w:rFonts w:hint="eastAsia"/>
                <w:sz w:val="18"/>
                <w:szCs w:val="18"/>
              </w:rPr>
              <w:t>新疆天孚棉花</w:t>
            </w:r>
            <w:proofErr w:type="gramEnd"/>
            <w:r>
              <w:rPr>
                <w:rFonts w:hint="eastAsia"/>
                <w:sz w:val="18"/>
                <w:szCs w:val="18"/>
              </w:rPr>
              <w:t>供应链股份有限公司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新疆棉花产业（集团）叶城棉业有限责任公司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新疆棉花产业集团泽普棉业有限公司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新疆棉花产业集团岳</w:t>
            </w:r>
            <w:proofErr w:type="gramStart"/>
            <w:r>
              <w:rPr>
                <w:rFonts w:hint="eastAsia"/>
                <w:sz w:val="18"/>
                <w:szCs w:val="18"/>
              </w:rPr>
              <w:t>普湖棉业</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新疆棉花产业集团伽师棉业有限公司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w:t>
            </w:r>
            <w:proofErr w:type="gramStart"/>
            <w:r>
              <w:rPr>
                <w:rFonts w:hint="eastAsia"/>
                <w:sz w:val="18"/>
                <w:szCs w:val="18"/>
              </w:rPr>
              <w:t>菁英电商管理</w:t>
            </w:r>
            <w:proofErr w:type="gramEnd"/>
            <w:r>
              <w:rPr>
                <w:rFonts w:hint="eastAsia"/>
                <w:sz w:val="18"/>
                <w:szCs w:val="18"/>
              </w:rPr>
              <w:t>服务有限公司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金华市</w:t>
            </w:r>
            <w:proofErr w:type="gramStart"/>
            <w:r>
              <w:rPr>
                <w:rFonts w:hint="eastAsia"/>
                <w:sz w:val="18"/>
                <w:szCs w:val="18"/>
              </w:rPr>
              <w:t>菁</w:t>
            </w:r>
            <w:proofErr w:type="gramEnd"/>
            <w:r>
              <w:rPr>
                <w:rFonts w:hint="eastAsia"/>
                <w:sz w:val="18"/>
                <w:szCs w:val="18"/>
              </w:rPr>
              <w:t>英职业技能培训学校有限公司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金华市</w:t>
            </w:r>
            <w:proofErr w:type="gramStart"/>
            <w:r>
              <w:rPr>
                <w:rFonts w:hint="eastAsia"/>
                <w:sz w:val="18"/>
                <w:szCs w:val="18"/>
              </w:rPr>
              <w:t>菁</w:t>
            </w:r>
            <w:proofErr w:type="gramEnd"/>
            <w:r>
              <w:rPr>
                <w:rFonts w:hint="eastAsia"/>
                <w:sz w:val="18"/>
                <w:szCs w:val="18"/>
              </w:rPr>
              <w:t>英物业发展有限公司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w:t>
            </w:r>
            <w:proofErr w:type="gramStart"/>
            <w:r>
              <w:rPr>
                <w:rFonts w:hint="eastAsia"/>
                <w:sz w:val="18"/>
                <w:szCs w:val="18"/>
              </w:rPr>
              <w:t>菁英创业</w:t>
            </w:r>
            <w:proofErr w:type="gramEnd"/>
            <w:r>
              <w:rPr>
                <w:rFonts w:hint="eastAsia"/>
                <w:sz w:val="18"/>
                <w:szCs w:val="18"/>
              </w:rPr>
              <w:t>服务有限公司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70.00%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金华市</w:t>
            </w:r>
            <w:proofErr w:type="gramStart"/>
            <w:r>
              <w:rPr>
                <w:rFonts w:hint="eastAsia"/>
                <w:sz w:val="18"/>
                <w:szCs w:val="18"/>
              </w:rPr>
              <w:t>菁英网红</w:t>
            </w:r>
            <w:proofErr w:type="gramEnd"/>
            <w:r>
              <w:rPr>
                <w:rFonts w:hint="eastAsia"/>
                <w:sz w:val="18"/>
                <w:szCs w:val="18"/>
              </w:rPr>
              <w:t>品牌管理有限公司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浙江铭孚针纺有限公司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深圳市天计数</w:t>
            </w:r>
            <w:proofErr w:type="gramStart"/>
            <w:r>
              <w:rPr>
                <w:rFonts w:hint="eastAsia"/>
                <w:sz w:val="18"/>
                <w:szCs w:val="18"/>
              </w:rPr>
              <w:t>智科技</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二级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51.00%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淮北市华孚纺织有限公司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高可续（上海）棉花有限公司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新疆天路智能制造有限公司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全资子公司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proofErr w:type="gramStart"/>
            <w:r>
              <w:rPr>
                <w:rFonts w:hint="eastAsia"/>
                <w:sz w:val="18"/>
                <w:szCs w:val="18"/>
              </w:rPr>
              <w:t>奎屯锦孚纺织</w:t>
            </w:r>
            <w:proofErr w:type="gramEnd"/>
            <w:r>
              <w:rPr>
                <w:rFonts w:hint="eastAsia"/>
                <w:sz w:val="18"/>
                <w:szCs w:val="18"/>
              </w:rPr>
              <w:t>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67.00%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67.00%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浙江果实设计有限公司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浙江其实科技有限公司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三级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浙江艾思其品牌管理有限公司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r w:rsidR="00B54A20" w:rsidTr="00346D0D">
        <w:trPr>
          <w:divId w:val="1182628176"/>
          <w:trHeight w:val="20"/>
        </w:trPr>
        <w:tc>
          <w:tcPr>
            <w:tcW w:w="3979" w:type="dxa"/>
            <w:tcBorders>
              <w:top w:val="nil"/>
              <w:left w:val="single" w:sz="8" w:space="0" w:color="auto"/>
              <w:bottom w:val="single" w:sz="8" w:space="0" w:color="auto"/>
              <w:right w:val="single" w:sz="8" w:space="0" w:color="auto"/>
            </w:tcBorders>
            <w:vAlign w:val="center"/>
            <w:hideMark/>
          </w:tcPr>
          <w:p w:rsidR="00B54A20" w:rsidRDefault="00B54A20">
            <w:pPr>
              <w:rPr>
                <w:rFonts w:ascii="宋体" w:eastAsia="宋体" w:hAnsi="宋体" w:cs="宋体"/>
                <w:sz w:val="18"/>
                <w:szCs w:val="18"/>
              </w:rPr>
            </w:pPr>
            <w:r>
              <w:rPr>
                <w:rFonts w:hint="eastAsia"/>
                <w:sz w:val="18"/>
                <w:szCs w:val="18"/>
              </w:rPr>
              <w:t>浙江达米安品牌管理有限公司</w:t>
            </w:r>
          </w:p>
        </w:tc>
        <w:tc>
          <w:tcPr>
            <w:tcW w:w="156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控股子公司</w:t>
            </w:r>
          </w:p>
        </w:tc>
        <w:tc>
          <w:tcPr>
            <w:tcW w:w="1134"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四级</w:t>
            </w:r>
          </w:p>
        </w:tc>
        <w:tc>
          <w:tcPr>
            <w:tcW w:w="1417"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c>
          <w:tcPr>
            <w:tcW w:w="1418" w:type="dxa"/>
            <w:tcBorders>
              <w:top w:val="nil"/>
              <w:left w:val="nil"/>
              <w:bottom w:val="single" w:sz="8" w:space="0" w:color="auto"/>
              <w:right w:val="single" w:sz="8" w:space="0" w:color="auto"/>
            </w:tcBorders>
            <w:vAlign w:val="center"/>
            <w:hideMark/>
          </w:tcPr>
          <w:p w:rsidR="00B54A20" w:rsidRDefault="00B54A20">
            <w:pPr>
              <w:jc w:val="center"/>
              <w:rPr>
                <w:rFonts w:ascii="Calibri" w:eastAsia="宋体" w:hAnsi="Calibri" w:cs="宋体"/>
                <w:sz w:val="18"/>
                <w:szCs w:val="18"/>
              </w:rPr>
            </w:pPr>
            <w:r>
              <w:rPr>
                <w:rFonts w:ascii="Calibri" w:hAnsi="Calibri"/>
                <w:sz w:val="18"/>
                <w:szCs w:val="18"/>
              </w:rPr>
              <w:t>100.00%</w:t>
            </w:r>
          </w:p>
        </w:tc>
      </w:tr>
    </w:tbl>
    <w:p w:rsidR="00B54A20" w:rsidRDefault="00B54A20" w:rsidP="002C1B91">
      <w:pPr>
        <w:pStyle w:val="a3"/>
        <w:spacing w:before="0" w:beforeAutospacing="0" w:after="0" w:afterAutospacing="0"/>
        <w:divId w:val="1182628176"/>
        <w:rPr>
          <w:sz w:val="18"/>
          <w:szCs w:val="18"/>
        </w:rPr>
      </w:pPr>
      <w:r>
        <w:rPr>
          <w:rFonts w:hint="eastAsia"/>
          <w:sz w:val="18"/>
          <w:szCs w:val="18"/>
        </w:rPr>
        <w:t>详见本附注七、在其他主体中的权益。本期纳入合并财务报表范围的主体较上期相比，增加</w:t>
      </w:r>
      <w:r w:rsidR="00346D0D">
        <w:rPr>
          <w:rFonts w:hint="eastAsia"/>
          <w:sz w:val="18"/>
          <w:szCs w:val="18"/>
        </w:rPr>
        <w:t>4</w:t>
      </w:r>
      <w:r>
        <w:rPr>
          <w:rFonts w:hint="eastAsia"/>
          <w:sz w:val="18"/>
          <w:szCs w:val="18"/>
        </w:rPr>
        <w:t>户，减少</w:t>
      </w:r>
      <w:r w:rsidR="00346D0D">
        <w:rPr>
          <w:rFonts w:hint="eastAsia"/>
          <w:sz w:val="18"/>
          <w:szCs w:val="18"/>
        </w:rPr>
        <w:t>1</w:t>
      </w:r>
      <w:r>
        <w:rPr>
          <w:rFonts w:hint="eastAsia"/>
          <w:sz w:val="18"/>
          <w:szCs w:val="18"/>
        </w:rPr>
        <w:t>户，合并范围变更主体的具体信息详见附注六、合并范围的变更。</w:t>
      </w:r>
    </w:p>
    <w:p w:rsidR="00E62F69" w:rsidRDefault="00B54A20">
      <w:pPr>
        <w:pStyle w:val="2"/>
        <w:spacing w:before="300" w:after="300" w:line="320" w:lineRule="exact"/>
        <w:rPr>
          <w:rFonts w:ascii="宋体" w:eastAsia="宋体" w:hAnsi="宋体" w:cs="宋体"/>
          <w:b/>
          <w:bCs/>
          <w:sz w:val="24"/>
          <w:szCs w:val="24"/>
        </w:rPr>
      </w:pPr>
      <w:bookmarkStart w:id="12" w:name="_Toc989005"/>
      <w:r>
        <w:rPr>
          <w:rFonts w:ascii="宋体" w:eastAsia="宋体" w:hAnsi="宋体" w:cs="宋体"/>
          <w:b/>
          <w:bCs/>
          <w:sz w:val="24"/>
          <w:szCs w:val="24"/>
        </w:rPr>
        <w:t>四、财务报表的编制基础</w:t>
      </w:r>
      <w:bookmarkEnd w:id="12"/>
    </w:p>
    <w:p w:rsidR="00E62F69" w:rsidRDefault="00B54A20">
      <w:pPr>
        <w:pStyle w:val="3"/>
        <w:spacing w:line="280" w:lineRule="exact"/>
        <w:jc w:val="left"/>
        <w:rPr>
          <w:rFonts w:ascii="宋体" w:hAnsi="宋体" w:cs="宋体"/>
          <w:b/>
          <w:bCs/>
        </w:rPr>
      </w:pPr>
      <w:bookmarkStart w:id="13" w:name="_Toc989006"/>
      <w:r>
        <w:rPr>
          <w:rFonts w:ascii="宋体" w:hAnsi="宋体" w:cs="宋体"/>
          <w:b/>
          <w:bCs/>
        </w:rPr>
        <w:t>1、编制基础</w:t>
      </w:r>
      <w:bookmarkEnd w:id="13"/>
    </w:p>
    <w:p w:rsidR="00B54A20" w:rsidRDefault="00B54A20" w:rsidP="002C1B91">
      <w:pPr>
        <w:pStyle w:val="a3"/>
        <w:spacing w:before="0" w:beforeAutospacing="0" w:after="0" w:afterAutospacing="0"/>
        <w:ind w:firstLine="420"/>
        <w:jc w:val="both"/>
        <w:divId w:val="505365328"/>
      </w:pPr>
      <w:r>
        <w:rPr>
          <w:rFonts w:hint="eastAsia"/>
          <w:sz w:val="18"/>
          <w:szCs w:val="18"/>
        </w:rPr>
        <w:t>本公司根据实际发生的交易和事项，按照财政部颁布的《企业会计准则——基本准则》和具体企业会计准则、企业会计准则应用指南、企业会计准则解释及其他相关规定（以下合称“企业会计准则”）进行确认和计量，在此基础上，结合中国证券监督管理委员会《公开发行证券的公司信息披露编报规则第15号——财务报告的一般规定》（2014年修订）的规定，编制财务报表。</w:t>
      </w:r>
    </w:p>
    <w:p w:rsidR="00E62F69" w:rsidRDefault="00B54A20">
      <w:pPr>
        <w:pStyle w:val="3"/>
        <w:spacing w:line="280" w:lineRule="exact"/>
        <w:jc w:val="left"/>
        <w:rPr>
          <w:rFonts w:ascii="宋体" w:hAnsi="宋体" w:cs="宋体"/>
          <w:b/>
          <w:bCs/>
        </w:rPr>
      </w:pPr>
      <w:bookmarkStart w:id="14" w:name="_Toc989007"/>
      <w:r>
        <w:rPr>
          <w:rFonts w:ascii="宋体" w:hAnsi="宋体" w:cs="宋体"/>
          <w:b/>
          <w:bCs/>
        </w:rPr>
        <w:t>2、持续经营</w:t>
      </w:r>
      <w:bookmarkEnd w:id="14"/>
    </w:p>
    <w:p w:rsidR="00B54A20" w:rsidRDefault="00B54A20" w:rsidP="002C1B91">
      <w:pPr>
        <w:pStyle w:val="a3"/>
        <w:spacing w:before="0" w:beforeAutospacing="0" w:after="0" w:afterAutospacing="0"/>
        <w:ind w:firstLineChars="200" w:firstLine="360"/>
        <w:divId w:val="1912301944"/>
        <w:rPr>
          <w:sz w:val="18"/>
          <w:szCs w:val="18"/>
        </w:rPr>
      </w:pPr>
      <w:r>
        <w:rPr>
          <w:rFonts w:hint="eastAsia"/>
          <w:sz w:val="18"/>
          <w:szCs w:val="18"/>
        </w:rPr>
        <w:t>本公司对报告</w:t>
      </w:r>
      <w:proofErr w:type="gramStart"/>
      <w:r>
        <w:rPr>
          <w:rFonts w:hint="eastAsia"/>
          <w:sz w:val="18"/>
          <w:szCs w:val="18"/>
        </w:rPr>
        <w:t>期末起</w:t>
      </w:r>
      <w:proofErr w:type="gramEnd"/>
      <w:r>
        <w:rPr>
          <w:rFonts w:ascii="Calibri" w:hAnsi="Calibri"/>
          <w:sz w:val="18"/>
          <w:szCs w:val="18"/>
        </w:rPr>
        <w:t>12</w:t>
      </w:r>
      <w:r>
        <w:rPr>
          <w:rFonts w:hint="eastAsia"/>
          <w:sz w:val="18"/>
          <w:szCs w:val="18"/>
        </w:rPr>
        <w:t>个月的持续经营能力进行了评价，未发现对持续经营能力产生重大怀疑的事项或情况。因此，本财务报表系在持续经营假设的基础上编制。</w:t>
      </w:r>
    </w:p>
    <w:p w:rsidR="00E62F69" w:rsidRDefault="00B54A20" w:rsidP="002C1B91">
      <w:pPr>
        <w:pStyle w:val="2"/>
        <w:spacing w:before="300" w:after="300" w:line="320" w:lineRule="exact"/>
        <w:rPr>
          <w:rFonts w:ascii="宋体" w:eastAsia="宋体" w:hAnsi="宋体" w:cs="宋体"/>
          <w:b/>
          <w:bCs/>
          <w:sz w:val="24"/>
          <w:szCs w:val="24"/>
        </w:rPr>
      </w:pPr>
      <w:bookmarkStart w:id="15" w:name="_Toc989008"/>
      <w:r>
        <w:rPr>
          <w:rFonts w:ascii="宋体" w:eastAsia="宋体" w:hAnsi="宋体" w:cs="宋体"/>
          <w:b/>
          <w:bCs/>
          <w:sz w:val="24"/>
          <w:szCs w:val="24"/>
        </w:rPr>
        <w:t>五、重要会计政策及会计估计</w:t>
      </w:r>
      <w:bookmarkEnd w:id="15"/>
    </w:p>
    <w:p w:rsidR="00B54A20" w:rsidRPr="002C1B91" w:rsidRDefault="00B54A20" w:rsidP="002C1B91">
      <w:pPr>
        <w:spacing w:before="100" w:after="100" w:line="240" w:lineRule="exact"/>
        <w:ind w:firstLineChars="200" w:firstLine="360"/>
        <w:rPr>
          <w:rFonts w:ascii="宋体" w:eastAsia="宋体" w:hAnsi="宋体" w:cs="宋体"/>
          <w:sz w:val="18"/>
          <w:szCs w:val="18"/>
        </w:rPr>
      </w:pPr>
      <w:r>
        <w:rPr>
          <w:rFonts w:ascii="宋体" w:eastAsia="宋体" w:hAnsi="宋体" w:cs="宋体"/>
          <w:sz w:val="18"/>
          <w:szCs w:val="18"/>
        </w:rPr>
        <w:t>具体会计政策和会计估计提示：</w:t>
      </w:r>
      <w:r>
        <w:rPr>
          <w:rFonts w:hint="eastAsia"/>
          <w:sz w:val="18"/>
          <w:szCs w:val="18"/>
        </w:rPr>
        <w:t>无变更。</w:t>
      </w:r>
    </w:p>
    <w:p w:rsidR="00E62F69" w:rsidRDefault="00B54A20">
      <w:pPr>
        <w:pStyle w:val="3"/>
        <w:spacing w:line="280" w:lineRule="exact"/>
        <w:jc w:val="left"/>
        <w:rPr>
          <w:rFonts w:ascii="宋体" w:hAnsi="宋体" w:cs="宋体"/>
          <w:b/>
          <w:bCs/>
        </w:rPr>
      </w:pPr>
      <w:bookmarkStart w:id="16" w:name="_Toc989009"/>
      <w:r>
        <w:rPr>
          <w:rFonts w:ascii="宋体" w:hAnsi="宋体" w:cs="宋体"/>
          <w:b/>
          <w:bCs/>
        </w:rPr>
        <w:t>1、遵循企业会计准则的声明</w:t>
      </w:r>
      <w:bookmarkEnd w:id="16"/>
    </w:p>
    <w:p w:rsidR="00B54A20" w:rsidRDefault="00B54A20" w:rsidP="002C1B91">
      <w:pPr>
        <w:pStyle w:val="a3"/>
        <w:spacing w:before="0" w:beforeAutospacing="0" w:after="0" w:afterAutospacing="0"/>
        <w:ind w:firstLineChars="200" w:firstLine="360"/>
        <w:jc w:val="both"/>
        <w:divId w:val="1465273770"/>
      </w:pPr>
      <w:r>
        <w:rPr>
          <w:rFonts w:hint="eastAsia"/>
          <w:sz w:val="18"/>
          <w:szCs w:val="18"/>
        </w:rPr>
        <w:t>本公司所编制的财务报表符合企业会计准则的要求，真实、完整地反映了报告期公司的财务状况、经营成果、现金流量等有关信息。</w:t>
      </w:r>
    </w:p>
    <w:p w:rsidR="00E62F69" w:rsidRDefault="00B54A20">
      <w:pPr>
        <w:pStyle w:val="3"/>
        <w:spacing w:line="280" w:lineRule="exact"/>
        <w:jc w:val="left"/>
        <w:rPr>
          <w:rFonts w:ascii="宋体" w:hAnsi="宋体" w:cs="宋体"/>
          <w:b/>
          <w:bCs/>
        </w:rPr>
      </w:pPr>
      <w:bookmarkStart w:id="17" w:name="_Toc989010"/>
      <w:r>
        <w:rPr>
          <w:rFonts w:ascii="宋体" w:hAnsi="宋体" w:cs="宋体"/>
          <w:b/>
          <w:bCs/>
        </w:rPr>
        <w:t>2、会计期间</w:t>
      </w:r>
      <w:bookmarkEnd w:id="17"/>
    </w:p>
    <w:p w:rsidR="00B54A20" w:rsidRDefault="00B54A20">
      <w:pPr>
        <w:pStyle w:val="a3"/>
        <w:spacing w:before="0" w:beforeAutospacing="0" w:after="0" w:afterAutospacing="0"/>
        <w:ind w:firstLine="420"/>
        <w:jc w:val="both"/>
        <w:divId w:val="292447937"/>
      </w:pPr>
      <w:r>
        <w:rPr>
          <w:rFonts w:hint="eastAsia"/>
          <w:sz w:val="18"/>
          <w:szCs w:val="18"/>
        </w:rPr>
        <w:t>自公历1月1日至12月31日止为一个会计年度。</w:t>
      </w:r>
    </w:p>
    <w:p w:rsidR="00E62F69" w:rsidRDefault="00B54A20">
      <w:pPr>
        <w:pStyle w:val="3"/>
        <w:spacing w:line="280" w:lineRule="exact"/>
        <w:jc w:val="left"/>
        <w:rPr>
          <w:rFonts w:ascii="宋体" w:hAnsi="宋体" w:cs="宋体"/>
          <w:b/>
          <w:bCs/>
        </w:rPr>
      </w:pPr>
      <w:bookmarkStart w:id="18" w:name="_Toc989011"/>
      <w:r>
        <w:rPr>
          <w:rFonts w:ascii="宋体" w:hAnsi="宋体" w:cs="宋体"/>
          <w:b/>
          <w:bCs/>
        </w:rPr>
        <w:t>3、营业周期</w:t>
      </w:r>
      <w:bookmarkEnd w:id="18"/>
    </w:p>
    <w:p w:rsidR="00B54A20" w:rsidRDefault="00B54A20">
      <w:pPr>
        <w:pStyle w:val="a3"/>
        <w:divId w:val="388581092"/>
        <w:rPr>
          <w:rFonts w:ascii="Times New Roman" w:hAnsi="Times New Roman" w:cs="Times New Roman"/>
        </w:rPr>
      </w:pPr>
      <w:r>
        <w:rPr>
          <w:rFonts w:cs="Times New Roman" w:hint="eastAsia"/>
          <w:sz w:val="18"/>
          <w:szCs w:val="18"/>
        </w:rPr>
        <w:t>   营业周期是指企业从购买用于加工的资产起</w:t>
      </w:r>
      <w:proofErr w:type="gramStart"/>
      <w:r>
        <w:rPr>
          <w:rFonts w:cs="Times New Roman" w:hint="eastAsia"/>
          <w:sz w:val="18"/>
          <w:szCs w:val="18"/>
        </w:rPr>
        <w:t>至实现</w:t>
      </w:r>
      <w:proofErr w:type="gramEnd"/>
      <w:r>
        <w:rPr>
          <w:rFonts w:cs="Times New Roman" w:hint="eastAsia"/>
          <w:sz w:val="18"/>
          <w:szCs w:val="18"/>
        </w:rPr>
        <w:t>现金或现金等价物的期间。本公司以12个月作为一个营业周期，并以其作为资产和负债的流动性划分标准。</w:t>
      </w:r>
    </w:p>
    <w:p w:rsidR="00E62F69" w:rsidRDefault="00B54A20">
      <w:pPr>
        <w:pStyle w:val="3"/>
        <w:spacing w:line="280" w:lineRule="exact"/>
        <w:jc w:val="left"/>
        <w:rPr>
          <w:rFonts w:ascii="宋体" w:hAnsi="宋体" w:cs="宋体"/>
          <w:b/>
          <w:bCs/>
        </w:rPr>
      </w:pPr>
      <w:bookmarkStart w:id="19" w:name="_Toc989012"/>
      <w:r>
        <w:rPr>
          <w:rFonts w:ascii="宋体" w:hAnsi="宋体" w:cs="宋体"/>
          <w:b/>
          <w:bCs/>
        </w:rPr>
        <w:t>4、记账本位币</w:t>
      </w:r>
      <w:bookmarkEnd w:id="19"/>
    </w:p>
    <w:p w:rsidR="00B54A20" w:rsidRPr="002C1B91" w:rsidRDefault="00B54A20" w:rsidP="002C1B91">
      <w:pPr>
        <w:pStyle w:val="a3"/>
        <w:spacing w:before="0" w:beforeAutospacing="0" w:after="0" w:afterAutospacing="0"/>
        <w:ind w:firstLine="420"/>
        <w:jc w:val="both"/>
        <w:divId w:val="1129127041"/>
        <w:rPr>
          <w:sz w:val="18"/>
          <w:szCs w:val="18"/>
        </w:rPr>
      </w:pPr>
      <w:r w:rsidRPr="002C1B91">
        <w:rPr>
          <w:rFonts w:hint="eastAsia"/>
          <w:sz w:val="18"/>
          <w:szCs w:val="18"/>
        </w:rPr>
        <w:t>用人民币为记账本位币。</w:t>
      </w:r>
    </w:p>
    <w:p w:rsidR="00B54A20" w:rsidRPr="002C1B91" w:rsidRDefault="00B54A20" w:rsidP="002C1B91">
      <w:pPr>
        <w:pStyle w:val="a3"/>
        <w:spacing w:before="0" w:beforeAutospacing="0" w:after="0" w:afterAutospacing="0"/>
        <w:ind w:firstLine="420"/>
        <w:jc w:val="both"/>
        <w:divId w:val="1129127041"/>
        <w:rPr>
          <w:sz w:val="18"/>
          <w:szCs w:val="18"/>
        </w:rPr>
      </w:pPr>
      <w:r w:rsidRPr="002C1B91">
        <w:rPr>
          <w:rFonts w:hint="eastAsia"/>
          <w:sz w:val="18"/>
          <w:szCs w:val="18"/>
        </w:rPr>
        <w:t>境外子公司以其经营所处的主要经济环境中的货币为记账本位币，编制财务报表时折算为人民币。</w:t>
      </w:r>
    </w:p>
    <w:p w:rsidR="00E62F69" w:rsidRDefault="00B54A20">
      <w:pPr>
        <w:pStyle w:val="3"/>
        <w:spacing w:line="280" w:lineRule="exact"/>
        <w:jc w:val="left"/>
        <w:rPr>
          <w:rFonts w:ascii="宋体" w:hAnsi="宋体" w:cs="宋体"/>
          <w:b/>
          <w:bCs/>
        </w:rPr>
      </w:pPr>
      <w:bookmarkStart w:id="20" w:name="_Toc989013"/>
      <w:r>
        <w:rPr>
          <w:rFonts w:ascii="宋体" w:hAnsi="宋体" w:cs="宋体"/>
          <w:b/>
          <w:bCs/>
        </w:rPr>
        <w:t>5、同</w:t>
      </w:r>
      <w:proofErr w:type="gramStart"/>
      <w:r>
        <w:rPr>
          <w:rFonts w:ascii="宋体" w:hAnsi="宋体" w:cs="宋体"/>
          <w:b/>
          <w:bCs/>
        </w:rPr>
        <w:t>一控制</w:t>
      </w:r>
      <w:proofErr w:type="gramEnd"/>
      <w:r>
        <w:rPr>
          <w:rFonts w:ascii="宋体" w:hAnsi="宋体" w:cs="宋体"/>
          <w:b/>
          <w:bCs/>
        </w:rPr>
        <w:t>下和非同</w:t>
      </w:r>
      <w:proofErr w:type="gramStart"/>
      <w:r>
        <w:rPr>
          <w:rFonts w:ascii="宋体" w:hAnsi="宋体" w:cs="宋体"/>
          <w:b/>
          <w:bCs/>
        </w:rPr>
        <w:t>一控制</w:t>
      </w:r>
      <w:proofErr w:type="gramEnd"/>
      <w:r>
        <w:rPr>
          <w:rFonts w:ascii="宋体" w:hAnsi="宋体" w:cs="宋体"/>
          <w:b/>
          <w:bCs/>
        </w:rPr>
        <w:t>下企业合并的会计处理方法</w:t>
      </w:r>
      <w:bookmarkEnd w:id="20"/>
    </w:p>
    <w:p w:rsidR="00B54A20" w:rsidRDefault="00B54A20">
      <w:pPr>
        <w:pStyle w:val="a3"/>
        <w:ind w:firstLine="310"/>
        <w:jc w:val="both"/>
        <w:divId w:val="96407211"/>
        <w:rPr>
          <w:rFonts w:ascii="Times New Roman" w:hAnsi="Times New Roman" w:cs="Times New Roman"/>
        </w:rPr>
      </w:pPr>
      <w:r>
        <w:rPr>
          <w:rStyle w:val="a4"/>
          <w:rFonts w:ascii="Times New Roman" w:hAnsi="Times New Roman" w:cs="Times New Roman"/>
          <w:sz w:val="21"/>
          <w:szCs w:val="21"/>
        </w:rPr>
        <w:t>1.</w:t>
      </w:r>
      <w:r>
        <w:rPr>
          <w:rStyle w:val="a4"/>
          <w:rFonts w:cs="Times New Roman" w:hint="eastAsia"/>
          <w:sz w:val="21"/>
          <w:szCs w:val="21"/>
        </w:rPr>
        <w:t>分步实现企业合并过程中的各项交易的条款、条件以及经济影响符合以下一种或多种情况，将多次交易事项作为一揽子交易进行会计处理</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（1）这些交易是同时或者在考虑了彼此影响的情况下订立的；</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（2）这些交易整体才能达成一项完整的商业结果；</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（3）一项交易的发生取决于其他至少一项交易的发生；</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（4）一项交易单独看是不经济的，但是和其他交易一并考虑时是经济的。</w:t>
      </w:r>
    </w:p>
    <w:p w:rsidR="00B54A20" w:rsidRDefault="00B54A20">
      <w:pPr>
        <w:pStyle w:val="a3"/>
        <w:ind w:right="840"/>
        <w:jc w:val="both"/>
        <w:divId w:val="96407211"/>
        <w:rPr>
          <w:rFonts w:ascii="Times New Roman" w:hAnsi="Times New Roman" w:cs="Times New Roman"/>
        </w:rPr>
      </w:pPr>
      <w:r>
        <w:rPr>
          <w:rStyle w:val="a4"/>
          <w:rFonts w:ascii="Times New Roman" w:hAnsi="Times New Roman" w:cs="Times New Roman"/>
          <w:sz w:val="21"/>
          <w:szCs w:val="21"/>
        </w:rPr>
        <w:t>     2.</w:t>
      </w:r>
      <w:r>
        <w:rPr>
          <w:rStyle w:val="a4"/>
          <w:rFonts w:cs="Times New Roman" w:hint="eastAsia"/>
          <w:sz w:val="21"/>
          <w:szCs w:val="21"/>
        </w:rPr>
        <w:t>同</w:t>
      </w:r>
      <w:proofErr w:type="gramStart"/>
      <w:r>
        <w:rPr>
          <w:rStyle w:val="a4"/>
          <w:rFonts w:cs="Times New Roman" w:hint="eastAsia"/>
          <w:sz w:val="21"/>
          <w:szCs w:val="21"/>
        </w:rPr>
        <w:t>一控制</w:t>
      </w:r>
      <w:proofErr w:type="gramEnd"/>
      <w:r>
        <w:rPr>
          <w:rStyle w:val="a4"/>
          <w:rFonts w:cs="Times New Roman" w:hint="eastAsia"/>
          <w:sz w:val="21"/>
          <w:szCs w:val="21"/>
        </w:rPr>
        <w:t>下的企业合并</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本公司在企业合并中取得的资产和负债，按照</w:t>
      </w:r>
      <w:proofErr w:type="gramStart"/>
      <w:r w:rsidRPr="002C1B91">
        <w:rPr>
          <w:rFonts w:hint="eastAsia"/>
          <w:sz w:val="18"/>
          <w:szCs w:val="18"/>
        </w:rPr>
        <w:t>合并日</w:t>
      </w:r>
      <w:proofErr w:type="gramEnd"/>
      <w:r w:rsidRPr="002C1B91">
        <w:rPr>
          <w:rFonts w:hint="eastAsia"/>
          <w:sz w:val="18"/>
          <w:szCs w:val="18"/>
        </w:rPr>
        <w:t>在被合并方资产、负债（包括最终控制</w:t>
      </w:r>
      <w:proofErr w:type="gramStart"/>
      <w:r w:rsidRPr="002C1B91">
        <w:rPr>
          <w:rFonts w:hint="eastAsia"/>
          <w:sz w:val="18"/>
          <w:szCs w:val="18"/>
        </w:rPr>
        <w:t>方收购</w:t>
      </w:r>
      <w:proofErr w:type="gramEnd"/>
      <w:r w:rsidRPr="002C1B91">
        <w:rPr>
          <w:rFonts w:hint="eastAsia"/>
          <w:sz w:val="18"/>
          <w:szCs w:val="18"/>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如果存在或有对价并需要确认预计负债或资产，该预计负债或资产金额与后续或有对价结算金额的差额，调整资本公积（资本溢价或股本溢价），资本公</w:t>
      </w:r>
      <w:proofErr w:type="gramStart"/>
      <w:r w:rsidRPr="002C1B91">
        <w:rPr>
          <w:rFonts w:hint="eastAsia"/>
          <w:sz w:val="18"/>
          <w:szCs w:val="18"/>
        </w:rPr>
        <w:t>积不足</w:t>
      </w:r>
      <w:proofErr w:type="gramEnd"/>
      <w:r w:rsidRPr="002C1B91">
        <w:rPr>
          <w:rFonts w:hint="eastAsia"/>
          <w:sz w:val="18"/>
          <w:szCs w:val="18"/>
        </w:rPr>
        <w:t>的，调整留存收益。</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w:t>
      </w:r>
      <w:proofErr w:type="gramStart"/>
      <w:r w:rsidRPr="002C1B91">
        <w:rPr>
          <w:rFonts w:hint="eastAsia"/>
          <w:sz w:val="18"/>
          <w:szCs w:val="18"/>
        </w:rPr>
        <w:t>合并日</w:t>
      </w:r>
      <w:proofErr w:type="gramEnd"/>
      <w:r w:rsidRPr="002C1B91">
        <w:rPr>
          <w:rFonts w:hint="eastAsia"/>
          <w:sz w:val="18"/>
          <w:szCs w:val="18"/>
        </w:rPr>
        <w:t>进一步取得股份新支付对价的账面价值之和的差额，调整资本公积；资本公</w:t>
      </w:r>
      <w:proofErr w:type="gramStart"/>
      <w:r w:rsidRPr="002C1B91">
        <w:rPr>
          <w:rFonts w:hint="eastAsia"/>
          <w:sz w:val="18"/>
          <w:szCs w:val="18"/>
        </w:rPr>
        <w:t>积不足</w:t>
      </w:r>
      <w:proofErr w:type="gramEnd"/>
      <w:r w:rsidRPr="002C1B91">
        <w:rPr>
          <w:rFonts w:hint="eastAsia"/>
          <w:sz w:val="18"/>
          <w:szCs w:val="18"/>
        </w:rPr>
        <w:t>冲减的，调整留存收益。对于</w:t>
      </w:r>
      <w:proofErr w:type="gramStart"/>
      <w:r w:rsidRPr="002C1B91">
        <w:rPr>
          <w:rFonts w:hint="eastAsia"/>
          <w:sz w:val="18"/>
          <w:szCs w:val="18"/>
        </w:rPr>
        <w:t>合并日</w:t>
      </w:r>
      <w:proofErr w:type="gramEnd"/>
      <w:r w:rsidRPr="002C1B91">
        <w:rPr>
          <w:rFonts w:hint="eastAsia"/>
          <w:sz w:val="18"/>
          <w:szCs w:val="18"/>
        </w:rPr>
        <w:t>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B54A20" w:rsidRDefault="00B54A20">
      <w:pPr>
        <w:pStyle w:val="a3"/>
        <w:ind w:right="840"/>
        <w:jc w:val="both"/>
        <w:divId w:val="96407211"/>
        <w:rPr>
          <w:rFonts w:ascii="Times New Roman" w:hAnsi="Times New Roman" w:cs="Times New Roman"/>
        </w:rPr>
      </w:pPr>
      <w:r>
        <w:rPr>
          <w:rStyle w:val="a4"/>
          <w:rFonts w:ascii="Times New Roman" w:hAnsi="Times New Roman" w:cs="Times New Roman"/>
          <w:sz w:val="21"/>
          <w:szCs w:val="21"/>
        </w:rPr>
        <w:t>    3.</w:t>
      </w:r>
      <w:r>
        <w:rPr>
          <w:rStyle w:val="a4"/>
          <w:rFonts w:cs="Times New Roman" w:hint="eastAsia"/>
          <w:sz w:val="21"/>
          <w:szCs w:val="21"/>
        </w:rPr>
        <w:t>非同</w:t>
      </w:r>
      <w:proofErr w:type="gramStart"/>
      <w:r>
        <w:rPr>
          <w:rStyle w:val="a4"/>
          <w:rFonts w:cs="Times New Roman" w:hint="eastAsia"/>
          <w:sz w:val="21"/>
          <w:szCs w:val="21"/>
        </w:rPr>
        <w:t>一控制</w:t>
      </w:r>
      <w:proofErr w:type="gramEnd"/>
      <w:r>
        <w:rPr>
          <w:rStyle w:val="a4"/>
          <w:rFonts w:cs="Times New Roman" w:hint="eastAsia"/>
          <w:sz w:val="21"/>
          <w:szCs w:val="21"/>
        </w:rPr>
        <w:t>下的企业合并</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购买日是指本公司实际取得对被购买方控制权的日期，即被购买方的净资产或生产经营决策的控制权转移给本公司的日期。同时满足下列条件时，本公司一般认为实现了控制权的转移：</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①企业合并合同或协议已获本公司内部权力机构通过。</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②企业合并事项需要经过国家有关主管部门审批的，已获得批准。</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③已办理了必要的财产权转移手续。</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④本公司已支付了合并价款的大部分，并且有能力、有计划支付剩余款项。</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⑤本公司实际上已经控制了被购买方的财务和经营政策，并享有相应的利益、承担相应的风险。</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本公司在购买日对作为企业合并对价付出的资产、发生或承担的负债按照公允价值计量，公允价值与其账面价值的差额，计入当期损益。</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本公司对合并成本大于合并中取得的被购买方可辨认净资产公允价值份额的差额，确认为商誉；合并成本小于合并中取得的被购买方可辨认净资产公允价值份额的差额，经复核后，计入当期损益。</w:t>
      </w:r>
    </w:p>
    <w:p w:rsidR="00B54A20" w:rsidRPr="002C1B91" w:rsidRDefault="00B54A20" w:rsidP="002C1B91">
      <w:pPr>
        <w:pStyle w:val="a3"/>
        <w:spacing w:before="0" w:beforeAutospacing="0" w:after="0" w:afterAutospacing="0"/>
        <w:ind w:firstLine="420"/>
        <w:jc w:val="both"/>
        <w:divId w:val="96407211"/>
        <w:rPr>
          <w:sz w:val="18"/>
          <w:szCs w:val="18"/>
        </w:rPr>
      </w:pPr>
      <w:r w:rsidRPr="002C1B91">
        <w:rPr>
          <w:rFonts w:hint="eastAsia"/>
          <w:sz w:val="18"/>
          <w:szCs w:val="18"/>
        </w:rPr>
        <w:t>通过多次交换交易分步实现的非同</w:t>
      </w:r>
      <w:proofErr w:type="gramStart"/>
      <w:r w:rsidRPr="002C1B91">
        <w:rPr>
          <w:rFonts w:hint="eastAsia"/>
          <w:sz w:val="18"/>
          <w:szCs w:val="18"/>
        </w:rPr>
        <w:t>一控制</w:t>
      </w:r>
      <w:proofErr w:type="gramEnd"/>
      <w:r w:rsidRPr="002C1B91">
        <w:rPr>
          <w:rFonts w:hint="eastAsia"/>
          <w:sz w:val="18"/>
          <w:szCs w:val="18"/>
        </w:rPr>
        <w:t>下企业合并，属于一揽子交易的，将各项交易作为一项取得控制权的交易进行会计处理；不属于一揽子交易的，</w:t>
      </w:r>
      <w:proofErr w:type="gramStart"/>
      <w:r w:rsidRPr="002C1B91">
        <w:rPr>
          <w:rFonts w:hint="eastAsia"/>
          <w:sz w:val="18"/>
          <w:szCs w:val="18"/>
        </w:rPr>
        <w:t>合并日</w:t>
      </w:r>
      <w:proofErr w:type="gramEnd"/>
      <w:r w:rsidRPr="002C1B91">
        <w:rPr>
          <w:rFonts w:hint="eastAsia"/>
          <w:sz w:val="18"/>
          <w:szCs w:val="18"/>
        </w:rPr>
        <w:t>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w:t>
      </w:r>
      <w:proofErr w:type="gramStart"/>
      <w:r w:rsidRPr="002C1B91">
        <w:rPr>
          <w:rFonts w:hint="eastAsia"/>
          <w:sz w:val="18"/>
          <w:szCs w:val="18"/>
        </w:rPr>
        <w:t>合并日</w:t>
      </w:r>
      <w:proofErr w:type="gramEnd"/>
      <w:r w:rsidRPr="002C1B91">
        <w:rPr>
          <w:rFonts w:hint="eastAsia"/>
          <w:sz w:val="18"/>
          <w:szCs w:val="18"/>
        </w:rPr>
        <w:t>之前持有的股权投资采用金融工具确认和计量准则核算的，以该股权投资在</w:t>
      </w:r>
      <w:proofErr w:type="gramStart"/>
      <w:r w:rsidRPr="002C1B91">
        <w:rPr>
          <w:rFonts w:hint="eastAsia"/>
          <w:sz w:val="18"/>
          <w:szCs w:val="18"/>
        </w:rPr>
        <w:t>合并日</w:t>
      </w:r>
      <w:proofErr w:type="gramEnd"/>
      <w:r w:rsidRPr="002C1B91">
        <w:rPr>
          <w:rFonts w:hint="eastAsia"/>
          <w:sz w:val="18"/>
          <w:szCs w:val="18"/>
        </w:rPr>
        <w:t>的公允价值加上新增投资成本之和，作为</w:t>
      </w:r>
      <w:proofErr w:type="gramStart"/>
      <w:r w:rsidRPr="002C1B91">
        <w:rPr>
          <w:rFonts w:hint="eastAsia"/>
          <w:sz w:val="18"/>
          <w:szCs w:val="18"/>
        </w:rPr>
        <w:t>合并日</w:t>
      </w:r>
      <w:proofErr w:type="gramEnd"/>
      <w:r w:rsidRPr="002C1B91">
        <w:rPr>
          <w:rFonts w:hint="eastAsia"/>
          <w:sz w:val="18"/>
          <w:szCs w:val="18"/>
        </w:rPr>
        <w:t>的初始投资成本。原持有股权的公允价值与账面价值之间的差额以及原计入其他综合收益的累计公允价值变动应全部转入</w:t>
      </w:r>
      <w:proofErr w:type="gramStart"/>
      <w:r w:rsidRPr="002C1B91">
        <w:rPr>
          <w:rFonts w:hint="eastAsia"/>
          <w:sz w:val="18"/>
          <w:szCs w:val="18"/>
        </w:rPr>
        <w:t>合并日</w:t>
      </w:r>
      <w:proofErr w:type="gramEnd"/>
      <w:r w:rsidRPr="002C1B91">
        <w:rPr>
          <w:rFonts w:hint="eastAsia"/>
          <w:sz w:val="18"/>
          <w:szCs w:val="18"/>
        </w:rPr>
        <w:t>当期的投资收益。</w:t>
      </w:r>
    </w:p>
    <w:p w:rsidR="00B54A20" w:rsidRDefault="00B54A20">
      <w:pPr>
        <w:pStyle w:val="a3"/>
        <w:jc w:val="both"/>
        <w:divId w:val="96407211"/>
        <w:rPr>
          <w:rFonts w:ascii="Times New Roman" w:hAnsi="Times New Roman" w:cs="Times New Roman"/>
        </w:rPr>
      </w:pPr>
      <w:r>
        <w:rPr>
          <w:rStyle w:val="a4"/>
          <w:rFonts w:ascii="Times New Roman" w:hAnsi="Times New Roman" w:cs="Times New Roman"/>
          <w:sz w:val="21"/>
          <w:szCs w:val="21"/>
        </w:rPr>
        <w:t>    4.</w:t>
      </w:r>
      <w:r>
        <w:rPr>
          <w:rStyle w:val="a4"/>
          <w:rFonts w:cs="Times New Roman" w:hint="eastAsia"/>
          <w:sz w:val="21"/>
          <w:szCs w:val="21"/>
        </w:rPr>
        <w:t>为合并发生的相关费用</w:t>
      </w:r>
    </w:p>
    <w:p w:rsidR="00B54A20" w:rsidRDefault="00B54A20" w:rsidP="004C1599">
      <w:pPr>
        <w:pStyle w:val="a3"/>
        <w:spacing w:before="0" w:beforeAutospacing="0" w:after="0" w:afterAutospacing="0"/>
        <w:ind w:firstLine="420"/>
        <w:jc w:val="both"/>
        <w:divId w:val="96407211"/>
        <w:rPr>
          <w:sz w:val="18"/>
          <w:szCs w:val="18"/>
        </w:rPr>
      </w:pPr>
      <w:r>
        <w:rPr>
          <w:rFonts w:hint="eastAsia"/>
          <w:sz w:val="18"/>
          <w:szCs w:val="18"/>
        </w:rPr>
        <w:t>为企业合并发生的审计、法律服务、评估咨询等中介费用以及其他直接相关费用，于发生时计入当期损益；为企业合并而发行权益</w:t>
      </w:r>
      <w:proofErr w:type="gramStart"/>
      <w:r>
        <w:rPr>
          <w:rFonts w:hint="eastAsia"/>
          <w:sz w:val="18"/>
          <w:szCs w:val="18"/>
        </w:rPr>
        <w:t>性证券</w:t>
      </w:r>
      <w:proofErr w:type="gramEnd"/>
      <w:r>
        <w:rPr>
          <w:rFonts w:hint="eastAsia"/>
          <w:sz w:val="18"/>
          <w:szCs w:val="18"/>
        </w:rPr>
        <w:t>的交易费用，可直接归属于权益性交易的从权益中扣减。</w:t>
      </w:r>
    </w:p>
    <w:p w:rsidR="00E62F69" w:rsidRDefault="00B54A20">
      <w:pPr>
        <w:pStyle w:val="3"/>
        <w:spacing w:line="280" w:lineRule="exact"/>
        <w:jc w:val="left"/>
        <w:rPr>
          <w:rFonts w:ascii="宋体" w:hAnsi="宋体" w:cs="宋体"/>
          <w:b/>
          <w:bCs/>
        </w:rPr>
      </w:pPr>
      <w:bookmarkStart w:id="21" w:name="_Toc989014"/>
      <w:r>
        <w:rPr>
          <w:rFonts w:ascii="宋体" w:hAnsi="宋体" w:cs="宋体"/>
          <w:b/>
          <w:bCs/>
        </w:rPr>
        <w:t>6、合并财务报表的编制方法</w:t>
      </w:r>
      <w:bookmarkEnd w:id="21"/>
    </w:p>
    <w:p w:rsidR="00B54A20" w:rsidRDefault="00B54A20">
      <w:pPr>
        <w:pStyle w:val="a3"/>
        <w:ind w:right="840" w:firstLine="413"/>
        <w:jc w:val="both"/>
        <w:divId w:val="1195079792"/>
        <w:rPr>
          <w:rFonts w:ascii="Times New Roman" w:hAnsi="Times New Roman" w:cs="Times New Roman"/>
        </w:rPr>
      </w:pPr>
      <w:r>
        <w:rPr>
          <w:rStyle w:val="a4"/>
          <w:rFonts w:ascii="Times New Roman" w:hAnsi="Times New Roman" w:cs="Times New Roman"/>
          <w:sz w:val="21"/>
          <w:szCs w:val="21"/>
        </w:rPr>
        <w:t>1.</w:t>
      </w:r>
      <w:r>
        <w:rPr>
          <w:rStyle w:val="a4"/>
          <w:rFonts w:cs="Times New Roman" w:hint="eastAsia"/>
          <w:sz w:val="21"/>
          <w:szCs w:val="21"/>
        </w:rPr>
        <w:t>合并范围</w:t>
      </w:r>
    </w:p>
    <w:p w:rsidR="00B54A20" w:rsidRPr="002C1B91" w:rsidRDefault="00B54A20" w:rsidP="004C1599">
      <w:pPr>
        <w:pStyle w:val="a3"/>
        <w:spacing w:before="0" w:beforeAutospacing="0" w:after="0" w:afterAutospacing="0"/>
        <w:ind w:firstLine="420"/>
        <w:jc w:val="both"/>
        <w:divId w:val="1195079792"/>
        <w:rPr>
          <w:sz w:val="18"/>
          <w:szCs w:val="18"/>
        </w:rPr>
      </w:pPr>
      <w:r w:rsidRPr="002C1B91">
        <w:rPr>
          <w:rFonts w:hint="eastAsia"/>
          <w:sz w:val="18"/>
          <w:szCs w:val="18"/>
        </w:rPr>
        <w:t>本公司合并财务报表的合并范围以控制为基础确定，所有子公司（包括本公司所控制的单独主体）均纳入合并财务报表。</w:t>
      </w:r>
    </w:p>
    <w:p w:rsidR="00B54A20" w:rsidRDefault="00B54A20">
      <w:pPr>
        <w:pStyle w:val="a3"/>
        <w:jc w:val="both"/>
        <w:divId w:val="1195079792"/>
        <w:rPr>
          <w:rFonts w:ascii="Times New Roman" w:hAnsi="Times New Roman" w:cs="Times New Roman"/>
        </w:rPr>
      </w:pPr>
      <w:r>
        <w:rPr>
          <w:rStyle w:val="a4"/>
          <w:rFonts w:ascii="Times New Roman" w:hAnsi="Times New Roman" w:cs="Times New Roman"/>
          <w:sz w:val="21"/>
          <w:szCs w:val="21"/>
        </w:rPr>
        <w:t>        2.</w:t>
      </w:r>
      <w:r>
        <w:rPr>
          <w:rStyle w:val="a4"/>
          <w:rFonts w:cs="Times New Roman" w:hint="eastAsia"/>
          <w:sz w:val="21"/>
          <w:szCs w:val="21"/>
        </w:rPr>
        <w:t>合并程序</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合并财务报表时</w:t>
      </w:r>
      <w:proofErr w:type="gramStart"/>
      <w:r w:rsidRPr="004C1599">
        <w:rPr>
          <w:rFonts w:hint="eastAsia"/>
          <w:sz w:val="18"/>
          <w:szCs w:val="18"/>
        </w:rPr>
        <w:t>抵销</w:t>
      </w:r>
      <w:proofErr w:type="gramEnd"/>
      <w:r w:rsidRPr="004C1599">
        <w:rPr>
          <w:rFonts w:hint="eastAsia"/>
          <w:sz w:val="18"/>
          <w:szCs w:val="18"/>
        </w:rPr>
        <w:t>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4C1599">
        <w:rPr>
          <w:rFonts w:hint="eastAsia"/>
          <w:sz w:val="18"/>
          <w:szCs w:val="18"/>
        </w:rPr>
        <w:t>冲减少</w:t>
      </w:r>
      <w:proofErr w:type="gramEnd"/>
      <w:r w:rsidRPr="004C1599">
        <w:rPr>
          <w:rFonts w:hint="eastAsia"/>
          <w:sz w:val="18"/>
          <w:szCs w:val="18"/>
        </w:rPr>
        <w:t>数股东权益。</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对于同</w:t>
      </w:r>
      <w:proofErr w:type="gramStart"/>
      <w:r w:rsidRPr="004C1599">
        <w:rPr>
          <w:rFonts w:hint="eastAsia"/>
          <w:sz w:val="18"/>
          <w:szCs w:val="18"/>
        </w:rPr>
        <w:t>一控制</w:t>
      </w:r>
      <w:proofErr w:type="gramEnd"/>
      <w:r w:rsidRPr="004C1599">
        <w:rPr>
          <w:rFonts w:hint="eastAsia"/>
          <w:sz w:val="18"/>
          <w:szCs w:val="18"/>
        </w:rPr>
        <w:t>下企业合并取得的子公司，以其资产、负债（包括最终控制</w:t>
      </w:r>
      <w:proofErr w:type="gramStart"/>
      <w:r w:rsidRPr="004C1599">
        <w:rPr>
          <w:rFonts w:hint="eastAsia"/>
          <w:sz w:val="18"/>
          <w:szCs w:val="18"/>
        </w:rPr>
        <w:t>方收购</w:t>
      </w:r>
      <w:proofErr w:type="gramEnd"/>
      <w:r w:rsidRPr="004C1599">
        <w:rPr>
          <w:rFonts w:hint="eastAsia"/>
          <w:sz w:val="18"/>
          <w:szCs w:val="18"/>
        </w:rPr>
        <w:t>该子公司而形成的商誉）在最终控制方财务报表中的账面价值为基础对其财务报表进行调整。</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对于非同</w:t>
      </w:r>
      <w:proofErr w:type="gramStart"/>
      <w:r w:rsidRPr="004C1599">
        <w:rPr>
          <w:rFonts w:hint="eastAsia"/>
          <w:sz w:val="18"/>
          <w:szCs w:val="18"/>
        </w:rPr>
        <w:t>一控制</w:t>
      </w:r>
      <w:proofErr w:type="gramEnd"/>
      <w:r w:rsidRPr="004C1599">
        <w:rPr>
          <w:rFonts w:hint="eastAsia"/>
          <w:sz w:val="18"/>
          <w:szCs w:val="18"/>
        </w:rPr>
        <w:t>下企业合并取得的子公司，以购买日可辨认净资产公允价值为基础对其财务报表进行调整</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（1）增加子公司或业务</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在报告期内，若因同</w:t>
      </w:r>
      <w:proofErr w:type="gramStart"/>
      <w:r w:rsidRPr="004C1599">
        <w:rPr>
          <w:rFonts w:hint="eastAsia"/>
          <w:sz w:val="18"/>
          <w:szCs w:val="18"/>
        </w:rPr>
        <w:t>一控制</w:t>
      </w:r>
      <w:proofErr w:type="gramEnd"/>
      <w:r w:rsidRPr="004C1599">
        <w:rPr>
          <w:rFonts w:hint="eastAsia"/>
          <w:sz w:val="18"/>
          <w:szCs w:val="18"/>
        </w:rPr>
        <w:t>下企业合并增加子公司或业务的，则调整合并资产负债表的期初数；将子公司或业务合并当期期初</w:t>
      </w:r>
      <w:proofErr w:type="gramStart"/>
      <w:r w:rsidRPr="004C1599">
        <w:rPr>
          <w:rFonts w:hint="eastAsia"/>
          <w:sz w:val="18"/>
          <w:szCs w:val="18"/>
        </w:rPr>
        <w:t>至报告</w:t>
      </w:r>
      <w:proofErr w:type="gramEnd"/>
      <w:r w:rsidRPr="004C1599">
        <w:rPr>
          <w:rFonts w:hint="eastAsia"/>
          <w:sz w:val="18"/>
          <w:szCs w:val="18"/>
        </w:rPr>
        <w:t>期末的收入、费用、利润纳入合并利润表；将子公司或业务合并当期期初</w:t>
      </w:r>
      <w:proofErr w:type="gramStart"/>
      <w:r w:rsidRPr="004C1599">
        <w:rPr>
          <w:rFonts w:hint="eastAsia"/>
          <w:sz w:val="18"/>
          <w:szCs w:val="18"/>
        </w:rPr>
        <w:t>至报告</w:t>
      </w:r>
      <w:proofErr w:type="gramEnd"/>
      <w:r w:rsidRPr="004C1599">
        <w:rPr>
          <w:rFonts w:hint="eastAsia"/>
          <w:sz w:val="18"/>
          <w:szCs w:val="18"/>
        </w:rPr>
        <w:t>期末的现金流量纳入合并现金流量表，同时对比较报表的相关项目进行调整，视同合并后的报告主体</w:t>
      </w:r>
      <w:proofErr w:type="gramStart"/>
      <w:r w:rsidRPr="004C1599">
        <w:rPr>
          <w:rFonts w:hint="eastAsia"/>
          <w:sz w:val="18"/>
          <w:szCs w:val="18"/>
        </w:rPr>
        <w:t>自最终</w:t>
      </w:r>
      <w:proofErr w:type="gramEnd"/>
      <w:r w:rsidRPr="004C1599">
        <w:rPr>
          <w:rFonts w:hint="eastAsia"/>
          <w:sz w:val="18"/>
          <w:szCs w:val="18"/>
        </w:rPr>
        <w:t>控制方开始控制时点起一直存在。</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因追加投资等原因能够对同</w:t>
      </w:r>
      <w:proofErr w:type="gramStart"/>
      <w:r w:rsidRPr="004C1599">
        <w:rPr>
          <w:rFonts w:hint="eastAsia"/>
          <w:sz w:val="18"/>
          <w:szCs w:val="18"/>
        </w:rPr>
        <w:t>一控制</w:t>
      </w:r>
      <w:proofErr w:type="gramEnd"/>
      <w:r w:rsidRPr="004C1599">
        <w:rPr>
          <w:rFonts w:hint="eastAsia"/>
          <w:sz w:val="18"/>
          <w:szCs w:val="18"/>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sidRPr="004C1599">
        <w:rPr>
          <w:rFonts w:hint="eastAsia"/>
          <w:sz w:val="18"/>
          <w:szCs w:val="18"/>
        </w:rPr>
        <w:t>一控制之日孰晚日</w:t>
      </w:r>
      <w:proofErr w:type="gramEnd"/>
      <w:r w:rsidRPr="004C1599">
        <w:rPr>
          <w:rFonts w:hint="eastAsia"/>
          <w:sz w:val="18"/>
          <w:szCs w:val="18"/>
        </w:rPr>
        <w:t>起至</w:t>
      </w:r>
      <w:proofErr w:type="gramStart"/>
      <w:r w:rsidRPr="004C1599">
        <w:rPr>
          <w:rFonts w:hint="eastAsia"/>
          <w:sz w:val="18"/>
          <w:szCs w:val="18"/>
        </w:rPr>
        <w:t>合并日</w:t>
      </w:r>
      <w:proofErr w:type="gramEnd"/>
      <w:r w:rsidRPr="004C1599">
        <w:rPr>
          <w:rFonts w:hint="eastAsia"/>
          <w:sz w:val="18"/>
          <w:szCs w:val="18"/>
        </w:rPr>
        <w:t>之间已确认有关损益、其他综合收益以及其他净资产变动，分别冲减比较报表期间的期初留存收益或当期损益。</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在报告期内，若因非同</w:t>
      </w:r>
      <w:proofErr w:type="gramStart"/>
      <w:r w:rsidRPr="004C1599">
        <w:rPr>
          <w:rFonts w:hint="eastAsia"/>
          <w:sz w:val="18"/>
          <w:szCs w:val="18"/>
        </w:rPr>
        <w:t>一控制</w:t>
      </w:r>
      <w:proofErr w:type="gramEnd"/>
      <w:r w:rsidRPr="004C1599">
        <w:rPr>
          <w:rFonts w:hint="eastAsia"/>
          <w:sz w:val="18"/>
          <w:szCs w:val="18"/>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因追加投资等原因能够对非同</w:t>
      </w:r>
      <w:proofErr w:type="gramStart"/>
      <w:r w:rsidRPr="004C1599">
        <w:rPr>
          <w:rFonts w:hint="eastAsia"/>
          <w:sz w:val="18"/>
          <w:szCs w:val="18"/>
        </w:rPr>
        <w:t>一控制</w:t>
      </w:r>
      <w:proofErr w:type="gramEnd"/>
      <w:r w:rsidRPr="004C1599">
        <w:rPr>
          <w:rFonts w:hint="eastAsia"/>
          <w:sz w:val="18"/>
          <w:szCs w:val="18"/>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（2）处置子公司或业务</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1）一般处理方法</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在报告期内，本公司处置子公司或业务，则该子公司或业务期初至</w:t>
      </w:r>
      <w:proofErr w:type="gramStart"/>
      <w:r w:rsidRPr="004C1599">
        <w:rPr>
          <w:rFonts w:hint="eastAsia"/>
          <w:sz w:val="18"/>
          <w:szCs w:val="18"/>
        </w:rPr>
        <w:t>处置日</w:t>
      </w:r>
      <w:proofErr w:type="gramEnd"/>
      <w:r w:rsidRPr="004C1599">
        <w:rPr>
          <w:rFonts w:hint="eastAsia"/>
          <w:sz w:val="18"/>
          <w:szCs w:val="18"/>
        </w:rPr>
        <w:t>的收入、费用、利润纳入合并利润表；该子公司或业务期初至</w:t>
      </w:r>
      <w:proofErr w:type="gramStart"/>
      <w:r w:rsidRPr="004C1599">
        <w:rPr>
          <w:rFonts w:hint="eastAsia"/>
          <w:sz w:val="18"/>
          <w:szCs w:val="18"/>
        </w:rPr>
        <w:t>处置日</w:t>
      </w:r>
      <w:proofErr w:type="gramEnd"/>
      <w:r w:rsidRPr="004C1599">
        <w:rPr>
          <w:rFonts w:hint="eastAsia"/>
          <w:sz w:val="18"/>
          <w:szCs w:val="18"/>
        </w:rPr>
        <w:t>的现金流量纳入合并现金流量表。</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4C1599">
        <w:rPr>
          <w:rFonts w:hint="eastAsia"/>
          <w:sz w:val="18"/>
          <w:szCs w:val="18"/>
        </w:rPr>
        <w:t>合并日</w:t>
      </w:r>
      <w:proofErr w:type="gramEnd"/>
      <w:r w:rsidRPr="004C1599">
        <w:rPr>
          <w:rFonts w:hint="eastAsia"/>
          <w:sz w:val="18"/>
          <w:szCs w:val="18"/>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2）分步处置子公司</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A.这些交易是同时或者在考虑了彼此影响的情况下订立的；</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B.这些交易整体才能达成一项完整的商业结果；</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C.一项交易的发生取决于其他至少一项交易的发生；</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D.一项交易单独看是不经济的，但是和其他交易一并考虑时是经济的。</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（3）购买子公司少数股权</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B54A20" w:rsidRPr="004C1599" w:rsidRDefault="00B54A20" w:rsidP="004C1599">
      <w:pPr>
        <w:pStyle w:val="a3"/>
        <w:spacing w:before="0" w:beforeAutospacing="0" w:after="0" w:afterAutospacing="0"/>
        <w:ind w:firstLine="420"/>
        <w:jc w:val="both"/>
        <w:divId w:val="1195079792"/>
        <w:rPr>
          <w:sz w:val="18"/>
          <w:szCs w:val="18"/>
        </w:rPr>
      </w:pPr>
      <w:r w:rsidRPr="004C1599">
        <w:rPr>
          <w:rFonts w:hint="eastAsia"/>
          <w:sz w:val="18"/>
          <w:szCs w:val="18"/>
        </w:rPr>
        <w:t>（4）不丧失控制权的情况下部分处置对子公司的股权投资</w:t>
      </w:r>
    </w:p>
    <w:p w:rsidR="00B54A20" w:rsidRDefault="00B54A20" w:rsidP="004C1599">
      <w:pPr>
        <w:pStyle w:val="a3"/>
        <w:spacing w:before="0" w:beforeAutospacing="0" w:after="0" w:afterAutospacing="0"/>
        <w:ind w:firstLine="420"/>
        <w:jc w:val="both"/>
        <w:divId w:val="1195079792"/>
        <w:rPr>
          <w:sz w:val="18"/>
          <w:szCs w:val="18"/>
        </w:rPr>
      </w:pPr>
      <w:r>
        <w:rPr>
          <w:rFonts w:hint="eastAsia"/>
          <w:sz w:val="18"/>
          <w:szCs w:val="18"/>
        </w:rPr>
        <w:t>在不丧失控制权的情况下因部分处置对子公司的长期股权投资而取得的处置价款与处置长期股权投资相对应享有子公司自购买日或</w:t>
      </w:r>
      <w:proofErr w:type="gramStart"/>
      <w:r>
        <w:rPr>
          <w:rFonts w:hint="eastAsia"/>
          <w:sz w:val="18"/>
          <w:szCs w:val="18"/>
        </w:rPr>
        <w:t>合并日</w:t>
      </w:r>
      <w:proofErr w:type="gramEnd"/>
      <w:r>
        <w:rPr>
          <w:rFonts w:hint="eastAsia"/>
          <w:sz w:val="18"/>
          <w:szCs w:val="18"/>
        </w:rPr>
        <w:t>开始持续计算的净资产份额之间的差额，调整合并资产负债表中的资本公积中的股本溢价，资本公积中的股本溢价不足冲减的，调整留存收益。</w:t>
      </w:r>
    </w:p>
    <w:p w:rsidR="00E62F69" w:rsidRDefault="00B54A20">
      <w:pPr>
        <w:pStyle w:val="3"/>
        <w:spacing w:line="280" w:lineRule="exact"/>
        <w:jc w:val="left"/>
        <w:rPr>
          <w:rFonts w:ascii="宋体" w:hAnsi="宋体" w:cs="宋体"/>
          <w:b/>
          <w:bCs/>
        </w:rPr>
      </w:pPr>
      <w:bookmarkStart w:id="22" w:name="_Toc989015"/>
      <w:r>
        <w:rPr>
          <w:rFonts w:ascii="宋体" w:hAnsi="宋体" w:cs="宋体"/>
          <w:b/>
          <w:bCs/>
        </w:rPr>
        <w:t>7、合营安排分类及共同经营会计处理方法</w:t>
      </w:r>
      <w:bookmarkEnd w:id="22"/>
    </w:p>
    <w:p w:rsidR="00B54A20" w:rsidRPr="004C1599" w:rsidRDefault="004C1599" w:rsidP="004C1599">
      <w:pPr>
        <w:pStyle w:val="a3"/>
        <w:ind w:firstLineChars="196" w:firstLine="413"/>
        <w:jc w:val="both"/>
        <w:divId w:val="1977683493"/>
        <w:rPr>
          <w:rStyle w:val="a4"/>
          <w:sz w:val="21"/>
        </w:rPr>
      </w:pPr>
      <w:r>
        <w:rPr>
          <w:rStyle w:val="a4"/>
          <w:rFonts w:ascii="Times New Roman" w:hAnsi="Times New Roman" w:cs="Times New Roman" w:hint="eastAsia"/>
          <w:sz w:val="21"/>
          <w:szCs w:val="21"/>
        </w:rPr>
        <w:t>1.</w:t>
      </w:r>
      <w:r w:rsidR="00B54A20" w:rsidRPr="004C1599">
        <w:rPr>
          <w:rStyle w:val="a4"/>
          <w:rFonts w:ascii="Times New Roman" w:hAnsi="Times New Roman" w:cs="Times New Roman" w:hint="eastAsia"/>
          <w:sz w:val="21"/>
          <w:szCs w:val="21"/>
        </w:rPr>
        <w:t>合营安排的分类</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本公司根据合营安排的结构、法律形式以及合营安排中约定的条款、其他相关事实和情况等因素，将合营安排分为共同经营和合营企业。</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未通过单独主体达成的合营安排，划分为共同经营；通过单独主体达成的合营安排，通常划分为合营企业；但有确凿证据表明满足下列任</w:t>
      </w:r>
      <w:proofErr w:type="gramStart"/>
      <w:r w:rsidRPr="004C1599">
        <w:rPr>
          <w:rFonts w:hint="eastAsia"/>
          <w:sz w:val="18"/>
          <w:szCs w:val="18"/>
        </w:rPr>
        <w:t>一</w:t>
      </w:r>
      <w:proofErr w:type="gramEnd"/>
      <w:r w:rsidRPr="004C1599">
        <w:rPr>
          <w:rFonts w:hint="eastAsia"/>
          <w:sz w:val="18"/>
          <w:szCs w:val="18"/>
        </w:rPr>
        <w:t>条件并且符合相关法律法规规定的合营安排划分为共同经营：</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（1）合营安排的法律形式表明，合营方对该安排中的相关资产和负债分别享有权利和承担义务。</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（2）合营安排的合同条款约定，合营方对该安排中的相关资产和负债分别享有权利和承担义务。</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（3）其他相关事实和情况表明，合营方对该安排中的相关资产和负债分别享有权利和承担义务，如合营方享有与合营安排相关的几乎所有产出，并且该安排中负债的清偿持续依赖于合营方的支持。</w:t>
      </w:r>
    </w:p>
    <w:p w:rsidR="00B54A20" w:rsidRDefault="00B54A20" w:rsidP="004C1599">
      <w:pPr>
        <w:pStyle w:val="a3"/>
        <w:ind w:firstLineChars="196" w:firstLine="413"/>
        <w:jc w:val="both"/>
        <w:divId w:val="1977683493"/>
        <w:rPr>
          <w:rFonts w:ascii="Times New Roman" w:hAnsi="Times New Roman" w:cs="Times New Roman"/>
        </w:rPr>
      </w:pPr>
      <w:r>
        <w:rPr>
          <w:rStyle w:val="a4"/>
          <w:rFonts w:ascii="Times New Roman" w:hAnsi="Times New Roman" w:cs="Times New Roman"/>
          <w:sz w:val="21"/>
          <w:szCs w:val="21"/>
        </w:rPr>
        <w:t>2.</w:t>
      </w:r>
      <w:r>
        <w:rPr>
          <w:rStyle w:val="a4"/>
          <w:rFonts w:cs="Times New Roman" w:hint="eastAsia"/>
          <w:sz w:val="21"/>
          <w:szCs w:val="21"/>
        </w:rPr>
        <w:t>共同经营会计处理方法</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本公司确认共同经营中利益份额中与本公司相关的下列项目，并按照相关企业会计准则的规定进行会计处理：</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（1）确认单独所持有的资产，以及按其份额确认共同持有的资产；</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（2）确认单独所承担的负债，以及按其份额确认共同承担的负债；</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（3）确认出售其享有的共同经营产出份额所产生的收入；</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（4）按其份额确认共同经营因出售产出所产生的收入；</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（5）确认单独所发生的费用，以及按其份额确认共同经营发生的费用。</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本公司向共同经营投出或出售资产等（该资产构成业务的除外），在该资产等由共同经营出售给第三方之前，仅</w:t>
      </w:r>
      <w:proofErr w:type="gramStart"/>
      <w:r w:rsidRPr="004C1599">
        <w:rPr>
          <w:rFonts w:hint="eastAsia"/>
          <w:sz w:val="18"/>
          <w:szCs w:val="18"/>
        </w:rPr>
        <w:t>确认因</w:t>
      </w:r>
      <w:proofErr w:type="gramEnd"/>
      <w:r w:rsidRPr="004C1599">
        <w:rPr>
          <w:rFonts w:hint="eastAsia"/>
          <w:sz w:val="18"/>
          <w:szCs w:val="18"/>
        </w:rPr>
        <w:t>该交易产生的损益中归属于共同经营其他参与方的部分。投出或出售的资产发生符合《企业会计准则第8号——资产减值》等规定的资产减值损失的，本公司全额确认该损失。</w:t>
      </w:r>
    </w:p>
    <w:p w:rsidR="00B54A20" w:rsidRPr="004C1599" w:rsidRDefault="00B54A20" w:rsidP="004C1599">
      <w:pPr>
        <w:pStyle w:val="a3"/>
        <w:spacing w:before="0" w:beforeAutospacing="0" w:after="0" w:afterAutospacing="0"/>
        <w:ind w:firstLine="420"/>
        <w:jc w:val="both"/>
        <w:divId w:val="1977683493"/>
        <w:rPr>
          <w:sz w:val="18"/>
          <w:szCs w:val="18"/>
        </w:rPr>
      </w:pPr>
      <w:r w:rsidRPr="004C1599">
        <w:rPr>
          <w:rFonts w:hint="eastAsia"/>
          <w:sz w:val="18"/>
          <w:szCs w:val="18"/>
        </w:rPr>
        <w:t>本公司</w:t>
      </w:r>
      <w:proofErr w:type="gramStart"/>
      <w:r w:rsidRPr="004C1599">
        <w:rPr>
          <w:rFonts w:hint="eastAsia"/>
          <w:sz w:val="18"/>
          <w:szCs w:val="18"/>
        </w:rPr>
        <w:t>自共同</w:t>
      </w:r>
      <w:proofErr w:type="gramEnd"/>
      <w:r w:rsidRPr="004C1599">
        <w:rPr>
          <w:rFonts w:hint="eastAsia"/>
          <w:sz w:val="18"/>
          <w:szCs w:val="18"/>
        </w:rPr>
        <w:t>经营购买资产等（该资产构成业务的除外），在将该资产等出售给第三方之前，仅</w:t>
      </w:r>
      <w:proofErr w:type="gramStart"/>
      <w:r w:rsidRPr="004C1599">
        <w:rPr>
          <w:rFonts w:hint="eastAsia"/>
          <w:sz w:val="18"/>
          <w:szCs w:val="18"/>
        </w:rPr>
        <w:t>确认因</w:t>
      </w:r>
      <w:proofErr w:type="gramEnd"/>
      <w:r w:rsidRPr="004C1599">
        <w:rPr>
          <w:rFonts w:hint="eastAsia"/>
          <w:sz w:val="18"/>
          <w:szCs w:val="18"/>
        </w:rPr>
        <w:t>该交易产生的损益中归属于共同经营其他参与方的部分。购入的资产发生符合《企业会计准则第8号——资产减值》等规定的资产减值损失的，本公司按承担的份额确认该部分损失。</w:t>
      </w:r>
    </w:p>
    <w:p w:rsidR="00B54A20" w:rsidRDefault="00B54A20" w:rsidP="004C1599">
      <w:pPr>
        <w:pStyle w:val="a3"/>
        <w:spacing w:before="0" w:beforeAutospacing="0" w:after="0" w:afterAutospacing="0"/>
        <w:ind w:firstLine="420"/>
        <w:jc w:val="both"/>
        <w:divId w:val="1977683493"/>
        <w:rPr>
          <w:sz w:val="18"/>
          <w:szCs w:val="18"/>
        </w:rPr>
      </w:pPr>
      <w:r>
        <w:rPr>
          <w:rFonts w:hint="eastAsia"/>
          <w:sz w:val="18"/>
          <w:szCs w:val="18"/>
        </w:rPr>
        <w:t>本公司对共同经营不享有共同控制，如果本公司享有</w:t>
      </w:r>
      <w:proofErr w:type="gramStart"/>
      <w:r>
        <w:rPr>
          <w:rFonts w:hint="eastAsia"/>
          <w:sz w:val="18"/>
          <w:szCs w:val="18"/>
        </w:rPr>
        <w:t>该共同</w:t>
      </w:r>
      <w:proofErr w:type="gramEnd"/>
      <w:r>
        <w:rPr>
          <w:rFonts w:hint="eastAsia"/>
          <w:sz w:val="18"/>
          <w:szCs w:val="18"/>
        </w:rPr>
        <w:t>经营相关资产且承担</w:t>
      </w:r>
      <w:proofErr w:type="gramStart"/>
      <w:r>
        <w:rPr>
          <w:rFonts w:hint="eastAsia"/>
          <w:sz w:val="18"/>
          <w:szCs w:val="18"/>
        </w:rPr>
        <w:t>该共同</w:t>
      </w:r>
      <w:proofErr w:type="gramEnd"/>
      <w:r>
        <w:rPr>
          <w:rFonts w:hint="eastAsia"/>
          <w:sz w:val="18"/>
          <w:szCs w:val="18"/>
        </w:rPr>
        <w:t>经营相关负债的，仍按上述原则进行会计处理，否则，应当按照相关企业会计准则的规定进行会计处理。 </w:t>
      </w:r>
    </w:p>
    <w:p w:rsidR="00E62F69" w:rsidRDefault="00B54A20">
      <w:pPr>
        <w:pStyle w:val="3"/>
        <w:spacing w:line="280" w:lineRule="exact"/>
        <w:jc w:val="left"/>
        <w:rPr>
          <w:rFonts w:ascii="宋体" w:hAnsi="宋体" w:cs="宋体"/>
          <w:b/>
          <w:bCs/>
        </w:rPr>
      </w:pPr>
      <w:bookmarkStart w:id="23" w:name="_Toc989016"/>
      <w:r>
        <w:rPr>
          <w:rFonts w:ascii="宋体" w:hAnsi="宋体" w:cs="宋体"/>
          <w:b/>
          <w:bCs/>
        </w:rPr>
        <w:t>8、现金及现金等价物的确定标准</w:t>
      </w:r>
      <w:bookmarkEnd w:id="23"/>
    </w:p>
    <w:p w:rsidR="00B54A20" w:rsidRPr="004C1599" w:rsidRDefault="00B54A20">
      <w:pPr>
        <w:pStyle w:val="a3"/>
        <w:spacing w:before="0" w:beforeAutospacing="0" w:after="0" w:afterAutospacing="0"/>
        <w:ind w:firstLine="420"/>
        <w:jc w:val="both"/>
        <w:divId w:val="564996199"/>
        <w:rPr>
          <w:sz w:val="18"/>
          <w:szCs w:val="18"/>
        </w:rPr>
      </w:pPr>
      <w:r>
        <w:rPr>
          <w:rFonts w:hint="eastAsia"/>
          <w:sz w:val="18"/>
          <w:szCs w:val="18"/>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E62F69" w:rsidRDefault="00B54A20">
      <w:pPr>
        <w:pStyle w:val="3"/>
        <w:spacing w:line="280" w:lineRule="exact"/>
        <w:jc w:val="left"/>
        <w:rPr>
          <w:rFonts w:ascii="宋体" w:hAnsi="宋体" w:cs="宋体"/>
          <w:b/>
          <w:bCs/>
        </w:rPr>
      </w:pPr>
      <w:bookmarkStart w:id="24" w:name="_Toc989017"/>
      <w:r>
        <w:rPr>
          <w:rFonts w:ascii="宋体" w:hAnsi="宋体" w:cs="宋体"/>
          <w:b/>
          <w:bCs/>
        </w:rPr>
        <w:t>9、外币业务和外币报表折算</w:t>
      </w:r>
      <w:bookmarkEnd w:id="24"/>
    </w:p>
    <w:p w:rsidR="00B54A20" w:rsidRPr="004C1599" w:rsidRDefault="004C1599" w:rsidP="004C1599">
      <w:pPr>
        <w:pStyle w:val="a3"/>
        <w:ind w:firstLineChars="196" w:firstLine="413"/>
        <w:jc w:val="both"/>
        <w:divId w:val="171187632"/>
        <w:rPr>
          <w:rStyle w:val="a4"/>
          <w:rFonts w:ascii="Times New Roman" w:hAnsi="Times New Roman" w:cs="Times New Roman"/>
          <w:sz w:val="21"/>
          <w:szCs w:val="21"/>
        </w:rPr>
      </w:pPr>
      <w:r>
        <w:rPr>
          <w:rStyle w:val="a4"/>
          <w:rFonts w:ascii="Times New Roman" w:hAnsi="Times New Roman" w:cs="Times New Roman" w:hint="eastAsia"/>
          <w:sz w:val="21"/>
          <w:szCs w:val="21"/>
        </w:rPr>
        <w:t>1.</w:t>
      </w:r>
      <w:r w:rsidR="00B54A20" w:rsidRPr="004C1599">
        <w:rPr>
          <w:rStyle w:val="a4"/>
          <w:rFonts w:ascii="Times New Roman" w:hAnsi="Times New Roman" w:cs="Times New Roman" w:hint="eastAsia"/>
          <w:sz w:val="21"/>
          <w:szCs w:val="21"/>
        </w:rPr>
        <w:t>外币业务</w:t>
      </w:r>
    </w:p>
    <w:p w:rsidR="00B54A20" w:rsidRPr="004C1599" w:rsidRDefault="00B54A20">
      <w:pPr>
        <w:pStyle w:val="a3"/>
        <w:spacing w:before="0" w:beforeAutospacing="0" w:after="0" w:afterAutospacing="0"/>
        <w:ind w:firstLine="420"/>
        <w:jc w:val="both"/>
        <w:divId w:val="171187632"/>
        <w:rPr>
          <w:sz w:val="18"/>
          <w:szCs w:val="18"/>
        </w:rPr>
      </w:pPr>
      <w:r>
        <w:rPr>
          <w:rFonts w:hint="eastAsia"/>
          <w:sz w:val="18"/>
          <w:szCs w:val="18"/>
        </w:rPr>
        <w:t>外币业务交易在初始确认时，采用交易发生日的即期汇率作为折算汇率折合成人民币记账。</w:t>
      </w:r>
    </w:p>
    <w:p w:rsidR="00B54A20" w:rsidRPr="004C1599" w:rsidRDefault="00B54A20">
      <w:pPr>
        <w:pStyle w:val="a3"/>
        <w:spacing w:before="0" w:beforeAutospacing="0" w:after="0" w:afterAutospacing="0"/>
        <w:ind w:firstLine="420"/>
        <w:jc w:val="both"/>
        <w:divId w:val="171187632"/>
        <w:rPr>
          <w:sz w:val="18"/>
          <w:szCs w:val="18"/>
        </w:rPr>
      </w:pPr>
      <w:r>
        <w:rPr>
          <w:rFonts w:hint="eastAsia"/>
          <w:sz w:val="18"/>
          <w:szCs w:val="18"/>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B54A20" w:rsidRPr="004C1599" w:rsidRDefault="00B54A20">
      <w:pPr>
        <w:pStyle w:val="a3"/>
        <w:spacing w:before="0" w:beforeAutospacing="0" w:after="0" w:afterAutospacing="0"/>
        <w:ind w:firstLine="420"/>
        <w:jc w:val="both"/>
        <w:divId w:val="171187632"/>
        <w:rPr>
          <w:sz w:val="18"/>
          <w:szCs w:val="18"/>
        </w:rPr>
      </w:pPr>
      <w:r>
        <w:rPr>
          <w:rFonts w:hint="eastAsia"/>
          <w:sz w:val="18"/>
          <w:szCs w:val="18"/>
        </w:rPr>
        <w:t>以公允价值计量的外币非货币性项目，采用公允价值确定日的即期汇率折算，折算后的记账本位</w:t>
      </w:r>
      <w:proofErr w:type="gramStart"/>
      <w:r>
        <w:rPr>
          <w:rFonts w:hint="eastAsia"/>
          <w:sz w:val="18"/>
          <w:szCs w:val="18"/>
        </w:rPr>
        <w:t>币金额</w:t>
      </w:r>
      <w:proofErr w:type="gramEnd"/>
      <w:r>
        <w:rPr>
          <w:rFonts w:hint="eastAsia"/>
          <w:sz w:val="18"/>
          <w:szCs w:val="18"/>
        </w:rPr>
        <w:t>与原记账本位</w:t>
      </w:r>
      <w:proofErr w:type="gramStart"/>
      <w:r>
        <w:rPr>
          <w:rFonts w:hint="eastAsia"/>
          <w:sz w:val="18"/>
          <w:szCs w:val="18"/>
        </w:rPr>
        <w:t>币金额</w:t>
      </w:r>
      <w:proofErr w:type="gramEnd"/>
      <w:r>
        <w:rPr>
          <w:rFonts w:hint="eastAsia"/>
          <w:sz w:val="18"/>
          <w:szCs w:val="18"/>
        </w:rPr>
        <w:t>的差额，作为公允价值变动(含汇率变动)处理，计入当期损益或确认为其他综合收益。</w:t>
      </w:r>
    </w:p>
    <w:p w:rsidR="00B54A20" w:rsidRPr="004C1599" w:rsidRDefault="004C1599" w:rsidP="004C1599">
      <w:pPr>
        <w:pStyle w:val="a3"/>
        <w:ind w:firstLineChars="196" w:firstLine="413"/>
        <w:jc w:val="both"/>
        <w:divId w:val="171187632"/>
        <w:rPr>
          <w:rStyle w:val="a4"/>
          <w:rFonts w:ascii="Times New Roman" w:hAnsi="Times New Roman" w:cs="Times New Roman"/>
          <w:sz w:val="21"/>
          <w:szCs w:val="21"/>
        </w:rPr>
      </w:pPr>
      <w:r>
        <w:rPr>
          <w:rStyle w:val="a4"/>
          <w:rFonts w:ascii="Times New Roman" w:hAnsi="Times New Roman" w:cs="Times New Roman" w:hint="eastAsia"/>
          <w:sz w:val="21"/>
          <w:szCs w:val="21"/>
        </w:rPr>
        <w:t>2.</w:t>
      </w:r>
      <w:r w:rsidR="00B54A20" w:rsidRPr="004C1599">
        <w:rPr>
          <w:rStyle w:val="a4"/>
          <w:rFonts w:ascii="Times New Roman" w:hAnsi="Times New Roman" w:cs="Times New Roman" w:hint="eastAsia"/>
          <w:sz w:val="21"/>
          <w:szCs w:val="21"/>
        </w:rPr>
        <w:t>外币财务报表的折算</w:t>
      </w:r>
    </w:p>
    <w:p w:rsidR="00B54A20" w:rsidRPr="004C1599" w:rsidRDefault="00B54A20">
      <w:pPr>
        <w:pStyle w:val="a3"/>
        <w:spacing w:before="0" w:beforeAutospacing="0" w:after="0" w:afterAutospacing="0"/>
        <w:ind w:firstLine="420"/>
        <w:jc w:val="both"/>
        <w:divId w:val="171187632"/>
        <w:rPr>
          <w:sz w:val="18"/>
          <w:szCs w:val="18"/>
        </w:rPr>
      </w:pPr>
      <w:r>
        <w:rPr>
          <w:rFonts w:hint="eastAsia"/>
          <w:sz w:val="18"/>
          <w:szCs w:val="18"/>
        </w:rPr>
        <w:t>资产负债表中的资产和负债项目，采用资产负债表日的即期汇率折算；所有者权益项目除“未分配利润”项目外，其他项目采用发生时的即期汇率折算。利润表中的收入和费用项目，采用当期加权平均汇率折算。按照上述折算产生的外币财务报表折算差额计入其他综合收益。</w:t>
      </w:r>
    </w:p>
    <w:p w:rsidR="00B54A20" w:rsidRPr="004C1599" w:rsidRDefault="00B54A20">
      <w:pPr>
        <w:pStyle w:val="a3"/>
        <w:spacing w:before="0" w:beforeAutospacing="0" w:after="0" w:afterAutospacing="0"/>
        <w:ind w:firstLine="420"/>
        <w:jc w:val="both"/>
        <w:divId w:val="171187632"/>
        <w:rPr>
          <w:sz w:val="18"/>
          <w:szCs w:val="18"/>
        </w:rPr>
      </w:pPr>
      <w:r>
        <w:rPr>
          <w:rFonts w:hint="eastAsia"/>
          <w:sz w:val="18"/>
          <w:szCs w:val="18"/>
        </w:rPr>
        <w:t xml:space="preserve">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 </w:t>
      </w:r>
    </w:p>
    <w:p w:rsidR="00E62F69" w:rsidRDefault="00B54A20">
      <w:pPr>
        <w:pStyle w:val="3"/>
        <w:spacing w:line="280" w:lineRule="exact"/>
        <w:jc w:val="left"/>
        <w:rPr>
          <w:rFonts w:ascii="宋体" w:hAnsi="宋体" w:cs="宋体"/>
          <w:b/>
          <w:bCs/>
        </w:rPr>
      </w:pPr>
      <w:bookmarkStart w:id="25" w:name="_Toc989018"/>
      <w:r>
        <w:rPr>
          <w:rFonts w:ascii="宋体" w:hAnsi="宋体" w:cs="宋体"/>
          <w:b/>
          <w:bCs/>
        </w:rPr>
        <w:t>10、金融工具</w:t>
      </w:r>
      <w:bookmarkEnd w:id="25"/>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本公司在成为金融工具合同的一方时确认一项金融资产或金融负债。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实际利率法是指计算金融资产或金融负债的摊</w:t>
      </w:r>
      <w:proofErr w:type="gramStart"/>
      <w:r w:rsidRPr="004C1599">
        <w:rPr>
          <w:rFonts w:hint="eastAsia"/>
          <w:sz w:val="18"/>
          <w:szCs w:val="18"/>
        </w:rPr>
        <w:t>余成本</w:t>
      </w:r>
      <w:proofErr w:type="gramEnd"/>
      <w:r w:rsidRPr="004C1599">
        <w:rPr>
          <w:rFonts w:hint="eastAsia"/>
          <w:sz w:val="18"/>
          <w:szCs w:val="18"/>
        </w:rPr>
        <w:t>以及将利息收入或利息费用分摊计入各会计期间的方法。</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实际利率，是指将金融资产或金融负债在预计存续期的估计未来现金流量，折现为该金融资产账面余额或该金融负债摊</w:t>
      </w:r>
      <w:proofErr w:type="gramStart"/>
      <w:r w:rsidRPr="004C1599">
        <w:rPr>
          <w:rFonts w:hint="eastAsia"/>
          <w:sz w:val="18"/>
          <w:szCs w:val="18"/>
        </w:rPr>
        <w:t>余成本</w:t>
      </w:r>
      <w:proofErr w:type="gramEnd"/>
      <w:r w:rsidRPr="004C1599">
        <w:rPr>
          <w:rFonts w:hint="eastAsia"/>
          <w:sz w:val="18"/>
          <w:szCs w:val="18"/>
        </w:rPr>
        <w:t>所使用的利率。在确定实际利率时，在考虑金融资产或金融负债所有合同条款(如提前还款、展期、看涨期权或其他类似期权等)的基础上估计预期现金流量，但不考虑预期信用损失。</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金融资产或金融负债的摊</w:t>
      </w:r>
      <w:proofErr w:type="gramStart"/>
      <w:r w:rsidRPr="004C1599">
        <w:rPr>
          <w:rFonts w:hint="eastAsia"/>
          <w:sz w:val="18"/>
          <w:szCs w:val="18"/>
        </w:rPr>
        <w:t>余成本</w:t>
      </w:r>
      <w:proofErr w:type="gramEnd"/>
      <w:r w:rsidRPr="004C1599">
        <w:rPr>
          <w:rFonts w:hint="eastAsia"/>
          <w:sz w:val="18"/>
          <w:szCs w:val="18"/>
        </w:rPr>
        <w:t>是以该金融资产或金融负债的初始确认金额扣除已偿还的本金，加上或减去采用实际利率法将该初始确认金额与到期</w:t>
      </w:r>
      <w:proofErr w:type="gramStart"/>
      <w:r w:rsidRPr="004C1599">
        <w:rPr>
          <w:rFonts w:hint="eastAsia"/>
          <w:sz w:val="18"/>
          <w:szCs w:val="18"/>
        </w:rPr>
        <w:t>日金额</w:t>
      </w:r>
      <w:proofErr w:type="gramEnd"/>
      <w:r w:rsidRPr="004C1599">
        <w:rPr>
          <w:rFonts w:hint="eastAsia"/>
          <w:sz w:val="18"/>
          <w:szCs w:val="18"/>
        </w:rPr>
        <w:t>之间的差额进行摊销形成的累计摊销额，再扣除累计计提的损失准备(仅适用于金融资产)。</w:t>
      </w:r>
    </w:p>
    <w:p w:rsidR="00B54A20" w:rsidRDefault="00B54A20" w:rsidP="00D51BB1">
      <w:pPr>
        <w:widowControl/>
        <w:numPr>
          <w:ilvl w:val="0"/>
          <w:numId w:val="1"/>
        </w:numPr>
        <w:jc w:val="both"/>
        <w:divId w:val="72819906"/>
        <w:rPr>
          <w:rFonts w:ascii="Times New Roman" w:hAnsi="Times New Roman" w:cs="Times New Roman"/>
          <w:szCs w:val="21"/>
        </w:rPr>
      </w:pPr>
      <w:r>
        <w:rPr>
          <w:rStyle w:val="a4"/>
          <w:rFonts w:cs="Times New Roman" w:hint="eastAsia"/>
          <w:szCs w:val="21"/>
        </w:rPr>
        <w:t>金融资产的分类、确认和计量</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本公司根据所管理金融资产的业务模式和金融资产的合同现金流量特征，将金融资产划分为以下三类：</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（1）以摊</w:t>
      </w:r>
      <w:proofErr w:type="gramStart"/>
      <w:r w:rsidRPr="004C1599">
        <w:rPr>
          <w:rFonts w:hint="eastAsia"/>
          <w:sz w:val="18"/>
          <w:szCs w:val="18"/>
        </w:rPr>
        <w:t>余成本</w:t>
      </w:r>
      <w:proofErr w:type="gramEnd"/>
      <w:r w:rsidRPr="004C1599">
        <w:rPr>
          <w:rFonts w:hint="eastAsia"/>
          <w:sz w:val="18"/>
          <w:szCs w:val="18"/>
        </w:rPr>
        <w:t>计量的金融资产。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（2）以公允价值计量且其变动计入其他综合收益的金融资产。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（3）以公允价值计量且其变动计入当期损益的金融资产。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金融资产在初始确认时以公允价值计量，但是因销售商品或提供服务等产生的应收账款或应收票据未包含重大融资成分或不考虑不超过一年的融资成分的，按照交易价格进行初始计量。</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对于以公允价值计量且其变动计入当期损益的金融资产，相关交易费用直接计入当期损益，其他类别的金融资产相关交易费用计入其初始确认金额。</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金融资产的后续计量取决于其分类，当且仅当本公司改变管理金融资产的业务模式时，才对所有受影响的相关金融资产进行重分类。</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（1）分类为以摊</w:t>
      </w:r>
      <w:proofErr w:type="gramStart"/>
      <w:r w:rsidRPr="004C1599">
        <w:rPr>
          <w:rFonts w:hint="eastAsia"/>
          <w:sz w:val="18"/>
          <w:szCs w:val="18"/>
        </w:rPr>
        <w:t>余成本</w:t>
      </w:r>
      <w:proofErr w:type="gramEnd"/>
      <w:r w:rsidRPr="004C1599">
        <w:rPr>
          <w:rFonts w:hint="eastAsia"/>
          <w:sz w:val="18"/>
          <w:szCs w:val="18"/>
        </w:rPr>
        <w:t>计量的金融资产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金融资产的合同条款规定在特定日期产生的现金流量仅为对本金和以</w:t>
      </w:r>
      <w:proofErr w:type="gramStart"/>
      <w:r w:rsidRPr="004C1599">
        <w:rPr>
          <w:rFonts w:hint="eastAsia"/>
          <w:sz w:val="18"/>
          <w:szCs w:val="18"/>
        </w:rPr>
        <w:t>未偿付本</w:t>
      </w:r>
      <w:proofErr w:type="gramEnd"/>
      <w:r w:rsidRPr="004C1599">
        <w:rPr>
          <w:rFonts w:hint="eastAsia"/>
          <w:sz w:val="18"/>
          <w:szCs w:val="18"/>
        </w:rPr>
        <w:t>金金额为基础的利息的支付，且管理该金融资产的业务模式是以收取合同现金流量为目标，则本公司将该金融资产分类为以摊</w:t>
      </w:r>
      <w:proofErr w:type="gramStart"/>
      <w:r w:rsidRPr="004C1599">
        <w:rPr>
          <w:rFonts w:hint="eastAsia"/>
          <w:sz w:val="18"/>
          <w:szCs w:val="18"/>
        </w:rPr>
        <w:t>余成本</w:t>
      </w:r>
      <w:proofErr w:type="gramEnd"/>
      <w:r w:rsidRPr="004C1599">
        <w:rPr>
          <w:rFonts w:hint="eastAsia"/>
          <w:sz w:val="18"/>
          <w:szCs w:val="18"/>
        </w:rPr>
        <w:t>计量的金融资产。本公司分类为以摊</w:t>
      </w:r>
      <w:proofErr w:type="gramStart"/>
      <w:r w:rsidRPr="004C1599">
        <w:rPr>
          <w:rFonts w:hint="eastAsia"/>
          <w:sz w:val="18"/>
          <w:szCs w:val="18"/>
        </w:rPr>
        <w:t>余成本</w:t>
      </w:r>
      <w:proofErr w:type="gramEnd"/>
      <w:r w:rsidRPr="004C1599">
        <w:rPr>
          <w:rFonts w:hint="eastAsia"/>
          <w:sz w:val="18"/>
          <w:szCs w:val="18"/>
        </w:rPr>
        <w:t>计量的金融资产包括货币资金、应收票据、应收款项融资、应收账款、其他应收款、长期应收款等。</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本公司对此类金融资产采用实际利率法确认利息收入，</w:t>
      </w:r>
      <w:proofErr w:type="gramStart"/>
      <w:r w:rsidRPr="004C1599">
        <w:rPr>
          <w:rFonts w:hint="eastAsia"/>
          <w:sz w:val="18"/>
          <w:szCs w:val="18"/>
        </w:rPr>
        <w:t>按摊余成本</w:t>
      </w:r>
      <w:proofErr w:type="gramEnd"/>
      <w:r w:rsidRPr="004C1599">
        <w:rPr>
          <w:rFonts w:hint="eastAsia"/>
          <w:sz w:val="18"/>
          <w:szCs w:val="18"/>
        </w:rPr>
        <w:t>进行后续计量，其发生减值时或终止确认、修改产生的利得或损失，计入当期损益。除下列情况外，本公司根据金融资产账面余额乘以实际利率计算确定利息收入：</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1）对于</w:t>
      </w:r>
      <w:proofErr w:type="gramStart"/>
      <w:r w:rsidRPr="004C1599">
        <w:rPr>
          <w:rFonts w:hint="eastAsia"/>
          <w:sz w:val="18"/>
          <w:szCs w:val="18"/>
        </w:rPr>
        <w:t>购入或源生</w:t>
      </w:r>
      <w:proofErr w:type="gramEnd"/>
      <w:r w:rsidRPr="004C1599">
        <w:rPr>
          <w:rFonts w:hint="eastAsia"/>
          <w:sz w:val="18"/>
          <w:szCs w:val="18"/>
        </w:rPr>
        <w:t>的已发生信用减值的金融资产，本公司自初始确认起，按照该金融资产的摊</w:t>
      </w:r>
      <w:proofErr w:type="gramStart"/>
      <w:r w:rsidRPr="004C1599">
        <w:rPr>
          <w:rFonts w:hint="eastAsia"/>
          <w:sz w:val="18"/>
          <w:szCs w:val="18"/>
        </w:rPr>
        <w:t>余成本</w:t>
      </w:r>
      <w:proofErr w:type="gramEnd"/>
      <w:r w:rsidRPr="004C1599">
        <w:rPr>
          <w:rFonts w:hint="eastAsia"/>
          <w:sz w:val="18"/>
          <w:szCs w:val="18"/>
        </w:rPr>
        <w:t>和经信用调整的实际利率计算确定其利息收入。</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2） 对于</w:t>
      </w:r>
      <w:proofErr w:type="gramStart"/>
      <w:r w:rsidRPr="004C1599">
        <w:rPr>
          <w:rFonts w:hint="eastAsia"/>
          <w:sz w:val="18"/>
          <w:szCs w:val="18"/>
        </w:rPr>
        <w:t>购入或源生</w:t>
      </w:r>
      <w:proofErr w:type="gramEnd"/>
      <w:r w:rsidRPr="004C1599">
        <w:rPr>
          <w:rFonts w:hint="eastAsia"/>
          <w:sz w:val="18"/>
          <w:szCs w:val="18"/>
        </w:rPr>
        <w:t>的未发生信用减值、但在后续期间成为已发生信用减值的金融资产，本公司在后续期间，按照该金融资产的摊</w:t>
      </w:r>
      <w:proofErr w:type="gramStart"/>
      <w:r w:rsidRPr="004C1599">
        <w:rPr>
          <w:rFonts w:hint="eastAsia"/>
          <w:sz w:val="18"/>
          <w:szCs w:val="18"/>
        </w:rPr>
        <w:t>余成本</w:t>
      </w:r>
      <w:proofErr w:type="gramEnd"/>
      <w:r w:rsidRPr="004C1599">
        <w:rPr>
          <w:rFonts w:hint="eastAsia"/>
          <w:sz w:val="18"/>
          <w:szCs w:val="18"/>
        </w:rPr>
        <w:t>和实际利率计算确定其利息收入。若该金融工具在后续期间因其信用风险有所改善而不再存在信用减值，</w:t>
      </w:r>
      <w:proofErr w:type="gramStart"/>
      <w:r w:rsidRPr="004C1599">
        <w:rPr>
          <w:rFonts w:hint="eastAsia"/>
          <w:sz w:val="18"/>
          <w:szCs w:val="18"/>
        </w:rPr>
        <w:t>本公司转按实际</w:t>
      </w:r>
      <w:proofErr w:type="gramEnd"/>
      <w:r w:rsidRPr="004C1599">
        <w:rPr>
          <w:rFonts w:hint="eastAsia"/>
          <w:sz w:val="18"/>
          <w:szCs w:val="18"/>
        </w:rPr>
        <w:t>利率乘以该金融资产账面余额来计算确定利息收入。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（2）分类为以公允价值计量且其变动计入其他综合收益的金融资产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金融资产的合同条款规定在特定日期产生的现金流量仅为对本金和以</w:t>
      </w:r>
      <w:proofErr w:type="gramStart"/>
      <w:r w:rsidRPr="004C1599">
        <w:rPr>
          <w:rFonts w:hint="eastAsia"/>
          <w:sz w:val="18"/>
          <w:szCs w:val="18"/>
        </w:rPr>
        <w:t>未偿付本</w:t>
      </w:r>
      <w:proofErr w:type="gramEnd"/>
      <w:r w:rsidRPr="004C1599">
        <w:rPr>
          <w:rFonts w:hint="eastAsia"/>
          <w:sz w:val="18"/>
          <w:szCs w:val="18"/>
        </w:rPr>
        <w:t>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（3）指定为以公允价值计量且其变动计入其他综合收益的金融资产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在初始确认时，本公司可以单项金融资产为基础不可撤销地将</w:t>
      </w:r>
      <w:proofErr w:type="gramStart"/>
      <w:r w:rsidRPr="004C1599">
        <w:rPr>
          <w:rFonts w:hint="eastAsia"/>
          <w:sz w:val="18"/>
          <w:szCs w:val="18"/>
        </w:rPr>
        <w:t>非交易</w:t>
      </w:r>
      <w:proofErr w:type="gramEnd"/>
      <w:r w:rsidRPr="004C1599">
        <w:rPr>
          <w:rFonts w:hint="eastAsia"/>
          <w:sz w:val="18"/>
          <w:szCs w:val="18"/>
        </w:rPr>
        <w:t>性权益工具投资指定为以公允价值计量且其变动计入其他综合收益的金融资产。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w:t>
      </w:r>
      <w:proofErr w:type="gramStart"/>
      <w:r w:rsidRPr="004C1599">
        <w:rPr>
          <w:rFonts w:hint="eastAsia"/>
          <w:sz w:val="18"/>
          <w:szCs w:val="18"/>
        </w:rPr>
        <w:t>期工具</w:t>
      </w:r>
      <w:proofErr w:type="gramEnd"/>
      <w:r w:rsidRPr="004C1599">
        <w:rPr>
          <w:rFonts w:hint="eastAsia"/>
          <w:sz w:val="18"/>
          <w:szCs w:val="18"/>
        </w:rPr>
        <w:t>的衍生工具除外）。</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（4）分类为以公允价值计量且其变动计入当期损益的金融资产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不符合分类为以摊</w:t>
      </w:r>
      <w:proofErr w:type="gramStart"/>
      <w:r w:rsidRPr="004C1599">
        <w:rPr>
          <w:rFonts w:hint="eastAsia"/>
          <w:sz w:val="18"/>
          <w:szCs w:val="18"/>
        </w:rPr>
        <w:t>余成本</w:t>
      </w:r>
      <w:proofErr w:type="gramEnd"/>
      <w:r w:rsidRPr="004C1599">
        <w:rPr>
          <w:rFonts w:hint="eastAsia"/>
          <w:sz w:val="18"/>
          <w:szCs w:val="18"/>
        </w:rPr>
        <w:t>计量或以公允价值计量且其变动计入其他综合收益的金融资产条件、亦不指定为以公允价值计量且其变动计入其他综合收益的金融资产均分类为以公允价值计量且其变动计入当期损益的金融资产。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本公司对此类金融资产采用公允价值进行后续计量，将公允价值变动形成的利得或损失以及与此类金融资产相关的股利和利息收入计入当期损益。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本公司对此类金融资产根据其流动性在交易性金融资产、其他非流动金融资产项目列报。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（5）指定为以公允价值计量且其变动计入当期损益的金融资产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在初始确认时，本公司为了消除或显著减少会计错配，可以单项金融资产为基础不可撤销地将金融资产指定为以公允价值计量且其变动计入当期损益的金融资产。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xml:space="preserve">混合合同包含一项或多项嵌入衍生工具，且其主合同不属于以上金融资产的，本公司可以将其整体指定为以公允价值计量且其变动计入当期损益的金融工具。但下列情况除外： </w:t>
      </w:r>
    </w:p>
    <w:p w:rsidR="00B54A20" w:rsidRPr="004C1599" w:rsidRDefault="00B54A20" w:rsidP="004C1599">
      <w:pPr>
        <w:pStyle w:val="a3"/>
        <w:spacing w:before="0" w:beforeAutospacing="0" w:after="0" w:afterAutospacing="0"/>
        <w:ind w:firstLineChars="482" w:firstLine="868"/>
        <w:jc w:val="both"/>
        <w:divId w:val="72819906"/>
        <w:rPr>
          <w:sz w:val="18"/>
          <w:szCs w:val="18"/>
        </w:rPr>
      </w:pPr>
      <w:r w:rsidRPr="004C1599">
        <w:rPr>
          <w:rFonts w:hint="eastAsia"/>
          <w:sz w:val="18"/>
          <w:szCs w:val="18"/>
        </w:rPr>
        <w:t>1）嵌入衍生工具不会对混合合同的现金流量产生重大改变。</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 xml:space="preserve"> 2）在初次确定类似的混合合同是否需要分拆时，几乎不需分析就能明确其包含的嵌入衍生工具不应分拆。如嵌入贷款的提前还款权，允许持有人以接近摊</w:t>
      </w:r>
      <w:proofErr w:type="gramStart"/>
      <w:r w:rsidRPr="004C1599">
        <w:rPr>
          <w:rFonts w:hint="eastAsia"/>
          <w:sz w:val="18"/>
          <w:szCs w:val="18"/>
        </w:rPr>
        <w:t>余成本</w:t>
      </w:r>
      <w:proofErr w:type="gramEnd"/>
      <w:r w:rsidRPr="004C1599">
        <w:rPr>
          <w:rFonts w:hint="eastAsia"/>
          <w:sz w:val="18"/>
          <w:szCs w:val="18"/>
        </w:rPr>
        <w:t>的金额提前偿还贷款，该提前还款权不需要分拆。</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本公司对此类金融资产采用公允价值进行后续计量，将公允价值变动形成的利得或损失以及与此类金融资产相关的股利和利息收入计入当期损益。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本公司对此类金融资产根据其流动性在交易性金融资产、其他非流动金融资产项目列报。</w:t>
      </w:r>
    </w:p>
    <w:p w:rsidR="00B54A20" w:rsidRDefault="00B54A20">
      <w:pPr>
        <w:pStyle w:val="a3"/>
        <w:spacing w:before="120" w:beforeAutospacing="0"/>
        <w:jc w:val="both"/>
        <w:divId w:val="72819906"/>
        <w:rPr>
          <w:rFonts w:ascii="Times New Roman" w:hAnsi="Times New Roman" w:cs="Times New Roman"/>
        </w:rPr>
      </w:pPr>
      <w:r>
        <w:rPr>
          <w:rStyle w:val="a4"/>
          <w:rFonts w:ascii="Times New Roman" w:hAnsi="Times New Roman" w:cs="Times New Roman"/>
          <w:sz w:val="21"/>
          <w:szCs w:val="21"/>
        </w:rPr>
        <w:t>2.</w:t>
      </w:r>
      <w:r>
        <w:rPr>
          <w:rStyle w:val="a4"/>
          <w:rFonts w:cs="Times New Roman" w:hint="eastAsia"/>
          <w:sz w:val="21"/>
          <w:szCs w:val="21"/>
        </w:rPr>
        <w:t>金融负债的分类、确认和计量</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w:t>
      </w:r>
      <w:proofErr w:type="gramStart"/>
      <w:r w:rsidRPr="004C1599">
        <w:rPr>
          <w:rFonts w:hint="eastAsia"/>
          <w:sz w:val="18"/>
          <w:szCs w:val="18"/>
        </w:rPr>
        <w:t>期工具</w:t>
      </w:r>
      <w:proofErr w:type="gramEnd"/>
      <w:r w:rsidRPr="004C1599">
        <w:rPr>
          <w:rFonts w:hint="eastAsia"/>
          <w:sz w:val="18"/>
          <w:szCs w:val="18"/>
        </w:rPr>
        <w:t>的衍生工具。</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金融负债在初始确认时以公允价值计量。对于以公允价值计量且其变动计入当期损益的金融负债，相关的交易费用直接计入当期损益；对于其他类别的金融负债，相关交易费用计入初始确认金额。</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金融负债的后续计量取决于其分类：</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（1）以公允价值计量且其变动计入当期损益的金融负债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此类金融负债包括交易性金融负债（</w:t>
      </w:r>
      <w:proofErr w:type="gramStart"/>
      <w:r w:rsidRPr="004C1599">
        <w:rPr>
          <w:rFonts w:hint="eastAsia"/>
          <w:sz w:val="18"/>
          <w:szCs w:val="18"/>
        </w:rPr>
        <w:t>含属于</w:t>
      </w:r>
      <w:proofErr w:type="gramEnd"/>
      <w:r w:rsidRPr="004C1599">
        <w:rPr>
          <w:rFonts w:hint="eastAsia"/>
          <w:sz w:val="18"/>
          <w:szCs w:val="18"/>
        </w:rPr>
        <w:t>金融负债的衍生工具）和初始确认时指定为以公允价值计量且其变动计入当期损益的金融负债。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w:t>
      </w:r>
      <w:proofErr w:type="gramStart"/>
      <w:r w:rsidRPr="004C1599">
        <w:rPr>
          <w:rFonts w:hint="eastAsia"/>
          <w:sz w:val="18"/>
          <w:szCs w:val="18"/>
        </w:rPr>
        <w:t>期工具</w:t>
      </w:r>
      <w:proofErr w:type="gramEnd"/>
      <w:r w:rsidRPr="004C1599">
        <w:rPr>
          <w:rFonts w:hint="eastAsia"/>
          <w:sz w:val="18"/>
          <w:szCs w:val="18"/>
        </w:rPr>
        <w:t>的衍生工具、符合财务担保合同的衍生工具除外。交易性金融负债（</w:t>
      </w:r>
      <w:proofErr w:type="gramStart"/>
      <w:r w:rsidRPr="004C1599">
        <w:rPr>
          <w:rFonts w:hint="eastAsia"/>
          <w:sz w:val="18"/>
          <w:szCs w:val="18"/>
        </w:rPr>
        <w:t>含属于</w:t>
      </w:r>
      <w:proofErr w:type="gramEnd"/>
      <w:r w:rsidRPr="004C1599">
        <w:rPr>
          <w:rFonts w:hint="eastAsia"/>
          <w:sz w:val="18"/>
          <w:szCs w:val="18"/>
        </w:rPr>
        <w:t>金融负债的衍生工具），按照公允价值进行后续计量，除与套期会计有关外，所有公允价值变动均计入当期损益。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在初始确认时，为了提供更相关的会计信息，本公司将满足下列条件之一的金融负债不可撤销地指定为以公允价值计量且其变动计入当期损益的金融负债：</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1）能够消除或显著减少会计错配。</w:t>
      </w:r>
    </w:p>
    <w:p w:rsidR="00B54A20" w:rsidRPr="004C1599" w:rsidRDefault="00B54A20" w:rsidP="004C1599">
      <w:pPr>
        <w:pStyle w:val="a3"/>
        <w:spacing w:before="0" w:beforeAutospacing="0" w:after="0" w:afterAutospacing="0"/>
        <w:ind w:firstLineChars="450" w:firstLine="810"/>
        <w:jc w:val="both"/>
        <w:divId w:val="72819906"/>
        <w:rPr>
          <w:sz w:val="18"/>
          <w:szCs w:val="18"/>
        </w:rPr>
      </w:pPr>
      <w:r w:rsidRPr="004C1599">
        <w:rPr>
          <w:rFonts w:hint="eastAsia"/>
          <w:sz w:val="18"/>
          <w:szCs w:val="18"/>
        </w:rPr>
        <w:t>2）根据正式书面文件载明的企业风险管理或投资策略，以公允价值为基础对金融负债组合或金融资产和金融负债组合进行管理和业绩评价，并在企业内部以此为基础向关键管理人员报告。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B54A20" w:rsidRPr="004C1599" w:rsidRDefault="00B54A20" w:rsidP="004C1599">
      <w:pPr>
        <w:pStyle w:val="a3"/>
        <w:spacing w:before="0" w:beforeAutospacing="0" w:after="0" w:afterAutospacing="0"/>
        <w:ind w:firstLineChars="200" w:firstLine="360"/>
        <w:jc w:val="both"/>
        <w:divId w:val="72819906"/>
        <w:rPr>
          <w:sz w:val="18"/>
          <w:szCs w:val="18"/>
        </w:rPr>
      </w:pPr>
      <w:r w:rsidRPr="004C1599">
        <w:rPr>
          <w:rFonts w:hint="eastAsia"/>
          <w:sz w:val="18"/>
          <w:szCs w:val="18"/>
        </w:rPr>
        <w:t>（2）其他金融负债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除下列各项外，公司将金融负债分类为以摊</w:t>
      </w:r>
      <w:proofErr w:type="gramStart"/>
      <w:r w:rsidRPr="004C1599">
        <w:rPr>
          <w:rFonts w:hint="eastAsia"/>
          <w:sz w:val="18"/>
          <w:szCs w:val="18"/>
        </w:rPr>
        <w:t>余成本</w:t>
      </w:r>
      <w:proofErr w:type="gramEnd"/>
      <w:r w:rsidRPr="004C1599">
        <w:rPr>
          <w:rFonts w:hint="eastAsia"/>
          <w:sz w:val="18"/>
          <w:szCs w:val="18"/>
        </w:rPr>
        <w:t>计量的金融负债，对此类金融负债采用实际利率法，按照摊</w:t>
      </w:r>
      <w:proofErr w:type="gramStart"/>
      <w:r w:rsidRPr="004C1599">
        <w:rPr>
          <w:rFonts w:hint="eastAsia"/>
          <w:sz w:val="18"/>
          <w:szCs w:val="18"/>
        </w:rPr>
        <w:t>余成本</w:t>
      </w:r>
      <w:proofErr w:type="gramEnd"/>
      <w:r w:rsidRPr="004C1599">
        <w:rPr>
          <w:rFonts w:hint="eastAsia"/>
          <w:sz w:val="18"/>
          <w:szCs w:val="18"/>
        </w:rPr>
        <w:t>进行后续计量，终止确认或摊销产生的利得或损失计入当期损益：</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 xml:space="preserve"> 1）以公允价值计量且其变动计入当期损益的金融负债。</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 xml:space="preserve"> 2）金融资产转移不符合终止确认条件或继续涉入被转移金融资产所形成的金融负债。</w:t>
      </w:r>
    </w:p>
    <w:p w:rsidR="00B54A20" w:rsidRPr="004C1599" w:rsidRDefault="00B54A20" w:rsidP="004C1599">
      <w:pPr>
        <w:pStyle w:val="a3"/>
        <w:spacing w:before="0" w:beforeAutospacing="0" w:after="0" w:afterAutospacing="0"/>
        <w:ind w:firstLineChars="482" w:firstLine="868"/>
        <w:jc w:val="both"/>
        <w:divId w:val="72819906"/>
        <w:rPr>
          <w:sz w:val="18"/>
          <w:szCs w:val="18"/>
        </w:rPr>
      </w:pPr>
      <w:r w:rsidRPr="004C1599">
        <w:rPr>
          <w:rFonts w:hint="eastAsia"/>
          <w:sz w:val="18"/>
          <w:szCs w:val="18"/>
        </w:rPr>
        <w:t>3）不属于本条前两类情形的财务担保合同，以及不属于本条第1）类情形的以低于市场利率贷款的贷款承诺。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B54A20" w:rsidRDefault="00B54A20">
      <w:pPr>
        <w:pStyle w:val="a3"/>
        <w:spacing w:before="120" w:beforeAutospacing="0"/>
        <w:jc w:val="both"/>
        <w:divId w:val="72819906"/>
        <w:rPr>
          <w:rFonts w:ascii="Times New Roman" w:hAnsi="Times New Roman" w:cs="Times New Roman"/>
        </w:rPr>
      </w:pPr>
      <w:r>
        <w:rPr>
          <w:rStyle w:val="a4"/>
          <w:rFonts w:ascii="Times New Roman" w:hAnsi="Times New Roman" w:cs="Times New Roman"/>
          <w:sz w:val="21"/>
          <w:szCs w:val="21"/>
        </w:rPr>
        <w:t>3.</w:t>
      </w:r>
      <w:r>
        <w:rPr>
          <w:rStyle w:val="a4"/>
          <w:rFonts w:cs="Times New Roman" w:hint="eastAsia"/>
          <w:sz w:val="21"/>
          <w:szCs w:val="21"/>
        </w:rPr>
        <w:t>金融资产和金融负债的终止确认</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（1）金融资产满足下列条件之一的，终止确认金融资产，即从其账户和资产负债表内予以转销：</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xml:space="preserve"> </w:t>
      </w:r>
      <w:r w:rsidR="004C1599">
        <w:rPr>
          <w:rFonts w:hint="eastAsia"/>
          <w:sz w:val="18"/>
          <w:szCs w:val="18"/>
        </w:rPr>
        <w:t xml:space="preserve">    </w:t>
      </w:r>
      <w:r w:rsidRPr="004C1599">
        <w:rPr>
          <w:rFonts w:hint="eastAsia"/>
          <w:sz w:val="18"/>
          <w:szCs w:val="18"/>
        </w:rPr>
        <w:t>1）收取该金融资产现金流量的合同权利终止。</w:t>
      </w:r>
    </w:p>
    <w:p w:rsidR="00B54A20" w:rsidRPr="004C1599" w:rsidRDefault="00B54A20" w:rsidP="004C1599">
      <w:pPr>
        <w:pStyle w:val="a3"/>
        <w:spacing w:before="0" w:beforeAutospacing="0" w:after="0" w:afterAutospacing="0"/>
        <w:ind w:firstLineChars="432" w:firstLine="778"/>
        <w:jc w:val="both"/>
        <w:divId w:val="72819906"/>
        <w:rPr>
          <w:sz w:val="18"/>
          <w:szCs w:val="18"/>
        </w:rPr>
      </w:pPr>
      <w:r w:rsidRPr="004C1599">
        <w:rPr>
          <w:rFonts w:hint="eastAsia"/>
          <w:sz w:val="18"/>
          <w:szCs w:val="18"/>
        </w:rPr>
        <w:t xml:space="preserve"> 2）该金融资产已转移，且</w:t>
      </w:r>
      <w:proofErr w:type="gramStart"/>
      <w:r w:rsidRPr="004C1599">
        <w:rPr>
          <w:rFonts w:hint="eastAsia"/>
          <w:sz w:val="18"/>
          <w:szCs w:val="18"/>
        </w:rPr>
        <w:t>该转移</w:t>
      </w:r>
      <w:proofErr w:type="gramEnd"/>
      <w:r w:rsidRPr="004C1599">
        <w:rPr>
          <w:rFonts w:hint="eastAsia"/>
          <w:sz w:val="18"/>
          <w:szCs w:val="18"/>
        </w:rPr>
        <w:t>满足金融资产终止确认的规定。</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（2）金融负债终止确认条件</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金融负债（或其一部分）的现时义务已经解除的，则终止确认该金融负债（或该部分金融负债）。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本公司与借出方之间签订协议，以承担新金融负债方式替换</w:t>
      </w:r>
      <w:proofErr w:type="gramStart"/>
      <w:r w:rsidRPr="004C1599">
        <w:rPr>
          <w:rFonts w:hint="eastAsia"/>
          <w:sz w:val="18"/>
          <w:szCs w:val="18"/>
        </w:rPr>
        <w:t>原金融</w:t>
      </w:r>
      <w:proofErr w:type="gramEnd"/>
      <w:r w:rsidRPr="004C1599">
        <w:rPr>
          <w:rFonts w:hint="eastAsia"/>
          <w:sz w:val="18"/>
          <w:szCs w:val="18"/>
        </w:rPr>
        <w:t>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B54A20" w:rsidRDefault="00B54A20">
      <w:pPr>
        <w:pStyle w:val="a3"/>
        <w:ind w:right="782"/>
        <w:jc w:val="both"/>
        <w:divId w:val="72819906"/>
        <w:rPr>
          <w:rFonts w:ascii="Times New Roman" w:hAnsi="Times New Roman" w:cs="Times New Roman"/>
        </w:rPr>
      </w:pPr>
      <w:r>
        <w:rPr>
          <w:rStyle w:val="a4"/>
          <w:rFonts w:ascii="Times New Roman" w:hAnsi="Times New Roman" w:cs="Times New Roman"/>
          <w:sz w:val="21"/>
          <w:szCs w:val="21"/>
        </w:rPr>
        <w:t>4.</w:t>
      </w:r>
      <w:r>
        <w:rPr>
          <w:rStyle w:val="a4"/>
          <w:rFonts w:cs="Times New Roman" w:hint="eastAsia"/>
          <w:sz w:val="21"/>
          <w:szCs w:val="21"/>
        </w:rPr>
        <w:t>金融资产转移的确认依据和计量方法</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本公司在发生金融资产转移时，评估其保留金融资产所有权上的风险和报酬的程度，并分别下列情形处理：</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（1）转移了金融资产所有权上几乎所有风险和报酬的，则终止确认该金融资产，并将转移中产生或保留的权利和义务单独确认为资产或负债。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（2）保留了金融资产所有权上几乎所有风险和报酬的，则继续确认该金融资产。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（3）既没有转移也没有保留金融资产所有权上几乎所有风险和报酬的（即除本条（1）、（2）之外的其他情形），则根据其是否保留了对金融资产的控制，分别下列情形处理：</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1）未保留对该金融资产控制的，则终止确认该金融资产，并将转移中产生或保留的权利和义务单独确认为资产或负债。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2）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在判断金融资产转移是否满足上述金融资产终止确认条件时，采用实质重于形式的原则。公司将金融资产转移区分为金融资产整体转移和部分转移。</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（1）金融资产整体转移满足终止确认条件的，将下列两项金额的差额计入当期损益：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1）被转移金融资产在终止确认日的账面价值。</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2）因转移金融资产而收到的对价，与</w:t>
      </w:r>
      <w:proofErr w:type="gramStart"/>
      <w:r w:rsidRPr="004C1599">
        <w:rPr>
          <w:rFonts w:hint="eastAsia"/>
          <w:sz w:val="18"/>
          <w:szCs w:val="18"/>
        </w:rPr>
        <w:t>原直接</w:t>
      </w:r>
      <w:proofErr w:type="gramEnd"/>
      <w:r w:rsidRPr="004C1599">
        <w:rPr>
          <w:rFonts w:hint="eastAsia"/>
          <w:sz w:val="18"/>
          <w:szCs w:val="18"/>
        </w:rPr>
        <w:t>计入其他综合收益的公允价值变动累计额中对应终止确认部分的金额（涉及转移的金融资产为以公允价值计量且其变动计入其他综合收益的金融资产）之</w:t>
      </w:r>
      <w:proofErr w:type="gramStart"/>
      <w:r w:rsidRPr="004C1599">
        <w:rPr>
          <w:rFonts w:hint="eastAsia"/>
          <w:sz w:val="18"/>
          <w:szCs w:val="18"/>
        </w:rPr>
        <w:t>和</w:t>
      </w:r>
      <w:proofErr w:type="gramEnd"/>
      <w:r w:rsidRPr="004C1599">
        <w:rPr>
          <w:rFonts w:hint="eastAsia"/>
          <w:sz w:val="18"/>
          <w:szCs w:val="18"/>
        </w:rPr>
        <w:t>。</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金融资产部分转移且该被转移部分整体满足终止确认条件的，将转移前金融资产整体的账面价值，在终止确认部分和继续确认部分（在此种情形下，所保留的服务资产应当视同继续确认金融资产的一部分）之间，按照</w:t>
      </w:r>
      <w:proofErr w:type="gramStart"/>
      <w:r w:rsidRPr="004C1599">
        <w:rPr>
          <w:rFonts w:hint="eastAsia"/>
          <w:sz w:val="18"/>
          <w:szCs w:val="18"/>
        </w:rPr>
        <w:t>转移日</w:t>
      </w:r>
      <w:proofErr w:type="gramEnd"/>
      <w:r w:rsidRPr="004C1599">
        <w:rPr>
          <w:rFonts w:hint="eastAsia"/>
          <w:sz w:val="18"/>
          <w:szCs w:val="18"/>
        </w:rPr>
        <w:t>各自的相对公允价值进行分摊，并将下列两项金额的差额计入当期损益：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1）终止确认部分在终止确认日的账面价值。</w:t>
      </w:r>
    </w:p>
    <w:p w:rsidR="00B54A20" w:rsidRPr="004C1599" w:rsidRDefault="00B54A20" w:rsidP="004C1599">
      <w:pPr>
        <w:pStyle w:val="a3"/>
        <w:spacing w:before="0" w:beforeAutospacing="0" w:after="0" w:afterAutospacing="0"/>
        <w:ind w:firstLine="420"/>
        <w:jc w:val="both"/>
        <w:divId w:val="72819906"/>
        <w:rPr>
          <w:sz w:val="18"/>
          <w:szCs w:val="18"/>
        </w:rPr>
      </w:pPr>
      <w:r>
        <w:rPr>
          <w:rFonts w:cs="Times New Roman" w:hint="eastAsia"/>
          <w:sz w:val="18"/>
          <w:szCs w:val="18"/>
        </w:rPr>
        <w:t> </w:t>
      </w:r>
      <w:r w:rsidRPr="004C1599">
        <w:rPr>
          <w:rFonts w:hint="eastAsia"/>
          <w:sz w:val="18"/>
          <w:szCs w:val="18"/>
        </w:rPr>
        <w:t>  2）终止确认部分收到的对价，与原计入其他综合收益的公允价值变动累计额中对应终止确认部分的金额（涉及转移的金融资产为以公允价值计量且其变动计入其他综合收益的金融资产）之</w:t>
      </w:r>
      <w:proofErr w:type="gramStart"/>
      <w:r w:rsidRPr="004C1599">
        <w:rPr>
          <w:rFonts w:hint="eastAsia"/>
          <w:sz w:val="18"/>
          <w:szCs w:val="18"/>
        </w:rPr>
        <w:t>和</w:t>
      </w:r>
      <w:proofErr w:type="gramEnd"/>
      <w:r w:rsidRPr="004C1599">
        <w:rPr>
          <w:rFonts w:hint="eastAsia"/>
          <w:sz w:val="18"/>
          <w:szCs w:val="18"/>
        </w:rPr>
        <w:t>。</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金融资产转移不满足终止确认条件的，继续确认该金融资产，所收到的对价确认为一项金融负债。</w:t>
      </w:r>
    </w:p>
    <w:p w:rsidR="00B54A20" w:rsidRDefault="00B54A20">
      <w:pPr>
        <w:pStyle w:val="a3"/>
        <w:ind w:right="782"/>
        <w:jc w:val="both"/>
        <w:divId w:val="72819906"/>
        <w:rPr>
          <w:rFonts w:ascii="Times New Roman" w:hAnsi="Times New Roman" w:cs="Times New Roman"/>
        </w:rPr>
      </w:pPr>
      <w:r>
        <w:rPr>
          <w:rStyle w:val="a4"/>
          <w:rFonts w:ascii="Times New Roman" w:hAnsi="Times New Roman" w:cs="Times New Roman"/>
          <w:sz w:val="21"/>
          <w:szCs w:val="21"/>
        </w:rPr>
        <w:t>    5.</w:t>
      </w:r>
      <w:r>
        <w:rPr>
          <w:rStyle w:val="a4"/>
          <w:rFonts w:cs="Times New Roman" w:hint="eastAsia"/>
          <w:sz w:val="21"/>
          <w:szCs w:val="21"/>
        </w:rPr>
        <w:t>金融资产和金融负债公允价值的确定方法</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初始取得或衍生的金融资产或承担的金融负债，以市场交易价格作为确定其公允价值的基础。</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B54A20" w:rsidRDefault="00B54A20">
      <w:pPr>
        <w:pStyle w:val="a3"/>
        <w:ind w:right="782"/>
        <w:jc w:val="both"/>
        <w:divId w:val="72819906"/>
        <w:rPr>
          <w:rFonts w:ascii="Times New Roman" w:hAnsi="Times New Roman" w:cs="Times New Roman"/>
        </w:rPr>
      </w:pPr>
      <w:r>
        <w:rPr>
          <w:rStyle w:val="a4"/>
          <w:rFonts w:ascii="Times New Roman" w:hAnsi="Times New Roman" w:cs="Times New Roman"/>
          <w:sz w:val="21"/>
          <w:szCs w:val="21"/>
        </w:rPr>
        <w:t>    6.</w:t>
      </w:r>
      <w:r>
        <w:rPr>
          <w:rStyle w:val="a4"/>
          <w:rFonts w:cs="Times New Roman" w:hint="eastAsia"/>
          <w:sz w:val="21"/>
          <w:szCs w:val="21"/>
        </w:rPr>
        <w:t>金融工具减值</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本公司对以摊</w:t>
      </w:r>
      <w:proofErr w:type="gramStart"/>
      <w:r w:rsidRPr="004C1599">
        <w:rPr>
          <w:rFonts w:hint="eastAsia"/>
          <w:sz w:val="18"/>
          <w:szCs w:val="18"/>
        </w:rPr>
        <w:t>余成本</w:t>
      </w:r>
      <w:proofErr w:type="gramEnd"/>
      <w:r w:rsidRPr="004C1599">
        <w:rPr>
          <w:rFonts w:hint="eastAsia"/>
          <w:sz w:val="18"/>
          <w:szCs w:val="18"/>
        </w:rPr>
        <w:t>计量的金融资产以预期信用损失为基础进行减值会计处理并确认损失准备。</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预期信用损失，是指以发生违约的风险为权重的金融工具信用损失的加权平均值。信用损失，是指本公司按照</w:t>
      </w:r>
      <w:proofErr w:type="gramStart"/>
      <w:r w:rsidRPr="004C1599">
        <w:rPr>
          <w:rFonts w:hint="eastAsia"/>
          <w:sz w:val="18"/>
          <w:szCs w:val="18"/>
        </w:rPr>
        <w:t>原实际</w:t>
      </w:r>
      <w:proofErr w:type="gramEnd"/>
      <w:r w:rsidRPr="004C1599">
        <w:rPr>
          <w:rFonts w:hint="eastAsia"/>
          <w:sz w:val="18"/>
          <w:szCs w:val="18"/>
        </w:rPr>
        <w:t>利率折现的、根据合同应收的所有合同现金流量与预期收取的所有现金流量之间的差额，即全部现金短缺的现值。其中，对于本公司</w:t>
      </w:r>
      <w:proofErr w:type="gramStart"/>
      <w:r w:rsidRPr="004C1599">
        <w:rPr>
          <w:rFonts w:hint="eastAsia"/>
          <w:sz w:val="18"/>
          <w:szCs w:val="18"/>
        </w:rPr>
        <w:t>购买或源生</w:t>
      </w:r>
      <w:proofErr w:type="gramEnd"/>
      <w:r w:rsidRPr="004C1599">
        <w:rPr>
          <w:rFonts w:hint="eastAsia"/>
          <w:sz w:val="18"/>
          <w:szCs w:val="18"/>
        </w:rPr>
        <w:t>的已发生信用减值的金融资产，应按照该金融资产经信用调整的实际利率折现。</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对由收入准则规范的交易形成的应收款项、合同资产以及租赁应收款，本公司运用简化计量方法，按照相当于整个存续期内预期信用损失的金额计量损失准备。</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对于</w:t>
      </w:r>
      <w:proofErr w:type="gramStart"/>
      <w:r w:rsidRPr="004C1599">
        <w:rPr>
          <w:rFonts w:hint="eastAsia"/>
          <w:sz w:val="18"/>
          <w:szCs w:val="18"/>
        </w:rPr>
        <w:t>购买或源生</w:t>
      </w:r>
      <w:proofErr w:type="gramEnd"/>
      <w:r w:rsidRPr="004C1599">
        <w:rPr>
          <w:rFonts w:hint="eastAsia"/>
          <w:sz w:val="18"/>
          <w:szCs w:val="18"/>
        </w:rPr>
        <w:t>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除上述采用简化计量方法和</w:t>
      </w:r>
      <w:proofErr w:type="gramStart"/>
      <w:r w:rsidRPr="004C1599">
        <w:rPr>
          <w:rFonts w:hint="eastAsia"/>
          <w:sz w:val="18"/>
          <w:szCs w:val="18"/>
        </w:rPr>
        <w:t>购买或源生</w:t>
      </w:r>
      <w:proofErr w:type="gramEnd"/>
      <w:r w:rsidRPr="004C1599">
        <w:rPr>
          <w:rFonts w:hint="eastAsia"/>
          <w:sz w:val="18"/>
          <w:szCs w:val="18"/>
        </w:rPr>
        <w:t>的已发生信用减值以外的其他金融资产，本公司在每个资产负债表日评估相关金融工具的信用风险自初始确认后是否已显著增加，并按照下列情形分别计量其损失准备、确认预期信用损失及其变动：</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（1）如果该金融工具的信用风险自初始确认后并未显著增加，处于第一阶段，则按照相当于该金融工具未来12个月内预期信用损失的金额计量其损失准备，并按照账面余额和实际利率计算利息收入。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（3）如果该金融工具自初始确认后已经发生信用减值的，处于第三阶段，本公司按照相当于该金融工具整个存续期内预期信用损失的金额计量其损失准备，并按照摊</w:t>
      </w:r>
      <w:proofErr w:type="gramStart"/>
      <w:r w:rsidRPr="004C1599">
        <w:rPr>
          <w:rFonts w:hint="eastAsia"/>
          <w:sz w:val="18"/>
          <w:szCs w:val="18"/>
        </w:rPr>
        <w:t>余成本</w:t>
      </w:r>
      <w:proofErr w:type="gramEnd"/>
      <w:r w:rsidRPr="004C1599">
        <w:rPr>
          <w:rFonts w:hint="eastAsia"/>
          <w:sz w:val="18"/>
          <w:szCs w:val="18"/>
        </w:rPr>
        <w:t>和实际利率计算利息收入。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w:t>
      </w:r>
      <w:proofErr w:type="gramStart"/>
      <w:r w:rsidRPr="004C1599">
        <w:rPr>
          <w:rFonts w:hint="eastAsia"/>
          <w:sz w:val="18"/>
          <w:szCs w:val="18"/>
        </w:rPr>
        <w:t>日按照</w:t>
      </w:r>
      <w:proofErr w:type="gramEnd"/>
      <w:r w:rsidRPr="004C1599">
        <w:rPr>
          <w:rFonts w:hint="eastAsia"/>
          <w:sz w:val="18"/>
          <w:szCs w:val="18"/>
        </w:rPr>
        <w:t>相当于未来12个月内预期信用损失的金额计量该金融工具的损失准备，由此形成的损失准备的转回金额作为减值利得计入当期损益。</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（1）信用风险显著增加</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本公司在评估信用风险是否显著增加时会考虑如下因素：</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1）债务人经营成果实际或预期是否发生显著变化；</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2）债务人所处的监管、经济或技术环境是否发生显著不利变化；</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3）作为债务抵押的担保物价值或第三方提供的担保或信用增级质量是否发生显著变化，这些变化预期将降低债务人按合同规定期限还款的经济动机或者影响违约概率；</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4）债务人预期表现和还款行为是否发生显著变化；</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5）本公司对金融工具信用管理方法是否发生变化等。</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（2）已发生信用减值的金融资产</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当对金融资产预期未来现金流量具有不利影响的一项或多项事件发生时，该金融资产成为已发生信用减值的金融资产。金融资产已发生信用减值的证据包括下列可观察信息：</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1）发行方或债务人发生重大财务困难；</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2）债务人违反合同，如偿付利息或本金违约或逾期等；</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3）债权人出于与债务人财务困难有关的经济或合同考虑，给予债务人在任何其他情况下都不会做出的让步；</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4）债务人很可能破产或进行其他财务重组；</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5）发行方或债务人财务困难导致该金融资产的活跃市场消失；</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6）以大幅折扣</w:t>
      </w:r>
      <w:proofErr w:type="gramStart"/>
      <w:r w:rsidRPr="004C1599">
        <w:rPr>
          <w:rFonts w:hint="eastAsia"/>
          <w:sz w:val="18"/>
          <w:szCs w:val="18"/>
        </w:rPr>
        <w:t>购买或源生</w:t>
      </w:r>
      <w:proofErr w:type="gramEnd"/>
      <w:r w:rsidRPr="004C1599">
        <w:rPr>
          <w:rFonts w:hint="eastAsia"/>
          <w:sz w:val="18"/>
          <w:szCs w:val="18"/>
        </w:rPr>
        <w:t>一项金融资产，该折扣反映了发生信用损失的事实。</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金融资产发生信用减值，有可能是多个事件的共同作用所致，未必是可单独识别的事件所致。</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（3）预期信用损失的确定</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本公司基于单项和组合评估金融工具的预期信用损失，在评估预期信用损失时，考虑有关过去事项、当前状况以及未来经济状况预测的合理且有依据的信息。</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以共同信用风险特征为依据，将金融工具分为不同组合。本公司采用的共同信用风险特征包括：金融工具类型、信用风险评级、账龄组合、合同结算周期、债务人所处行业等。相关金融工具的单项评估标准和组合信用风险特征详见相关金融工具的会计政策。</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本公司按照下列方法确定相关金融工具的预期信用损失：</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1）对于金融资产，信用损失为本公司应收取的合同现金流量与预期收取的现金流量之间差额的现值。</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2）对于租赁应收款项，信用损失为本公司应收取的合同现金流量与预期收取的现金流量之间差额的现值。</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3）对于财务担保合同，信用损失为本公司就该合同持有人发生的信用损失向其做出赔付的预计付款额，减去本公司预期向该合同持有人、债务人或任何其他方收取的金额之间差额的现值。</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4）对于资产负债表日已发生信用减值但并非</w:t>
      </w:r>
      <w:proofErr w:type="gramStart"/>
      <w:r w:rsidRPr="004C1599">
        <w:rPr>
          <w:rFonts w:hint="eastAsia"/>
          <w:sz w:val="18"/>
          <w:szCs w:val="18"/>
        </w:rPr>
        <w:t>购买或源生</w:t>
      </w:r>
      <w:proofErr w:type="gramEnd"/>
      <w:r w:rsidRPr="004C1599">
        <w:rPr>
          <w:rFonts w:hint="eastAsia"/>
          <w:sz w:val="18"/>
          <w:szCs w:val="18"/>
        </w:rPr>
        <w:t>已发生信用减值的金融资产，信用损失为该金融资产账面余额与按</w:t>
      </w:r>
      <w:proofErr w:type="gramStart"/>
      <w:r w:rsidRPr="004C1599">
        <w:rPr>
          <w:rFonts w:hint="eastAsia"/>
          <w:sz w:val="18"/>
          <w:szCs w:val="18"/>
        </w:rPr>
        <w:t>原实际</w:t>
      </w:r>
      <w:proofErr w:type="gramEnd"/>
      <w:r w:rsidRPr="004C1599">
        <w:rPr>
          <w:rFonts w:hint="eastAsia"/>
          <w:sz w:val="18"/>
          <w:szCs w:val="18"/>
        </w:rPr>
        <w:t>利率折现的估计未来现金流量的现值之间的差额。</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  （4）</w:t>
      </w:r>
      <w:proofErr w:type="gramStart"/>
      <w:r w:rsidRPr="004C1599">
        <w:rPr>
          <w:rFonts w:hint="eastAsia"/>
          <w:sz w:val="18"/>
          <w:szCs w:val="18"/>
        </w:rPr>
        <w:t>减记金融资产</w:t>
      </w:r>
      <w:proofErr w:type="gramEnd"/>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当本公司不再合理预期金融资产合同现金流量能够全部或部分收回的，直接</w:t>
      </w:r>
      <w:proofErr w:type="gramStart"/>
      <w:r w:rsidRPr="004C1599">
        <w:rPr>
          <w:rFonts w:hint="eastAsia"/>
          <w:sz w:val="18"/>
          <w:szCs w:val="18"/>
        </w:rPr>
        <w:t>减记该</w:t>
      </w:r>
      <w:proofErr w:type="gramEnd"/>
      <w:r w:rsidRPr="004C1599">
        <w:rPr>
          <w:rFonts w:hint="eastAsia"/>
          <w:sz w:val="18"/>
          <w:szCs w:val="18"/>
        </w:rPr>
        <w:t>金融资产的账面余额。这种</w:t>
      </w:r>
      <w:proofErr w:type="gramStart"/>
      <w:r w:rsidRPr="004C1599">
        <w:rPr>
          <w:rFonts w:hint="eastAsia"/>
          <w:sz w:val="18"/>
          <w:szCs w:val="18"/>
        </w:rPr>
        <w:t>减记构成</w:t>
      </w:r>
      <w:proofErr w:type="gramEnd"/>
      <w:r w:rsidRPr="004C1599">
        <w:rPr>
          <w:rFonts w:hint="eastAsia"/>
          <w:sz w:val="18"/>
          <w:szCs w:val="18"/>
        </w:rPr>
        <w:t>相关金融资产的终止确认。</w:t>
      </w:r>
    </w:p>
    <w:p w:rsidR="00B54A20" w:rsidRDefault="00B54A20">
      <w:pPr>
        <w:pStyle w:val="a3"/>
        <w:jc w:val="both"/>
        <w:divId w:val="72819906"/>
        <w:rPr>
          <w:rFonts w:ascii="Times New Roman" w:hAnsi="Times New Roman" w:cs="Times New Roman"/>
        </w:rPr>
      </w:pPr>
      <w:r>
        <w:rPr>
          <w:rStyle w:val="a4"/>
          <w:rFonts w:ascii="Times New Roman" w:hAnsi="Times New Roman" w:cs="Times New Roman"/>
          <w:sz w:val="21"/>
          <w:szCs w:val="21"/>
        </w:rPr>
        <w:t>   7.</w:t>
      </w:r>
      <w:r>
        <w:rPr>
          <w:rStyle w:val="a4"/>
          <w:rFonts w:cs="Times New Roman" w:hint="eastAsia"/>
          <w:sz w:val="21"/>
          <w:szCs w:val="21"/>
        </w:rPr>
        <w:t>金融资产及金融负债的</w:t>
      </w:r>
      <w:proofErr w:type="gramStart"/>
      <w:r>
        <w:rPr>
          <w:rStyle w:val="a4"/>
          <w:rFonts w:cs="Times New Roman" w:hint="eastAsia"/>
          <w:sz w:val="21"/>
          <w:szCs w:val="21"/>
        </w:rPr>
        <w:t>抵销</w:t>
      </w:r>
      <w:proofErr w:type="gramEnd"/>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金融资产和金融负债在资产负债表内分别列示，没有相互</w:t>
      </w:r>
      <w:proofErr w:type="gramStart"/>
      <w:r w:rsidRPr="004C1599">
        <w:rPr>
          <w:rFonts w:hint="eastAsia"/>
          <w:sz w:val="18"/>
          <w:szCs w:val="18"/>
        </w:rPr>
        <w:t>抵销</w:t>
      </w:r>
      <w:proofErr w:type="gramEnd"/>
      <w:r w:rsidRPr="004C1599">
        <w:rPr>
          <w:rFonts w:hint="eastAsia"/>
          <w:sz w:val="18"/>
          <w:szCs w:val="18"/>
        </w:rPr>
        <w:t>。但是，同时满足下列条件的，以相互</w:t>
      </w:r>
      <w:proofErr w:type="gramStart"/>
      <w:r w:rsidRPr="004C1599">
        <w:rPr>
          <w:rFonts w:hint="eastAsia"/>
          <w:sz w:val="18"/>
          <w:szCs w:val="18"/>
        </w:rPr>
        <w:t>抵销</w:t>
      </w:r>
      <w:proofErr w:type="gramEnd"/>
      <w:r w:rsidRPr="004C1599">
        <w:rPr>
          <w:rFonts w:hint="eastAsia"/>
          <w:sz w:val="18"/>
          <w:szCs w:val="18"/>
        </w:rPr>
        <w:t>后的净额在资产负债表内列示：</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（1）本公司具有</w:t>
      </w:r>
      <w:proofErr w:type="gramStart"/>
      <w:r w:rsidRPr="004C1599">
        <w:rPr>
          <w:rFonts w:hint="eastAsia"/>
          <w:sz w:val="18"/>
          <w:szCs w:val="18"/>
        </w:rPr>
        <w:t>抵销</w:t>
      </w:r>
      <w:proofErr w:type="gramEnd"/>
      <w:r w:rsidRPr="004C1599">
        <w:rPr>
          <w:rFonts w:hint="eastAsia"/>
          <w:sz w:val="18"/>
          <w:szCs w:val="18"/>
        </w:rPr>
        <w:t>已确认金额的法定权利，且该种法定权利是当前可执行的；</w:t>
      </w:r>
    </w:p>
    <w:p w:rsidR="00B54A20" w:rsidRPr="004C1599" w:rsidRDefault="00B54A20" w:rsidP="004C1599">
      <w:pPr>
        <w:pStyle w:val="a3"/>
        <w:spacing w:before="0" w:beforeAutospacing="0" w:after="0" w:afterAutospacing="0"/>
        <w:ind w:firstLine="420"/>
        <w:jc w:val="both"/>
        <w:divId w:val="72819906"/>
        <w:rPr>
          <w:sz w:val="18"/>
          <w:szCs w:val="18"/>
        </w:rPr>
      </w:pPr>
      <w:r w:rsidRPr="004C1599">
        <w:rPr>
          <w:rFonts w:hint="eastAsia"/>
          <w:sz w:val="18"/>
          <w:szCs w:val="18"/>
        </w:rPr>
        <w:t>（2）本公司计划以净额结算，或同时变现该金融资产和清偿该金融负债。</w:t>
      </w:r>
      <w:r w:rsidRPr="004C1599">
        <w:rPr>
          <w:sz w:val="18"/>
          <w:szCs w:val="18"/>
        </w:rPr>
        <w:t xml:space="preserve"> </w:t>
      </w:r>
    </w:p>
    <w:p w:rsidR="00E62F69" w:rsidRDefault="00B54A20">
      <w:pPr>
        <w:pStyle w:val="3"/>
        <w:spacing w:line="280" w:lineRule="exact"/>
        <w:jc w:val="left"/>
        <w:rPr>
          <w:rFonts w:ascii="宋体" w:hAnsi="宋体" w:cs="宋体"/>
          <w:b/>
          <w:bCs/>
        </w:rPr>
      </w:pPr>
      <w:bookmarkStart w:id="26" w:name="_Toc989019"/>
      <w:r>
        <w:rPr>
          <w:rFonts w:ascii="宋体" w:hAnsi="宋体" w:cs="宋体"/>
          <w:b/>
          <w:bCs/>
        </w:rPr>
        <w:t>11、应收票据</w:t>
      </w:r>
      <w:bookmarkEnd w:id="26"/>
    </w:p>
    <w:p w:rsidR="00B54A20" w:rsidRPr="004C1599" w:rsidRDefault="00B54A20">
      <w:pPr>
        <w:pStyle w:val="a3"/>
        <w:spacing w:before="0" w:beforeAutospacing="0" w:after="0" w:afterAutospacing="0"/>
        <w:ind w:firstLine="420"/>
        <w:jc w:val="both"/>
        <w:divId w:val="72363175"/>
        <w:rPr>
          <w:sz w:val="18"/>
          <w:szCs w:val="18"/>
        </w:rPr>
      </w:pPr>
      <w:r>
        <w:rPr>
          <w:rFonts w:hint="eastAsia"/>
          <w:sz w:val="18"/>
          <w:szCs w:val="18"/>
        </w:rPr>
        <w:t>本公司对应收票据的预期信用损失的确定方法及会计处理方法详见本附注（十）6.金融工具减值。</w:t>
      </w:r>
    </w:p>
    <w:p w:rsidR="00B54A20" w:rsidRPr="004C1599" w:rsidRDefault="00B54A20">
      <w:pPr>
        <w:pStyle w:val="a3"/>
        <w:spacing w:before="0" w:beforeAutospacing="0" w:after="0" w:afterAutospacing="0"/>
        <w:ind w:firstLine="420"/>
        <w:jc w:val="both"/>
        <w:divId w:val="72363175"/>
        <w:rPr>
          <w:sz w:val="18"/>
          <w:szCs w:val="18"/>
        </w:rPr>
      </w:pPr>
      <w:r>
        <w:rPr>
          <w:rFonts w:hint="eastAsia"/>
          <w:sz w:val="18"/>
          <w:szCs w:val="18"/>
        </w:rPr>
        <w:t>本公司对单项金额重大且在初始确认后已经发生信用减值的应收票据单独确定其信用损失。</w:t>
      </w:r>
    </w:p>
    <w:p w:rsidR="00B54A20" w:rsidRPr="004C1599" w:rsidRDefault="00B54A20">
      <w:pPr>
        <w:pStyle w:val="a3"/>
        <w:spacing w:before="0" w:beforeAutospacing="0" w:after="0" w:afterAutospacing="0"/>
        <w:ind w:firstLine="420"/>
        <w:jc w:val="both"/>
        <w:divId w:val="72363175"/>
        <w:rPr>
          <w:sz w:val="18"/>
          <w:szCs w:val="18"/>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应收票据划分为若干组合，在组合基础上计算预期信用损失。确定组合的依据如下：</w:t>
      </w:r>
    </w:p>
    <w:tbl>
      <w:tblPr>
        <w:tblW w:w="9606" w:type="dxa"/>
        <w:tblCellMar>
          <w:left w:w="0" w:type="dxa"/>
          <w:right w:w="0" w:type="dxa"/>
        </w:tblCellMar>
        <w:tblLook w:val="04A0" w:firstRow="1" w:lastRow="0" w:firstColumn="1" w:lastColumn="0" w:noHBand="0" w:noVBand="1"/>
      </w:tblPr>
      <w:tblGrid>
        <w:gridCol w:w="1318"/>
        <w:gridCol w:w="5311"/>
        <w:gridCol w:w="2977"/>
      </w:tblGrid>
      <w:tr w:rsidR="00B54A20">
        <w:trPr>
          <w:divId w:val="72363175"/>
          <w:trHeight w:val="60"/>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60" w:lineRule="atLeast"/>
              <w:jc w:val="center"/>
            </w:pPr>
            <w:r>
              <w:rPr>
                <w:rFonts w:hint="eastAsia"/>
                <w:sz w:val="18"/>
                <w:szCs w:val="18"/>
              </w:rPr>
              <w:t>组合名称</w:t>
            </w:r>
          </w:p>
        </w:tc>
        <w:tc>
          <w:tcPr>
            <w:tcW w:w="5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60" w:lineRule="atLeast"/>
              <w:jc w:val="center"/>
            </w:pPr>
            <w:r>
              <w:rPr>
                <w:rFonts w:hint="eastAsia"/>
                <w:sz w:val="18"/>
                <w:szCs w:val="18"/>
              </w:rPr>
              <w:t>确定组合的依据</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60" w:lineRule="atLeast"/>
              <w:jc w:val="center"/>
            </w:pPr>
            <w:r>
              <w:rPr>
                <w:rFonts w:hint="eastAsia"/>
                <w:sz w:val="18"/>
                <w:szCs w:val="18"/>
              </w:rPr>
              <w:t>计提方法</w:t>
            </w:r>
          </w:p>
        </w:tc>
      </w:tr>
      <w:tr w:rsidR="00B54A20">
        <w:trPr>
          <w:divId w:val="72363175"/>
          <w:trHeight w:val="141"/>
        </w:trPr>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141" w:lineRule="atLeast"/>
            </w:pPr>
            <w:r>
              <w:rPr>
                <w:rFonts w:hint="eastAsia"/>
                <w:sz w:val="18"/>
                <w:szCs w:val="18"/>
              </w:rPr>
              <w:t>银行承兑汇票组合</w:t>
            </w:r>
          </w:p>
        </w:tc>
        <w:tc>
          <w:tcPr>
            <w:tcW w:w="5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141" w:lineRule="atLeast"/>
            </w:pPr>
            <w:r>
              <w:rPr>
                <w:rFonts w:hint="eastAsia"/>
                <w:sz w:val="18"/>
                <w:szCs w:val="18"/>
              </w:rPr>
              <w:t>出票人具有较高的信用评级，历史上未发生票据违约，信用损失风险极低，在短期内履行其支付合同现金流量义务的能力很强</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141" w:lineRule="atLeast"/>
            </w:pPr>
            <w:r>
              <w:rPr>
                <w:rFonts w:hint="eastAsia"/>
                <w:sz w:val="18"/>
                <w:szCs w:val="18"/>
              </w:rPr>
              <w:t>参考历史信用损失经验不计提坏账准备</w:t>
            </w:r>
          </w:p>
        </w:tc>
      </w:tr>
      <w:tr w:rsidR="00B54A20">
        <w:trPr>
          <w:divId w:val="72363175"/>
          <w:trHeight w:val="60"/>
        </w:trPr>
        <w:tc>
          <w:tcPr>
            <w:tcW w:w="1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60" w:lineRule="atLeast"/>
            </w:pPr>
            <w:r>
              <w:rPr>
                <w:rFonts w:hint="eastAsia"/>
                <w:sz w:val="18"/>
                <w:szCs w:val="18"/>
              </w:rPr>
              <w:t>商业承兑汇票组合</w:t>
            </w:r>
          </w:p>
        </w:tc>
        <w:tc>
          <w:tcPr>
            <w:tcW w:w="5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60" w:lineRule="atLeast"/>
            </w:pPr>
            <w:r>
              <w:rPr>
                <w:rFonts w:hint="eastAsia"/>
                <w:sz w:val="18"/>
                <w:szCs w:val="18"/>
              </w:rPr>
              <w:t>在以前年度实际损失率、对未来回收应收票据风险的判断及信用风险特征分析</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60" w:lineRule="atLeast"/>
            </w:pPr>
            <w:r>
              <w:rPr>
                <w:rFonts w:hint="eastAsia"/>
                <w:sz w:val="18"/>
                <w:szCs w:val="18"/>
              </w:rPr>
              <w:t>按照预期损失率计提减值准，与应收账款的组合划分相同</w:t>
            </w:r>
          </w:p>
        </w:tc>
      </w:tr>
    </w:tbl>
    <w:p w:rsidR="00E62F69" w:rsidRDefault="00B54A20">
      <w:pPr>
        <w:pStyle w:val="3"/>
        <w:spacing w:line="280" w:lineRule="exact"/>
        <w:jc w:val="left"/>
        <w:rPr>
          <w:rFonts w:ascii="宋体" w:hAnsi="宋体" w:cs="宋体"/>
          <w:b/>
          <w:bCs/>
        </w:rPr>
      </w:pPr>
      <w:bookmarkStart w:id="27" w:name="_Toc989020"/>
      <w:r>
        <w:rPr>
          <w:rFonts w:ascii="宋体" w:hAnsi="宋体" w:cs="宋体"/>
          <w:b/>
          <w:bCs/>
        </w:rPr>
        <w:t>12、应收账款</w:t>
      </w:r>
      <w:bookmarkEnd w:id="27"/>
    </w:p>
    <w:p w:rsidR="00B54A20" w:rsidRDefault="00B54A20">
      <w:pPr>
        <w:pStyle w:val="a3"/>
        <w:spacing w:before="0" w:beforeAutospacing="0" w:after="0" w:afterAutospacing="0"/>
        <w:ind w:firstLine="420"/>
        <w:jc w:val="both"/>
        <w:divId w:val="746683755"/>
      </w:pPr>
      <w:r>
        <w:rPr>
          <w:rFonts w:hint="eastAsia"/>
          <w:sz w:val="18"/>
          <w:szCs w:val="18"/>
        </w:rPr>
        <w:t>本公司对应收账款的预期信用损失的确定方法及会计处理方法详见本附注（十）6.金融工具减值。</w:t>
      </w:r>
    </w:p>
    <w:p w:rsidR="00B54A20" w:rsidRDefault="00B54A20">
      <w:pPr>
        <w:pStyle w:val="a3"/>
        <w:spacing w:before="0" w:beforeAutospacing="0" w:after="0" w:afterAutospacing="0"/>
        <w:ind w:firstLine="420"/>
        <w:jc w:val="both"/>
        <w:divId w:val="746683755"/>
      </w:pPr>
      <w:r>
        <w:rPr>
          <w:rFonts w:hint="eastAsia"/>
          <w:sz w:val="18"/>
          <w:szCs w:val="18"/>
        </w:rPr>
        <w:t>本公司对单项金额重大且在初始确认后已经发生信用减值的应收账款单独确定其信用损失。</w:t>
      </w:r>
    </w:p>
    <w:p w:rsidR="00B54A20" w:rsidRDefault="00B54A20">
      <w:pPr>
        <w:pStyle w:val="a3"/>
        <w:spacing w:before="0" w:beforeAutospacing="0" w:after="0" w:afterAutospacing="0"/>
        <w:ind w:firstLine="420"/>
        <w:jc w:val="both"/>
        <w:divId w:val="746683755"/>
      </w:pPr>
      <w:r>
        <w:rPr>
          <w:rFonts w:hint="eastAsia"/>
          <w:sz w:val="18"/>
          <w:szCs w:val="18"/>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9606" w:type="dxa"/>
        <w:tblCellMar>
          <w:left w:w="0" w:type="dxa"/>
          <w:right w:w="0" w:type="dxa"/>
        </w:tblCellMar>
        <w:tblLook w:val="04A0" w:firstRow="1" w:lastRow="0" w:firstColumn="1" w:lastColumn="0" w:noHBand="0" w:noVBand="1"/>
      </w:tblPr>
      <w:tblGrid>
        <w:gridCol w:w="985"/>
        <w:gridCol w:w="3964"/>
        <w:gridCol w:w="4657"/>
      </w:tblGrid>
      <w:tr w:rsidR="00B54A20" w:rsidTr="004C1599">
        <w:trPr>
          <w:divId w:val="746683755"/>
          <w:trHeight w:val="510"/>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组合名称</w:t>
            </w:r>
          </w:p>
        </w:tc>
        <w:tc>
          <w:tcPr>
            <w:tcW w:w="3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确定组合的依据</w:t>
            </w:r>
          </w:p>
        </w:tc>
        <w:tc>
          <w:tcPr>
            <w:tcW w:w="4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计提方法</w:t>
            </w:r>
          </w:p>
        </w:tc>
      </w:tr>
      <w:tr w:rsidR="00B54A20" w:rsidTr="004C1599">
        <w:trPr>
          <w:divId w:val="746683755"/>
          <w:trHeight w:val="606"/>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风险组合</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本组合以应收账款的账</w:t>
            </w:r>
            <w:proofErr w:type="gramStart"/>
            <w:r>
              <w:rPr>
                <w:rFonts w:hint="eastAsia"/>
                <w:sz w:val="18"/>
                <w:szCs w:val="18"/>
              </w:rPr>
              <w:t>龄作为</w:t>
            </w:r>
            <w:proofErr w:type="gramEnd"/>
            <w:r>
              <w:rPr>
                <w:rFonts w:hint="eastAsia"/>
                <w:sz w:val="18"/>
                <w:szCs w:val="18"/>
              </w:rPr>
              <w:t>信用风险特征</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参考历史信用损失经验，结合当前状况以及对未来经济状况的预期计量坏账准备</w:t>
            </w:r>
          </w:p>
        </w:tc>
      </w:tr>
      <w:tr w:rsidR="00B54A20" w:rsidTr="004C1599">
        <w:trPr>
          <w:divId w:val="746683755"/>
          <w:trHeight w:val="798"/>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性质组合</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根据业务性质，认定无信用风险，主要包括合并范围内关联方的款项、信用证结算的销售货款</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参考历史信用损失经验，结合当前状况以及对未来经济状况的预期计量坏账准备</w:t>
            </w:r>
          </w:p>
        </w:tc>
      </w:tr>
    </w:tbl>
    <w:p w:rsidR="00E62F69" w:rsidRDefault="00B54A20">
      <w:pPr>
        <w:pStyle w:val="3"/>
        <w:spacing w:line="280" w:lineRule="exact"/>
        <w:jc w:val="left"/>
        <w:rPr>
          <w:rFonts w:ascii="宋体" w:hAnsi="宋体" w:cs="宋体"/>
          <w:b/>
          <w:bCs/>
        </w:rPr>
      </w:pPr>
      <w:bookmarkStart w:id="28" w:name="_Toc989021"/>
      <w:r>
        <w:rPr>
          <w:rFonts w:ascii="宋体" w:hAnsi="宋体" w:cs="宋体"/>
          <w:b/>
          <w:bCs/>
        </w:rPr>
        <w:t>13、应收款项融资</w:t>
      </w:r>
      <w:bookmarkEnd w:id="28"/>
    </w:p>
    <w:p w:rsidR="00B54A20" w:rsidRPr="004C1599" w:rsidRDefault="00B54A20" w:rsidP="004C1599">
      <w:pPr>
        <w:pStyle w:val="a3"/>
        <w:spacing w:before="0" w:beforeAutospacing="0" w:after="0" w:afterAutospacing="0"/>
        <w:ind w:firstLine="420"/>
        <w:jc w:val="both"/>
        <w:divId w:val="820266637"/>
        <w:rPr>
          <w:sz w:val="18"/>
          <w:szCs w:val="18"/>
        </w:rPr>
      </w:pPr>
      <w:r>
        <w:rPr>
          <w:rFonts w:hint="eastAsia"/>
          <w:sz w:val="18"/>
          <w:szCs w:val="18"/>
        </w:rPr>
        <w:t>本公司对应收款项融资的预期信用损失的确定方法及会计处理方法详见本附注四／（十）</w:t>
      </w:r>
      <w:r w:rsidRPr="004C1599">
        <w:rPr>
          <w:sz w:val="18"/>
          <w:szCs w:val="18"/>
        </w:rPr>
        <w:t>6.</w:t>
      </w:r>
      <w:r>
        <w:rPr>
          <w:rFonts w:hint="eastAsia"/>
          <w:sz w:val="18"/>
          <w:szCs w:val="18"/>
        </w:rPr>
        <w:t>金融工具减值。</w:t>
      </w:r>
    </w:p>
    <w:p w:rsidR="00E62F69" w:rsidRDefault="00B54A20">
      <w:pPr>
        <w:pStyle w:val="3"/>
        <w:spacing w:line="280" w:lineRule="exact"/>
        <w:jc w:val="left"/>
        <w:rPr>
          <w:rFonts w:ascii="宋体" w:hAnsi="宋体" w:cs="宋体"/>
          <w:b/>
          <w:bCs/>
        </w:rPr>
      </w:pPr>
      <w:bookmarkStart w:id="29" w:name="_Toc989022"/>
      <w:r>
        <w:rPr>
          <w:rFonts w:ascii="宋体" w:hAnsi="宋体" w:cs="宋体"/>
          <w:b/>
          <w:bCs/>
        </w:rPr>
        <w:t>14、其他应收款</w:t>
      </w:r>
      <w:bookmarkEnd w:id="29"/>
    </w:p>
    <w:p w:rsidR="00E62F69" w:rsidRDefault="00B54A20" w:rsidP="004C1599">
      <w:pPr>
        <w:pStyle w:val="a3"/>
        <w:spacing w:before="0" w:beforeAutospacing="0" w:after="0" w:afterAutospacing="0"/>
        <w:ind w:firstLine="420"/>
        <w:jc w:val="both"/>
        <w:rPr>
          <w:sz w:val="18"/>
          <w:szCs w:val="18"/>
        </w:rPr>
      </w:pPr>
      <w:r>
        <w:rPr>
          <w:sz w:val="18"/>
          <w:szCs w:val="18"/>
        </w:rPr>
        <w:t>其他应收款的预期信用损失的确定方法及会计处理方法</w:t>
      </w:r>
    </w:p>
    <w:p w:rsidR="00B54A20" w:rsidRPr="004C1599" w:rsidRDefault="00B54A20" w:rsidP="004C1599">
      <w:pPr>
        <w:pStyle w:val="a3"/>
        <w:spacing w:before="0" w:beforeAutospacing="0" w:after="0" w:afterAutospacing="0"/>
        <w:ind w:firstLine="420"/>
        <w:jc w:val="both"/>
        <w:divId w:val="2075810882"/>
        <w:rPr>
          <w:sz w:val="18"/>
          <w:szCs w:val="18"/>
        </w:rPr>
      </w:pPr>
      <w:r>
        <w:rPr>
          <w:rFonts w:hint="eastAsia"/>
          <w:sz w:val="18"/>
          <w:szCs w:val="18"/>
        </w:rPr>
        <w:t>本公司对其他应收款的预期信用损失的确定方法及会计处理方法详见本附注（十）</w:t>
      </w:r>
      <w:r w:rsidRPr="004C1599">
        <w:rPr>
          <w:sz w:val="18"/>
          <w:szCs w:val="18"/>
        </w:rPr>
        <w:t>6.</w:t>
      </w:r>
      <w:r>
        <w:rPr>
          <w:rFonts w:hint="eastAsia"/>
          <w:sz w:val="18"/>
          <w:szCs w:val="18"/>
        </w:rPr>
        <w:t>金融工具减值。</w:t>
      </w:r>
    </w:p>
    <w:p w:rsidR="00B54A20" w:rsidRPr="004C1599" w:rsidRDefault="00B54A20" w:rsidP="004C1599">
      <w:pPr>
        <w:pStyle w:val="a3"/>
        <w:spacing w:before="0" w:beforeAutospacing="0" w:after="0" w:afterAutospacing="0"/>
        <w:ind w:firstLine="420"/>
        <w:jc w:val="both"/>
        <w:divId w:val="2075810882"/>
        <w:rPr>
          <w:sz w:val="18"/>
          <w:szCs w:val="18"/>
        </w:rPr>
      </w:pPr>
      <w:r>
        <w:rPr>
          <w:rFonts w:hint="eastAsia"/>
          <w:sz w:val="18"/>
          <w:szCs w:val="18"/>
        </w:rPr>
        <w:t>本公司对单项金额重大且在初始确认后已经发生信用减值的其他应收款单独确定其信用损失。</w:t>
      </w:r>
    </w:p>
    <w:p w:rsidR="00B54A20" w:rsidRPr="004C1599" w:rsidRDefault="00B54A20" w:rsidP="004C1599">
      <w:pPr>
        <w:pStyle w:val="a3"/>
        <w:spacing w:before="0" w:beforeAutospacing="0" w:after="0" w:afterAutospacing="0"/>
        <w:ind w:firstLine="420"/>
        <w:jc w:val="both"/>
        <w:divId w:val="2075810882"/>
        <w:rPr>
          <w:sz w:val="18"/>
          <w:szCs w:val="18"/>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确定组合的依据如下：</w:t>
      </w:r>
    </w:p>
    <w:tbl>
      <w:tblPr>
        <w:tblW w:w="9606" w:type="dxa"/>
        <w:tblCellMar>
          <w:left w:w="0" w:type="dxa"/>
          <w:right w:w="0" w:type="dxa"/>
        </w:tblCellMar>
        <w:tblLook w:val="04A0" w:firstRow="1" w:lastRow="0" w:firstColumn="1" w:lastColumn="0" w:noHBand="0" w:noVBand="1"/>
      </w:tblPr>
      <w:tblGrid>
        <w:gridCol w:w="1105"/>
        <w:gridCol w:w="3933"/>
        <w:gridCol w:w="4568"/>
      </w:tblGrid>
      <w:tr w:rsidR="00B54A20">
        <w:trPr>
          <w:divId w:val="2075810882"/>
          <w:trHeight w:val="397"/>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组合名称</w:t>
            </w:r>
          </w:p>
        </w:tc>
        <w:tc>
          <w:tcPr>
            <w:tcW w:w="3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确定组合的依据</w:t>
            </w:r>
          </w:p>
        </w:tc>
        <w:tc>
          <w:tcPr>
            <w:tcW w:w="4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计提方法</w:t>
            </w:r>
          </w:p>
        </w:tc>
      </w:tr>
      <w:tr w:rsidR="00B54A20">
        <w:trPr>
          <w:divId w:val="2075810882"/>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风险组合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本组合以其他应收款的账</w:t>
            </w:r>
            <w:proofErr w:type="gramStart"/>
            <w:r>
              <w:rPr>
                <w:rFonts w:hint="eastAsia"/>
                <w:sz w:val="18"/>
                <w:szCs w:val="18"/>
              </w:rPr>
              <w:t>龄作为</w:t>
            </w:r>
            <w:proofErr w:type="gramEnd"/>
            <w:r>
              <w:rPr>
                <w:rFonts w:hint="eastAsia"/>
                <w:sz w:val="18"/>
                <w:szCs w:val="18"/>
              </w:rPr>
              <w:t>信用风险特征</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参考历史信用损失经验，结合当前状况以及对未来经济状况的预期计量坏账准备</w:t>
            </w:r>
          </w:p>
        </w:tc>
      </w:tr>
      <w:tr w:rsidR="00B54A20">
        <w:trPr>
          <w:divId w:val="2075810882"/>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应收财政款组合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根据业务性质，主要包括出口退税款、政府补助</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参考历史信用损失经验，结合当前状况以及对未来经济状况的预期计量坏账准备</w:t>
            </w:r>
          </w:p>
        </w:tc>
      </w:tr>
      <w:tr w:rsidR="00B54A20">
        <w:trPr>
          <w:divId w:val="2075810882"/>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合并范围内关联方组合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合并范围内关联方</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参考历史信用损失经验，不计提坏准备</w:t>
            </w:r>
          </w:p>
        </w:tc>
      </w:tr>
    </w:tbl>
    <w:p w:rsidR="00B54A20" w:rsidRDefault="00B54A20">
      <w:pPr>
        <w:divId w:val="2075810882"/>
        <w:rPr>
          <w:sz w:val="24"/>
          <w:szCs w:val="24"/>
        </w:rPr>
      </w:pPr>
    </w:p>
    <w:p w:rsidR="00E62F69" w:rsidRDefault="00B54A20">
      <w:pPr>
        <w:pStyle w:val="3"/>
        <w:spacing w:line="280" w:lineRule="exact"/>
        <w:jc w:val="left"/>
        <w:rPr>
          <w:rFonts w:ascii="宋体" w:hAnsi="宋体" w:cs="宋体"/>
          <w:b/>
          <w:bCs/>
        </w:rPr>
      </w:pPr>
      <w:bookmarkStart w:id="30" w:name="_Toc989023"/>
      <w:r>
        <w:rPr>
          <w:rFonts w:ascii="宋体" w:hAnsi="宋体" w:cs="宋体"/>
          <w:b/>
          <w:bCs/>
        </w:rPr>
        <w:t>15、存货</w:t>
      </w:r>
      <w:bookmarkEnd w:id="30"/>
    </w:p>
    <w:p w:rsidR="00B54A20" w:rsidRDefault="00B54A20" w:rsidP="00D51BB1">
      <w:pPr>
        <w:widowControl/>
        <w:numPr>
          <w:ilvl w:val="2"/>
          <w:numId w:val="2"/>
        </w:numPr>
        <w:tabs>
          <w:tab w:val="clear" w:pos="2160"/>
          <w:tab w:val="num" w:pos="851"/>
        </w:tabs>
        <w:ind w:left="0" w:firstLine="425"/>
        <w:divId w:val="1653750395"/>
        <w:rPr>
          <w:sz w:val="18"/>
          <w:szCs w:val="18"/>
        </w:rPr>
      </w:pPr>
      <w:r>
        <w:rPr>
          <w:rFonts w:hint="eastAsia"/>
          <w:sz w:val="18"/>
          <w:szCs w:val="18"/>
        </w:rPr>
        <w:t>存货的分类</w:t>
      </w:r>
    </w:p>
    <w:p w:rsidR="00B54A20" w:rsidRPr="00304B40" w:rsidRDefault="00B54A20">
      <w:pPr>
        <w:pStyle w:val="a3"/>
        <w:spacing w:before="0" w:beforeAutospacing="0" w:after="0" w:afterAutospacing="0"/>
        <w:ind w:firstLine="420"/>
        <w:jc w:val="both"/>
        <w:divId w:val="1653750395"/>
        <w:rPr>
          <w:sz w:val="18"/>
          <w:szCs w:val="18"/>
        </w:rPr>
      </w:pPr>
      <w:r>
        <w:rPr>
          <w:rFonts w:hint="eastAsia"/>
          <w:sz w:val="18"/>
          <w:szCs w:val="18"/>
        </w:rPr>
        <w:t>存货是指本公司在日常活动中持有以备出售的产成品或商品、处在生产过程中的在产品、在生产过程或提供劳务过程中耗用的材料和物料等。主要包括原材料、周转材料、委托加工材料、在产品、自制半成品、产成品（库存商品）、发出商品等。</w:t>
      </w:r>
    </w:p>
    <w:p w:rsidR="00B54A20" w:rsidRDefault="00B54A20" w:rsidP="00D51BB1">
      <w:pPr>
        <w:widowControl/>
        <w:numPr>
          <w:ilvl w:val="2"/>
          <w:numId w:val="2"/>
        </w:numPr>
        <w:tabs>
          <w:tab w:val="clear" w:pos="2160"/>
          <w:tab w:val="num" w:pos="851"/>
        </w:tabs>
        <w:ind w:left="0" w:firstLine="425"/>
        <w:divId w:val="1653750395"/>
        <w:rPr>
          <w:sz w:val="18"/>
          <w:szCs w:val="18"/>
        </w:rPr>
      </w:pPr>
      <w:r>
        <w:rPr>
          <w:rFonts w:hint="eastAsia"/>
          <w:sz w:val="18"/>
          <w:szCs w:val="18"/>
        </w:rPr>
        <w:t>存货的计价方法</w:t>
      </w:r>
    </w:p>
    <w:p w:rsidR="00B54A20" w:rsidRPr="00304B40" w:rsidRDefault="00B54A20">
      <w:pPr>
        <w:pStyle w:val="a3"/>
        <w:spacing w:before="0" w:beforeAutospacing="0" w:after="0" w:afterAutospacing="0"/>
        <w:ind w:firstLine="420"/>
        <w:jc w:val="both"/>
        <w:divId w:val="1653750395"/>
        <w:rPr>
          <w:sz w:val="18"/>
          <w:szCs w:val="18"/>
        </w:rPr>
      </w:pPr>
      <w:r>
        <w:rPr>
          <w:rFonts w:hint="eastAsia"/>
          <w:sz w:val="18"/>
          <w:szCs w:val="18"/>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B54A20" w:rsidRDefault="00B54A20" w:rsidP="00D51BB1">
      <w:pPr>
        <w:widowControl/>
        <w:numPr>
          <w:ilvl w:val="2"/>
          <w:numId w:val="2"/>
        </w:numPr>
        <w:tabs>
          <w:tab w:val="clear" w:pos="2160"/>
          <w:tab w:val="num" w:pos="851"/>
        </w:tabs>
        <w:ind w:left="0" w:firstLine="425"/>
        <w:divId w:val="1653750395"/>
        <w:rPr>
          <w:sz w:val="18"/>
          <w:szCs w:val="18"/>
        </w:rPr>
      </w:pPr>
      <w:r>
        <w:rPr>
          <w:rFonts w:hint="eastAsia"/>
          <w:sz w:val="18"/>
          <w:szCs w:val="18"/>
        </w:rPr>
        <w:t>存货可变现净值的确定依据及存货跌价准备的计提方法</w:t>
      </w:r>
    </w:p>
    <w:p w:rsidR="00B54A20" w:rsidRPr="00304B40" w:rsidRDefault="00B54A20">
      <w:pPr>
        <w:pStyle w:val="a3"/>
        <w:spacing w:before="0" w:beforeAutospacing="0" w:after="0" w:afterAutospacing="0"/>
        <w:ind w:firstLine="420"/>
        <w:jc w:val="both"/>
        <w:divId w:val="1653750395"/>
        <w:rPr>
          <w:sz w:val="18"/>
          <w:szCs w:val="18"/>
        </w:rPr>
      </w:pPr>
      <w:proofErr w:type="gramStart"/>
      <w:r>
        <w:rPr>
          <w:rFonts w:hint="eastAsia"/>
          <w:sz w:val="18"/>
          <w:szCs w:val="18"/>
        </w:rPr>
        <w:t>期末对</w:t>
      </w:r>
      <w:proofErr w:type="gramEnd"/>
      <w:r>
        <w:rPr>
          <w:rFonts w:hint="eastAsia"/>
          <w:sz w:val="18"/>
          <w:szCs w:val="18"/>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B54A20" w:rsidRPr="00304B40" w:rsidRDefault="00B54A20">
      <w:pPr>
        <w:pStyle w:val="a3"/>
        <w:spacing w:before="0" w:beforeAutospacing="0" w:after="0" w:afterAutospacing="0"/>
        <w:ind w:firstLine="420"/>
        <w:jc w:val="both"/>
        <w:divId w:val="1653750395"/>
        <w:rPr>
          <w:sz w:val="18"/>
          <w:szCs w:val="18"/>
        </w:rPr>
      </w:pPr>
      <w:r>
        <w:rPr>
          <w:rFonts w:hint="eastAsia"/>
          <w:sz w:val="18"/>
          <w:szCs w:val="18"/>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B54A20" w:rsidRPr="00304B40" w:rsidRDefault="00B54A20">
      <w:pPr>
        <w:pStyle w:val="a3"/>
        <w:spacing w:before="0" w:beforeAutospacing="0" w:after="0" w:afterAutospacing="0"/>
        <w:ind w:firstLine="420"/>
        <w:jc w:val="both"/>
        <w:divId w:val="1653750395"/>
        <w:rPr>
          <w:sz w:val="18"/>
          <w:szCs w:val="18"/>
        </w:rPr>
      </w:pPr>
      <w:proofErr w:type="gramStart"/>
      <w:r>
        <w:rPr>
          <w:rFonts w:hint="eastAsia"/>
          <w:sz w:val="18"/>
          <w:szCs w:val="18"/>
        </w:rPr>
        <w:t>以前减记</w:t>
      </w:r>
      <w:proofErr w:type="gramEnd"/>
      <w:r>
        <w:rPr>
          <w:rFonts w:hint="eastAsia"/>
          <w:sz w:val="18"/>
          <w:szCs w:val="18"/>
        </w:rPr>
        <w:t>存货价值的影响因素已经消失的，</w:t>
      </w:r>
      <w:proofErr w:type="gramStart"/>
      <w:r>
        <w:rPr>
          <w:rFonts w:hint="eastAsia"/>
          <w:sz w:val="18"/>
          <w:szCs w:val="18"/>
        </w:rPr>
        <w:t>减记的</w:t>
      </w:r>
      <w:proofErr w:type="gramEnd"/>
      <w:r>
        <w:rPr>
          <w:rFonts w:hint="eastAsia"/>
          <w:sz w:val="18"/>
          <w:szCs w:val="18"/>
        </w:rPr>
        <w:t>金额予以恢复，并在原已计提的存货跌价准备金额内转回，转回的金额计入当期损益。</w:t>
      </w:r>
    </w:p>
    <w:p w:rsidR="00B54A20" w:rsidRDefault="00B54A20" w:rsidP="00D51BB1">
      <w:pPr>
        <w:widowControl/>
        <w:numPr>
          <w:ilvl w:val="2"/>
          <w:numId w:val="2"/>
        </w:numPr>
        <w:tabs>
          <w:tab w:val="clear" w:pos="2160"/>
          <w:tab w:val="num" w:pos="851"/>
        </w:tabs>
        <w:ind w:left="0" w:firstLine="425"/>
        <w:divId w:val="1653750395"/>
        <w:rPr>
          <w:sz w:val="18"/>
          <w:szCs w:val="18"/>
        </w:rPr>
      </w:pPr>
      <w:r>
        <w:rPr>
          <w:rFonts w:hint="eastAsia"/>
          <w:sz w:val="18"/>
          <w:szCs w:val="18"/>
        </w:rPr>
        <w:t>存货的盘存制度</w:t>
      </w:r>
    </w:p>
    <w:p w:rsidR="00B54A20" w:rsidRPr="00304B40" w:rsidRDefault="00B54A20" w:rsidP="00304B40">
      <w:pPr>
        <w:pStyle w:val="a3"/>
        <w:spacing w:before="0" w:beforeAutospacing="0" w:after="0" w:afterAutospacing="0"/>
        <w:ind w:firstLine="420"/>
        <w:jc w:val="both"/>
        <w:divId w:val="1653750395"/>
        <w:rPr>
          <w:sz w:val="18"/>
          <w:szCs w:val="18"/>
        </w:rPr>
      </w:pPr>
      <w:r>
        <w:rPr>
          <w:rFonts w:hint="eastAsia"/>
          <w:sz w:val="18"/>
          <w:szCs w:val="18"/>
        </w:rPr>
        <w:t>存货盘存制度为永续盘存制。</w:t>
      </w:r>
    </w:p>
    <w:p w:rsidR="00B54A20" w:rsidRDefault="00B54A20" w:rsidP="00D51BB1">
      <w:pPr>
        <w:widowControl/>
        <w:numPr>
          <w:ilvl w:val="2"/>
          <w:numId w:val="3"/>
        </w:numPr>
        <w:tabs>
          <w:tab w:val="clear" w:pos="2160"/>
          <w:tab w:val="num" w:pos="0"/>
        </w:tabs>
        <w:ind w:left="0" w:firstLine="425"/>
        <w:divId w:val="1653750395"/>
        <w:rPr>
          <w:sz w:val="18"/>
          <w:szCs w:val="18"/>
        </w:rPr>
      </w:pPr>
      <w:r>
        <w:rPr>
          <w:rFonts w:hint="eastAsia"/>
          <w:sz w:val="18"/>
          <w:szCs w:val="18"/>
        </w:rPr>
        <w:t>低值易耗品和包装物的摊销方法</w:t>
      </w:r>
    </w:p>
    <w:p w:rsidR="00B54A20" w:rsidRDefault="00B54A20" w:rsidP="00D51BB1">
      <w:pPr>
        <w:widowControl/>
        <w:numPr>
          <w:ilvl w:val="0"/>
          <w:numId w:val="4"/>
        </w:numPr>
        <w:divId w:val="1653750395"/>
        <w:rPr>
          <w:rFonts w:ascii="Calibri" w:hAnsi="Calibri"/>
          <w:szCs w:val="21"/>
        </w:rPr>
      </w:pPr>
      <w:r>
        <w:rPr>
          <w:rFonts w:hint="eastAsia"/>
          <w:sz w:val="18"/>
          <w:szCs w:val="18"/>
        </w:rPr>
        <w:t>低值易耗品采用一次转销法进行摊销；</w:t>
      </w:r>
    </w:p>
    <w:p w:rsidR="00B54A20" w:rsidRDefault="00B54A20" w:rsidP="00D51BB1">
      <w:pPr>
        <w:widowControl/>
        <w:numPr>
          <w:ilvl w:val="0"/>
          <w:numId w:val="4"/>
        </w:numPr>
        <w:divId w:val="1653750395"/>
        <w:rPr>
          <w:rFonts w:ascii="Calibri" w:hAnsi="Calibri"/>
          <w:szCs w:val="21"/>
        </w:rPr>
      </w:pPr>
      <w:r>
        <w:rPr>
          <w:rFonts w:hint="eastAsia"/>
          <w:sz w:val="18"/>
          <w:szCs w:val="18"/>
        </w:rPr>
        <w:t>包装物采用一次转销法进行摊销。</w:t>
      </w:r>
    </w:p>
    <w:p w:rsidR="00B54A20" w:rsidRDefault="00B54A20" w:rsidP="00D51BB1">
      <w:pPr>
        <w:widowControl/>
        <w:numPr>
          <w:ilvl w:val="0"/>
          <w:numId w:val="4"/>
        </w:numPr>
        <w:divId w:val="1653750395"/>
        <w:rPr>
          <w:rFonts w:ascii="Calibri" w:hAnsi="Calibri"/>
          <w:szCs w:val="21"/>
        </w:rPr>
      </w:pPr>
      <w:r>
        <w:rPr>
          <w:rFonts w:hint="eastAsia"/>
          <w:sz w:val="18"/>
          <w:szCs w:val="18"/>
        </w:rPr>
        <w:t>其他周转材料采用一次转销法进行摊销。</w:t>
      </w:r>
    </w:p>
    <w:p w:rsidR="00B54A20" w:rsidRDefault="00B54A20" w:rsidP="00D51BB1">
      <w:pPr>
        <w:widowControl/>
        <w:numPr>
          <w:ilvl w:val="0"/>
          <w:numId w:val="4"/>
        </w:numPr>
        <w:divId w:val="1653750395"/>
        <w:rPr>
          <w:rFonts w:ascii="Calibri" w:hAnsi="Calibri"/>
          <w:szCs w:val="21"/>
        </w:rPr>
      </w:pPr>
      <w:r>
        <w:rPr>
          <w:rFonts w:hint="eastAsia"/>
          <w:sz w:val="18"/>
          <w:szCs w:val="18"/>
        </w:rPr>
        <w:t>合同资产</w:t>
      </w:r>
    </w:p>
    <w:p w:rsidR="00B54A20" w:rsidRDefault="00B54A20">
      <w:pPr>
        <w:pStyle w:val="a3"/>
        <w:spacing w:before="0" w:beforeAutospacing="0" w:after="0" w:afterAutospacing="0"/>
        <w:ind w:firstLine="420"/>
        <w:jc w:val="both"/>
        <w:divId w:val="1653750395"/>
      </w:pPr>
      <w:r>
        <w:rPr>
          <w:rFonts w:hint="eastAsia"/>
          <w:sz w:val="18"/>
          <w:szCs w:val="18"/>
        </w:rPr>
        <w:t>本公司已向客户转让商品而有权收取对价的权利，且该权利取决于时间流逝之外的其他因素的，确认为合同资产。本公司拥有的无条件(即，仅取决于时间流逝)向客户收取对价的权利作为应收款项单独列示。</w:t>
      </w:r>
    </w:p>
    <w:p w:rsidR="00B54A20" w:rsidRDefault="00B54A20">
      <w:pPr>
        <w:pStyle w:val="a3"/>
        <w:spacing w:before="0" w:beforeAutospacing="0" w:after="0" w:afterAutospacing="0"/>
        <w:ind w:firstLine="420"/>
        <w:jc w:val="both"/>
        <w:divId w:val="1653750395"/>
      </w:pPr>
      <w:r>
        <w:rPr>
          <w:rFonts w:hint="eastAsia"/>
          <w:sz w:val="18"/>
          <w:szCs w:val="18"/>
        </w:rPr>
        <w:t xml:space="preserve">本公司对合同资产的预期信用损失的确定方法及会计处理方法详见本附注（十）6.金融工具减值。 </w:t>
      </w:r>
    </w:p>
    <w:p w:rsidR="00E62F69" w:rsidRDefault="00B54A20">
      <w:pPr>
        <w:pStyle w:val="3"/>
        <w:spacing w:line="280" w:lineRule="exact"/>
        <w:jc w:val="left"/>
        <w:rPr>
          <w:rFonts w:ascii="宋体" w:hAnsi="宋体" w:cs="宋体"/>
          <w:b/>
          <w:bCs/>
        </w:rPr>
      </w:pPr>
      <w:bookmarkStart w:id="31" w:name="_Toc989024"/>
      <w:r>
        <w:rPr>
          <w:rFonts w:ascii="宋体" w:hAnsi="宋体" w:cs="宋体"/>
          <w:b/>
          <w:bCs/>
        </w:rPr>
        <w:t>16、合同资产</w:t>
      </w:r>
      <w:bookmarkEnd w:id="31"/>
    </w:p>
    <w:p w:rsidR="00B54A20" w:rsidRDefault="00B54A20">
      <w:pPr>
        <w:pStyle w:val="a3"/>
        <w:spacing w:before="0" w:beforeAutospacing="0" w:after="0" w:afterAutospacing="0"/>
        <w:ind w:firstLine="420"/>
        <w:jc w:val="both"/>
        <w:divId w:val="632489742"/>
      </w:pPr>
      <w:r>
        <w:rPr>
          <w:rFonts w:hint="eastAsia"/>
          <w:sz w:val="18"/>
          <w:szCs w:val="18"/>
        </w:rPr>
        <w:t>本公司已向客户转让商品而有权收取对价的权利，且该权利取决于时间流逝之外的其他因素的，确认为合同资产。本公司拥有的无条件(即，仅取决于时间流逝)向客户收取对价的权利作为应收款项单独列示。</w:t>
      </w:r>
    </w:p>
    <w:p w:rsidR="00B54A20" w:rsidRDefault="00B54A20">
      <w:pPr>
        <w:pStyle w:val="a3"/>
        <w:spacing w:before="0" w:beforeAutospacing="0" w:after="0" w:afterAutospacing="0"/>
        <w:ind w:firstLine="420"/>
        <w:jc w:val="both"/>
        <w:divId w:val="632489742"/>
      </w:pPr>
      <w:r>
        <w:rPr>
          <w:rFonts w:hint="eastAsia"/>
          <w:sz w:val="18"/>
          <w:szCs w:val="18"/>
        </w:rPr>
        <w:t>本公司对合同资产的预期信用损失的确定方法及会计处理方法详见本附注</w:t>
      </w:r>
      <w:proofErr w:type="gramStart"/>
      <w:r>
        <w:rPr>
          <w:rFonts w:hint="eastAsia"/>
          <w:sz w:val="18"/>
          <w:szCs w:val="18"/>
        </w:rPr>
        <w:t>附注</w:t>
      </w:r>
      <w:proofErr w:type="gramEnd"/>
      <w:r>
        <w:rPr>
          <w:rFonts w:hint="eastAsia"/>
          <w:sz w:val="18"/>
          <w:szCs w:val="18"/>
        </w:rPr>
        <w:t>（十）6.金融工具减值。</w:t>
      </w:r>
    </w:p>
    <w:p w:rsidR="00E62F69" w:rsidRDefault="00B54A20">
      <w:pPr>
        <w:pStyle w:val="3"/>
        <w:spacing w:line="280" w:lineRule="exact"/>
        <w:jc w:val="left"/>
        <w:rPr>
          <w:rFonts w:ascii="宋体" w:hAnsi="宋体" w:cs="宋体"/>
          <w:b/>
          <w:bCs/>
        </w:rPr>
      </w:pPr>
      <w:bookmarkStart w:id="32" w:name="_Toc989025"/>
      <w:r>
        <w:rPr>
          <w:rFonts w:ascii="宋体" w:hAnsi="宋体" w:cs="宋体"/>
          <w:b/>
          <w:bCs/>
        </w:rPr>
        <w:t>17、合同成本</w:t>
      </w:r>
      <w:bookmarkEnd w:id="32"/>
    </w:p>
    <w:p w:rsidR="00B54A20" w:rsidRPr="00304B40" w:rsidRDefault="00B54A20" w:rsidP="00D51BB1">
      <w:pPr>
        <w:widowControl/>
        <w:numPr>
          <w:ilvl w:val="3"/>
          <w:numId w:val="5"/>
        </w:numPr>
        <w:tabs>
          <w:tab w:val="clear" w:pos="2880"/>
          <w:tab w:val="num" w:pos="0"/>
        </w:tabs>
        <w:ind w:left="0" w:firstLine="425"/>
        <w:divId w:val="1409040683"/>
        <w:rPr>
          <w:b/>
          <w:sz w:val="18"/>
          <w:szCs w:val="18"/>
        </w:rPr>
      </w:pPr>
      <w:r w:rsidRPr="00304B40">
        <w:rPr>
          <w:rStyle w:val="a4"/>
          <w:rFonts w:hint="eastAsia"/>
          <w:b w:val="0"/>
          <w:sz w:val="18"/>
          <w:szCs w:val="18"/>
        </w:rPr>
        <w:t>合同履约成本</w:t>
      </w:r>
    </w:p>
    <w:p w:rsidR="00B54A20" w:rsidRDefault="00B54A20">
      <w:pPr>
        <w:pStyle w:val="a3"/>
        <w:spacing w:before="0" w:beforeAutospacing="0" w:after="0" w:afterAutospacing="0"/>
        <w:ind w:firstLine="420"/>
        <w:jc w:val="both"/>
        <w:divId w:val="1409040683"/>
      </w:pPr>
      <w:r>
        <w:rPr>
          <w:rFonts w:hint="eastAsia"/>
          <w:sz w:val="18"/>
          <w:szCs w:val="18"/>
        </w:rPr>
        <w:t>本公司对于为履行合同发生的成本，不属于除收入准则外的其他企业会计准则范围且同时满足下列条件的作为合同履约成本确认为一项资产：</w:t>
      </w:r>
    </w:p>
    <w:p w:rsidR="00B54A20" w:rsidRDefault="00B54A20">
      <w:pPr>
        <w:pStyle w:val="a3"/>
        <w:spacing w:before="0" w:beforeAutospacing="0" w:after="0" w:afterAutospacing="0"/>
        <w:ind w:firstLine="420"/>
        <w:jc w:val="both"/>
        <w:divId w:val="1409040683"/>
      </w:pPr>
      <w:r>
        <w:rPr>
          <w:rFonts w:hint="eastAsia"/>
          <w:sz w:val="18"/>
          <w:szCs w:val="18"/>
        </w:rPr>
        <w:t>（1）</w:t>
      </w:r>
      <w:proofErr w:type="gramStart"/>
      <w:r>
        <w:rPr>
          <w:rFonts w:hint="eastAsia"/>
          <w:sz w:val="18"/>
          <w:szCs w:val="18"/>
        </w:rPr>
        <w:t>该成本</w:t>
      </w:r>
      <w:proofErr w:type="gramEnd"/>
      <w:r>
        <w:rPr>
          <w:rFonts w:hint="eastAsia"/>
          <w:sz w:val="18"/>
          <w:szCs w:val="18"/>
        </w:rPr>
        <w:t>与一份当前或预期取得的合同直接相关，包括直接人工、直接材料、制造费用（或类似费用）、明确由客户承担的成本以及仅因该合同而发生的其他成本；</w:t>
      </w:r>
    </w:p>
    <w:p w:rsidR="00B54A20" w:rsidRDefault="00B54A20">
      <w:pPr>
        <w:pStyle w:val="a3"/>
        <w:spacing w:before="0" w:beforeAutospacing="0" w:after="0" w:afterAutospacing="0"/>
        <w:ind w:firstLine="420"/>
        <w:jc w:val="both"/>
        <w:divId w:val="1409040683"/>
      </w:pPr>
      <w:r>
        <w:rPr>
          <w:rFonts w:hint="eastAsia"/>
          <w:sz w:val="18"/>
          <w:szCs w:val="18"/>
        </w:rPr>
        <w:t>（2）</w:t>
      </w:r>
      <w:proofErr w:type="gramStart"/>
      <w:r>
        <w:rPr>
          <w:rFonts w:hint="eastAsia"/>
          <w:sz w:val="18"/>
          <w:szCs w:val="18"/>
        </w:rPr>
        <w:t>该成本</w:t>
      </w:r>
      <w:proofErr w:type="gramEnd"/>
      <w:r>
        <w:rPr>
          <w:rFonts w:hint="eastAsia"/>
          <w:sz w:val="18"/>
          <w:szCs w:val="18"/>
        </w:rPr>
        <w:t>增加了企业未来用于履行履约义务的资源。</w:t>
      </w:r>
    </w:p>
    <w:p w:rsidR="00B54A20" w:rsidRDefault="00B54A20">
      <w:pPr>
        <w:pStyle w:val="a3"/>
        <w:spacing w:before="0" w:beforeAutospacing="0" w:after="0" w:afterAutospacing="0"/>
        <w:ind w:firstLine="420"/>
        <w:jc w:val="both"/>
        <w:divId w:val="1409040683"/>
      </w:pPr>
      <w:r>
        <w:rPr>
          <w:rFonts w:hint="eastAsia"/>
          <w:sz w:val="18"/>
          <w:szCs w:val="18"/>
        </w:rPr>
        <w:t>（3）</w:t>
      </w:r>
      <w:proofErr w:type="gramStart"/>
      <w:r>
        <w:rPr>
          <w:rFonts w:hint="eastAsia"/>
          <w:sz w:val="18"/>
          <w:szCs w:val="18"/>
        </w:rPr>
        <w:t>该成本</w:t>
      </w:r>
      <w:proofErr w:type="gramEnd"/>
      <w:r>
        <w:rPr>
          <w:rFonts w:hint="eastAsia"/>
          <w:sz w:val="18"/>
          <w:szCs w:val="18"/>
        </w:rPr>
        <w:t>预期能够收回。</w:t>
      </w:r>
    </w:p>
    <w:p w:rsidR="00B54A20" w:rsidRDefault="00B54A20">
      <w:pPr>
        <w:pStyle w:val="a3"/>
        <w:spacing w:before="0" w:beforeAutospacing="0" w:after="0" w:afterAutospacing="0"/>
        <w:ind w:firstLine="420"/>
        <w:jc w:val="both"/>
        <w:divId w:val="1409040683"/>
      </w:pPr>
      <w:r>
        <w:rPr>
          <w:rFonts w:hint="eastAsia"/>
          <w:sz w:val="18"/>
          <w:szCs w:val="18"/>
        </w:rPr>
        <w:t>该资产根据其初始确认时摊销期限是否超过一个正常营业周期在存货或其他非流动资产中列报。</w:t>
      </w:r>
    </w:p>
    <w:p w:rsidR="00B54A20" w:rsidRPr="00304B40" w:rsidRDefault="00B54A20" w:rsidP="00D51BB1">
      <w:pPr>
        <w:widowControl/>
        <w:numPr>
          <w:ilvl w:val="3"/>
          <w:numId w:val="6"/>
        </w:numPr>
        <w:tabs>
          <w:tab w:val="clear" w:pos="2880"/>
          <w:tab w:val="num" w:pos="0"/>
        </w:tabs>
        <w:ind w:left="0" w:firstLine="425"/>
        <w:divId w:val="1409040683"/>
        <w:rPr>
          <w:b/>
          <w:sz w:val="18"/>
          <w:szCs w:val="18"/>
        </w:rPr>
      </w:pPr>
      <w:r w:rsidRPr="00304B40">
        <w:rPr>
          <w:rStyle w:val="a4"/>
          <w:rFonts w:hint="eastAsia"/>
          <w:b w:val="0"/>
          <w:sz w:val="18"/>
          <w:szCs w:val="18"/>
        </w:rPr>
        <w:t>合同取得成本</w:t>
      </w:r>
    </w:p>
    <w:p w:rsidR="00B54A20" w:rsidRDefault="00B54A20">
      <w:pPr>
        <w:pStyle w:val="a3"/>
        <w:spacing w:before="0" w:beforeAutospacing="0" w:after="0" w:afterAutospacing="0"/>
        <w:ind w:firstLine="420"/>
        <w:jc w:val="both"/>
        <w:divId w:val="1409040683"/>
      </w:pPr>
      <w:r>
        <w:rPr>
          <w:rFonts w:hint="eastAsia"/>
          <w:sz w:val="18"/>
          <w:szCs w:val="18"/>
        </w:rPr>
        <w:t>本公司为取得合同发生的增量成本预期能够收回的，作为合同取得成本确认为一项资产。增量成本是指本公司不取得合同就不会发生的成本，如销售佣金等。对于摊销期限不超过一年的，在发生时计入当期损益。</w:t>
      </w:r>
    </w:p>
    <w:p w:rsidR="00B54A20" w:rsidRPr="00304B40" w:rsidRDefault="00B54A20" w:rsidP="00D51BB1">
      <w:pPr>
        <w:widowControl/>
        <w:numPr>
          <w:ilvl w:val="3"/>
          <w:numId w:val="7"/>
        </w:numPr>
        <w:tabs>
          <w:tab w:val="clear" w:pos="2880"/>
          <w:tab w:val="num" w:pos="0"/>
        </w:tabs>
        <w:ind w:left="0" w:firstLine="425"/>
        <w:divId w:val="1409040683"/>
        <w:rPr>
          <w:b/>
          <w:sz w:val="18"/>
          <w:szCs w:val="18"/>
        </w:rPr>
      </w:pPr>
      <w:r w:rsidRPr="00304B40">
        <w:rPr>
          <w:rStyle w:val="a4"/>
          <w:rFonts w:hint="eastAsia"/>
          <w:b w:val="0"/>
          <w:sz w:val="18"/>
          <w:szCs w:val="18"/>
        </w:rPr>
        <w:t>合同成本摊销</w:t>
      </w:r>
    </w:p>
    <w:p w:rsidR="00B54A20" w:rsidRDefault="00B54A20">
      <w:pPr>
        <w:pStyle w:val="a3"/>
        <w:spacing w:before="0" w:beforeAutospacing="0" w:after="0" w:afterAutospacing="0"/>
        <w:ind w:firstLine="420"/>
        <w:jc w:val="both"/>
        <w:divId w:val="1409040683"/>
      </w:pPr>
      <w:r>
        <w:rPr>
          <w:rFonts w:hint="eastAsia"/>
          <w:sz w:val="18"/>
          <w:szCs w:val="18"/>
        </w:rPr>
        <w:t>上述与合同成本有关的资产，采用与该资产相关的商品或服务收入确认相同的基础，在履约义务履行的时点或按照履约义务的履约进度进行摊销，计入当期损益。</w:t>
      </w:r>
    </w:p>
    <w:p w:rsidR="00B54A20" w:rsidRPr="00304B40" w:rsidRDefault="00B54A20" w:rsidP="00D51BB1">
      <w:pPr>
        <w:widowControl/>
        <w:numPr>
          <w:ilvl w:val="3"/>
          <w:numId w:val="8"/>
        </w:numPr>
        <w:tabs>
          <w:tab w:val="clear" w:pos="2880"/>
          <w:tab w:val="num" w:pos="0"/>
        </w:tabs>
        <w:ind w:left="0" w:firstLine="425"/>
        <w:divId w:val="1409040683"/>
        <w:rPr>
          <w:b/>
          <w:sz w:val="18"/>
          <w:szCs w:val="18"/>
        </w:rPr>
      </w:pPr>
      <w:r w:rsidRPr="00304B40">
        <w:rPr>
          <w:rStyle w:val="a4"/>
          <w:rFonts w:hint="eastAsia"/>
          <w:b w:val="0"/>
          <w:sz w:val="18"/>
          <w:szCs w:val="18"/>
        </w:rPr>
        <w:t>合同成本减值</w:t>
      </w:r>
    </w:p>
    <w:p w:rsidR="00B54A20" w:rsidRDefault="00B54A20">
      <w:pPr>
        <w:pStyle w:val="a3"/>
        <w:spacing w:before="0" w:beforeAutospacing="0" w:after="0" w:afterAutospacing="0"/>
        <w:ind w:firstLine="420"/>
        <w:jc w:val="both"/>
        <w:divId w:val="1409040683"/>
      </w:pPr>
      <w:r>
        <w:rPr>
          <w:rFonts w:hint="eastAsia"/>
          <w:sz w:val="18"/>
          <w:szCs w:val="18"/>
        </w:rPr>
        <w:t>上述与合同成本有关的资产，账面价值高于本公司因转让与该资产相关的商品预期能够取得剩余对价与为转让</w:t>
      </w:r>
      <w:proofErr w:type="gramStart"/>
      <w:r>
        <w:rPr>
          <w:rFonts w:hint="eastAsia"/>
          <w:sz w:val="18"/>
          <w:szCs w:val="18"/>
        </w:rPr>
        <w:t>该相关</w:t>
      </w:r>
      <w:proofErr w:type="gramEnd"/>
      <w:r>
        <w:rPr>
          <w:rFonts w:hint="eastAsia"/>
          <w:sz w:val="18"/>
          <w:szCs w:val="18"/>
        </w:rPr>
        <w:t>商品估计将要发生的成本的差额的，超出部分应当计提减值准备，并确认为资产减值损失。</w:t>
      </w:r>
    </w:p>
    <w:p w:rsidR="00B54A20" w:rsidRDefault="00B54A20">
      <w:pPr>
        <w:pStyle w:val="a3"/>
        <w:spacing w:before="0" w:beforeAutospacing="0" w:after="0" w:afterAutospacing="0"/>
        <w:ind w:firstLine="420"/>
        <w:jc w:val="both"/>
        <w:divId w:val="1409040683"/>
      </w:pPr>
      <w:r>
        <w:rPr>
          <w:rFonts w:hint="eastAsia"/>
          <w:sz w:val="18"/>
          <w:szCs w:val="18"/>
        </w:rPr>
        <w:t>计提减值准备后，如果以前期间减值的因素发生变化，使得上述两项差额高于该资产账面价值的，转回原已计提的资产减值准备，并计入当期损益，但转回后的资产账面价值不超过假定不计提减值准备情况下该资产在</w:t>
      </w:r>
      <w:proofErr w:type="gramStart"/>
      <w:r>
        <w:rPr>
          <w:rFonts w:hint="eastAsia"/>
          <w:sz w:val="18"/>
          <w:szCs w:val="18"/>
        </w:rPr>
        <w:t>转回日</w:t>
      </w:r>
      <w:proofErr w:type="gramEnd"/>
      <w:r>
        <w:rPr>
          <w:rFonts w:hint="eastAsia"/>
          <w:sz w:val="18"/>
          <w:szCs w:val="18"/>
        </w:rPr>
        <w:t>的账面价值。</w:t>
      </w:r>
    </w:p>
    <w:p w:rsidR="00E62F69" w:rsidRDefault="00B54A20">
      <w:pPr>
        <w:pStyle w:val="3"/>
        <w:spacing w:line="280" w:lineRule="exact"/>
        <w:jc w:val="left"/>
        <w:rPr>
          <w:rFonts w:ascii="宋体" w:hAnsi="宋体" w:cs="宋体"/>
          <w:b/>
          <w:bCs/>
        </w:rPr>
      </w:pPr>
      <w:bookmarkStart w:id="33" w:name="_Toc989026"/>
      <w:r>
        <w:rPr>
          <w:rFonts w:ascii="宋体" w:hAnsi="宋体" w:cs="宋体"/>
          <w:b/>
          <w:bCs/>
        </w:rPr>
        <w:t>18、持有待售资产</w:t>
      </w:r>
      <w:bookmarkEnd w:id="33"/>
    </w:p>
    <w:p w:rsidR="00B54A20" w:rsidRDefault="00B54A20" w:rsidP="00D51BB1">
      <w:pPr>
        <w:widowControl/>
        <w:numPr>
          <w:ilvl w:val="0"/>
          <w:numId w:val="9"/>
        </w:numPr>
        <w:ind w:left="714" w:hanging="357"/>
        <w:divId w:val="914968894"/>
        <w:rPr>
          <w:sz w:val="18"/>
          <w:szCs w:val="18"/>
        </w:rPr>
      </w:pPr>
      <w:r>
        <w:rPr>
          <w:rFonts w:hint="eastAsia"/>
          <w:sz w:val="18"/>
          <w:szCs w:val="18"/>
        </w:rPr>
        <w:t>划分为持有待售确认标准</w:t>
      </w:r>
    </w:p>
    <w:p w:rsidR="00B54A20" w:rsidRDefault="00B54A20">
      <w:pPr>
        <w:pStyle w:val="a3"/>
        <w:spacing w:before="0" w:beforeAutospacing="0" w:after="0" w:afterAutospacing="0"/>
        <w:ind w:firstLine="420"/>
        <w:jc w:val="both"/>
        <w:divId w:val="914968894"/>
      </w:pPr>
      <w:r>
        <w:rPr>
          <w:rFonts w:hint="eastAsia"/>
          <w:sz w:val="18"/>
          <w:szCs w:val="18"/>
        </w:rPr>
        <w:t>本公司将同时满足下列条件的非流动资产或</w:t>
      </w:r>
      <w:proofErr w:type="gramStart"/>
      <w:r>
        <w:rPr>
          <w:rFonts w:hint="eastAsia"/>
          <w:sz w:val="18"/>
          <w:szCs w:val="18"/>
        </w:rPr>
        <w:t>处置组</w:t>
      </w:r>
      <w:proofErr w:type="gramEnd"/>
      <w:r>
        <w:rPr>
          <w:rFonts w:hint="eastAsia"/>
          <w:sz w:val="18"/>
          <w:szCs w:val="18"/>
        </w:rPr>
        <w:t>确认为持有待售组成部分：</w:t>
      </w:r>
    </w:p>
    <w:p w:rsidR="00B54A20" w:rsidRDefault="00B54A20">
      <w:pPr>
        <w:pStyle w:val="a3"/>
        <w:spacing w:before="0" w:beforeAutospacing="0" w:after="0" w:afterAutospacing="0"/>
        <w:ind w:firstLine="420"/>
        <w:jc w:val="both"/>
        <w:divId w:val="914968894"/>
      </w:pPr>
      <w:r>
        <w:rPr>
          <w:rFonts w:hint="eastAsia"/>
          <w:sz w:val="18"/>
          <w:szCs w:val="18"/>
        </w:rPr>
        <w:t>（1）根据类似交易中出售此类资产或</w:t>
      </w:r>
      <w:proofErr w:type="gramStart"/>
      <w:r>
        <w:rPr>
          <w:rFonts w:hint="eastAsia"/>
          <w:sz w:val="18"/>
          <w:szCs w:val="18"/>
        </w:rPr>
        <w:t>处置组</w:t>
      </w:r>
      <w:proofErr w:type="gramEnd"/>
      <w:r>
        <w:rPr>
          <w:rFonts w:hint="eastAsia"/>
          <w:sz w:val="18"/>
          <w:szCs w:val="18"/>
        </w:rPr>
        <w:t>的惯例，在当前状况下即可立即出售；</w:t>
      </w:r>
    </w:p>
    <w:p w:rsidR="00B54A20" w:rsidRDefault="00B54A20">
      <w:pPr>
        <w:pStyle w:val="a3"/>
        <w:spacing w:before="0" w:beforeAutospacing="0" w:after="0" w:afterAutospacing="0"/>
        <w:ind w:firstLine="420"/>
        <w:jc w:val="both"/>
        <w:divId w:val="914968894"/>
      </w:pPr>
      <w:r>
        <w:rPr>
          <w:rFonts w:hint="eastAsia"/>
          <w:sz w:val="18"/>
          <w:szCs w:val="18"/>
        </w:rPr>
        <w:t>（2）</w:t>
      </w:r>
      <w:proofErr w:type="gramStart"/>
      <w:r>
        <w:rPr>
          <w:rFonts w:hint="eastAsia"/>
          <w:sz w:val="18"/>
          <w:szCs w:val="18"/>
        </w:rPr>
        <w:t>出售极</w:t>
      </w:r>
      <w:proofErr w:type="gramEnd"/>
      <w:r>
        <w:rPr>
          <w:rFonts w:hint="eastAsia"/>
          <w:sz w:val="18"/>
          <w:szCs w:val="18"/>
        </w:rPr>
        <w:t>可能发生，即本公司已经就一项出售计划</w:t>
      </w:r>
      <w:proofErr w:type="gramStart"/>
      <w:r>
        <w:rPr>
          <w:rFonts w:hint="eastAsia"/>
          <w:sz w:val="18"/>
          <w:szCs w:val="18"/>
        </w:rPr>
        <w:t>作出</w:t>
      </w:r>
      <w:proofErr w:type="gramEnd"/>
      <w:r>
        <w:rPr>
          <w:rFonts w:hint="eastAsia"/>
          <w:sz w:val="18"/>
          <w:szCs w:val="18"/>
        </w:rPr>
        <w:t>决议，并已获得监管部门批准，且获得确定的购买承诺，预计出售将在一年内完成。</w:t>
      </w:r>
    </w:p>
    <w:p w:rsidR="00B54A20" w:rsidRDefault="00B54A20">
      <w:pPr>
        <w:pStyle w:val="a3"/>
        <w:spacing w:before="0" w:beforeAutospacing="0" w:after="0" w:afterAutospacing="0"/>
        <w:ind w:firstLine="420"/>
        <w:jc w:val="both"/>
        <w:divId w:val="914968894"/>
      </w:pPr>
      <w:r>
        <w:rPr>
          <w:rFonts w:hint="eastAsia"/>
          <w:sz w:val="18"/>
          <w:szCs w:val="18"/>
        </w:rPr>
        <w:t>确定的购买承诺，是指本公司与其他方签订的具有法律约束力的购买协议，该协议包含交易价格、时间和足够严厉的违约惩罚等重要条款，使协议出现重大调整或者撤销的可能性极小。</w:t>
      </w:r>
    </w:p>
    <w:p w:rsidR="00B54A20" w:rsidRDefault="00B54A20" w:rsidP="00D51BB1">
      <w:pPr>
        <w:widowControl/>
        <w:numPr>
          <w:ilvl w:val="0"/>
          <w:numId w:val="10"/>
        </w:numPr>
        <w:ind w:left="714" w:hanging="357"/>
        <w:divId w:val="914968894"/>
        <w:rPr>
          <w:sz w:val="18"/>
          <w:szCs w:val="18"/>
        </w:rPr>
      </w:pPr>
      <w:r>
        <w:rPr>
          <w:rFonts w:ascii="Times New Roman" w:hAnsi="Times New Roman" w:cs="Times New Roman"/>
          <w:sz w:val="14"/>
          <w:szCs w:val="14"/>
        </w:rPr>
        <w:t> </w:t>
      </w:r>
      <w:r>
        <w:rPr>
          <w:rFonts w:hint="eastAsia"/>
          <w:sz w:val="18"/>
          <w:szCs w:val="18"/>
        </w:rPr>
        <w:t>持有待售核算方法</w:t>
      </w:r>
    </w:p>
    <w:p w:rsidR="00B54A20" w:rsidRDefault="00B54A20">
      <w:pPr>
        <w:pStyle w:val="a3"/>
        <w:spacing w:before="0" w:beforeAutospacing="0" w:after="0" w:afterAutospacing="0"/>
        <w:ind w:firstLine="420"/>
        <w:jc w:val="both"/>
        <w:divId w:val="914968894"/>
      </w:pPr>
      <w:r>
        <w:rPr>
          <w:rFonts w:hint="eastAsia"/>
          <w:sz w:val="18"/>
          <w:szCs w:val="18"/>
        </w:rPr>
        <w:t>本公司对于持有待售的非流动资产或</w:t>
      </w:r>
      <w:proofErr w:type="gramStart"/>
      <w:r>
        <w:rPr>
          <w:rFonts w:hint="eastAsia"/>
          <w:sz w:val="18"/>
          <w:szCs w:val="18"/>
        </w:rPr>
        <w:t>处置组不计</w:t>
      </w:r>
      <w:proofErr w:type="gramEnd"/>
      <w:r>
        <w:rPr>
          <w:rFonts w:hint="eastAsia"/>
          <w:sz w:val="18"/>
          <w:szCs w:val="18"/>
        </w:rPr>
        <w:t>提折旧或摊销，其账面价值高于公允价值减去出售费用后的净额的，应当将账面价值</w:t>
      </w:r>
      <w:proofErr w:type="gramStart"/>
      <w:r>
        <w:rPr>
          <w:rFonts w:hint="eastAsia"/>
          <w:sz w:val="18"/>
          <w:szCs w:val="18"/>
        </w:rPr>
        <w:t>减记至</w:t>
      </w:r>
      <w:proofErr w:type="gramEnd"/>
      <w:r>
        <w:rPr>
          <w:rFonts w:hint="eastAsia"/>
          <w:sz w:val="18"/>
          <w:szCs w:val="18"/>
        </w:rPr>
        <w:t>公允价值减去出售费用后的净额，</w:t>
      </w:r>
      <w:proofErr w:type="gramStart"/>
      <w:r>
        <w:rPr>
          <w:rFonts w:hint="eastAsia"/>
          <w:sz w:val="18"/>
          <w:szCs w:val="18"/>
        </w:rPr>
        <w:t>减记的</w:t>
      </w:r>
      <w:proofErr w:type="gramEnd"/>
      <w:r>
        <w:rPr>
          <w:rFonts w:hint="eastAsia"/>
          <w:sz w:val="18"/>
          <w:szCs w:val="18"/>
        </w:rPr>
        <w:t>金额确认为资产减值损失，计入当期损益，同时计提持有待售资产减值准备。</w:t>
      </w:r>
    </w:p>
    <w:p w:rsidR="00B54A20" w:rsidRDefault="00B54A20">
      <w:pPr>
        <w:pStyle w:val="a3"/>
        <w:spacing w:before="0" w:beforeAutospacing="0" w:after="0" w:afterAutospacing="0"/>
        <w:ind w:firstLine="420"/>
        <w:jc w:val="both"/>
        <w:divId w:val="914968894"/>
      </w:pPr>
      <w:r>
        <w:rPr>
          <w:rFonts w:hint="eastAsia"/>
          <w:sz w:val="18"/>
          <w:szCs w:val="18"/>
        </w:rPr>
        <w:t>对于取得日划分为持有待售类别的非流动资产或处置组，在初始计量时比较假定其不划分为持有待售类别情况下的初始计量金额和公允价值减去出售费用后的净额，以两者孰低计量。</w:t>
      </w:r>
    </w:p>
    <w:p w:rsidR="00B54A20" w:rsidRDefault="00B54A20">
      <w:pPr>
        <w:pStyle w:val="a3"/>
        <w:spacing w:before="0" w:beforeAutospacing="0" w:after="0" w:afterAutospacing="0"/>
        <w:ind w:firstLine="420"/>
        <w:jc w:val="both"/>
        <w:divId w:val="914968894"/>
      </w:pPr>
      <w:r>
        <w:rPr>
          <w:rFonts w:hint="eastAsia"/>
          <w:sz w:val="18"/>
          <w:szCs w:val="18"/>
        </w:rPr>
        <w:t>上述原则适用于所有非流动资产，但不包括采用公允价值模式进行后续计量的投资性房地产、采用公允价值减去出售费用后的净额计量的生物资产、职工薪</w:t>
      </w:r>
      <w:proofErr w:type="gramStart"/>
      <w:r>
        <w:rPr>
          <w:rFonts w:hint="eastAsia"/>
          <w:sz w:val="18"/>
          <w:szCs w:val="18"/>
        </w:rPr>
        <w:t>酬</w:t>
      </w:r>
      <w:proofErr w:type="gramEnd"/>
      <w:r>
        <w:rPr>
          <w:rFonts w:hint="eastAsia"/>
          <w:sz w:val="18"/>
          <w:szCs w:val="18"/>
        </w:rPr>
        <w:t>形成的资产、递延所得税资产、由金融工具相关会计准则规范的金融资产、由保险合同相关会计准则规范的保险合同所产生的权利。</w:t>
      </w:r>
    </w:p>
    <w:p w:rsidR="00E62F69" w:rsidRDefault="00B54A20">
      <w:pPr>
        <w:pStyle w:val="3"/>
        <w:spacing w:line="280" w:lineRule="exact"/>
        <w:jc w:val="left"/>
        <w:rPr>
          <w:rFonts w:ascii="宋体" w:hAnsi="宋体" w:cs="宋体"/>
          <w:b/>
          <w:bCs/>
        </w:rPr>
      </w:pPr>
      <w:bookmarkStart w:id="34" w:name="_Toc989027"/>
      <w:r>
        <w:rPr>
          <w:rFonts w:ascii="宋体" w:hAnsi="宋体" w:cs="宋体"/>
          <w:b/>
          <w:bCs/>
        </w:rPr>
        <w:t>19、债权投资</w:t>
      </w:r>
      <w:bookmarkEnd w:id="34"/>
    </w:p>
    <w:p w:rsidR="00B54A20" w:rsidRDefault="00B54A20">
      <w:pPr>
        <w:pStyle w:val="a3"/>
        <w:spacing w:before="0" w:beforeAutospacing="0" w:after="0" w:afterAutospacing="0"/>
        <w:divId w:val="1317421711"/>
        <w:rPr>
          <w:rFonts w:ascii="Calibri" w:hAnsi="Calibri"/>
          <w:sz w:val="21"/>
          <w:szCs w:val="21"/>
        </w:rPr>
      </w:pPr>
      <w:r>
        <w:rPr>
          <w:rFonts w:hint="eastAsia"/>
          <w:sz w:val="18"/>
          <w:szCs w:val="18"/>
        </w:rPr>
        <w:t>无。</w:t>
      </w:r>
    </w:p>
    <w:p w:rsidR="00E62F69" w:rsidRDefault="00B54A20">
      <w:pPr>
        <w:pStyle w:val="3"/>
        <w:spacing w:line="280" w:lineRule="exact"/>
        <w:jc w:val="left"/>
        <w:rPr>
          <w:rFonts w:ascii="宋体" w:hAnsi="宋体" w:cs="宋体"/>
          <w:b/>
          <w:bCs/>
        </w:rPr>
      </w:pPr>
      <w:bookmarkStart w:id="35" w:name="_Toc989028"/>
      <w:r>
        <w:rPr>
          <w:rFonts w:ascii="宋体" w:hAnsi="宋体" w:cs="宋体"/>
          <w:b/>
          <w:bCs/>
        </w:rPr>
        <w:t>20、其他债权投资</w:t>
      </w:r>
      <w:bookmarkEnd w:id="35"/>
    </w:p>
    <w:p w:rsidR="00B54A20" w:rsidRDefault="00B54A20">
      <w:pPr>
        <w:pStyle w:val="a3"/>
        <w:spacing w:before="0" w:beforeAutospacing="0" w:after="0" w:afterAutospacing="0" w:line="360" w:lineRule="auto"/>
        <w:ind w:firstLine="420"/>
        <w:jc w:val="both"/>
        <w:divId w:val="2026130371"/>
      </w:pPr>
      <w:r>
        <w:rPr>
          <w:rFonts w:hint="eastAsia"/>
          <w:sz w:val="18"/>
          <w:szCs w:val="18"/>
        </w:rPr>
        <w:t>本公司对其他债权投资的预期信用损失的确定方法及会计处理方法详见本附注（十）6.金融工具减值。</w:t>
      </w:r>
    </w:p>
    <w:p w:rsidR="00E62F69" w:rsidRDefault="00B54A20">
      <w:pPr>
        <w:pStyle w:val="3"/>
        <w:spacing w:line="280" w:lineRule="exact"/>
        <w:jc w:val="left"/>
        <w:rPr>
          <w:rFonts w:ascii="宋体" w:hAnsi="宋体" w:cs="宋体"/>
          <w:b/>
          <w:bCs/>
        </w:rPr>
      </w:pPr>
      <w:bookmarkStart w:id="36" w:name="_Toc989029"/>
      <w:r>
        <w:rPr>
          <w:rFonts w:ascii="宋体" w:hAnsi="宋体" w:cs="宋体"/>
          <w:b/>
          <w:bCs/>
        </w:rPr>
        <w:t>21、长期应收款</w:t>
      </w:r>
      <w:bookmarkEnd w:id="36"/>
    </w:p>
    <w:p w:rsidR="00B54A20" w:rsidRDefault="00B54A20">
      <w:pPr>
        <w:pStyle w:val="a3"/>
        <w:spacing w:before="0" w:beforeAutospacing="0" w:after="0" w:afterAutospacing="0" w:line="360" w:lineRule="auto"/>
        <w:ind w:firstLine="420"/>
        <w:jc w:val="both"/>
        <w:divId w:val="58863967"/>
      </w:pPr>
      <w:r>
        <w:rPr>
          <w:rFonts w:hint="eastAsia"/>
          <w:sz w:val="18"/>
          <w:szCs w:val="18"/>
        </w:rPr>
        <w:t>本公司对长期应收款的预期信用损失的确定方法及会计处理方法详见本附注（十）6.金融工具减值。</w:t>
      </w:r>
    </w:p>
    <w:p w:rsidR="00B54A20" w:rsidRDefault="00B54A20">
      <w:pPr>
        <w:pStyle w:val="a3"/>
        <w:spacing w:before="0" w:beforeAutospacing="0" w:after="0" w:afterAutospacing="0" w:line="360" w:lineRule="auto"/>
        <w:ind w:firstLine="420"/>
        <w:jc w:val="both"/>
        <w:divId w:val="58863967"/>
      </w:pPr>
      <w:r>
        <w:rPr>
          <w:rFonts w:hint="eastAsia"/>
          <w:sz w:val="18"/>
          <w:szCs w:val="18"/>
        </w:rPr>
        <w:t>本公司对单项金额重大且在初始确认后已经发生信用减值的长期应收款单独确定其信用损失。</w:t>
      </w:r>
    </w:p>
    <w:p w:rsidR="00B54A20" w:rsidRDefault="00B54A20">
      <w:pPr>
        <w:pStyle w:val="a3"/>
        <w:spacing w:before="0" w:beforeAutospacing="0" w:after="240" w:afterAutospacing="0" w:line="360" w:lineRule="auto"/>
        <w:ind w:firstLine="360"/>
        <w:jc w:val="both"/>
        <w:divId w:val="58863967"/>
      </w:pPr>
      <w:r>
        <w:rPr>
          <w:rFonts w:hint="eastAsia"/>
          <w:sz w:val="18"/>
          <w:szCs w:val="18"/>
        </w:rPr>
        <w:t xml:space="preserve">当在单项工具层面无法以合理成本评估预期信用损失的充分证据时，本公司参考历史信用损失经验，结合当前状况以及对未来经济状况的判断，依据信用风险特征将长期应收款划分为若干组合，在组合基础上计算预期信用损失。确定组合的依据如下： </w:t>
      </w:r>
    </w:p>
    <w:tbl>
      <w:tblPr>
        <w:tblW w:w="9606" w:type="dxa"/>
        <w:tblCellMar>
          <w:left w:w="0" w:type="dxa"/>
          <w:right w:w="0" w:type="dxa"/>
        </w:tblCellMar>
        <w:tblLook w:val="04A0" w:firstRow="1" w:lastRow="0" w:firstColumn="1" w:lastColumn="0" w:noHBand="0" w:noVBand="1"/>
      </w:tblPr>
      <w:tblGrid>
        <w:gridCol w:w="1105"/>
        <w:gridCol w:w="3933"/>
        <w:gridCol w:w="4568"/>
      </w:tblGrid>
      <w:tr w:rsidR="00B54A20">
        <w:trPr>
          <w:divId w:val="58863967"/>
          <w:trHeight w:val="397"/>
        </w:trPr>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组合名称</w:t>
            </w:r>
          </w:p>
        </w:tc>
        <w:tc>
          <w:tcPr>
            <w:tcW w:w="3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确定组合的依据</w:t>
            </w:r>
          </w:p>
        </w:tc>
        <w:tc>
          <w:tcPr>
            <w:tcW w:w="4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计提方法</w:t>
            </w:r>
          </w:p>
        </w:tc>
      </w:tr>
      <w:tr w:rsidR="00B54A20">
        <w:trPr>
          <w:divId w:val="58863967"/>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风险组合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本组合以长期应收款的账</w:t>
            </w:r>
            <w:proofErr w:type="gramStart"/>
            <w:r>
              <w:rPr>
                <w:rFonts w:hint="eastAsia"/>
                <w:sz w:val="18"/>
                <w:szCs w:val="18"/>
              </w:rPr>
              <w:t>龄作为</w:t>
            </w:r>
            <w:proofErr w:type="gramEnd"/>
            <w:r>
              <w:rPr>
                <w:rFonts w:hint="eastAsia"/>
                <w:sz w:val="18"/>
                <w:szCs w:val="18"/>
              </w:rPr>
              <w:t>信用风险特征</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参考历史信用损失经验，结合当前状况以及对未来经济状况的预期计量坏账准备</w:t>
            </w:r>
          </w:p>
        </w:tc>
      </w:tr>
      <w:tr w:rsidR="00B54A20">
        <w:trPr>
          <w:divId w:val="58863967"/>
          <w:trHeight w:val="397"/>
        </w:trPr>
        <w:tc>
          <w:tcPr>
            <w:tcW w:w="1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性质组合</w:t>
            </w:r>
          </w:p>
        </w:tc>
        <w:tc>
          <w:tcPr>
            <w:tcW w:w="3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根据业务性质，主要包括合并范围内关联方的款项、出口退税款</w:t>
            </w:r>
          </w:p>
        </w:tc>
        <w:tc>
          <w:tcPr>
            <w:tcW w:w="4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pPr>
            <w:r>
              <w:rPr>
                <w:rFonts w:hint="eastAsia"/>
                <w:sz w:val="18"/>
                <w:szCs w:val="18"/>
              </w:rPr>
              <w:t>参考历史信用损失经验，结合当前状况以及对未来经济状况的预期计量坏账准备</w:t>
            </w:r>
          </w:p>
        </w:tc>
      </w:tr>
    </w:tbl>
    <w:p w:rsidR="00E62F69" w:rsidRDefault="00B54A20">
      <w:pPr>
        <w:pStyle w:val="3"/>
        <w:spacing w:line="280" w:lineRule="exact"/>
        <w:jc w:val="left"/>
        <w:rPr>
          <w:rFonts w:ascii="宋体" w:hAnsi="宋体" w:cs="宋体"/>
          <w:b/>
          <w:bCs/>
        </w:rPr>
      </w:pPr>
      <w:bookmarkStart w:id="37" w:name="_Toc989030"/>
      <w:r>
        <w:rPr>
          <w:rFonts w:ascii="宋体" w:hAnsi="宋体" w:cs="宋体"/>
          <w:b/>
          <w:bCs/>
        </w:rPr>
        <w:t>22、长期股权投资</w:t>
      </w:r>
      <w:bookmarkEnd w:id="37"/>
    </w:p>
    <w:p w:rsidR="00B54A20" w:rsidRDefault="00B54A20" w:rsidP="00D51BB1">
      <w:pPr>
        <w:widowControl/>
        <w:numPr>
          <w:ilvl w:val="1"/>
          <w:numId w:val="11"/>
        </w:numPr>
        <w:tabs>
          <w:tab w:val="clear" w:pos="1440"/>
          <w:tab w:val="num" w:pos="426"/>
        </w:tabs>
        <w:ind w:left="0" w:firstLine="425"/>
        <w:divId w:val="2137723709"/>
        <w:rPr>
          <w:sz w:val="18"/>
          <w:szCs w:val="18"/>
        </w:rPr>
      </w:pPr>
      <w:r>
        <w:rPr>
          <w:rFonts w:hint="eastAsia"/>
          <w:sz w:val="18"/>
          <w:szCs w:val="18"/>
        </w:rPr>
        <w:t>初始投资成本的确定</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w:t>
      </w:r>
      <w:r>
        <w:rPr>
          <w:rFonts w:ascii="Times New Roman" w:hAnsi="Times New Roman" w:cs="Times New Roman"/>
          <w:sz w:val="18"/>
          <w:szCs w:val="18"/>
        </w:rPr>
        <w:t>1</w:t>
      </w:r>
      <w:r>
        <w:rPr>
          <w:rFonts w:hint="eastAsia"/>
          <w:sz w:val="18"/>
          <w:szCs w:val="18"/>
        </w:rPr>
        <w:t>）企业合并形成的长期股权投资，具体会计政策详见本附注（五）同</w:t>
      </w:r>
      <w:proofErr w:type="gramStart"/>
      <w:r>
        <w:rPr>
          <w:rFonts w:hint="eastAsia"/>
          <w:sz w:val="18"/>
          <w:szCs w:val="18"/>
        </w:rPr>
        <w:t>一控制</w:t>
      </w:r>
      <w:proofErr w:type="gramEnd"/>
      <w:r>
        <w:rPr>
          <w:rFonts w:hint="eastAsia"/>
          <w:sz w:val="18"/>
          <w:szCs w:val="18"/>
        </w:rPr>
        <w:t>下和非同</w:t>
      </w:r>
      <w:proofErr w:type="gramStart"/>
      <w:r>
        <w:rPr>
          <w:rFonts w:hint="eastAsia"/>
          <w:sz w:val="18"/>
          <w:szCs w:val="18"/>
        </w:rPr>
        <w:t>一控制</w:t>
      </w:r>
      <w:proofErr w:type="gramEnd"/>
      <w:r>
        <w:rPr>
          <w:rFonts w:hint="eastAsia"/>
          <w:sz w:val="18"/>
          <w:szCs w:val="18"/>
        </w:rPr>
        <w:t>下企业合并的会计处理方法。</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（2）其他方式取得的长期股权投资</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以支付现金方式取得的长期股权投资，按照实际支付的购买价款作为初始投资成本。初始投资成本包括与取得长期股权投资直接相关的费用、税金及其他必要支出。</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以发行权益</w:t>
      </w:r>
      <w:proofErr w:type="gramStart"/>
      <w:r>
        <w:rPr>
          <w:rFonts w:hint="eastAsia"/>
          <w:sz w:val="18"/>
          <w:szCs w:val="18"/>
        </w:rPr>
        <w:t>性证券</w:t>
      </w:r>
      <w:proofErr w:type="gramEnd"/>
      <w:r>
        <w:rPr>
          <w:rFonts w:hint="eastAsia"/>
          <w:sz w:val="18"/>
          <w:szCs w:val="18"/>
        </w:rPr>
        <w:t>取得的长期股权投资，按照发行权益</w:t>
      </w:r>
      <w:proofErr w:type="gramStart"/>
      <w:r>
        <w:rPr>
          <w:rFonts w:hint="eastAsia"/>
          <w:sz w:val="18"/>
          <w:szCs w:val="18"/>
        </w:rPr>
        <w:t>性证券</w:t>
      </w:r>
      <w:proofErr w:type="gramEnd"/>
      <w:r>
        <w:rPr>
          <w:rFonts w:hint="eastAsia"/>
          <w:sz w:val="18"/>
          <w:szCs w:val="18"/>
        </w:rPr>
        <w:t>的公允价值作为初始投资成本；发行或取得自身权益工具时发生的交易费用，可直接归属于权益性交易的从权益中扣减。</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通过债务重组取得的长期股权投资，其初始投资成本按照公允价值为基础确定。</w:t>
      </w:r>
    </w:p>
    <w:p w:rsidR="00B54A20" w:rsidRDefault="00B54A20" w:rsidP="00D51BB1">
      <w:pPr>
        <w:widowControl/>
        <w:numPr>
          <w:ilvl w:val="1"/>
          <w:numId w:val="11"/>
        </w:numPr>
        <w:tabs>
          <w:tab w:val="clear" w:pos="1440"/>
          <w:tab w:val="num" w:pos="426"/>
        </w:tabs>
        <w:ind w:left="0" w:firstLine="425"/>
        <w:divId w:val="2137723709"/>
        <w:rPr>
          <w:sz w:val="18"/>
          <w:szCs w:val="18"/>
        </w:rPr>
      </w:pPr>
      <w:r>
        <w:rPr>
          <w:rFonts w:hint="eastAsia"/>
          <w:sz w:val="18"/>
          <w:szCs w:val="18"/>
        </w:rPr>
        <w:t>后续计量及损益确认</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（1）成本法</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本公司能够对被投资单位实施控制的长期股权投资采用成本法核算，并按照初始投资成本计价，追加或收回投资调整长期股权投资的成本。</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除取得投资时实际支付的价款或对价中包含的已宣告但尚未发放的现金股利或利润外，本公司按照享有被投资单位宣告分派的现金股利或利润确认为当期投资收益。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（2）权益法</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本公司对联营企业和合营企业的长期股权投资采用权益法核算；对于其中一部分通过风险投资机构、共同基金、信托公司或包括投</w:t>
      </w:r>
      <w:proofErr w:type="gramStart"/>
      <w:r>
        <w:rPr>
          <w:rFonts w:hint="eastAsia"/>
          <w:sz w:val="18"/>
          <w:szCs w:val="18"/>
        </w:rPr>
        <w:t>连险基金</w:t>
      </w:r>
      <w:proofErr w:type="gramEnd"/>
      <w:r>
        <w:rPr>
          <w:rFonts w:hint="eastAsia"/>
          <w:sz w:val="18"/>
          <w:szCs w:val="18"/>
        </w:rPr>
        <w:t>在内的类似主体间接持有的联营企业的权益性投资，采用公允价值计量且其变动计入损益。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w:t>
      </w:r>
      <w:proofErr w:type="gramStart"/>
      <w:r>
        <w:rPr>
          <w:rFonts w:hint="eastAsia"/>
          <w:sz w:val="18"/>
          <w:szCs w:val="18"/>
        </w:rPr>
        <w:t>抵销</w:t>
      </w:r>
      <w:proofErr w:type="gramEnd"/>
      <w:r>
        <w:rPr>
          <w:rFonts w:hint="eastAsia"/>
          <w:sz w:val="18"/>
          <w:szCs w:val="18"/>
        </w:rPr>
        <w:t>，在此基础上确认投资损益。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被投资单位以后期间实现盈利的，公司在扣除未确认的亏损分担额后，按与上述相反的顺序处理，</w:t>
      </w:r>
      <w:proofErr w:type="gramStart"/>
      <w:r>
        <w:rPr>
          <w:rFonts w:hint="eastAsia"/>
          <w:sz w:val="18"/>
          <w:szCs w:val="18"/>
        </w:rPr>
        <w:t>减记已</w:t>
      </w:r>
      <w:proofErr w:type="gramEnd"/>
      <w:r>
        <w:rPr>
          <w:rFonts w:hint="eastAsia"/>
          <w:sz w:val="18"/>
          <w:szCs w:val="18"/>
        </w:rPr>
        <w:t>确认预计负债的账面余额、恢复其他实质上构成对被投资单位净投资的长期权益及长期股权投资的账面价值后，恢复确认投资收益。</w:t>
      </w:r>
    </w:p>
    <w:p w:rsidR="00B54A20" w:rsidRDefault="00B54A20" w:rsidP="00D51BB1">
      <w:pPr>
        <w:widowControl/>
        <w:numPr>
          <w:ilvl w:val="1"/>
          <w:numId w:val="11"/>
        </w:numPr>
        <w:tabs>
          <w:tab w:val="clear" w:pos="1440"/>
          <w:tab w:val="num" w:pos="426"/>
        </w:tabs>
        <w:ind w:left="0" w:firstLine="425"/>
        <w:divId w:val="2137723709"/>
        <w:rPr>
          <w:sz w:val="18"/>
          <w:szCs w:val="18"/>
        </w:rPr>
      </w:pPr>
      <w:r>
        <w:rPr>
          <w:rFonts w:hint="eastAsia"/>
          <w:sz w:val="18"/>
          <w:szCs w:val="18"/>
        </w:rPr>
        <w:t> </w:t>
      </w:r>
      <w:r>
        <w:rPr>
          <w:rFonts w:hint="eastAsia"/>
          <w:sz w:val="18"/>
          <w:szCs w:val="18"/>
        </w:rPr>
        <w:t>长期股权投资核算方法的转换</w:t>
      </w:r>
    </w:p>
    <w:p w:rsidR="00B54A20" w:rsidRDefault="00B54A20" w:rsidP="00304B40">
      <w:pPr>
        <w:widowControl/>
        <w:tabs>
          <w:tab w:val="num" w:pos="1134"/>
        </w:tabs>
        <w:ind w:firstLine="425"/>
        <w:divId w:val="2137723709"/>
        <w:rPr>
          <w:sz w:val="18"/>
          <w:szCs w:val="18"/>
        </w:rPr>
      </w:pPr>
      <w:r>
        <w:rPr>
          <w:rFonts w:hint="eastAsia"/>
          <w:sz w:val="18"/>
          <w:szCs w:val="18"/>
        </w:rPr>
        <w:t>公允价值计量转权益法核算</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22号——金融工具确认和计量》确定的原持有的股权投资的公允价值加上新增投资成本之和，作为改按权益法核算的初始投资成本。</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按权益法核算的初始投资成本小于按照追加投资后全新的持股比例计算确定的应享有被投资单位在追加</w:t>
      </w:r>
      <w:proofErr w:type="gramStart"/>
      <w:r>
        <w:rPr>
          <w:rFonts w:hint="eastAsia"/>
          <w:sz w:val="18"/>
          <w:szCs w:val="18"/>
        </w:rPr>
        <w:t>投资日</w:t>
      </w:r>
      <w:proofErr w:type="gramEnd"/>
      <w:r>
        <w:rPr>
          <w:rFonts w:hint="eastAsia"/>
          <w:sz w:val="18"/>
          <w:szCs w:val="18"/>
        </w:rPr>
        <w:t>可辨认净资产公允价值份额之间的差额，调整长期股权投资的账面价值，并计入当期营业外收入。</w:t>
      </w:r>
    </w:p>
    <w:p w:rsidR="00B54A20" w:rsidRDefault="00B54A20" w:rsidP="00304B40">
      <w:pPr>
        <w:widowControl/>
        <w:tabs>
          <w:tab w:val="num" w:pos="1134"/>
        </w:tabs>
        <w:ind w:firstLine="425"/>
        <w:divId w:val="2137723709"/>
        <w:rPr>
          <w:sz w:val="18"/>
          <w:szCs w:val="18"/>
        </w:rPr>
      </w:pPr>
      <w:r>
        <w:rPr>
          <w:rFonts w:hint="eastAsia"/>
          <w:sz w:val="18"/>
          <w:szCs w:val="18"/>
        </w:rPr>
        <w:t>公允价值计量或权益法核算</w:t>
      </w:r>
      <w:proofErr w:type="gramStart"/>
      <w:r>
        <w:rPr>
          <w:rFonts w:hint="eastAsia"/>
          <w:sz w:val="18"/>
          <w:szCs w:val="18"/>
        </w:rPr>
        <w:t>转成本</w:t>
      </w:r>
      <w:proofErr w:type="gramEnd"/>
      <w:r>
        <w:rPr>
          <w:rFonts w:hint="eastAsia"/>
          <w:sz w:val="18"/>
          <w:szCs w:val="18"/>
        </w:rPr>
        <w:t>法核算</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本公司原持有的对被投资单位不具有控制、共同控制或重大影响的按金融工具确认和计量准则进行会计处理的权益性投资，或原持有对联营企业、合营企业的长期股权投资，因追加投资等原因能够对非同</w:t>
      </w:r>
      <w:proofErr w:type="gramStart"/>
      <w:r>
        <w:rPr>
          <w:rFonts w:hint="eastAsia"/>
          <w:sz w:val="18"/>
          <w:szCs w:val="18"/>
        </w:rPr>
        <w:t>一控制</w:t>
      </w:r>
      <w:proofErr w:type="gramEnd"/>
      <w:r>
        <w:rPr>
          <w:rFonts w:hint="eastAsia"/>
          <w:sz w:val="18"/>
          <w:szCs w:val="18"/>
        </w:rPr>
        <w:t>下的被投资单位实施控制的，在编制个别财务报表时，按照原持有的股权投资账面价值加上新增投资成本之和，作为改按成本法核算的初始投资成本。</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购买日之前持有的股权投资因采用权益法核算而确认的其他综合收益，在处置该项投资时采用与被投资单位直接处置相关资产或负债相同的基础进行会计处理。</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购买日之前持有的股权投资按照《企业会计准则第22号——金融工具确认和计量》的有关规定进行会计处理的，原计入其他综合收益的累计公允价值变动在改按成本法核算时转入当期损益。</w:t>
      </w:r>
    </w:p>
    <w:p w:rsidR="00B54A20" w:rsidRDefault="00B54A20" w:rsidP="00304B40">
      <w:pPr>
        <w:widowControl/>
        <w:tabs>
          <w:tab w:val="num" w:pos="1134"/>
        </w:tabs>
        <w:ind w:firstLine="425"/>
        <w:divId w:val="2137723709"/>
        <w:rPr>
          <w:sz w:val="18"/>
          <w:szCs w:val="18"/>
        </w:rPr>
      </w:pPr>
      <w:r>
        <w:rPr>
          <w:rFonts w:hint="eastAsia"/>
          <w:sz w:val="18"/>
          <w:szCs w:val="18"/>
        </w:rPr>
        <w:t>权益法核算转公允价值计量</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因处置部分股权投资等原因丧失了对被投资单位的共同控制或重大影响的，处置后的剩余股权改按《企业会计准则第22号——金融工具确认和计量》核算，其在丧失共同控制或重大影响之日的公允价值与账面价值之间的差额计入当期损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原股权投资因采用权益法核算而确认的其他综合收益，在终止采用权益法核算时采用与被投资单位直接处置相关资产或负债相同的基础进行会计处理。</w:t>
      </w:r>
    </w:p>
    <w:p w:rsidR="00B54A20" w:rsidRDefault="00B54A20" w:rsidP="00304B40">
      <w:pPr>
        <w:widowControl/>
        <w:tabs>
          <w:tab w:val="num" w:pos="1134"/>
        </w:tabs>
        <w:ind w:firstLine="425"/>
        <w:divId w:val="2137723709"/>
        <w:rPr>
          <w:sz w:val="18"/>
          <w:szCs w:val="18"/>
        </w:rPr>
      </w:pPr>
      <w:r>
        <w:rPr>
          <w:rFonts w:hint="eastAsia"/>
          <w:sz w:val="18"/>
          <w:szCs w:val="18"/>
        </w:rPr>
        <w:t>成本</w:t>
      </w:r>
      <w:proofErr w:type="gramStart"/>
      <w:r>
        <w:rPr>
          <w:rFonts w:hint="eastAsia"/>
          <w:sz w:val="18"/>
          <w:szCs w:val="18"/>
        </w:rPr>
        <w:t>法转权益</w:t>
      </w:r>
      <w:proofErr w:type="gramEnd"/>
      <w:r>
        <w:rPr>
          <w:rFonts w:hint="eastAsia"/>
          <w:sz w:val="18"/>
          <w:szCs w:val="18"/>
        </w:rPr>
        <w:t>法</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B54A20" w:rsidRDefault="00B54A20" w:rsidP="00304B40">
      <w:pPr>
        <w:widowControl/>
        <w:tabs>
          <w:tab w:val="num" w:pos="1134"/>
        </w:tabs>
        <w:ind w:firstLine="425"/>
        <w:divId w:val="2137723709"/>
        <w:rPr>
          <w:sz w:val="18"/>
          <w:szCs w:val="18"/>
        </w:rPr>
      </w:pPr>
      <w:proofErr w:type="gramStart"/>
      <w:r>
        <w:rPr>
          <w:rFonts w:hint="eastAsia"/>
          <w:sz w:val="18"/>
          <w:szCs w:val="18"/>
        </w:rPr>
        <w:t>成本法转公允</w:t>
      </w:r>
      <w:proofErr w:type="gramEnd"/>
      <w:r>
        <w:rPr>
          <w:rFonts w:hint="eastAsia"/>
          <w:sz w:val="18"/>
          <w:szCs w:val="18"/>
        </w:rPr>
        <w:t>价值计量</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本公司因处置部分权益性投资等原因丧失了对被投资单位的控制的，在编制个别财务报表时，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B54A20" w:rsidRDefault="00B54A20" w:rsidP="00D51BB1">
      <w:pPr>
        <w:widowControl/>
        <w:numPr>
          <w:ilvl w:val="1"/>
          <w:numId w:val="11"/>
        </w:numPr>
        <w:tabs>
          <w:tab w:val="clear" w:pos="1440"/>
          <w:tab w:val="num" w:pos="426"/>
        </w:tabs>
        <w:ind w:left="0" w:firstLine="425"/>
        <w:divId w:val="2137723709"/>
        <w:rPr>
          <w:sz w:val="18"/>
          <w:szCs w:val="18"/>
        </w:rPr>
      </w:pPr>
      <w:r>
        <w:rPr>
          <w:rFonts w:hint="eastAsia"/>
          <w:sz w:val="18"/>
          <w:szCs w:val="18"/>
        </w:rPr>
        <w:t>长期股权投资的处置</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处置对子公司股权投资的各项交易的条款、条件以及经济影响符合以下一种或多种情况，将多次交易事项作为一揽子交易进行会计处理：</w:t>
      </w:r>
    </w:p>
    <w:p w:rsidR="00B54A20" w:rsidRDefault="00B54A20" w:rsidP="00D51BB1">
      <w:pPr>
        <w:widowControl/>
        <w:numPr>
          <w:ilvl w:val="1"/>
          <w:numId w:val="12"/>
        </w:numPr>
        <w:tabs>
          <w:tab w:val="clear" w:pos="1440"/>
          <w:tab w:val="num" w:pos="426"/>
        </w:tabs>
        <w:spacing w:before="100" w:beforeAutospacing="1" w:after="100" w:afterAutospacing="1"/>
        <w:ind w:left="0" w:firstLine="426"/>
        <w:divId w:val="2137723709"/>
        <w:rPr>
          <w:sz w:val="18"/>
          <w:szCs w:val="18"/>
        </w:rPr>
      </w:pPr>
      <w:r>
        <w:rPr>
          <w:rFonts w:hint="eastAsia"/>
          <w:sz w:val="18"/>
          <w:szCs w:val="18"/>
        </w:rPr>
        <w:t>这些交易是同时或者在考虑了彼此影响的情况下订立的；</w:t>
      </w:r>
    </w:p>
    <w:p w:rsidR="00B54A20" w:rsidRDefault="00B54A20" w:rsidP="00D51BB1">
      <w:pPr>
        <w:widowControl/>
        <w:numPr>
          <w:ilvl w:val="1"/>
          <w:numId w:val="12"/>
        </w:numPr>
        <w:tabs>
          <w:tab w:val="clear" w:pos="1440"/>
          <w:tab w:val="num" w:pos="426"/>
        </w:tabs>
        <w:spacing w:before="100" w:beforeAutospacing="1" w:after="100" w:afterAutospacing="1"/>
        <w:ind w:left="0" w:firstLine="426"/>
        <w:divId w:val="2137723709"/>
        <w:rPr>
          <w:sz w:val="18"/>
          <w:szCs w:val="18"/>
        </w:rPr>
      </w:pPr>
      <w:r>
        <w:rPr>
          <w:rFonts w:hint="eastAsia"/>
          <w:sz w:val="18"/>
          <w:szCs w:val="18"/>
        </w:rPr>
        <w:t>这些交易整体才能达成一项完整的商业结果；</w:t>
      </w:r>
    </w:p>
    <w:p w:rsidR="00B54A20" w:rsidRDefault="00B54A20" w:rsidP="00D51BB1">
      <w:pPr>
        <w:widowControl/>
        <w:numPr>
          <w:ilvl w:val="1"/>
          <w:numId w:val="12"/>
        </w:numPr>
        <w:tabs>
          <w:tab w:val="clear" w:pos="1440"/>
          <w:tab w:val="num" w:pos="426"/>
        </w:tabs>
        <w:spacing w:before="100" w:beforeAutospacing="1" w:after="100" w:afterAutospacing="1"/>
        <w:ind w:left="0" w:firstLine="426"/>
        <w:divId w:val="2137723709"/>
        <w:rPr>
          <w:sz w:val="18"/>
          <w:szCs w:val="18"/>
        </w:rPr>
      </w:pPr>
      <w:r>
        <w:rPr>
          <w:rFonts w:hint="eastAsia"/>
          <w:sz w:val="18"/>
          <w:szCs w:val="18"/>
        </w:rPr>
        <w:t>一项交易的发生取决于其他至少一项交易的发生；</w:t>
      </w:r>
    </w:p>
    <w:p w:rsidR="00B54A20" w:rsidRDefault="00B54A20" w:rsidP="00D51BB1">
      <w:pPr>
        <w:widowControl/>
        <w:numPr>
          <w:ilvl w:val="1"/>
          <w:numId w:val="12"/>
        </w:numPr>
        <w:tabs>
          <w:tab w:val="clear" w:pos="1440"/>
          <w:tab w:val="num" w:pos="426"/>
        </w:tabs>
        <w:spacing w:before="100" w:beforeAutospacing="1" w:after="100" w:afterAutospacing="1"/>
        <w:ind w:left="0" w:firstLine="426"/>
        <w:divId w:val="2137723709"/>
        <w:rPr>
          <w:sz w:val="18"/>
          <w:szCs w:val="18"/>
        </w:rPr>
      </w:pPr>
      <w:r>
        <w:rPr>
          <w:rFonts w:hint="eastAsia"/>
          <w:sz w:val="18"/>
          <w:szCs w:val="18"/>
        </w:rPr>
        <w:t>一项交易单独看是不经济的，但是和其他交易一并考虑时是经济的。</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因处置部分股权投资或其他原因丧失了对原有子公司控制权的，不属于一揽子交易的，区分个别财务报表和合并财务报表进行相关会计处理：</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1）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（2）在合并财务报表中，对于在丧失对子公司控制权以前的各项交易，处置价款与处置长期股权投资相应对享有子公司自购买日或</w:t>
      </w:r>
      <w:proofErr w:type="gramStart"/>
      <w:r>
        <w:rPr>
          <w:rFonts w:hint="eastAsia"/>
          <w:sz w:val="18"/>
          <w:szCs w:val="18"/>
        </w:rPr>
        <w:t>合并日</w:t>
      </w:r>
      <w:proofErr w:type="gramEnd"/>
      <w:r>
        <w:rPr>
          <w:rFonts w:hint="eastAsia"/>
          <w:sz w:val="18"/>
          <w:szCs w:val="18"/>
        </w:rPr>
        <w:t>开始持续计算的净资产份额之间的差额，调整资本公积（股本溢价），资本公</w:t>
      </w:r>
      <w:proofErr w:type="gramStart"/>
      <w:r>
        <w:rPr>
          <w:rFonts w:hint="eastAsia"/>
          <w:sz w:val="18"/>
          <w:szCs w:val="18"/>
        </w:rPr>
        <w:t>积不足</w:t>
      </w:r>
      <w:proofErr w:type="gramEnd"/>
      <w:r>
        <w:rPr>
          <w:rFonts w:hint="eastAsia"/>
          <w:sz w:val="18"/>
          <w:szCs w:val="18"/>
        </w:rPr>
        <w:t>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（1）在个别财务报表中，在丧失控制权之前每一次处置价款与处置的股权对应的长期股权投资账面价值之间的差额，确认为其他综合收益，在丧失控制权时一并转入丧失控制权当期的损益。</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（2）在合并财务报表中，在丧失控制权之前每一次处置价款与处置投资对应的享有该子公司净资产份额的差额，确认为其他综合收益，在丧失控制权时一并转入丧失控制权当期的损益。</w:t>
      </w:r>
    </w:p>
    <w:p w:rsidR="00B54A20" w:rsidRDefault="00B54A20" w:rsidP="00D51BB1">
      <w:pPr>
        <w:widowControl/>
        <w:numPr>
          <w:ilvl w:val="1"/>
          <w:numId w:val="11"/>
        </w:numPr>
        <w:tabs>
          <w:tab w:val="clear" w:pos="1440"/>
          <w:tab w:val="num" w:pos="426"/>
        </w:tabs>
        <w:ind w:left="0" w:firstLine="425"/>
        <w:divId w:val="2137723709"/>
        <w:rPr>
          <w:sz w:val="18"/>
          <w:szCs w:val="18"/>
        </w:rPr>
      </w:pPr>
      <w:r>
        <w:rPr>
          <w:rFonts w:hint="eastAsia"/>
          <w:sz w:val="18"/>
          <w:szCs w:val="18"/>
        </w:rPr>
        <w:t>共同控制、重大影响的判断标准</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如果本公司按照相关约定与其他参与</w:t>
      </w:r>
      <w:proofErr w:type="gramStart"/>
      <w:r>
        <w:rPr>
          <w:rFonts w:hint="eastAsia"/>
          <w:sz w:val="18"/>
          <w:szCs w:val="18"/>
        </w:rPr>
        <w:t>方集体</w:t>
      </w:r>
      <w:proofErr w:type="gramEnd"/>
      <w:r>
        <w:rPr>
          <w:rFonts w:hint="eastAsia"/>
          <w:sz w:val="18"/>
          <w:szCs w:val="18"/>
        </w:rPr>
        <w:t>控制某项安排，并且对该安排回报具有重大影响的活动决策，需要经过分享控制权的参与方一致同意时才存在，则视为本公司与其他参与方共同控制某项安排，该安排即属于合营安排。</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B54A20" w:rsidRDefault="00B54A20" w:rsidP="00304B40">
      <w:pPr>
        <w:pStyle w:val="a3"/>
        <w:tabs>
          <w:tab w:val="num" w:pos="1134"/>
        </w:tabs>
        <w:spacing w:before="0" w:beforeAutospacing="0" w:after="0" w:afterAutospacing="0"/>
        <w:ind w:firstLine="426"/>
        <w:jc w:val="both"/>
        <w:divId w:val="2137723709"/>
      </w:pPr>
      <w:r>
        <w:rPr>
          <w:rFonts w:hint="eastAsia"/>
          <w:sz w:val="18"/>
          <w:szCs w:val="18"/>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1）在被投资单位的董事会或类似权力机构中派有代表；（2）参与被投资单位财务和经营政策制定过程；（3）与被投资单位之间发生重要交易；（4）向被投资单位派出管理人员；（5）向被投资单位提供关键技术资料。</w:t>
      </w:r>
    </w:p>
    <w:p w:rsidR="00E62F69" w:rsidRDefault="00B54A20">
      <w:pPr>
        <w:pStyle w:val="3"/>
        <w:spacing w:line="280" w:lineRule="exact"/>
        <w:jc w:val="left"/>
        <w:rPr>
          <w:rFonts w:ascii="宋体" w:hAnsi="宋体" w:cs="宋体"/>
          <w:b/>
          <w:bCs/>
        </w:rPr>
      </w:pPr>
      <w:bookmarkStart w:id="38" w:name="_Toc989031"/>
      <w:r>
        <w:rPr>
          <w:rFonts w:ascii="宋体" w:hAnsi="宋体" w:cs="宋体"/>
          <w:b/>
          <w:bCs/>
        </w:rPr>
        <w:t>23、投资性房地产</w:t>
      </w:r>
      <w:bookmarkEnd w:id="38"/>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投资性房地产计量模式</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成本法计量</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折旧或摊销方法</w:t>
      </w:r>
    </w:p>
    <w:p w:rsidR="00B54A20" w:rsidRDefault="00B54A20" w:rsidP="00304B40">
      <w:pPr>
        <w:pStyle w:val="a3"/>
        <w:spacing w:before="0" w:beforeAutospacing="0" w:after="0" w:afterAutospacing="0"/>
        <w:ind w:firstLine="420"/>
        <w:jc w:val="both"/>
        <w:divId w:val="1889297136"/>
      </w:pPr>
      <w:r>
        <w:rPr>
          <w:rFonts w:hint="eastAsia"/>
          <w:sz w:val="18"/>
          <w:szCs w:val="18"/>
        </w:rPr>
        <w:t>投资性房地产是指为赚取租金或资本增值，或两者兼有而持有的房地产，包括已出租的土地使用权、持有并</w:t>
      </w:r>
      <w:proofErr w:type="gramStart"/>
      <w:r>
        <w:rPr>
          <w:rFonts w:hint="eastAsia"/>
          <w:sz w:val="18"/>
          <w:szCs w:val="18"/>
        </w:rPr>
        <w:t>准备增值</w:t>
      </w:r>
      <w:proofErr w:type="gramEnd"/>
      <w:r>
        <w:rPr>
          <w:rFonts w:hint="eastAsia"/>
          <w:sz w:val="18"/>
          <w:szCs w:val="18"/>
        </w:rPr>
        <w:t>后转让的土地使用权、已出租的建筑物。此外，对于本公司持有以备经营出租的空置建筑物，若董事会</w:t>
      </w:r>
      <w:proofErr w:type="gramStart"/>
      <w:r>
        <w:rPr>
          <w:rFonts w:hint="eastAsia"/>
          <w:sz w:val="18"/>
          <w:szCs w:val="18"/>
        </w:rPr>
        <w:t>作出</w:t>
      </w:r>
      <w:proofErr w:type="gramEnd"/>
      <w:r>
        <w:rPr>
          <w:rFonts w:hint="eastAsia"/>
          <w:sz w:val="18"/>
          <w:szCs w:val="18"/>
        </w:rPr>
        <w:t>书面决议，明确表示将其用于经营出租且持有意图短期内不再发生变化的，也作为投资性房地产列报。</w:t>
      </w:r>
    </w:p>
    <w:p w:rsidR="00B54A20" w:rsidRDefault="00B54A20" w:rsidP="00304B40">
      <w:pPr>
        <w:pStyle w:val="a3"/>
        <w:spacing w:before="0" w:beforeAutospacing="0" w:after="0" w:afterAutospacing="0"/>
        <w:ind w:firstLine="420"/>
        <w:jc w:val="both"/>
        <w:divId w:val="1889297136"/>
      </w:pPr>
      <w:r>
        <w:rPr>
          <w:rFonts w:hint="eastAsia"/>
          <w:sz w:val="18"/>
          <w:szCs w:val="18"/>
        </w:rPr>
        <w:t>本公司的投资性房地产按其成本作为入账价值，外购投资性房地产的成本包括购买价款、相关税费和</w:t>
      </w:r>
      <w:proofErr w:type="gramStart"/>
      <w:r>
        <w:rPr>
          <w:rFonts w:hint="eastAsia"/>
          <w:sz w:val="18"/>
          <w:szCs w:val="18"/>
        </w:rPr>
        <w:t>可</w:t>
      </w:r>
      <w:proofErr w:type="gramEnd"/>
      <w:r>
        <w:rPr>
          <w:rFonts w:hint="eastAsia"/>
          <w:sz w:val="18"/>
          <w:szCs w:val="18"/>
        </w:rPr>
        <w:t>直接归属于该资产的其他支出；自行建造投资性房地产的成本，由建造该项资产达到预定可使用状态前所发生的必要支出构成。</w:t>
      </w:r>
    </w:p>
    <w:p w:rsidR="00B54A20" w:rsidRDefault="00B54A20" w:rsidP="00304B40">
      <w:pPr>
        <w:pStyle w:val="a3"/>
        <w:spacing w:before="0" w:beforeAutospacing="0" w:after="0" w:afterAutospacing="0"/>
        <w:ind w:firstLine="420"/>
        <w:jc w:val="both"/>
        <w:divId w:val="1889297136"/>
      </w:pPr>
      <w:r>
        <w:rPr>
          <w:rFonts w:hint="eastAsia"/>
          <w:sz w:val="18"/>
          <w:szCs w:val="18"/>
        </w:rPr>
        <w:t>本公司对投资性房地产采用成本模式进行后续计量，按其预计使用寿命及净残值率对建筑物和土地使用权计提折旧或摊销。投资性房地产的预计使用寿命、净残值率及年折旧（摊销）率列示如下：</w:t>
      </w:r>
    </w:p>
    <w:tbl>
      <w:tblPr>
        <w:tblW w:w="8947" w:type="dxa"/>
        <w:jc w:val="center"/>
        <w:tblCellMar>
          <w:left w:w="0" w:type="dxa"/>
          <w:right w:w="0" w:type="dxa"/>
        </w:tblCellMar>
        <w:tblLook w:val="04A0" w:firstRow="1" w:lastRow="0" w:firstColumn="1" w:lastColumn="0" w:noHBand="0" w:noVBand="1"/>
      </w:tblPr>
      <w:tblGrid>
        <w:gridCol w:w="2128"/>
        <w:gridCol w:w="1986"/>
        <w:gridCol w:w="2270"/>
        <w:gridCol w:w="2563"/>
      </w:tblGrid>
      <w:tr w:rsidR="00B54A20">
        <w:trPr>
          <w:divId w:val="1889297136"/>
          <w:trHeight w:val="340"/>
          <w:tblHeader/>
          <w:jc w:val="center"/>
        </w:trPr>
        <w:tc>
          <w:tcPr>
            <w:tcW w:w="2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类别</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预计使用寿命（年）</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预计净残值率（</w:t>
            </w:r>
            <w:r>
              <w:rPr>
                <w:rFonts w:ascii="Arial Narrow" w:hAnsi="Arial Narrow"/>
                <w:sz w:val="18"/>
                <w:szCs w:val="18"/>
              </w:rPr>
              <w:t>%</w:t>
            </w:r>
            <w:r>
              <w:rPr>
                <w:rFonts w:hint="eastAsia"/>
                <w:sz w:val="18"/>
                <w:szCs w:val="18"/>
              </w:rPr>
              <w:t>）</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年折旧（摊销）率（</w:t>
            </w:r>
            <w:r>
              <w:rPr>
                <w:rFonts w:ascii="Arial Narrow" w:hAnsi="Arial Narrow"/>
                <w:sz w:val="18"/>
                <w:szCs w:val="18"/>
              </w:rPr>
              <w:t>%</w:t>
            </w:r>
            <w:r>
              <w:rPr>
                <w:rFonts w:hint="eastAsia"/>
                <w:sz w:val="18"/>
                <w:szCs w:val="18"/>
              </w:rPr>
              <w:t>）</w:t>
            </w:r>
          </w:p>
        </w:tc>
      </w:tr>
      <w:tr w:rsidR="00B54A20" w:rsidTr="00304B40">
        <w:trPr>
          <w:divId w:val="1889297136"/>
          <w:trHeight w:val="34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rsidP="00304B40">
            <w:pPr>
              <w:pStyle w:val="a3"/>
              <w:spacing w:before="0" w:beforeAutospacing="0" w:after="0" w:afterAutospacing="0"/>
              <w:jc w:val="center"/>
            </w:pPr>
            <w:r>
              <w:rPr>
                <w:rFonts w:hint="eastAsia"/>
                <w:sz w:val="18"/>
                <w:szCs w:val="18"/>
              </w:rPr>
              <w:t>房屋建筑物</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25</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10</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3.6</w:t>
            </w:r>
          </w:p>
        </w:tc>
      </w:tr>
    </w:tbl>
    <w:p w:rsidR="00B54A20" w:rsidRDefault="00B54A20" w:rsidP="00304B40">
      <w:pPr>
        <w:pStyle w:val="a3"/>
        <w:spacing w:before="0" w:beforeAutospacing="0" w:after="0" w:afterAutospacing="0"/>
        <w:ind w:firstLine="420"/>
        <w:jc w:val="both"/>
        <w:divId w:val="1889297136"/>
      </w:pPr>
      <w:r>
        <w:rPr>
          <w:rFonts w:hint="eastAsia"/>
          <w:sz w:val="18"/>
          <w:szCs w:val="18"/>
        </w:rPr>
        <w:t>投资性房地产的用途改变为自用时，</w:t>
      </w:r>
      <w:proofErr w:type="gramStart"/>
      <w:r>
        <w:rPr>
          <w:rFonts w:hint="eastAsia"/>
          <w:sz w:val="18"/>
          <w:szCs w:val="18"/>
        </w:rPr>
        <w:t>自改变</w:t>
      </w:r>
      <w:proofErr w:type="gramEnd"/>
      <w:r>
        <w:rPr>
          <w:rFonts w:hint="eastAsia"/>
          <w:sz w:val="18"/>
          <w:szCs w:val="18"/>
        </w:rPr>
        <w:t>之日起，本公司将该投资性房地产转换为固定资产或无形资产。自用房地产的用途改变为赚取租金或资本增值时，</w:t>
      </w:r>
      <w:proofErr w:type="gramStart"/>
      <w:r>
        <w:rPr>
          <w:rFonts w:hint="eastAsia"/>
          <w:sz w:val="18"/>
          <w:szCs w:val="18"/>
        </w:rPr>
        <w:t>自改变</w:t>
      </w:r>
      <w:proofErr w:type="gramEnd"/>
      <w:r>
        <w:rPr>
          <w:rFonts w:hint="eastAsia"/>
          <w:sz w:val="18"/>
          <w:szCs w:val="18"/>
        </w:rPr>
        <w:t>之日起，本公司将固定资产或无形资产转换为投资性房地产。发生转换时，以转换前的账面价值作为转换后的入账价值。</w:t>
      </w:r>
    </w:p>
    <w:p w:rsidR="00B54A20" w:rsidRDefault="00B54A20" w:rsidP="00304B40">
      <w:pPr>
        <w:pStyle w:val="a3"/>
        <w:spacing w:before="0" w:beforeAutospacing="0" w:after="0" w:afterAutospacing="0"/>
        <w:ind w:firstLine="420"/>
        <w:jc w:val="both"/>
        <w:divId w:val="1889297136"/>
      </w:pPr>
      <w:r>
        <w:rPr>
          <w:rFonts w:hint="eastAsia"/>
          <w:sz w:val="18"/>
          <w:szCs w:val="18"/>
        </w:rPr>
        <w:t xml:space="preserve">当投资性房地产被处置，或者永久退出使用且预计不能从其处置中取得经济利益时，终止确认该项投资性房地产。投资性房地产出售、转让、报废或毁损的处置收入扣除其账面价值和相关税费后的金额计入当期损益。 </w:t>
      </w:r>
    </w:p>
    <w:p w:rsidR="00E62F69" w:rsidRDefault="00B54A20">
      <w:pPr>
        <w:pStyle w:val="3"/>
        <w:spacing w:line="280" w:lineRule="exact"/>
        <w:jc w:val="left"/>
        <w:rPr>
          <w:rFonts w:ascii="宋体" w:hAnsi="宋体" w:cs="宋体"/>
          <w:b/>
          <w:bCs/>
        </w:rPr>
      </w:pPr>
      <w:bookmarkStart w:id="39" w:name="_Toc989032"/>
      <w:r>
        <w:rPr>
          <w:rFonts w:ascii="宋体" w:hAnsi="宋体" w:cs="宋体"/>
          <w:b/>
          <w:bCs/>
        </w:rPr>
        <w:t>24、固定资产</w:t>
      </w:r>
      <w:bookmarkEnd w:id="39"/>
    </w:p>
    <w:p w:rsidR="00E62F69" w:rsidRDefault="00B54A20">
      <w:pPr>
        <w:keepNext/>
        <w:keepLines/>
        <w:spacing w:before="300" w:after="300" w:line="280" w:lineRule="exact"/>
        <w:outlineLvl w:val="3"/>
        <w:rPr>
          <w:rFonts w:ascii="宋体" w:eastAsia="宋体" w:hAnsi="宋体" w:cs="宋体"/>
          <w:b/>
          <w:bCs/>
          <w:szCs w:val="21"/>
        </w:rPr>
      </w:pPr>
      <w:bookmarkStart w:id="40" w:name="_Toc989033"/>
      <w:r>
        <w:rPr>
          <w:rFonts w:ascii="宋体" w:eastAsia="宋体" w:hAnsi="宋体" w:cs="宋体"/>
          <w:b/>
          <w:bCs/>
          <w:szCs w:val="21"/>
        </w:rPr>
        <w:t>（1） 确认条件</w:t>
      </w:r>
      <w:bookmarkEnd w:id="40"/>
    </w:p>
    <w:p w:rsidR="00B54A20" w:rsidRDefault="00B54A20" w:rsidP="00304B40">
      <w:pPr>
        <w:pStyle w:val="a3"/>
        <w:spacing w:before="0" w:beforeAutospacing="0" w:after="0" w:afterAutospacing="0"/>
        <w:ind w:firstLine="420"/>
        <w:jc w:val="both"/>
        <w:divId w:val="814034229"/>
        <w:rPr>
          <w:sz w:val="18"/>
          <w:szCs w:val="18"/>
        </w:rPr>
      </w:pPr>
      <w:r>
        <w:rPr>
          <w:rFonts w:hint="eastAsia"/>
          <w:sz w:val="18"/>
          <w:szCs w:val="18"/>
        </w:rPr>
        <w:t>固定资产指为生产商品、提供劳务、出租或经营管理而持有，并且使用寿命超过一个会计年度的有形资产。固定资产在同时满足下列条件时予以确认：</w:t>
      </w:r>
    </w:p>
    <w:p w:rsidR="00B54A20" w:rsidRDefault="00B54A20" w:rsidP="00304B40">
      <w:pPr>
        <w:pStyle w:val="a3"/>
        <w:spacing w:before="0" w:beforeAutospacing="0" w:after="0" w:afterAutospacing="0"/>
        <w:ind w:firstLine="420"/>
        <w:jc w:val="both"/>
        <w:divId w:val="814034229"/>
        <w:rPr>
          <w:sz w:val="18"/>
          <w:szCs w:val="18"/>
        </w:rPr>
      </w:pPr>
      <w:r>
        <w:rPr>
          <w:rFonts w:hint="eastAsia"/>
          <w:sz w:val="18"/>
          <w:szCs w:val="18"/>
        </w:rPr>
        <w:t>（1）与该固定资产有关的经济利益很可能流入企业；</w:t>
      </w:r>
    </w:p>
    <w:p w:rsidR="00B54A20" w:rsidRDefault="00B54A20" w:rsidP="00304B40">
      <w:pPr>
        <w:pStyle w:val="a3"/>
        <w:spacing w:before="0" w:beforeAutospacing="0" w:after="0" w:afterAutospacing="0"/>
        <w:ind w:firstLine="420"/>
        <w:jc w:val="both"/>
        <w:divId w:val="814034229"/>
        <w:rPr>
          <w:sz w:val="18"/>
          <w:szCs w:val="18"/>
        </w:rPr>
      </w:pPr>
      <w:r>
        <w:rPr>
          <w:rFonts w:hint="eastAsia"/>
          <w:sz w:val="18"/>
          <w:szCs w:val="18"/>
        </w:rPr>
        <w:t>（2）该固定资产的成本能够可靠地计量。</w:t>
      </w:r>
    </w:p>
    <w:p w:rsidR="00E62F69" w:rsidRDefault="00B54A20">
      <w:pPr>
        <w:keepNext/>
        <w:keepLines/>
        <w:spacing w:before="300" w:after="300" w:line="280" w:lineRule="exact"/>
        <w:outlineLvl w:val="3"/>
        <w:rPr>
          <w:rFonts w:ascii="宋体" w:eastAsia="宋体" w:hAnsi="宋体" w:cs="宋体"/>
          <w:b/>
          <w:bCs/>
          <w:szCs w:val="21"/>
        </w:rPr>
      </w:pPr>
      <w:bookmarkStart w:id="41" w:name="_Toc989034"/>
      <w:r>
        <w:rPr>
          <w:rFonts w:ascii="宋体" w:eastAsia="宋体" w:hAnsi="宋体" w:cs="宋体"/>
          <w:b/>
          <w:bCs/>
          <w:szCs w:val="21"/>
        </w:rPr>
        <w:t>（2） 折旧方法</w:t>
      </w:r>
      <w:bookmarkEnd w:id="41"/>
    </w:p>
    <w:p w:rsidR="00E62F69" w:rsidRDefault="00E62F69">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3.6%</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9%</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18%</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电子及其他设备</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18%</w:t>
            </w:r>
          </w:p>
        </w:tc>
      </w:tr>
    </w:tbl>
    <w:p w:rsidR="00E62F69" w:rsidRDefault="00B54A20">
      <w:pPr>
        <w:keepNext/>
        <w:keepLines/>
        <w:spacing w:before="300" w:after="300" w:line="280" w:lineRule="exact"/>
        <w:outlineLvl w:val="3"/>
        <w:rPr>
          <w:rFonts w:ascii="宋体" w:eastAsia="宋体" w:hAnsi="宋体" w:cs="宋体"/>
          <w:b/>
          <w:bCs/>
          <w:szCs w:val="21"/>
        </w:rPr>
      </w:pPr>
      <w:bookmarkStart w:id="42" w:name="_Toc989035"/>
      <w:r>
        <w:rPr>
          <w:rFonts w:ascii="宋体" w:eastAsia="宋体" w:hAnsi="宋体" w:cs="宋体"/>
          <w:b/>
          <w:bCs/>
          <w:szCs w:val="21"/>
        </w:rPr>
        <w:t>（3） 融资租入固定资产的认定依据、计价和折旧方法</w:t>
      </w:r>
      <w:bookmarkEnd w:id="42"/>
    </w:p>
    <w:p w:rsidR="00B54A20" w:rsidRDefault="00B54A20" w:rsidP="00304B40">
      <w:pPr>
        <w:pStyle w:val="a3"/>
        <w:spacing w:before="0" w:beforeAutospacing="0" w:after="0" w:afterAutospacing="0" w:line="240" w:lineRule="atLeast"/>
        <w:divId w:val="1369336319"/>
        <w:rPr>
          <w:sz w:val="18"/>
          <w:szCs w:val="18"/>
        </w:rPr>
      </w:pPr>
      <w:r>
        <w:rPr>
          <w:rFonts w:hint="eastAsia"/>
          <w:sz w:val="18"/>
          <w:szCs w:val="18"/>
        </w:rPr>
        <w:t>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E62F69" w:rsidRDefault="00B54A20">
      <w:pPr>
        <w:pStyle w:val="3"/>
        <w:spacing w:line="280" w:lineRule="exact"/>
        <w:jc w:val="left"/>
        <w:rPr>
          <w:rFonts w:ascii="宋体" w:hAnsi="宋体" w:cs="宋体"/>
          <w:b/>
          <w:bCs/>
        </w:rPr>
      </w:pPr>
      <w:bookmarkStart w:id="43" w:name="_Toc989036"/>
      <w:r>
        <w:rPr>
          <w:rFonts w:ascii="宋体" w:hAnsi="宋体" w:cs="宋体"/>
          <w:b/>
          <w:bCs/>
        </w:rPr>
        <w:t>25、在建工程</w:t>
      </w:r>
      <w:bookmarkEnd w:id="43"/>
    </w:p>
    <w:p w:rsidR="00B54A20" w:rsidRDefault="00B54A20" w:rsidP="00D51BB1">
      <w:pPr>
        <w:widowControl/>
        <w:numPr>
          <w:ilvl w:val="0"/>
          <w:numId w:val="13"/>
        </w:numPr>
        <w:tabs>
          <w:tab w:val="clear" w:pos="720"/>
          <w:tab w:val="num" w:pos="0"/>
        </w:tabs>
        <w:ind w:left="0" w:firstLine="425"/>
        <w:divId w:val="325134147"/>
        <w:rPr>
          <w:sz w:val="18"/>
          <w:szCs w:val="18"/>
        </w:rPr>
      </w:pPr>
      <w:r>
        <w:rPr>
          <w:rFonts w:ascii="Times New Roman" w:hAnsi="Times New Roman" w:cs="Times New Roman"/>
          <w:sz w:val="14"/>
          <w:szCs w:val="14"/>
        </w:rPr>
        <w:t> </w:t>
      </w:r>
      <w:r>
        <w:rPr>
          <w:rFonts w:hint="eastAsia"/>
          <w:sz w:val="18"/>
          <w:szCs w:val="18"/>
        </w:rPr>
        <w:t>在建工程初始计量</w:t>
      </w:r>
    </w:p>
    <w:p w:rsidR="00B54A20" w:rsidRDefault="00B54A20" w:rsidP="00304B40">
      <w:pPr>
        <w:pStyle w:val="a3"/>
        <w:tabs>
          <w:tab w:val="num" w:pos="0"/>
        </w:tabs>
        <w:spacing w:before="0" w:beforeAutospacing="0" w:after="0" w:afterAutospacing="0"/>
        <w:ind w:firstLine="425"/>
        <w:jc w:val="both"/>
        <w:divId w:val="325134147"/>
      </w:pPr>
      <w:r>
        <w:rPr>
          <w:rFonts w:hint="eastAsia"/>
          <w:sz w:val="18"/>
          <w:szCs w:val="18"/>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B54A20" w:rsidRDefault="00B54A20" w:rsidP="00D51BB1">
      <w:pPr>
        <w:widowControl/>
        <w:numPr>
          <w:ilvl w:val="0"/>
          <w:numId w:val="14"/>
        </w:numPr>
        <w:tabs>
          <w:tab w:val="clear" w:pos="720"/>
          <w:tab w:val="num" w:pos="0"/>
        </w:tabs>
        <w:ind w:left="0" w:firstLine="425"/>
        <w:divId w:val="325134147"/>
        <w:rPr>
          <w:sz w:val="18"/>
          <w:szCs w:val="18"/>
        </w:rPr>
      </w:pPr>
      <w:r>
        <w:rPr>
          <w:rFonts w:hint="eastAsia"/>
          <w:sz w:val="18"/>
          <w:szCs w:val="18"/>
        </w:rPr>
        <w:t>在建工程结转为固定资产的标准和时点</w:t>
      </w:r>
    </w:p>
    <w:p w:rsidR="00B54A20" w:rsidRDefault="00B54A20" w:rsidP="00304B40">
      <w:pPr>
        <w:pStyle w:val="a3"/>
        <w:tabs>
          <w:tab w:val="num" w:pos="0"/>
        </w:tabs>
        <w:spacing w:before="0" w:beforeAutospacing="0" w:after="0" w:afterAutospacing="0"/>
        <w:ind w:firstLine="425"/>
        <w:jc w:val="both"/>
        <w:divId w:val="325134147"/>
      </w:pPr>
      <w:r>
        <w:rPr>
          <w:rFonts w:hint="eastAsia"/>
          <w:sz w:val="18"/>
          <w:szCs w:val="18"/>
        </w:rPr>
        <w:t>在建工程项目按建造该项资产达到预定可使用状态前所发生的全部支出，作为固定资产的入账价值。所建造的在建工程已达到预定可使用状态，但尚未办理竣工决算的，</w:t>
      </w:r>
      <w:proofErr w:type="gramStart"/>
      <w:r>
        <w:rPr>
          <w:rFonts w:hint="eastAsia"/>
          <w:sz w:val="18"/>
          <w:szCs w:val="18"/>
        </w:rPr>
        <w:t>自达到</w:t>
      </w:r>
      <w:proofErr w:type="gramEnd"/>
      <w:r>
        <w:rPr>
          <w:rFonts w:hint="eastAsia"/>
          <w:sz w:val="18"/>
          <w:szCs w:val="18"/>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E62F69" w:rsidRDefault="00B54A20">
      <w:pPr>
        <w:pStyle w:val="3"/>
        <w:spacing w:line="280" w:lineRule="exact"/>
        <w:jc w:val="left"/>
        <w:rPr>
          <w:rFonts w:ascii="宋体" w:hAnsi="宋体" w:cs="宋体"/>
          <w:b/>
          <w:bCs/>
        </w:rPr>
      </w:pPr>
      <w:bookmarkStart w:id="44" w:name="_Toc989037"/>
      <w:r>
        <w:rPr>
          <w:rFonts w:ascii="宋体" w:hAnsi="宋体" w:cs="宋体"/>
          <w:b/>
          <w:bCs/>
        </w:rPr>
        <w:t>26、借款费用</w:t>
      </w:r>
      <w:bookmarkEnd w:id="44"/>
    </w:p>
    <w:p w:rsidR="00B54A20" w:rsidRDefault="00B54A20" w:rsidP="00D51BB1">
      <w:pPr>
        <w:widowControl/>
        <w:numPr>
          <w:ilvl w:val="0"/>
          <w:numId w:val="15"/>
        </w:numPr>
        <w:divId w:val="1393700297"/>
        <w:rPr>
          <w:sz w:val="18"/>
          <w:szCs w:val="18"/>
        </w:rPr>
      </w:pPr>
      <w:r>
        <w:rPr>
          <w:rFonts w:ascii="Times New Roman" w:hAnsi="Times New Roman" w:cs="Times New Roman"/>
          <w:sz w:val="18"/>
          <w:szCs w:val="18"/>
        </w:rPr>
        <w:t> </w:t>
      </w:r>
      <w:r>
        <w:rPr>
          <w:rFonts w:hint="eastAsia"/>
          <w:sz w:val="18"/>
          <w:szCs w:val="18"/>
        </w:rPr>
        <w:t>借款费用资本化的确认原则</w:t>
      </w:r>
    </w:p>
    <w:p w:rsidR="00B54A20" w:rsidRDefault="00B54A20" w:rsidP="00304B40">
      <w:pPr>
        <w:pStyle w:val="a3"/>
        <w:spacing w:before="0" w:beforeAutospacing="0" w:after="0" w:afterAutospacing="0"/>
        <w:ind w:firstLine="420"/>
        <w:jc w:val="both"/>
        <w:divId w:val="1393700297"/>
      </w:pPr>
      <w:r>
        <w:rPr>
          <w:rFonts w:hint="eastAsia"/>
          <w:sz w:val="18"/>
          <w:szCs w:val="18"/>
        </w:rPr>
        <w:t>本公司发生的借款费用，可直接归属于符合资本化条件的资产的购建或者生产的，予以资本化，计入相关资产成本；其他借款费用，在发生时根据其发生额确认为费用，计入当期损益。</w:t>
      </w:r>
    </w:p>
    <w:p w:rsidR="00B54A20" w:rsidRDefault="00B54A20" w:rsidP="00304B40">
      <w:pPr>
        <w:pStyle w:val="a3"/>
        <w:spacing w:before="0" w:beforeAutospacing="0" w:after="0" w:afterAutospacing="0"/>
        <w:ind w:firstLine="420"/>
        <w:jc w:val="both"/>
        <w:divId w:val="1393700297"/>
      </w:pPr>
      <w:r>
        <w:rPr>
          <w:rFonts w:hint="eastAsia"/>
          <w:sz w:val="18"/>
          <w:szCs w:val="18"/>
        </w:rPr>
        <w:t>符合资本化条件的资产，是指需要经过相当长时间的购建或者生产活动才能达到预定可使用或者可销售状态的固定资产、投资性房地产和存货等资产。</w:t>
      </w:r>
    </w:p>
    <w:p w:rsidR="00B54A20" w:rsidRDefault="00B54A20" w:rsidP="00304B40">
      <w:pPr>
        <w:pStyle w:val="a3"/>
        <w:spacing w:before="0" w:beforeAutospacing="0" w:after="0" w:afterAutospacing="0"/>
        <w:ind w:firstLine="420"/>
        <w:jc w:val="both"/>
        <w:divId w:val="1393700297"/>
      </w:pPr>
      <w:r>
        <w:rPr>
          <w:rFonts w:hint="eastAsia"/>
          <w:sz w:val="18"/>
          <w:szCs w:val="18"/>
        </w:rPr>
        <w:t>借款费用同时满足下列条件时开始资本化：</w:t>
      </w:r>
    </w:p>
    <w:p w:rsidR="00B54A20" w:rsidRDefault="00B54A20" w:rsidP="00304B40">
      <w:pPr>
        <w:pStyle w:val="a3"/>
        <w:spacing w:before="0" w:beforeAutospacing="0" w:after="0" w:afterAutospacing="0"/>
        <w:ind w:firstLine="420"/>
        <w:jc w:val="both"/>
        <w:divId w:val="1393700297"/>
      </w:pPr>
      <w:r>
        <w:rPr>
          <w:rFonts w:hint="eastAsia"/>
          <w:sz w:val="18"/>
          <w:szCs w:val="18"/>
        </w:rPr>
        <w:t>（1）资产支出已经发生，资产支出包括为购建或者生产符合资本化条件的资产而以支付现金、</w:t>
      </w:r>
      <w:proofErr w:type="gramStart"/>
      <w:r>
        <w:rPr>
          <w:rFonts w:hint="eastAsia"/>
          <w:sz w:val="18"/>
          <w:szCs w:val="18"/>
        </w:rPr>
        <w:t>转移非</w:t>
      </w:r>
      <w:proofErr w:type="gramEnd"/>
      <w:r>
        <w:rPr>
          <w:rFonts w:hint="eastAsia"/>
          <w:sz w:val="18"/>
          <w:szCs w:val="18"/>
        </w:rPr>
        <w:t>现金资产或者承担带息债务形式发生的支出；</w:t>
      </w:r>
    </w:p>
    <w:p w:rsidR="00B54A20" w:rsidRDefault="00B54A20" w:rsidP="00304B40">
      <w:pPr>
        <w:pStyle w:val="a3"/>
        <w:spacing w:before="0" w:beforeAutospacing="0" w:after="0" w:afterAutospacing="0"/>
        <w:ind w:firstLine="420"/>
        <w:jc w:val="both"/>
        <w:divId w:val="1393700297"/>
      </w:pPr>
      <w:r>
        <w:rPr>
          <w:rFonts w:hint="eastAsia"/>
          <w:sz w:val="18"/>
          <w:szCs w:val="18"/>
        </w:rPr>
        <w:t>（2）借款费用已经发生；</w:t>
      </w:r>
    </w:p>
    <w:p w:rsidR="00B54A20" w:rsidRDefault="00B54A20" w:rsidP="00304B40">
      <w:pPr>
        <w:pStyle w:val="a3"/>
        <w:spacing w:before="0" w:beforeAutospacing="0" w:after="0" w:afterAutospacing="0"/>
        <w:ind w:firstLine="420"/>
        <w:jc w:val="both"/>
        <w:divId w:val="1393700297"/>
      </w:pPr>
      <w:r>
        <w:rPr>
          <w:rFonts w:hint="eastAsia"/>
          <w:sz w:val="18"/>
          <w:szCs w:val="18"/>
        </w:rPr>
        <w:t>（3）为使资产达到预定可使用或者可销售状态所必要的购建或者生产活动已经开始。</w:t>
      </w:r>
    </w:p>
    <w:p w:rsidR="00B54A20" w:rsidRDefault="00B54A20" w:rsidP="00D51BB1">
      <w:pPr>
        <w:widowControl/>
        <w:numPr>
          <w:ilvl w:val="0"/>
          <w:numId w:val="16"/>
        </w:numPr>
        <w:divId w:val="1393700297"/>
        <w:rPr>
          <w:sz w:val="18"/>
          <w:szCs w:val="18"/>
        </w:rPr>
      </w:pPr>
      <w:r>
        <w:rPr>
          <w:rFonts w:hint="eastAsia"/>
          <w:sz w:val="18"/>
          <w:szCs w:val="18"/>
        </w:rPr>
        <w:t>借款费用资本化期间</w:t>
      </w:r>
    </w:p>
    <w:p w:rsidR="00B54A20" w:rsidRDefault="00B54A20" w:rsidP="00304B40">
      <w:pPr>
        <w:pStyle w:val="a3"/>
        <w:spacing w:before="0" w:beforeAutospacing="0" w:after="0" w:afterAutospacing="0"/>
        <w:ind w:firstLine="420"/>
        <w:jc w:val="both"/>
        <w:divId w:val="1393700297"/>
      </w:pPr>
      <w:r>
        <w:rPr>
          <w:rFonts w:hint="eastAsia"/>
          <w:sz w:val="18"/>
          <w:szCs w:val="18"/>
        </w:rPr>
        <w:t>资本化期间，指从借款费用开始资本化时点到停止资本化时点的期间，借款费用暂停资本化的期间不包括在内。</w:t>
      </w:r>
    </w:p>
    <w:p w:rsidR="00B54A20" w:rsidRDefault="00B54A20" w:rsidP="00304B40">
      <w:pPr>
        <w:pStyle w:val="a3"/>
        <w:spacing w:before="0" w:beforeAutospacing="0" w:after="0" w:afterAutospacing="0"/>
        <w:ind w:firstLine="420"/>
        <w:jc w:val="both"/>
        <w:divId w:val="1393700297"/>
      </w:pPr>
      <w:proofErr w:type="gramStart"/>
      <w:r>
        <w:rPr>
          <w:rFonts w:hint="eastAsia"/>
          <w:sz w:val="18"/>
          <w:szCs w:val="18"/>
        </w:rPr>
        <w:t>当购建</w:t>
      </w:r>
      <w:proofErr w:type="gramEnd"/>
      <w:r>
        <w:rPr>
          <w:rFonts w:hint="eastAsia"/>
          <w:sz w:val="18"/>
          <w:szCs w:val="18"/>
        </w:rPr>
        <w:t>或者生产符合资本化条件的资产达到预定可使用或者可销售状态时，借款费用停止资本化。</w:t>
      </w:r>
    </w:p>
    <w:p w:rsidR="00B54A20" w:rsidRDefault="00B54A20" w:rsidP="00304B40">
      <w:pPr>
        <w:pStyle w:val="a3"/>
        <w:spacing w:before="0" w:beforeAutospacing="0" w:after="0" w:afterAutospacing="0"/>
        <w:ind w:firstLine="420"/>
        <w:jc w:val="both"/>
        <w:divId w:val="1393700297"/>
      </w:pPr>
      <w:proofErr w:type="gramStart"/>
      <w:r>
        <w:rPr>
          <w:rFonts w:hint="eastAsia"/>
          <w:sz w:val="18"/>
          <w:szCs w:val="18"/>
        </w:rPr>
        <w:t>当购建</w:t>
      </w:r>
      <w:proofErr w:type="gramEnd"/>
      <w:r>
        <w:rPr>
          <w:rFonts w:hint="eastAsia"/>
          <w:sz w:val="18"/>
          <w:szCs w:val="18"/>
        </w:rPr>
        <w:t>或者生产符合资本化条件的资产中部分项目分别完工且可单独使用时，该部分资产借款费用停止资本化。</w:t>
      </w:r>
    </w:p>
    <w:p w:rsidR="00B54A20" w:rsidRDefault="00B54A20" w:rsidP="00304B40">
      <w:pPr>
        <w:pStyle w:val="a3"/>
        <w:spacing w:before="0" w:beforeAutospacing="0" w:after="0" w:afterAutospacing="0"/>
        <w:ind w:firstLine="420"/>
        <w:jc w:val="both"/>
        <w:divId w:val="1393700297"/>
      </w:pPr>
      <w:r>
        <w:rPr>
          <w:rFonts w:hint="eastAsia"/>
          <w:sz w:val="18"/>
          <w:szCs w:val="18"/>
        </w:rPr>
        <w:t>购建或者生产的资产的各部分分别完工，但必须等到整体完工后才可使用或可对外销售的，在该资产整体完工时停止借款费用资本化。</w:t>
      </w:r>
    </w:p>
    <w:p w:rsidR="00B54A20" w:rsidRDefault="00B54A20" w:rsidP="00D51BB1">
      <w:pPr>
        <w:widowControl/>
        <w:numPr>
          <w:ilvl w:val="0"/>
          <w:numId w:val="17"/>
        </w:numPr>
        <w:divId w:val="1393700297"/>
        <w:rPr>
          <w:sz w:val="18"/>
          <w:szCs w:val="18"/>
        </w:rPr>
      </w:pPr>
      <w:r>
        <w:rPr>
          <w:rFonts w:hint="eastAsia"/>
          <w:sz w:val="18"/>
          <w:szCs w:val="18"/>
        </w:rPr>
        <w:t>暂停资本化期间</w:t>
      </w:r>
    </w:p>
    <w:p w:rsidR="00B54A20" w:rsidRDefault="00B54A20" w:rsidP="00304B40">
      <w:pPr>
        <w:pStyle w:val="a3"/>
        <w:spacing w:before="0" w:beforeAutospacing="0" w:after="0" w:afterAutospacing="0"/>
        <w:ind w:firstLine="420"/>
        <w:jc w:val="both"/>
        <w:divId w:val="1393700297"/>
      </w:pPr>
      <w:r>
        <w:rPr>
          <w:rFonts w:hint="eastAsia"/>
          <w:sz w:val="18"/>
          <w:szCs w:val="18"/>
        </w:rPr>
        <w:t>符合资本化条件的资产在购建或生产过程中发生的非正常中断、且中断时间连续超过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B54A20" w:rsidRDefault="00B54A20" w:rsidP="00D51BB1">
      <w:pPr>
        <w:widowControl/>
        <w:numPr>
          <w:ilvl w:val="0"/>
          <w:numId w:val="18"/>
        </w:numPr>
        <w:divId w:val="1393700297"/>
        <w:rPr>
          <w:sz w:val="18"/>
          <w:szCs w:val="18"/>
        </w:rPr>
      </w:pPr>
      <w:r>
        <w:rPr>
          <w:rFonts w:hint="eastAsia"/>
          <w:sz w:val="18"/>
          <w:szCs w:val="18"/>
        </w:rPr>
        <w:t>借款费用资本</w:t>
      </w:r>
      <w:proofErr w:type="gramStart"/>
      <w:r>
        <w:rPr>
          <w:rFonts w:hint="eastAsia"/>
          <w:sz w:val="18"/>
          <w:szCs w:val="18"/>
        </w:rPr>
        <w:t>化金额</w:t>
      </w:r>
      <w:proofErr w:type="gramEnd"/>
      <w:r>
        <w:rPr>
          <w:rFonts w:hint="eastAsia"/>
          <w:sz w:val="18"/>
          <w:szCs w:val="18"/>
        </w:rPr>
        <w:t>的计算方法</w:t>
      </w:r>
    </w:p>
    <w:p w:rsidR="00B54A20" w:rsidRDefault="00B54A20" w:rsidP="00304B40">
      <w:pPr>
        <w:pStyle w:val="a3"/>
        <w:spacing w:before="0" w:beforeAutospacing="0" w:after="0" w:afterAutospacing="0"/>
        <w:ind w:firstLine="420"/>
        <w:jc w:val="both"/>
        <w:divId w:val="1393700297"/>
      </w:pPr>
      <w:r>
        <w:rPr>
          <w:rFonts w:hint="eastAsia"/>
          <w:sz w:val="18"/>
          <w:szCs w:val="18"/>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B54A20" w:rsidRDefault="00B54A20" w:rsidP="00304B40">
      <w:pPr>
        <w:pStyle w:val="a3"/>
        <w:spacing w:before="0" w:beforeAutospacing="0" w:after="0" w:afterAutospacing="0"/>
        <w:ind w:firstLine="420"/>
        <w:jc w:val="both"/>
        <w:divId w:val="1393700297"/>
      </w:pPr>
      <w:r>
        <w:rPr>
          <w:rFonts w:hint="eastAsia"/>
          <w:sz w:val="18"/>
          <w:szCs w:val="18"/>
        </w:rPr>
        <w:t>根据累计资产支出超过专门借款部分的资产支出加权平均数乘以所占用一般借款的资本化率，计算确定一般借款应予资本化的利息金额。资本化率根据一般借款加权平均利率计算确定。</w:t>
      </w:r>
    </w:p>
    <w:p w:rsidR="00B54A20" w:rsidRDefault="00B54A20" w:rsidP="00304B40">
      <w:pPr>
        <w:pStyle w:val="a3"/>
        <w:spacing w:before="0" w:beforeAutospacing="0" w:after="0" w:afterAutospacing="0"/>
        <w:divId w:val="1393700297"/>
        <w:rPr>
          <w:sz w:val="18"/>
          <w:szCs w:val="18"/>
        </w:rPr>
      </w:pPr>
      <w:r>
        <w:rPr>
          <w:rFonts w:hint="eastAsia"/>
          <w:sz w:val="18"/>
          <w:szCs w:val="18"/>
        </w:rPr>
        <w:t>借款存在折价或者溢价的，按照实际利率法确定每一会计期间应摊销的折价或者溢价金额，调整每期利息金额。</w:t>
      </w:r>
    </w:p>
    <w:p w:rsidR="00E62F69" w:rsidRDefault="00B54A20">
      <w:pPr>
        <w:pStyle w:val="3"/>
        <w:spacing w:line="280" w:lineRule="exact"/>
        <w:jc w:val="left"/>
        <w:rPr>
          <w:rFonts w:ascii="宋体" w:hAnsi="宋体" w:cs="宋体"/>
          <w:b/>
          <w:bCs/>
        </w:rPr>
      </w:pPr>
      <w:bookmarkStart w:id="45" w:name="_Toc989038"/>
      <w:r>
        <w:rPr>
          <w:rFonts w:ascii="宋体" w:hAnsi="宋体" w:cs="宋体"/>
          <w:b/>
          <w:bCs/>
        </w:rPr>
        <w:t>27、生物资产</w:t>
      </w:r>
      <w:bookmarkEnd w:id="45"/>
    </w:p>
    <w:p w:rsidR="00B54A20" w:rsidRDefault="00B54A20" w:rsidP="00304B40">
      <w:pPr>
        <w:pStyle w:val="a3"/>
        <w:spacing w:before="0" w:beforeAutospacing="0" w:after="0" w:afterAutospacing="0"/>
        <w:divId w:val="541136203"/>
        <w:rPr>
          <w:rFonts w:ascii="Times New Roman" w:hAnsi="Times New Roman" w:cs="Times New Roman"/>
        </w:rPr>
      </w:pPr>
      <w:r>
        <w:rPr>
          <w:rFonts w:cs="Times New Roman" w:hint="eastAsia"/>
          <w:sz w:val="18"/>
          <w:szCs w:val="18"/>
        </w:rPr>
        <w:t>不适用。</w:t>
      </w:r>
    </w:p>
    <w:p w:rsidR="00E62F69" w:rsidRDefault="00B54A20">
      <w:pPr>
        <w:pStyle w:val="3"/>
        <w:spacing w:line="280" w:lineRule="exact"/>
        <w:jc w:val="left"/>
        <w:rPr>
          <w:rFonts w:ascii="宋体" w:hAnsi="宋体" w:cs="宋体"/>
          <w:b/>
          <w:bCs/>
        </w:rPr>
      </w:pPr>
      <w:bookmarkStart w:id="46" w:name="_Toc989039"/>
      <w:r>
        <w:rPr>
          <w:rFonts w:ascii="宋体" w:hAnsi="宋体" w:cs="宋体"/>
          <w:b/>
          <w:bCs/>
        </w:rPr>
        <w:t>28、油气资产</w:t>
      </w:r>
      <w:bookmarkEnd w:id="46"/>
    </w:p>
    <w:p w:rsidR="00B54A20" w:rsidRPr="00304B40" w:rsidRDefault="00B54A20" w:rsidP="00304B40">
      <w:pPr>
        <w:pStyle w:val="a3"/>
        <w:spacing w:before="0" w:beforeAutospacing="0" w:after="0" w:afterAutospacing="0"/>
        <w:divId w:val="1691103177"/>
        <w:rPr>
          <w:rFonts w:cs="Times New Roman"/>
          <w:sz w:val="18"/>
          <w:szCs w:val="18"/>
        </w:rPr>
      </w:pPr>
      <w:r>
        <w:rPr>
          <w:rFonts w:cs="Times New Roman" w:hint="eastAsia"/>
          <w:sz w:val="18"/>
          <w:szCs w:val="18"/>
        </w:rPr>
        <w:t>不适用。</w:t>
      </w:r>
    </w:p>
    <w:p w:rsidR="00E62F69" w:rsidRDefault="00B54A20">
      <w:pPr>
        <w:pStyle w:val="3"/>
        <w:spacing w:line="280" w:lineRule="exact"/>
        <w:jc w:val="left"/>
        <w:rPr>
          <w:rFonts w:ascii="宋体" w:hAnsi="宋体" w:cs="宋体"/>
          <w:b/>
          <w:bCs/>
        </w:rPr>
      </w:pPr>
      <w:bookmarkStart w:id="47" w:name="_Toc989040"/>
      <w:r>
        <w:rPr>
          <w:rFonts w:ascii="宋体" w:hAnsi="宋体" w:cs="宋体"/>
          <w:b/>
          <w:bCs/>
        </w:rPr>
        <w:t>29、使用权资产</w:t>
      </w:r>
      <w:bookmarkEnd w:id="47"/>
    </w:p>
    <w:p w:rsidR="00B54A20" w:rsidRDefault="00B54A20" w:rsidP="00EE66B1">
      <w:pPr>
        <w:pStyle w:val="a3"/>
        <w:spacing w:before="0" w:beforeAutospacing="0" w:after="0" w:afterAutospacing="0"/>
        <w:ind w:firstLine="420"/>
        <w:jc w:val="both"/>
        <w:divId w:val="1512447704"/>
      </w:pPr>
      <w:r>
        <w:rPr>
          <w:rFonts w:hint="eastAsia"/>
          <w:sz w:val="18"/>
          <w:szCs w:val="18"/>
        </w:rPr>
        <w:t>本公司对使用权资产按照成本进行初始计量，</w:t>
      </w:r>
      <w:proofErr w:type="gramStart"/>
      <w:r>
        <w:rPr>
          <w:rFonts w:hint="eastAsia"/>
          <w:sz w:val="18"/>
          <w:szCs w:val="18"/>
        </w:rPr>
        <w:t>该成本</w:t>
      </w:r>
      <w:proofErr w:type="gramEnd"/>
      <w:r>
        <w:rPr>
          <w:rFonts w:hint="eastAsia"/>
          <w:sz w:val="18"/>
          <w:szCs w:val="18"/>
        </w:rPr>
        <w:t>包括：</w:t>
      </w:r>
    </w:p>
    <w:p w:rsidR="00B54A20" w:rsidRDefault="00B54A20" w:rsidP="00D51BB1">
      <w:pPr>
        <w:widowControl/>
        <w:numPr>
          <w:ilvl w:val="5"/>
          <w:numId w:val="19"/>
        </w:numPr>
        <w:tabs>
          <w:tab w:val="clear" w:pos="4320"/>
          <w:tab w:val="num" w:pos="0"/>
        </w:tabs>
        <w:ind w:left="0" w:firstLine="426"/>
        <w:divId w:val="1512447704"/>
        <w:rPr>
          <w:sz w:val="18"/>
          <w:szCs w:val="18"/>
        </w:rPr>
      </w:pPr>
      <w:r>
        <w:rPr>
          <w:rFonts w:hint="eastAsia"/>
          <w:sz w:val="18"/>
          <w:szCs w:val="18"/>
        </w:rPr>
        <w:t>租赁负债的初始计量金额；</w:t>
      </w:r>
    </w:p>
    <w:p w:rsidR="00B54A20" w:rsidRDefault="00B54A20" w:rsidP="00D51BB1">
      <w:pPr>
        <w:widowControl/>
        <w:numPr>
          <w:ilvl w:val="5"/>
          <w:numId w:val="19"/>
        </w:numPr>
        <w:tabs>
          <w:tab w:val="clear" w:pos="4320"/>
          <w:tab w:val="num" w:pos="0"/>
        </w:tabs>
        <w:ind w:left="0" w:firstLine="426"/>
        <w:divId w:val="1512447704"/>
        <w:rPr>
          <w:sz w:val="18"/>
          <w:szCs w:val="18"/>
        </w:rPr>
      </w:pPr>
      <w:r>
        <w:rPr>
          <w:rFonts w:hint="eastAsia"/>
          <w:sz w:val="18"/>
          <w:szCs w:val="18"/>
        </w:rPr>
        <w:t>在租赁期开始日或之前支付的租赁付款额，存在租赁激励的，扣除已享受的租赁激励相关金额；</w:t>
      </w:r>
    </w:p>
    <w:p w:rsidR="00B54A20" w:rsidRDefault="00B54A20" w:rsidP="00D51BB1">
      <w:pPr>
        <w:widowControl/>
        <w:numPr>
          <w:ilvl w:val="5"/>
          <w:numId w:val="19"/>
        </w:numPr>
        <w:tabs>
          <w:tab w:val="clear" w:pos="4320"/>
          <w:tab w:val="num" w:pos="0"/>
        </w:tabs>
        <w:ind w:left="0" w:firstLine="426"/>
        <w:divId w:val="1512447704"/>
        <w:rPr>
          <w:sz w:val="18"/>
          <w:szCs w:val="18"/>
        </w:rPr>
      </w:pPr>
      <w:r>
        <w:rPr>
          <w:rFonts w:hint="eastAsia"/>
          <w:sz w:val="18"/>
          <w:szCs w:val="18"/>
        </w:rPr>
        <w:t>本公司发生的初始直接费用；</w:t>
      </w:r>
    </w:p>
    <w:p w:rsidR="00B54A20" w:rsidRDefault="00B54A20" w:rsidP="00D51BB1">
      <w:pPr>
        <w:widowControl/>
        <w:numPr>
          <w:ilvl w:val="5"/>
          <w:numId w:val="19"/>
        </w:numPr>
        <w:tabs>
          <w:tab w:val="clear" w:pos="4320"/>
          <w:tab w:val="num" w:pos="0"/>
        </w:tabs>
        <w:ind w:left="0" w:firstLine="426"/>
        <w:divId w:val="1512447704"/>
        <w:rPr>
          <w:sz w:val="18"/>
          <w:szCs w:val="18"/>
        </w:rPr>
      </w:pPr>
      <w:r>
        <w:rPr>
          <w:rFonts w:hint="eastAsia"/>
          <w:sz w:val="18"/>
          <w:szCs w:val="18"/>
        </w:rPr>
        <w:t>本公司为拆卸及移除租赁资产、复原租赁资产所在场地或将租赁资产恢复至租赁条款约定状态预计将发生的成本（不包括为生产存货而发生的成本）。</w:t>
      </w:r>
    </w:p>
    <w:p w:rsidR="00B54A20" w:rsidRDefault="00B54A20" w:rsidP="00EE66B1">
      <w:pPr>
        <w:pStyle w:val="a3"/>
        <w:spacing w:before="0" w:beforeAutospacing="0" w:after="0" w:afterAutospacing="0"/>
        <w:ind w:firstLine="420"/>
        <w:jc w:val="both"/>
        <w:divId w:val="1512447704"/>
      </w:pPr>
      <w:r>
        <w:rPr>
          <w:rFonts w:hint="eastAsia"/>
          <w:sz w:val="18"/>
          <w:szCs w:val="18"/>
        </w:rPr>
        <w:t>在租赁期开始日后，本公司采用成本模式对使用权资产进行后续计量。</w:t>
      </w:r>
    </w:p>
    <w:p w:rsidR="00B54A20" w:rsidRDefault="00B54A20" w:rsidP="00EE66B1">
      <w:pPr>
        <w:pStyle w:val="a3"/>
        <w:spacing w:before="0" w:beforeAutospacing="0" w:after="0" w:afterAutospacing="0"/>
        <w:ind w:firstLine="420"/>
        <w:jc w:val="both"/>
        <w:divId w:val="1512447704"/>
      </w:pPr>
      <w:r>
        <w:rPr>
          <w:rFonts w:hint="eastAsia"/>
          <w:sz w:val="18"/>
          <w:szCs w:val="18"/>
        </w:rPr>
        <w:t>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对计提了减值准备的使用权资产，则在未来期间按扣除减值准备后的账面价值参照上述原则计提折旧。</w:t>
      </w:r>
    </w:p>
    <w:p w:rsidR="00E62F69" w:rsidRDefault="00B54A20">
      <w:pPr>
        <w:pStyle w:val="3"/>
        <w:spacing w:line="280" w:lineRule="exact"/>
        <w:jc w:val="left"/>
        <w:rPr>
          <w:rFonts w:ascii="宋体" w:hAnsi="宋体" w:cs="宋体"/>
          <w:b/>
          <w:bCs/>
        </w:rPr>
      </w:pPr>
      <w:bookmarkStart w:id="48" w:name="_Toc989041"/>
      <w:r>
        <w:rPr>
          <w:rFonts w:ascii="宋体" w:hAnsi="宋体" w:cs="宋体"/>
          <w:b/>
          <w:bCs/>
        </w:rPr>
        <w:t>30、无形资产</w:t>
      </w:r>
      <w:bookmarkEnd w:id="48"/>
    </w:p>
    <w:p w:rsidR="00E62F69" w:rsidRDefault="00B54A20">
      <w:pPr>
        <w:keepNext/>
        <w:keepLines/>
        <w:spacing w:before="300" w:after="300" w:line="280" w:lineRule="exact"/>
        <w:outlineLvl w:val="3"/>
        <w:rPr>
          <w:rFonts w:ascii="宋体" w:eastAsia="宋体" w:hAnsi="宋体" w:cs="宋体"/>
          <w:b/>
          <w:bCs/>
          <w:szCs w:val="21"/>
        </w:rPr>
      </w:pPr>
      <w:bookmarkStart w:id="49" w:name="_Toc989042"/>
      <w:r>
        <w:rPr>
          <w:rFonts w:ascii="宋体" w:eastAsia="宋体" w:hAnsi="宋体" w:cs="宋体"/>
          <w:b/>
          <w:bCs/>
          <w:szCs w:val="21"/>
        </w:rPr>
        <w:t>（1） 计价方法、使用寿命、减值测试</w:t>
      </w:r>
      <w:bookmarkEnd w:id="49"/>
    </w:p>
    <w:p w:rsidR="00B54A20" w:rsidRDefault="00B54A20">
      <w:pPr>
        <w:pStyle w:val="a3"/>
        <w:spacing w:before="0" w:beforeAutospacing="0" w:after="0" w:afterAutospacing="0"/>
        <w:ind w:firstLine="420"/>
        <w:jc w:val="both"/>
        <w:divId w:val="817376924"/>
      </w:pPr>
      <w:r>
        <w:rPr>
          <w:rFonts w:hint="eastAsia"/>
          <w:sz w:val="18"/>
          <w:szCs w:val="18"/>
        </w:rPr>
        <w:t>无形资产是指本公司拥有或者控制的没有实物形态的可</w:t>
      </w:r>
      <w:proofErr w:type="gramStart"/>
      <w:r>
        <w:rPr>
          <w:rFonts w:hint="eastAsia"/>
          <w:sz w:val="18"/>
          <w:szCs w:val="18"/>
        </w:rPr>
        <w:t>辨认非</w:t>
      </w:r>
      <w:proofErr w:type="gramEnd"/>
      <w:r>
        <w:rPr>
          <w:rFonts w:hint="eastAsia"/>
          <w:sz w:val="18"/>
          <w:szCs w:val="18"/>
        </w:rPr>
        <w:t>货币性资产，包括土地使用权、软件、商标使用权、专利权及非专利技术等。</w:t>
      </w:r>
    </w:p>
    <w:p w:rsidR="00B54A20" w:rsidRDefault="00B54A20" w:rsidP="00D51BB1">
      <w:pPr>
        <w:widowControl/>
        <w:numPr>
          <w:ilvl w:val="3"/>
          <w:numId w:val="20"/>
        </w:numPr>
        <w:tabs>
          <w:tab w:val="clear" w:pos="2880"/>
          <w:tab w:val="num" w:pos="0"/>
        </w:tabs>
        <w:ind w:left="0" w:firstLine="425"/>
        <w:divId w:val="817376924"/>
        <w:rPr>
          <w:sz w:val="18"/>
          <w:szCs w:val="18"/>
        </w:rPr>
      </w:pPr>
      <w:r>
        <w:rPr>
          <w:rFonts w:ascii="Times New Roman" w:hAnsi="Times New Roman" w:cs="Times New Roman"/>
          <w:sz w:val="14"/>
          <w:szCs w:val="14"/>
        </w:rPr>
        <w:t xml:space="preserve">  </w:t>
      </w:r>
      <w:r>
        <w:rPr>
          <w:rFonts w:hint="eastAsia"/>
          <w:sz w:val="18"/>
          <w:szCs w:val="18"/>
        </w:rPr>
        <w:t>无形资产的初始计量</w:t>
      </w:r>
    </w:p>
    <w:p w:rsidR="00B54A20" w:rsidRDefault="00B54A20">
      <w:pPr>
        <w:pStyle w:val="a3"/>
        <w:spacing w:before="0" w:beforeAutospacing="0" w:after="0" w:afterAutospacing="0"/>
        <w:ind w:firstLine="420"/>
        <w:jc w:val="both"/>
        <w:divId w:val="817376924"/>
      </w:pPr>
      <w:r>
        <w:rPr>
          <w:rFonts w:hint="eastAsia"/>
          <w:sz w:val="18"/>
          <w:szCs w:val="18"/>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B54A20" w:rsidRDefault="00B54A20">
      <w:pPr>
        <w:pStyle w:val="a3"/>
        <w:spacing w:before="0" w:beforeAutospacing="0" w:after="0" w:afterAutospacing="0"/>
        <w:ind w:firstLine="420"/>
        <w:jc w:val="both"/>
        <w:divId w:val="817376924"/>
      </w:pPr>
      <w:r>
        <w:rPr>
          <w:rFonts w:hint="eastAsia"/>
          <w:sz w:val="18"/>
          <w:szCs w:val="18"/>
        </w:rPr>
        <w:t>债务重组取得债务人用以抵债的无形资产，以该无形资产的公允价值为基础确定其入账价值，并将重组债务的账面价值与该用以抵债的无形资产公允价值之间的差额，计入当期损益。</w:t>
      </w:r>
    </w:p>
    <w:p w:rsidR="00B54A20" w:rsidRDefault="00B54A20">
      <w:pPr>
        <w:pStyle w:val="a3"/>
        <w:spacing w:before="0" w:beforeAutospacing="0" w:after="0" w:afterAutospacing="0"/>
        <w:ind w:firstLine="420"/>
        <w:jc w:val="both"/>
        <w:divId w:val="817376924"/>
      </w:pPr>
      <w:r>
        <w:rPr>
          <w:rFonts w:hint="eastAsia"/>
          <w:sz w:val="18"/>
          <w:szCs w:val="18"/>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B54A20" w:rsidRDefault="00B54A20">
      <w:pPr>
        <w:pStyle w:val="a3"/>
        <w:spacing w:before="0" w:beforeAutospacing="0" w:after="0" w:afterAutospacing="0"/>
        <w:ind w:firstLine="420"/>
        <w:jc w:val="both"/>
        <w:divId w:val="817376924"/>
      </w:pPr>
      <w:r>
        <w:rPr>
          <w:rFonts w:hint="eastAsia"/>
          <w:sz w:val="18"/>
          <w:szCs w:val="18"/>
        </w:rPr>
        <w:t>以同</w:t>
      </w:r>
      <w:proofErr w:type="gramStart"/>
      <w:r>
        <w:rPr>
          <w:rFonts w:hint="eastAsia"/>
          <w:sz w:val="18"/>
          <w:szCs w:val="18"/>
        </w:rPr>
        <w:t>一控制</w:t>
      </w:r>
      <w:proofErr w:type="gramEnd"/>
      <w:r>
        <w:rPr>
          <w:rFonts w:hint="eastAsia"/>
          <w:sz w:val="18"/>
          <w:szCs w:val="18"/>
        </w:rPr>
        <w:t>下的企业吸收合并方式取得的无形资产按被合并方的账面价值确定其入账价值；以非同</w:t>
      </w:r>
      <w:proofErr w:type="gramStart"/>
      <w:r>
        <w:rPr>
          <w:rFonts w:hint="eastAsia"/>
          <w:sz w:val="18"/>
          <w:szCs w:val="18"/>
        </w:rPr>
        <w:t>一控制</w:t>
      </w:r>
      <w:proofErr w:type="gramEnd"/>
      <w:r>
        <w:rPr>
          <w:rFonts w:hint="eastAsia"/>
          <w:sz w:val="18"/>
          <w:szCs w:val="18"/>
        </w:rPr>
        <w:t>下的企业吸收合并方式取得的无形资产按公允价值确定其入账价值。</w:t>
      </w:r>
    </w:p>
    <w:p w:rsidR="00B54A20" w:rsidRDefault="00B54A20">
      <w:pPr>
        <w:pStyle w:val="a3"/>
        <w:spacing w:before="0" w:beforeAutospacing="0" w:after="0" w:afterAutospacing="0"/>
        <w:ind w:firstLine="420"/>
        <w:jc w:val="both"/>
        <w:divId w:val="817376924"/>
      </w:pPr>
      <w:r>
        <w:rPr>
          <w:rFonts w:hint="eastAsia"/>
          <w:sz w:val="18"/>
          <w:szCs w:val="18"/>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B54A20" w:rsidRDefault="00B54A20" w:rsidP="00D51BB1">
      <w:pPr>
        <w:widowControl/>
        <w:numPr>
          <w:ilvl w:val="3"/>
          <w:numId w:val="21"/>
        </w:numPr>
        <w:tabs>
          <w:tab w:val="clear" w:pos="2880"/>
          <w:tab w:val="num" w:pos="0"/>
        </w:tabs>
        <w:ind w:left="0" w:firstLine="425"/>
        <w:divId w:val="817376924"/>
        <w:rPr>
          <w:sz w:val="18"/>
          <w:szCs w:val="18"/>
        </w:rPr>
      </w:pPr>
      <w:r>
        <w:rPr>
          <w:rFonts w:hint="eastAsia"/>
          <w:sz w:val="18"/>
          <w:szCs w:val="18"/>
        </w:rPr>
        <w:t>无形资产的后续计量</w:t>
      </w:r>
    </w:p>
    <w:p w:rsidR="00B54A20" w:rsidRDefault="00B54A20">
      <w:pPr>
        <w:pStyle w:val="a3"/>
        <w:spacing w:before="0" w:beforeAutospacing="0" w:after="0" w:afterAutospacing="0"/>
        <w:ind w:firstLine="420"/>
        <w:jc w:val="both"/>
        <w:divId w:val="817376924"/>
      </w:pPr>
      <w:r>
        <w:rPr>
          <w:rFonts w:hint="eastAsia"/>
          <w:sz w:val="18"/>
          <w:szCs w:val="18"/>
        </w:rPr>
        <w:t>本公司在取得无形资产时分析判断其使用寿命，划分为使用寿命有限和使用寿命不确定的无形资产。</w:t>
      </w:r>
    </w:p>
    <w:p w:rsidR="00B54A20" w:rsidRDefault="00B54A20" w:rsidP="00D51BB1">
      <w:pPr>
        <w:widowControl/>
        <w:numPr>
          <w:ilvl w:val="0"/>
          <w:numId w:val="22"/>
        </w:numPr>
        <w:divId w:val="817376924"/>
        <w:rPr>
          <w:rFonts w:ascii="Calibri" w:hAnsi="Calibri"/>
          <w:szCs w:val="21"/>
        </w:rPr>
      </w:pPr>
      <w:r>
        <w:rPr>
          <w:rFonts w:hint="eastAsia"/>
          <w:sz w:val="18"/>
          <w:szCs w:val="18"/>
        </w:rPr>
        <w:t>使用寿命有限的无形资产</w:t>
      </w:r>
    </w:p>
    <w:p w:rsidR="00B54A20" w:rsidRDefault="00B54A20">
      <w:pPr>
        <w:pStyle w:val="a3"/>
        <w:spacing w:before="0" w:beforeAutospacing="0" w:after="0" w:afterAutospacing="0"/>
        <w:ind w:firstLine="420"/>
        <w:jc w:val="both"/>
        <w:divId w:val="817376924"/>
      </w:pPr>
      <w:r>
        <w:rPr>
          <w:rFonts w:hint="eastAsia"/>
          <w:sz w:val="18"/>
          <w:szCs w:val="18"/>
        </w:rPr>
        <w:t>对于使用寿命有限的无形资产，在为企业带来经济利益的期限内按直线法摊销。使用寿命有限的无形资产预计寿命及依据如下：</w:t>
      </w:r>
    </w:p>
    <w:tbl>
      <w:tblPr>
        <w:tblW w:w="9649" w:type="dxa"/>
        <w:tblCellMar>
          <w:left w:w="0" w:type="dxa"/>
          <w:right w:w="0" w:type="dxa"/>
        </w:tblCellMar>
        <w:tblLook w:val="04A0" w:firstRow="1" w:lastRow="0" w:firstColumn="1" w:lastColumn="0" w:noHBand="0" w:noVBand="1"/>
      </w:tblPr>
      <w:tblGrid>
        <w:gridCol w:w="3216"/>
        <w:gridCol w:w="3216"/>
        <w:gridCol w:w="3217"/>
      </w:tblGrid>
      <w:tr w:rsidR="00B54A20">
        <w:trPr>
          <w:divId w:val="817376924"/>
          <w:trHeight w:val="344"/>
          <w:tblHeader/>
        </w:trPr>
        <w:tc>
          <w:tcPr>
            <w:tcW w:w="3216" w:type="dxa"/>
            <w:tcBorders>
              <w:top w:val="single" w:sz="8" w:space="0" w:color="auto"/>
              <w:left w:val="single" w:sz="8" w:space="0" w:color="auto"/>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项目</w:t>
            </w:r>
          </w:p>
        </w:tc>
        <w:tc>
          <w:tcPr>
            <w:tcW w:w="3216" w:type="dxa"/>
            <w:tcBorders>
              <w:top w:val="single" w:sz="8" w:space="0" w:color="auto"/>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预计使用寿命</w:t>
            </w:r>
          </w:p>
        </w:tc>
        <w:tc>
          <w:tcPr>
            <w:tcW w:w="3217" w:type="dxa"/>
            <w:tcBorders>
              <w:top w:val="single" w:sz="8" w:space="0" w:color="auto"/>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依据</w:t>
            </w:r>
          </w:p>
        </w:tc>
      </w:tr>
      <w:tr w:rsidR="00B54A20" w:rsidTr="00EE66B1">
        <w:trPr>
          <w:divId w:val="817376924"/>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B54A20" w:rsidRDefault="00B54A20" w:rsidP="00EE66B1">
            <w:pPr>
              <w:pStyle w:val="a3"/>
              <w:spacing w:before="0" w:beforeAutospacing="0" w:after="0" w:afterAutospacing="0" w:line="240" w:lineRule="atLeast"/>
              <w:jc w:val="center"/>
            </w:pPr>
            <w:r>
              <w:rPr>
                <w:rFonts w:hint="eastAsia"/>
                <w:sz w:val="18"/>
                <w:szCs w:val="18"/>
              </w:rPr>
              <w:t>软件</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line="240" w:lineRule="atLeast"/>
              <w:ind w:firstLine="360"/>
              <w:jc w:val="center"/>
            </w:pPr>
            <w:r>
              <w:rPr>
                <w:rFonts w:hint="eastAsia"/>
                <w:sz w:val="18"/>
                <w:szCs w:val="18"/>
              </w:rPr>
              <w:t>5-10年</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软件预计使用年限</w:t>
            </w:r>
          </w:p>
        </w:tc>
      </w:tr>
      <w:tr w:rsidR="00B54A20" w:rsidTr="00EE66B1">
        <w:trPr>
          <w:divId w:val="817376924"/>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B54A20" w:rsidRDefault="00B54A20" w:rsidP="00EE66B1">
            <w:pPr>
              <w:pStyle w:val="a3"/>
              <w:spacing w:before="0" w:beforeAutospacing="0" w:after="0" w:afterAutospacing="0" w:line="240" w:lineRule="atLeast"/>
              <w:jc w:val="center"/>
            </w:pPr>
            <w:r>
              <w:rPr>
                <w:rFonts w:hint="eastAsia"/>
                <w:sz w:val="18"/>
                <w:szCs w:val="18"/>
              </w:rPr>
              <w:t>土地使用权</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line="240" w:lineRule="atLeast"/>
              <w:ind w:firstLine="360"/>
              <w:jc w:val="center"/>
            </w:pPr>
            <w:r>
              <w:rPr>
                <w:rFonts w:hint="eastAsia"/>
                <w:sz w:val="18"/>
                <w:szCs w:val="18"/>
              </w:rPr>
              <w:t>40-50年</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土地使用权证规定年限</w:t>
            </w:r>
          </w:p>
        </w:tc>
      </w:tr>
      <w:tr w:rsidR="00B54A20" w:rsidTr="00EE66B1">
        <w:trPr>
          <w:divId w:val="817376924"/>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B54A20" w:rsidRDefault="00B54A20" w:rsidP="00EE66B1">
            <w:pPr>
              <w:pStyle w:val="a3"/>
              <w:spacing w:before="0" w:beforeAutospacing="0" w:after="0" w:afterAutospacing="0"/>
              <w:jc w:val="center"/>
            </w:pPr>
            <w:r>
              <w:rPr>
                <w:rFonts w:hint="eastAsia"/>
                <w:sz w:val="18"/>
                <w:szCs w:val="18"/>
              </w:rPr>
              <w:t>专利权</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在实际授权使用期间内摊销</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授权使用期限</w:t>
            </w:r>
          </w:p>
        </w:tc>
      </w:tr>
      <w:tr w:rsidR="00B54A20" w:rsidTr="00EE66B1">
        <w:trPr>
          <w:divId w:val="817376924"/>
          <w:trHeight w:val="344"/>
        </w:trPr>
        <w:tc>
          <w:tcPr>
            <w:tcW w:w="3216" w:type="dxa"/>
            <w:tcBorders>
              <w:top w:val="nil"/>
              <w:left w:val="single" w:sz="8" w:space="0" w:color="auto"/>
              <w:bottom w:val="single" w:sz="8" w:space="0" w:color="auto"/>
              <w:right w:val="single" w:sz="8" w:space="0" w:color="auto"/>
            </w:tcBorders>
            <w:tcMar>
              <w:top w:w="0" w:type="dxa"/>
              <w:left w:w="0" w:type="dxa"/>
              <w:bottom w:w="0" w:type="dxa"/>
              <w:right w:w="108" w:type="dxa"/>
            </w:tcMar>
            <w:vAlign w:val="center"/>
            <w:hideMark/>
          </w:tcPr>
          <w:p w:rsidR="00B54A20" w:rsidRDefault="00B54A20" w:rsidP="00EE66B1">
            <w:pPr>
              <w:pStyle w:val="a3"/>
              <w:spacing w:before="0" w:beforeAutospacing="0" w:after="0" w:afterAutospacing="0"/>
              <w:jc w:val="center"/>
            </w:pPr>
            <w:r>
              <w:rPr>
                <w:rFonts w:hint="eastAsia"/>
                <w:sz w:val="18"/>
                <w:szCs w:val="18"/>
              </w:rPr>
              <w:t>商标使用权</w:t>
            </w:r>
          </w:p>
        </w:tc>
        <w:tc>
          <w:tcPr>
            <w:tcW w:w="3216"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在实际授权使用期间内摊销</w:t>
            </w:r>
          </w:p>
        </w:tc>
        <w:tc>
          <w:tcPr>
            <w:tcW w:w="3217" w:type="dxa"/>
            <w:tcBorders>
              <w:top w:val="nil"/>
              <w:left w:val="nil"/>
              <w:bottom w:val="single" w:sz="8" w:space="0" w:color="auto"/>
              <w:right w:val="single" w:sz="8" w:space="0" w:color="auto"/>
            </w:tcBorders>
            <w:tcMar>
              <w:top w:w="0" w:type="dxa"/>
              <w:left w:w="0"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授权使用期限</w:t>
            </w:r>
          </w:p>
        </w:tc>
      </w:tr>
    </w:tbl>
    <w:p w:rsidR="00B54A20" w:rsidRDefault="00B54A20">
      <w:pPr>
        <w:pStyle w:val="a3"/>
        <w:spacing w:before="0" w:beforeAutospacing="0" w:after="0" w:afterAutospacing="0" w:line="120" w:lineRule="auto"/>
        <w:ind w:firstLine="360"/>
        <w:divId w:val="817376924"/>
      </w:pPr>
      <w:r>
        <w:rPr>
          <w:rFonts w:hint="eastAsia"/>
          <w:sz w:val="18"/>
          <w:szCs w:val="18"/>
        </w:rPr>
        <w:t> </w:t>
      </w:r>
    </w:p>
    <w:p w:rsidR="00B54A20" w:rsidRDefault="00B54A20">
      <w:pPr>
        <w:pStyle w:val="a3"/>
        <w:spacing w:before="0" w:beforeAutospacing="0" w:after="0" w:afterAutospacing="0"/>
        <w:ind w:firstLine="420"/>
        <w:jc w:val="both"/>
        <w:divId w:val="817376924"/>
      </w:pPr>
      <w:r>
        <w:rPr>
          <w:rFonts w:hint="eastAsia"/>
          <w:sz w:val="18"/>
          <w:szCs w:val="18"/>
        </w:rPr>
        <w:t>每期末，对使用寿命有限的无形资产的使用寿命及摊销方法进行复核，如与原先估计数存在差异的，进行相应的调整。</w:t>
      </w:r>
    </w:p>
    <w:p w:rsidR="00B54A20" w:rsidRDefault="00B54A20">
      <w:pPr>
        <w:pStyle w:val="a3"/>
        <w:spacing w:before="0" w:beforeAutospacing="0" w:after="0" w:afterAutospacing="0"/>
        <w:ind w:firstLine="420"/>
        <w:jc w:val="both"/>
        <w:divId w:val="817376924"/>
      </w:pPr>
      <w:r>
        <w:rPr>
          <w:rFonts w:hint="eastAsia"/>
          <w:sz w:val="18"/>
          <w:szCs w:val="18"/>
        </w:rPr>
        <w:t>经复核，本期期末无形资产的使用寿命及摊销方法与以前估计未有不同。</w:t>
      </w:r>
    </w:p>
    <w:p w:rsidR="00B54A20" w:rsidRDefault="00B54A20" w:rsidP="00D51BB1">
      <w:pPr>
        <w:widowControl/>
        <w:numPr>
          <w:ilvl w:val="0"/>
          <w:numId w:val="23"/>
        </w:numPr>
        <w:divId w:val="817376924"/>
        <w:rPr>
          <w:rFonts w:ascii="Calibri" w:hAnsi="Calibri"/>
          <w:szCs w:val="21"/>
        </w:rPr>
      </w:pPr>
      <w:r>
        <w:rPr>
          <w:rFonts w:hint="eastAsia"/>
          <w:sz w:val="18"/>
          <w:szCs w:val="18"/>
        </w:rPr>
        <w:t>使用寿命不确定的无形资产</w:t>
      </w:r>
    </w:p>
    <w:p w:rsidR="00B54A20" w:rsidRDefault="00B54A20">
      <w:pPr>
        <w:pStyle w:val="a3"/>
        <w:spacing w:before="0" w:beforeAutospacing="0" w:after="0" w:afterAutospacing="0"/>
        <w:ind w:firstLine="420"/>
        <w:jc w:val="both"/>
        <w:divId w:val="817376924"/>
      </w:pPr>
      <w:r>
        <w:rPr>
          <w:rFonts w:hint="eastAsia"/>
          <w:sz w:val="18"/>
          <w:szCs w:val="18"/>
        </w:rPr>
        <w:t>本公司无使用寿命不确定的无形资产。</w:t>
      </w:r>
    </w:p>
    <w:p w:rsidR="00E62F69" w:rsidRDefault="00B54A20">
      <w:pPr>
        <w:keepNext/>
        <w:keepLines/>
        <w:spacing w:before="300" w:after="300" w:line="280" w:lineRule="exact"/>
        <w:outlineLvl w:val="3"/>
        <w:rPr>
          <w:rFonts w:ascii="宋体" w:eastAsia="宋体" w:hAnsi="宋体" w:cs="宋体"/>
          <w:b/>
          <w:bCs/>
          <w:szCs w:val="21"/>
        </w:rPr>
      </w:pPr>
      <w:bookmarkStart w:id="50" w:name="_Toc989043"/>
      <w:r>
        <w:rPr>
          <w:rFonts w:ascii="宋体" w:eastAsia="宋体" w:hAnsi="宋体" w:cs="宋体"/>
          <w:b/>
          <w:bCs/>
          <w:szCs w:val="21"/>
        </w:rPr>
        <w:t>（2） 内部研究开发支出会计政策</w:t>
      </w:r>
      <w:bookmarkEnd w:id="50"/>
    </w:p>
    <w:p w:rsidR="00B54A20" w:rsidRDefault="00B54A20" w:rsidP="00D51BB1">
      <w:pPr>
        <w:widowControl/>
        <w:numPr>
          <w:ilvl w:val="3"/>
          <w:numId w:val="24"/>
        </w:numPr>
        <w:tabs>
          <w:tab w:val="clear" w:pos="2880"/>
          <w:tab w:val="num" w:pos="0"/>
        </w:tabs>
        <w:ind w:left="0" w:firstLine="426"/>
        <w:divId w:val="110318345"/>
        <w:rPr>
          <w:sz w:val="18"/>
          <w:szCs w:val="18"/>
        </w:rPr>
      </w:pPr>
      <w:r>
        <w:rPr>
          <w:rFonts w:ascii="Times New Roman" w:hAnsi="Times New Roman" w:cs="Times New Roman"/>
          <w:sz w:val="14"/>
          <w:szCs w:val="14"/>
        </w:rPr>
        <w:t xml:space="preserve">  </w:t>
      </w:r>
      <w:r>
        <w:rPr>
          <w:rFonts w:hint="eastAsia"/>
          <w:sz w:val="18"/>
          <w:szCs w:val="18"/>
        </w:rPr>
        <w:t>划分公司内部研究开发项目的研究阶段和开发阶段具体标准</w:t>
      </w:r>
    </w:p>
    <w:p w:rsidR="00B54A20" w:rsidRDefault="00B54A20">
      <w:pPr>
        <w:pStyle w:val="a3"/>
        <w:spacing w:before="0" w:beforeAutospacing="0" w:after="0" w:afterAutospacing="0"/>
        <w:ind w:firstLine="357"/>
        <w:jc w:val="both"/>
        <w:divId w:val="110318345"/>
      </w:pPr>
      <w:r>
        <w:rPr>
          <w:rFonts w:hint="eastAsia"/>
          <w:sz w:val="18"/>
          <w:szCs w:val="18"/>
        </w:rPr>
        <w:t>研究阶段：为获取并理解新的科学或技术知识等而进行的独创性的有计划调查、研究活动的阶段。</w:t>
      </w:r>
    </w:p>
    <w:p w:rsidR="00B54A20" w:rsidRDefault="00B54A20">
      <w:pPr>
        <w:pStyle w:val="a3"/>
        <w:spacing w:before="0" w:beforeAutospacing="0" w:after="0" w:afterAutospacing="0"/>
        <w:ind w:firstLine="357"/>
        <w:jc w:val="both"/>
        <w:divId w:val="110318345"/>
      </w:pPr>
      <w:r>
        <w:rPr>
          <w:rFonts w:hint="eastAsia"/>
          <w:sz w:val="18"/>
          <w:szCs w:val="18"/>
        </w:rPr>
        <w:t>开发阶段：在进行商业性生产或使用前，将研究成果或其他知识应用于某项计划或设计，以生产出新的或具有实质性改进的材料、装置、产品等活动的阶段。</w:t>
      </w:r>
    </w:p>
    <w:p w:rsidR="00B54A20" w:rsidRDefault="00B54A20">
      <w:pPr>
        <w:pStyle w:val="a3"/>
        <w:spacing w:before="0" w:beforeAutospacing="0" w:after="0" w:afterAutospacing="0"/>
        <w:ind w:firstLine="357"/>
        <w:jc w:val="both"/>
        <w:divId w:val="110318345"/>
      </w:pPr>
      <w:r>
        <w:rPr>
          <w:rFonts w:hint="eastAsia"/>
          <w:sz w:val="18"/>
          <w:szCs w:val="18"/>
        </w:rPr>
        <w:t>内部研究开发项目研究阶段的支出，在发生时计入当期损益。</w:t>
      </w:r>
    </w:p>
    <w:p w:rsidR="00B54A20" w:rsidRDefault="00B54A20" w:rsidP="00D51BB1">
      <w:pPr>
        <w:widowControl/>
        <w:numPr>
          <w:ilvl w:val="3"/>
          <w:numId w:val="25"/>
        </w:numPr>
        <w:tabs>
          <w:tab w:val="clear" w:pos="2880"/>
          <w:tab w:val="num" w:pos="0"/>
        </w:tabs>
        <w:ind w:left="0" w:firstLine="426"/>
        <w:divId w:val="110318345"/>
        <w:rPr>
          <w:sz w:val="18"/>
          <w:szCs w:val="18"/>
        </w:rPr>
      </w:pPr>
      <w:r>
        <w:rPr>
          <w:rFonts w:ascii="Times New Roman" w:hAnsi="Times New Roman" w:cs="Times New Roman"/>
          <w:sz w:val="14"/>
          <w:szCs w:val="14"/>
        </w:rPr>
        <w:t xml:space="preserve">  </w:t>
      </w:r>
      <w:r>
        <w:rPr>
          <w:rFonts w:hint="eastAsia"/>
          <w:sz w:val="18"/>
          <w:szCs w:val="18"/>
        </w:rPr>
        <w:t>开发阶段支出符合资本化的具体标准</w:t>
      </w:r>
    </w:p>
    <w:p w:rsidR="00B54A20" w:rsidRDefault="00B54A20">
      <w:pPr>
        <w:pStyle w:val="a3"/>
        <w:spacing w:before="0" w:beforeAutospacing="0" w:after="0" w:afterAutospacing="0"/>
        <w:ind w:firstLine="357"/>
        <w:jc w:val="both"/>
        <w:divId w:val="110318345"/>
      </w:pPr>
      <w:r>
        <w:rPr>
          <w:rFonts w:hint="eastAsia"/>
          <w:sz w:val="18"/>
          <w:szCs w:val="18"/>
        </w:rPr>
        <w:t>内部研究开发项目开发阶段的支出，同时满足下列条件时确认为无形资产：</w:t>
      </w:r>
    </w:p>
    <w:p w:rsidR="00B54A20" w:rsidRDefault="00B54A20">
      <w:pPr>
        <w:pStyle w:val="a3"/>
        <w:spacing w:before="0" w:beforeAutospacing="0" w:after="0" w:afterAutospacing="0"/>
        <w:ind w:firstLine="357"/>
        <w:jc w:val="both"/>
        <w:divId w:val="110318345"/>
      </w:pPr>
      <w:r>
        <w:rPr>
          <w:rFonts w:hint="eastAsia"/>
          <w:sz w:val="18"/>
          <w:szCs w:val="18"/>
        </w:rPr>
        <w:t>（1）完成该无形资产以使其能够使用或出售在技术上具有可行性；</w:t>
      </w:r>
    </w:p>
    <w:p w:rsidR="00B54A20" w:rsidRDefault="00B54A20">
      <w:pPr>
        <w:pStyle w:val="a3"/>
        <w:spacing w:before="0" w:beforeAutospacing="0" w:after="0" w:afterAutospacing="0"/>
        <w:ind w:firstLine="357"/>
        <w:jc w:val="both"/>
        <w:divId w:val="110318345"/>
      </w:pPr>
      <w:r>
        <w:rPr>
          <w:rFonts w:hint="eastAsia"/>
          <w:sz w:val="18"/>
          <w:szCs w:val="18"/>
        </w:rPr>
        <w:t>（2）具有完成该无形资产并使用或出售的意图；</w:t>
      </w:r>
    </w:p>
    <w:p w:rsidR="00B54A20" w:rsidRDefault="00B54A20">
      <w:pPr>
        <w:pStyle w:val="a3"/>
        <w:spacing w:before="0" w:beforeAutospacing="0" w:after="0" w:afterAutospacing="0"/>
        <w:ind w:firstLine="357"/>
        <w:jc w:val="both"/>
        <w:divId w:val="110318345"/>
      </w:pPr>
      <w:r>
        <w:rPr>
          <w:rFonts w:hint="eastAsia"/>
          <w:sz w:val="18"/>
          <w:szCs w:val="18"/>
        </w:rPr>
        <w:t>（3）无形资产产生经济利益的方式，包括能够证明运用该无形资产生产的产品存在市场或无形资产自身存在市场，无形资产将在内部使用的，能够证明其有用性；</w:t>
      </w:r>
    </w:p>
    <w:p w:rsidR="00B54A20" w:rsidRDefault="00B54A20">
      <w:pPr>
        <w:pStyle w:val="a3"/>
        <w:spacing w:before="0" w:beforeAutospacing="0" w:after="0" w:afterAutospacing="0"/>
        <w:ind w:firstLine="357"/>
        <w:jc w:val="both"/>
        <w:divId w:val="110318345"/>
      </w:pPr>
      <w:r>
        <w:rPr>
          <w:rFonts w:hint="eastAsia"/>
          <w:sz w:val="18"/>
          <w:szCs w:val="18"/>
        </w:rPr>
        <w:t>（4）有足够的技术、财务资源和其他资源支持，以完成该无形资产的开发，并有能力使用或出售该无形资产；</w:t>
      </w:r>
    </w:p>
    <w:p w:rsidR="00B54A20" w:rsidRDefault="00B54A20">
      <w:pPr>
        <w:pStyle w:val="a3"/>
        <w:spacing w:before="0" w:beforeAutospacing="0" w:after="0" w:afterAutospacing="0"/>
        <w:ind w:firstLine="357"/>
        <w:jc w:val="both"/>
        <w:divId w:val="110318345"/>
      </w:pPr>
      <w:r>
        <w:rPr>
          <w:rFonts w:hint="eastAsia"/>
          <w:sz w:val="18"/>
          <w:szCs w:val="18"/>
        </w:rPr>
        <w:t>（5）归属于该无形资产开发阶段的支出能够可靠地计量。</w:t>
      </w:r>
    </w:p>
    <w:p w:rsidR="00B54A20" w:rsidRDefault="00B54A20">
      <w:pPr>
        <w:pStyle w:val="a3"/>
        <w:spacing w:before="0" w:beforeAutospacing="0" w:after="0" w:afterAutospacing="0"/>
        <w:ind w:firstLine="357"/>
        <w:jc w:val="both"/>
        <w:divId w:val="110318345"/>
      </w:pPr>
      <w:r>
        <w:rPr>
          <w:rFonts w:hint="eastAsia"/>
          <w:sz w:val="18"/>
          <w:szCs w:val="18"/>
        </w:rPr>
        <w:t>不满足上述条件的开发阶段的支出，于发生时计入当期损益。以前期间已计入损益的开发支出不在以后期间重新确认为资产。</w:t>
      </w:r>
      <w:proofErr w:type="gramStart"/>
      <w:r>
        <w:rPr>
          <w:rFonts w:hint="eastAsia"/>
          <w:sz w:val="18"/>
          <w:szCs w:val="18"/>
        </w:rPr>
        <w:t>已资本</w:t>
      </w:r>
      <w:proofErr w:type="gramEnd"/>
      <w:r>
        <w:rPr>
          <w:rFonts w:hint="eastAsia"/>
          <w:sz w:val="18"/>
          <w:szCs w:val="18"/>
        </w:rPr>
        <w:t>化的开发阶段的支出在资产负债表上列示为开发支出，自该项目达到预定用途之日起转为无形资产。</w:t>
      </w:r>
    </w:p>
    <w:p w:rsidR="00E62F69" w:rsidRDefault="00B54A20">
      <w:pPr>
        <w:pStyle w:val="3"/>
        <w:spacing w:line="280" w:lineRule="exact"/>
        <w:jc w:val="left"/>
        <w:rPr>
          <w:rFonts w:ascii="宋体" w:hAnsi="宋体" w:cs="宋体"/>
          <w:b/>
          <w:bCs/>
        </w:rPr>
      </w:pPr>
      <w:bookmarkStart w:id="51" w:name="_Toc989044"/>
      <w:r>
        <w:rPr>
          <w:rFonts w:ascii="宋体" w:hAnsi="宋体" w:cs="宋体"/>
          <w:b/>
          <w:bCs/>
        </w:rPr>
        <w:t>31、长期资产减值</w:t>
      </w:r>
      <w:bookmarkEnd w:id="51"/>
    </w:p>
    <w:p w:rsidR="00B54A20" w:rsidRDefault="00B54A20">
      <w:pPr>
        <w:pStyle w:val="a3"/>
        <w:spacing w:before="0" w:beforeAutospacing="0" w:after="0" w:afterAutospacing="0"/>
        <w:ind w:firstLine="357"/>
        <w:jc w:val="both"/>
        <w:divId w:val="482427674"/>
      </w:pPr>
      <w:r>
        <w:rPr>
          <w:rFonts w:hint="eastAsia"/>
          <w:sz w:val="18"/>
          <w:szCs w:val="18"/>
        </w:rPr>
        <w:t>本公司在资产负债表</w:t>
      </w:r>
      <w:proofErr w:type="gramStart"/>
      <w:r>
        <w:rPr>
          <w:rFonts w:hint="eastAsia"/>
          <w:sz w:val="18"/>
          <w:szCs w:val="18"/>
        </w:rPr>
        <w:t>日判断</w:t>
      </w:r>
      <w:proofErr w:type="gramEnd"/>
      <w:r>
        <w:rPr>
          <w:rFonts w:hint="eastAsia"/>
          <w:sz w:val="18"/>
          <w:szCs w:val="18"/>
        </w:rPr>
        <w:t>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B54A20" w:rsidRDefault="00B54A20">
      <w:pPr>
        <w:pStyle w:val="a3"/>
        <w:spacing w:before="0" w:beforeAutospacing="0" w:after="0" w:afterAutospacing="0"/>
        <w:ind w:firstLine="357"/>
        <w:jc w:val="both"/>
        <w:divId w:val="482427674"/>
      </w:pPr>
      <w:r>
        <w:rPr>
          <w:rFonts w:hint="eastAsia"/>
          <w:sz w:val="18"/>
          <w:szCs w:val="18"/>
        </w:rPr>
        <w:t>资产可收回金额的估计，根据其公允价值减去处置费用后的净额与资产预计未来现金流量的现值两者之间较高者确定。</w:t>
      </w:r>
    </w:p>
    <w:p w:rsidR="00B54A20" w:rsidRDefault="00B54A20">
      <w:pPr>
        <w:pStyle w:val="a3"/>
        <w:spacing w:before="0" w:beforeAutospacing="0" w:after="0" w:afterAutospacing="0"/>
        <w:ind w:firstLine="357"/>
        <w:jc w:val="both"/>
        <w:divId w:val="482427674"/>
      </w:pPr>
      <w:r>
        <w:rPr>
          <w:rFonts w:hint="eastAsia"/>
          <w:sz w:val="18"/>
          <w:szCs w:val="18"/>
        </w:rPr>
        <w:t>可收回金额的计量结果表明，长期资产的可收回金额低于其账面价值的，将长期资产的账面价值</w:t>
      </w:r>
      <w:proofErr w:type="gramStart"/>
      <w:r>
        <w:rPr>
          <w:rFonts w:hint="eastAsia"/>
          <w:sz w:val="18"/>
          <w:szCs w:val="18"/>
        </w:rPr>
        <w:t>减记至</w:t>
      </w:r>
      <w:proofErr w:type="gramEnd"/>
      <w:r>
        <w:rPr>
          <w:rFonts w:hint="eastAsia"/>
          <w:sz w:val="18"/>
          <w:szCs w:val="18"/>
        </w:rPr>
        <w:t>可收回金额，</w:t>
      </w:r>
      <w:proofErr w:type="gramStart"/>
      <w:r>
        <w:rPr>
          <w:rFonts w:hint="eastAsia"/>
          <w:sz w:val="18"/>
          <w:szCs w:val="18"/>
        </w:rPr>
        <w:t>减记的</w:t>
      </w:r>
      <w:proofErr w:type="gramEnd"/>
      <w:r>
        <w:rPr>
          <w:rFonts w:hint="eastAsia"/>
          <w:sz w:val="18"/>
          <w:szCs w:val="18"/>
        </w:rPr>
        <w:t>金额确认为资产减值损失，计入当期损益，同时计提相应的资产减值准备。资产减值损失一经确认，在以后会计期间不得转回。</w:t>
      </w:r>
    </w:p>
    <w:p w:rsidR="00B54A20" w:rsidRDefault="00B54A20">
      <w:pPr>
        <w:pStyle w:val="a3"/>
        <w:spacing w:before="0" w:beforeAutospacing="0" w:after="0" w:afterAutospacing="0"/>
        <w:ind w:firstLine="357"/>
        <w:jc w:val="both"/>
        <w:divId w:val="482427674"/>
      </w:pPr>
      <w:r>
        <w:rPr>
          <w:rFonts w:hint="eastAsia"/>
          <w:sz w:val="18"/>
          <w:szCs w:val="18"/>
        </w:rPr>
        <w:t>资产减值损失确认后，减值资产的折旧或者摊销费用在未来期间作相应调整，以使该资产在剩余使用寿命内，系统地分摊调整后的资产账面价值（扣除预计净残值）。</w:t>
      </w:r>
    </w:p>
    <w:p w:rsidR="00B54A20" w:rsidRDefault="00B54A20">
      <w:pPr>
        <w:pStyle w:val="a3"/>
        <w:spacing w:before="0" w:beforeAutospacing="0" w:after="0" w:afterAutospacing="0"/>
        <w:ind w:firstLine="357"/>
        <w:jc w:val="both"/>
        <w:divId w:val="482427674"/>
      </w:pPr>
      <w:r>
        <w:rPr>
          <w:rFonts w:hint="eastAsia"/>
          <w:sz w:val="18"/>
          <w:szCs w:val="18"/>
        </w:rPr>
        <w:t>因企业合并所形成的商誉和使用寿命不确定的无形资产，无论是否存在减值迹象，每年都进行减值测试。</w:t>
      </w:r>
    </w:p>
    <w:p w:rsidR="00B54A20" w:rsidRDefault="00B54A20">
      <w:pPr>
        <w:pStyle w:val="a3"/>
        <w:spacing w:before="0" w:beforeAutospacing="0" w:after="0" w:afterAutospacing="0"/>
        <w:ind w:firstLine="357"/>
        <w:jc w:val="both"/>
        <w:divId w:val="482427674"/>
      </w:pPr>
      <w:r>
        <w:rPr>
          <w:rFonts w:hint="eastAsia"/>
          <w:sz w:val="18"/>
          <w:szCs w:val="18"/>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Pr>
          <w:rFonts w:hint="eastAsia"/>
          <w:sz w:val="18"/>
          <w:szCs w:val="18"/>
        </w:rPr>
        <w:t>与其可</w:t>
      </w:r>
      <w:proofErr w:type="gramEnd"/>
      <w:r>
        <w:rPr>
          <w:rFonts w:hint="eastAsia"/>
          <w:sz w:val="18"/>
          <w:szCs w:val="18"/>
        </w:rPr>
        <w:t>收回金额，如相关资产组或者资产组组合的可收回金额低于其账面价值的，确认商誉的减值损失。</w:t>
      </w:r>
    </w:p>
    <w:p w:rsidR="00E62F69" w:rsidRDefault="00B54A20">
      <w:pPr>
        <w:pStyle w:val="3"/>
        <w:spacing w:line="280" w:lineRule="exact"/>
        <w:jc w:val="left"/>
        <w:rPr>
          <w:rFonts w:ascii="宋体" w:hAnsi="宋体" w:cs="宋体"/>
          <w:b/>
          <w:bCs/>
        </w:rPr>
      </w:pPr>
      <w:bookmarkStart w:id="52" w:name="_Toc989045"/>
      <w:r>
        <w:rPr>
          <w:rFonts w:ascii="宋体" w:hAnsi="宋体" w:cs="宋体"/>
          <w:b/>
          <w:bCs/>
        </w:rPr>
        <w:t>32、长期待摊费用</w:t>
      </w:r>
      <w:bookmarkEnd w:id="52"/>
    </w:p>
    <w:p w:rsidR="00B54A20" w:rsidRDefault="00B54A20" w:rsidP="00D51BB1">
      <w:pPr>
        <w:widowControl/>
        <w:numPr>
          <w:ilvl w:val="0"/>
          <w:numId w:val="26"/>
        </w:numPr>
        <w:ind w:left="714" w:hanging="357"/>
        <w:divId w:val="283847309"/>
        <w:rPr>
          <w:sz w:val="18"/>
          <w:szCs w:val="18"/>
        </w:rPr>
      </w:pPr>
      <w:r>
        <w:rPr>
          <w:rFonts w:ascii="Times New Roman" w:hAnsi="Times New Roman" w:cs="Times New Roman"/>
          <w:sz w:val="14"/>
          <w:szCs w:val="14"/>
        </w:rPr>
        <w:t> </w:t>
      </w:r>
      <w:r>
        <w:rPr>
          <w:rFonts w:hint="eastAsia"/>
          <w:sz w:val="18"/>
          <w:szCs w:val="18"/>
        </w:rPr>
        <w:t>摊销方法</w:t>
      </w:r>
    </w:p>
    <w:p w:rsidR="00B54A20" w:rsidRDefault="00B54A20">
      <w:pPr>
        <w:pStyle w:val="a3"/>
        <w:spacing w:before="0" w:beforeAutospacing="0" w:after="0" w:afterAutospacing="0"/>
        <w:ind w:firstLine="357"/>
        <w:jc w:val="both"/>
        <w:divId w:val="283847309"/>
      </w:pPr>
      <w:r>
        <w:rPr>
          <w:rFonts w:hint="eastAsia"/>
          <w:sz w:val="18"/>
          <w:szCs w:val="18"/>
        </w:rPr>
        <w:t>长期待摊费用，是指本公司已经发生但应由本期和以后各期负担的分摊期限在1年以上的各项费用。长期待摊费用在受益期内按直线法分期摊销。</w:t>
      </w:r>
    </w:p>
    <w:p w:rsidR="00B54A20" w:rsidRDefault="00B54A20" w:rsidP="00D51BB1">
      <w:pPr>
        <w:widowControl/>
        <w:numPr>
          <w:ilvl w:val="0"/>
          <w:numId w:val="27"/>
        </w:numPr>
        <w:ind w:left="714" w:hanging="357"/>
        <w:divId w:val="283847309"/>
        <w:rPr>
          <w:sz w:val="18"/>
          <w:szCs w:val="18"/>
        </w:rPr>
      </w:pPr>
      <w:r>
        <w:rPr>
          <w:rFonts w:ascii="Times New Roman" w:hAnsi="Times New Roman" w:cs="Times New Roman"/>
          <w:sz w:val="14"/>
          <w:szCs w:val="14"/>
        </w:rPr>
        <w:t> </w:t>
      </w:r>
      <w:r>
        <w:rPr>
          <w:rFonts w:hint="eastAsia"/>
          <w:sz w:val="18"/>
          <w:szCs w:val="18"/>
        </w:rPr>
        <w:t>摊销年限</w:t>
      </w:r>
    </w:p>
    <w:tbl>
      <w:tblPr>
        <w:tblW w:w="9622" w:type="dxa"/>
        <w:jc w:val="center"/>
        <w:tblInd w:w="-769" w:type="dxa"/>
        <w:tblCellMar>
          <w:left w:w="0" w:type="dxa"/>
          <w:right w:w="0" w:type="dxa"/>
        </w:tblCellMar>
        <w:tblLook w:val="04A0" w:firstRow="1" w:lastRow="0" w:firstColumn="1" w:lastColumn="0" w:noHBand="0" w:noVBand="1"/>
      </w:tblPr>
      <w:tblGrid>
        <w:gridCol w:w="3614"/>
        <w:gridCol w:w="2845"/>
        <w:gridCol w:w="3163"/>
      </w:tblGrid>
      <w:tr w:rsidR="00B54A20" w:rsidTr="00EE66B1">
        <w:trPr>
          <w:divId w:val="283847309"/>
          <w:trHeight w:val="340"/>
          <w:tblHeader/>
          <w:jc w:val="center"/>
        </w:trPr>
        <w:tc>
          <w:tcPr>
            <w:tcW w:w="3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类别</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摊销年限</w:t>
            </w:r>
          </w:p>
        </w:tc>
        <w:tc>
          <w:tcPr>
            <w:tcW w:w="3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hint="eastAsia"/>
                <w:sz w:val="18"/>
                <w:szCs w:val="18"/>
              </w:rPr>
              <w:t>备注</w:t>
            </w:r>
          </w:p>
        </w:tc>
      </w:tr>
      <w:tr w:rsidR="00B54A20" w:rsidTr="00EE66B1">
        <w:trPr>
          <w:divId w:val="283847309"/>
          <w:trHeight w:val="340"/>
          <w:jc w:val="center"/>
        </w:trPr>
        <w:tc>
          <w:tcPr>
            <w:tcW w:w="36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pPr>
            <w:r>
              <w:rPr>
                <w:rFonts w:hint="eastAsia"/>
                <w:sz w:val="18"/>
                <w:szCs w:val="18"/>
              </w:rPr>
              <w:t>装修费</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3-5年</w:t>
            </w:r>
          </w:p>
        </w:tc>
        <w:tc>
          <w:tcPr>
            <w:tcW w:w="3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ascii="Arial Narrow" w:hAnsi="Arial Narrow"/>
                <w:sz w:val="18"/>
                <w:szCs w:val="18"/>
              </w:rPr>
              <w:t> </w:t>
            </w:r>
          </w:p>
        </w:tc>
      </w:tr>
      <w:tr w:rsidR="00B54A20" w:rsidTr="00EE66B1">
        <w:trPr>
          <w:divId w:val="283847309"/>
          <w:trHeight w:val="340"/>
          <w:jc w:val="center"/>
        </w:trPr>
        <w:tc>
          <w:tcPr>
            <w:tcW w:w="36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pPr>
            <w:r>
              <w:rPr>
                <w:rFonts w:hint="eastAsia"/>
                <w:sz w:val="18"/>
                <w:szCs w:val="18"/>
              </w:rPr>
              <w:t>机物料</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3-5年</w:t>
            </w:r>
          </w:p>
        </w:tc>
        <w:tc>
          <w:tcPr>
            <w:tcW w:w="3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ascii="Arial Narrow" w:hAnsi="Arial Narrow"/>
                <w:sz w:val="18"/>
                <w:szCs w:val="18"/>
              </w:rPr>
              <w:t> </w:t>
            </w:r>
          </w:p>
        </w:tc>
      </w:tr>
      <w:tr w:rsidR="00B54A20" w:rsidTr="00EE66B1">
        <w:trPr>
          <w:divId w:val="283847309"/>
          <w:trHeight w:val="340"/>
          <w:jc w:val="center"/>
        </w:trPr>
        <w:tc>
          <w:tcPr>
            <w:tcW w:w="36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pPr>
            <w:r>
              <w:rPr>
                <w:rFonts w:hint="eastAsia"/>
                <w:sz w:val="18"/>
                <w:szCs w:val="18"/>
              </w:rPr>
              <w:t>其他</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line="240" w:lineRule="atLeast"/>
              <w:jc w:val="center"/>
            </w:pPr>
            <w:r>
              <w:rPr>
                <w:rFonts w:hint="eastAsia"/>
                <w:sz w:val="18"/>
                <w:szCs w:val="18"/>
              </w:rPr>
              <w:t>2-5年</w:t>
            </w:r>
          </w:p>
        </w:tc>
        <w:tc>
          <w:tcPr>
            <w:tcW w:w="3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A20" w:rsidRDefault="00B54A20">
            <w:pPr>
              <w:pStyle w:val="a3"/>
              <w:spacing w:before="0" w:beforeAutospacing="0" w:after="0" w:afterAutospacing="0"/>
              <w:jc w:val="center"/>
            </w:pPr>
            <w:r>
              <w:rPr>
                <w:rFonts w:ascii="Arial Narrow" w:hAnsi="Arial Narrow"/>
                <w:sz w:val="18"/>
                <w:szCs w:val="18"/>
              </w:rPr>
              <w:t> </w:t>
            </w:r>
          </w:p>
        </w:tc>
      </w:tr>
    </w:tbl>
    <w:p w:rsidR="00E62F69" w:rsidRDefault="00B54A20">
      <w:pPr>
        <w:pStyle w:val="3"/>
        <w:spacing w:line="280" w:lineRule="exact"/>
        <w:jc w:val="left"/>
        <w:rPr>
          <w:rFonts w:ascii="宋体" w:hAnsi="宋体" w:cs="宋体"/>
          <w:b/>
          <w:bCs/>
        </w:rPr>
      </w:pPr>
      <w:bookmarkStart w:id="53" w:name="_Toc989046"/>
      <w:r>
        <w:rPr>
          <w:rFonts w:ascii="宋体" w:hAnsi="宋体" w:cs="宋体"/>
          <w:b/>
          <w:bCs/>
        </w:rPr>
        <w:t>33、合同负债</w:t>
      </w:r>
      <w:bookmarkEnd w:id="53"/>
    </w:p>
    <w:p w:rsidR="00B54A20" w:rsidRDefault="00B54A20">
      <w:pPr>
        <w:pStyle w:val="a3"/>
        <w:spacing w:before="0" w:beforeAutospacing="0" w:after="0" w:afterAutospacing="0"/>
        <w:ind w:firstLine="357"/>
        <w:jc w:val="both"/>
        <w:divId w:val="1930693215"/>
      </w:pPr>
      <w:r>
        <w:rPr>
          <w:rFonts w:hint="eastAsia"/>
          <w:sz w:val="18"/>
          <w:szCs w:val="18"/>
        </w:rPr>
        <w:t>本公司将已收或应收客户对价而应向客户转让商品的义务部分确认为合同负债。</w:t>
      </w:r>
    </w:p>
    <w:p w:rsidR="00E62F69" w:rsidRDefault="00B54A20">
      <w:pPr>
        <w:pStyle w:val="3"/>
        <w:spacing w:line="280" w:lineRule="exact"/>
        <w:jc w:val="left"/>
        <w:rPr>
          <w:rFonts w:ascii="宋体" w:hAnsi="宋体" w:cs="宋体"/>
          <w:b/>
          <w:bCs/>
        </w:rPr>
      </w:pPr>
      <w:bookmarkStart w:id="54" w:name="_Toc989047"/>
      <w:r>
        <w:rPr>
          <w:rFonts w:ascii="宋体" w:hAnsi="宋体" w:cs="宋体"/>
          <w:b/>
          <w:bCs/>
        </w:rPr>
        <w:t>34、职工薪</w:t>
      </w:r>
      <w:proofErr w:type="gramStart"/>
      <w:r>
        <w:rPr>
          <w:rFonts w:ascii="宋体" w:hAnsi="宋体" w:cs="宋体"/>
          <w:b/>
          <w:bCs/>
        </w:rPr>
        <w:t>酬</w:t>
      </w:r>
      <w:bookmarkEnd w:id="54"/>
      <w:proofErr w:type="gramEnd"/>
    </w:p>
    <w:p w:rsidR="00E62F69" w:rsidRDefault="00B54A20">
      <w:pPr>
        <w:keepNext/>
        <w:keepLines/>
        <w:spacing w:before="300" w:after="300" w:line="280" w:lineRule="exact"/>
        <w:outlineLvl w:val="3"/>
        <w:rPr>
          <w:rFonts w:ascii="宋体" w:eastAsia="宋体" w:hAnsi="宋体" w:cs="宋体"/>
          <w:b/>
          <w:bCs/>
          <w:szCs w:val="21"/>
        </w:rPr>
      </w:pPr>
      <w:bookmarkStart w:id="55" w:name="_Toc989048"/>
      <w:r>
        <w:rPr>
          <w:rFonts w:ascii="宋体" w:eastAsia="宋体" w:hAnsi="宋体" w:cs="宋体"/>
          <w:b/>
          <w:bCs/>
          <w:szCs w:val="21"/>
        </w:rPr>
        <w:t>（1） 短期薪酬的会计处理方法</w:t>
      </w:r>
      <w:bookmarkEnd w:id="55"/>
    </w:p>
    <w:p w:rsidR="00B54A20" w:rsidRDefault="00B54A20">
      <w:pPr>
        <w:pStyle w:val="a3"/>
        <w:spacing w:before="0" w:beforeAutospacing="0" w:after="0" w:afterAutospacing="0"/>
        <w:ind w:firstLine="357"/>
        <w:jc w:val="both"/>
        <w:divId w:val="1938632771"/>
      </w:pPr>
      <w:r>
        <w:rPr>
          <w:rFonts w:hint="eastAsia"/>
          <w:sz w:val="18"/>
          <w:szCs w:val="18"/>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E62F69" w:rsidRDefault="00B54A20">
      <w:pPr>
        <w:keepNext/>
        <w:keepLines/>
        <w:spacing w:before="300" w:after="300" w:line="280" w:lineRule="exact"/>
        <w:outlineLvl w:val="3"/>
        <w:rPr>
          <w:rFonts w:ascii="宋体" w:eastAsia="宋体" w:hAnsi="宋体" w:cs="宋体"/>
          <w:b/>
          <w:bCs/>
          <w:szCs w:val="21"/>
        </w:rPr>
      </w:pPr>
      <w:bookmarkStart w:id="56" w:name="_Toc989049"/>
      <w:r>
        <w:rPr>
          <w:rFonts w:ascii="宋体" w:eastAsia="宋体" w:hAnsi="宋体" w:cs="宋体"/>
          <w:b/>
          <w:bCs/>
          <w:szCs w:val="21"/>
        </w:rPr>
        <w:t>（2） 离职后福利的会计处理方法</w:t>
      </w:r>
      <w:bookmarkEnd w:id="56"/>
    </w:p>
    <w:p w:rsidR="00B54A20" w:rsidRPr="00EE66B1" w:rsidRDefault="00B54A20">
      <w:pPr>
        <w:pStyle w:val="a3"/>
        <w:spacing w:before="0" w:beforeAutospacing="0" w:after="0" w:afterAutospacing="0"/>
        <w:ind w:firstLine="357"/>
        <w:jc w:val="both"/>
        <w:divId w:val="291644161"/>
        <w:rPr>
          <w:sz w:val="18"/>
          <w:szCs w:val="18"/>
        </w:rPr>
      </w:pPr>
      <w:r>
        <w:rPr>
          <w:rFonts w:hint="eastAsia"/>
          <w:sz w:val="18"/>
          <w:szCs w:val="18"/>
        </w:rPr>
        <w:t>离职后福利是指本公司为获得职工提供的服务而在职工退休或与企业解除劳动关系后，提供的各种形式的报酬和福利，短期</w:t>
      </w:r>
      <w:proofErr w:type="gramStart"/>
      <w:r>
        <w:rPr>
          <w:rFonts w:hint="eastAsia"/>
          <w:sz w:val="18"/>
          <w:szCs w:val="18"/>
        </w:rPr>
        <w:t>薪</w:t>
      </w:r>
      <w:proofErr w:type="gramEnd"/>
      <w:r>
        <w:rPr>
          <w:rFonts w:hint="eastAsia"/>
          <w:sz w:val="18"/>
          <w:szCs w:val="18"/>
        </w:rPr>
        <w:t>酬和辞退福利除外。</w:t>
      </w:r>
    </w:p>
    <w:p w:rsidR="00B54A20" w:rsidRPr="00EE66B1" w:rsidRDefault="00B54A20">
      <w:pPr>
        <w:pStyle w:val="a3"/>
        <w:spacing w:before="0" w:beforeAutospacing="0" w:after="0" w:afterAutospacing="0"/>
        <w:ind w:firstLine="357"/>
        <w:jc w:val="both"/>
        <w:divId w:val="291644161"/>
        <w:rPr>
          <w:sz w:val="18"/>
          <w:szCs w:val="18"/>
        </w:rPr>
      </w:pPr>
      <w:r>
        <w:rPr>
          <w:rFonts w:hint="eastAsia"/>
          <w:sz w:val="18"/>
          <w:szCs w:val="18"/>
        </w:rPr>
        <w:t>本公司的离职后福利计划分类为设定提存计划和设定受益计划。</w:t>
      </w:r>
    </w:p>
    <w:p w:rsidR="00B54A20" w:rsidRPr="00EE66B1" w:rsidRDefault="00B54A20">
      <w:pPr>
        <w:pStyle w:val="a3"/>
        <w:spacing w:before="0" w:beforeAutospacing="0" w:after="0" w:afterAutospacing="0"/>
        <w:ind w:firstLine="357"/>
        <w:jc w:val="both"/>
        <w:divId w:val="291644161"/>
        <w:rPr>
          <w:sz w:val="18"/>
          <w:szCs w:val="18"/>
        </w:rPr>
      </w:pPr>
      <w:r>
        <w:rPr>
          <w:rFonts w:hint="eastAsia"/>
          <w:sz w:val="18"/>
          <w:szCs w:val="18"/>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B54A20" w:rsidRDefault="00B54A20" w:rsidP="00EE66B1">
      <w:pPr>
        <w:pStyle w:val="a3"/>
        <w:spacing w:before="0" w:beforeAutospacing="0" w:after="0" w:afterAutospacing="0"/>
        <w:ind w:firstLine="357"/>
        <w:jc w:val="both"/>
        <w:divId w:val="291644161"/>
        <w:rPr>
          <w:sz w:val="18"/>
          <w:szCs w:val="18"/>
        </w:rPr>
      </w:pPr>
      <w:r>
        <w:rPr>
          <w:rFonts w:hint="eastAsia"/>
          <w:sz w:val="18"/>
          <w:szCs w:val="18"/>
        </w:rPr>
        <w:t>本公司按照国家规定的标准和年金计划定期缴付上述款项后，不再有其他的支付义务。</w:t>
      </w:r>
    </w:p>
    <w:p w:rsidR="00E62F69" w:rsidRDefault="00B54A20">
      <w:pPr>
        <w:keepNext/>
        <w:keepLines/>
        <w:spacing w:before="300" w:after="300" w:line="280" w:lineRule="exact"/>
        <w:outlineLvl w:val="3"/>
        <w:rPr>
          <w:rFonts w:ascii="宋体" w:eastAsia="宋体" w:hAnsi="宋体" w:cs="宋体"/>
          <w:b/>
          <w:bCs/>
          <w:szCs w:val="21"/>
        </w:rPr>
      </w:pPr>
      <w:bookmarkStart w:id="57" w:name="_Toc989050"/>
      <w:r>
        <w:rPr>
          <w:rFonts w:ascii="宋体" w:eastAsia="宋体" w:hAnsi="宋体" w:cs="宋体"/>
          <w:b/>
          <w:bCs/>
          <w:szCs w:val="21"/>
        </w:rPr>
        <w:t>（3） 辞退福利的会计处理方法</w:t>
      </w:r>
      <w:bookmarkEnd w:id="57"/>
    </w:p>
    <w:p w:rsidR="00B54A20" w:rsidRDefault="00B54A20">
      <w:pPr>
        <w:pStyle w:val="a3"/>
        <w:spacing w:before="0" w:beforeAutospacing="0" w:after="0" w:afterAutospacing="0"/>
        <w:ind w:firstLine="357"/>
        <w:jc w:val="both"/>
        <w:divId w:val="1559167783"/>
      </w:pPr>
      <w:r>
        <w:rPr>
          <w:rFonts w:hint="eastAsia"/>
          <w:sz w:val="18"/>
          <w:szCs w:val="18"/>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w:t>
      </w:r>
      <w:proofErr w:type="gramStart"/>
      <w:r>
        <w:rPr>
          <w:rFonts w:hint="eastAsia"/>
          <w:sz w:val="18"/>
          <w:szCs w:val="18"/>
        </w:rPr>
        <w:t>孰</w:t>
      </w:r>
      <w:proofErr w:type="gramEnd"/>
      <w:r>
        <w:rPr>
          <w:rFonts w:hint="eastAsia"/>
          <w:sz w:val="18"/>
          <w:szCs w:val="18"/>
        </w:rPr>
        <w:t>早日，</w:t>
      </w:r>
      <w:proofErr w:type="gramStart"/>
      <w:r>
        <w:rPr>
          <w:rFonts w:hint="eastAsia"/>
          <w:sz w:val="18"/>
          <w:szCs w:val="18"/>
        </w:rPr>
        <w:t>确认因</w:t>
      </w:r>
      <w:proofErr w:type="gramEnd"/>
      <w:r>
        <w:rPr>
          <w:rFonts w:hint="eastAsia"/>
          <w:sz w:val="18"/>
          <w:szCs w:val="18"/>
        </w:rPr>
        <w:t>解除与职工的劳动关系给予补偿而产生的负债，同时计入当期损益。</w:t>
      </w:r>
    </w:p>
    <w:p w:rsidR="00B54A20" w:rsidRDefault="00B54A20">
      <w:pPr>
        <w:pStyle w:val="a3"/>
        <w:spacing w:before="0" w:beforeAutospacing="0" w:after="0" w:afterAutospacing="0"/>
        <w:ind w:firstLine="357"/>
        <w:jc w:val="both"/>
        <w:divId w:val="1559167783"/>
      </w:pPr>
      <w:r>
        <w:rPr>
          <w:rFonts w:hint="eastAsia"/>
          <w:sz w:val="18"/>
          <w:szCs w:val="18"/>
        </w:rPr>
        <w:t>本公司向接受内部退休安排的职工提供内退福利。内退福利是指，向未达到国家规定的退休年龄、经本公司管理层批准自愿退出工作岗位的职工支付的工资及为其缴纳的社会保险费等。本公司</w:t>
      </w:r>
      <w:proofErr w:type="gramStart"/>
      <w:r>
        <w:rPr>
          <w:rFonts w:hint="eastAsia"/>
          <w:sz w:val="18"/>
          <w:szCs w:val="18"/>
        </w:rPr>
        <w:t>自内部</w:t>
      </w:r>
      <w:proofErr w:type="gramEnd"/>
      <w:r>
        <w:rPr>
          <w:rFonts w:hint="eastAsia"/>
          <w:sz w:val="18"/>
          <w:szCs w:val="18"/>
        </w:rPr>
        <w:t>退休安排开始之日起</w:t>
      </w:r>
      <w:proofErr w:type="gramStart"/>
      <w:r>
        <w:rPr>
          <w:rFonts w:hint="eastAsia"/>
          <w:sz w:val="18"/>
          <w:szCs w:val="18"/>
        </w:rPr>
        <w:t>至职工</w:t>
      </w:r>
      <w:proofErr w:type="gramEnd"/>
      <w:r>
        <w:rPr>
          <w:rFonts w:hint="eastAsia"/>
          <w:sz w:val="18"/>
          <w:szCs w:val="18"/>
        </w:rPr>
        <w:t>达到正常退休年龄止，向内退职</w:t>
      </w:r>
      <w:proofErr w:type="gramStart"/>
      <w:r>
        <w:rPr>
          <w:rFonts w:hint="eastAsia"/>
          <w:sz w:val="18"/>
          <w:szCs w:val="18"/>
        </w:rPr>
        <w:t>工支付</w:t>
      </w:r>
      <w:proofErr w:type="gramEnd"/>
      <w:r>
        <w:rPr>
          <w:rFonts w:hint="eastAsia"/>
          <w:sz w:val="18"/>
          <w:szCs w:val="18"/>
        </w:rPr>
        <w:t>内部退养福利。对于内退福利，本公司比照辞退福利进行会计处理，在符合辞退福利相关确认条件时，将</w:t>
      </w:r>
      <w:proofErr w:type="gramStart"/>
      <w:r>
        <w:rPr>
          <w:rFonts w:hint="eastAsia"/>
          <w:sz w:val="18"/>
          <w:szCs w:val="18"/>
        </w:rPr>
        <w:t>自职工</w:t>
      </w:r>
      <w:proofErr w:type="gramEnd"/>
      <w:r>
        <w:rPr>
          <w:rFonts w:hint="eastAsia"/>
          <w:sz w:val="18"/>
          <w:szCs w:val="18"/>
        </w:rPr>
        <w:t>停止提供服务日至正常退休日期间</w:t>
      </w:r>
      <w:proofErr w:type="gramStart"/>
      <w:r>
        <w:rPr>
          <w:rFonts w:hint="eastAsia"/>
          <w:sz w:val="18"/>
          <w:szCs w:val="18"/>
        </w:rPr>
        <w:t>拟支付</w:t>
      </w:r>
      <w:proofErr w:type="gramEnd"/>
      <w:r>
        <w:rPr>
          <w:rFonts w:hint="eastAsia"/>
          <w:sz w:val="18"/>
          <w:szCs w:val="18"/>
        </w:rPr>
        <w:t>的内退职工工资和缴纳的社会保险费等，确认为负债，一次性计入当期损益。内退福利的精算假设变化及福利标准调整引起的差异于发生时计入当期损益。</w:t>
      </w:r>
    </w:p>
    <w:p w:rsidR="00E62F69" w:rsidRDefault="00B54A20">
      <w:pPr>
        <w:keepNext/>
        <w:keepLines/>
        <w:spacing w:before="300" w:after="300" w:line="280" w:lineRule="exact"/>
        <w:outlineLvl w:val="3"/>
        <w:rPr>
          <w:rFonts w:ascii="宋体" w:eastAsia="宋体" w:hAnsi="宋体" w:cs="宋体"/>
          <w:b/>
          <w:bCs/>
          <w:szCs w:val="21"/>
        </w:rPr>
      </w:pPr>
      <w:bookmarkStart w:id="58" w:name="_Toc989051"/>
      <w:r>
        <w:rPr>
          <w:rFonts w:ascii="宋体" w:eastAsia="宋体" w:hAnsi="宋体" w:cs="宋体"/>
          <w:b/>
          <w:bCs/>
          <w:szCs w:val="21"/>
        </w:rPr>
        <w:t>（4） 其他长期职工福利的会计处理方法</w:t>
      </w:r>
      <w:bookmarkEnd w:id="58"/>
    </w:p>
    <w:p w:rsidR="00B54A20" w:rsidRDefault="00B54A20">
      <w:pPr>
        <w:pStyle w:val="a3"/>
        <w:spacing w:before="0" w:beforeAutospacing="0" w:after="0" w:afterAutospacing="0"/>
        <w:ind w:firstLine="357"/>
        <w:jc w:val="both"/>
        <w:divId w:val="2024699198"/>
      </w:pPr>
      <w:r>
        <w:rPr>
          <w:rFonts w:hint="eastAsia"/>
          <w:sz w:val="18"/>
          <w:szCs w:val="18"/>
        </w:rPr>
        <w:t>其他长期职工福利是指除短期薪酬、离职后福利、辞退福利之外的其他所有职工福利。</w:t>
      </w:r>
    </w:p>
    <w:p w:rsidR="00B54A20" w:rsidRPr="00EE66B1" w:rsidRDefault="00B54A20">
      <w:pPr>
        <w:pStyle w:val="a3"/>
        <w:spacing w:before="0" w:beforeAutospacing="0" w:after="0" w:afterAutospacing="0"/>
        <w:ind w:firstLine="357"/>
        <w:jc w:val="both"/>
        <w:divId w:val="2024699198"/>
        <w:rPr>
          <w:sz w:val="18"/>
          <w:szCs w:val="18"/>
        </w:rPr>
      </w:pPr>
      <w:r>
        <w:rPr>
          <w:rFonts w:hint="eastAsia"/>
          <w:sz w:val="18"/>
          <w:szCs w:val="18"/>
        </w:rPr>
        <w:t>对符合设定提存计划条件的其他长期职工福利，在职工为本公司提供服务的会计期间，将应缴存金额确认为负债，并计入当期损益或相关资产成本。</w:t>
      </w:r>
    </w:p>
    <w:p w:rsidR="00E62F69" w:rsidRDefault="00B54A20">
      <w:pPr>
        <w:pStyle w:val="3"/>
        <w:spacing w:line="280" w:lineRule="exact"/>
        <w:jc w:val="left"/>
        <w:rPr>
          <w:rFonts w:ascii="宋体" w:hAnsi="宋体" w:cs="宋体"/>
          <w:b/>
          <w:bCs/>
        </w:rPr>
      </w:pPr>
      <w:bookmarkStart w:id="59" w:name="_Toc989052"/>
      <w:r>
        <w:rPr>
          <w:rFonts w:ascii="宋体" w:hAnsi="宋体" w:cs="宋体"/>
          <w:b/>
          <w:bCs/>
        </w:rPr>
        <w:t>35、租赁负债</w:t>
      </w:r>
      <w:bookmarkEnd w:id="59"/>
    </w:p>
    <w:p w:rsidR="00B54A20" w:rsidRDefault="00B54A20">
      <w:pPr>
        <w:pStyle w:val="a3"/>
        <w:spacing w:before="0" w:beforeAutospacing="0" w:after="0" w:afterAutospacing="0"/>
        <w:ind w:firstLine="357"/>
        <w:jc w:val="both"/>
        <w:divId w:val="1321614286"/>
      </w:pPr>
      <w:r>
        <w:rPr>
          <w:rFonts w:hint="eastAsia"/>
          <w:sz w:val="18"/>
          <w:szCs w:val="18"/>
        </w:rPr>
        <w:t>本公司对租赁负债按照租赁期开始日尚未支付的租赁付款额的现值进行初始计量。在计算租赁付款额的现值时，本公司采用租赁内含利率作为折现率；无法确定租赁内含利率的，采用本公司增量借款利率作为折现率。租赁付款额包括：</w:t>
      </w:r>
    </w:p>
    <w:p w:rsidR="00B54A20" w:rsidRDefault="00B54A20" w:rsidP="00D51BB1">
      <w:pPr>
        <w:widowControl/>
        <w:numPr>
          <w:ilvl w:val="5"/>
          <w:numId w:val="28"/>
        </w:numPr>
        <w:tabs>
          <w:tab w:val="clear" w:pos="4320"/>
          <w:tab w:val="num" w:pos="0"/>
        </w:tabs>
        <w:ind w:left="0" w:firstLine="426"/>
        <w:divId w:val="1321614286"/>
        <w:rPr>
          <w:sz w:val="18"/>
          <w:szCs w:val="18"/>
        </w:rPr>
      </w:pPr>
      <w:r>
        <w:rPr>
          <w:rFonts w:hint="eastAsia"/>
          <w:sz w:val="18"/>
          <w:szCs w:val="18"/>
        </w:rPr>
        <w:t>扣除租赁激励相关金额后的固定付款额及实质固定付款额；</w:t>
      </w:r>
    </w:p>
    <w:p w:rsidR="00B54A20" w:rsidRDefault="00B54A20" w:rsidP="00D51BB1">
      <w:pPr>
        <w:widowControl/>
        <w:numPr>
          <w:ilvl w:val="5"/>
          <w:numId w:val="28"/>
        </w:numPr>
        <w:tabs>
          <w:tab w:val="clear" w:pos="4320"/>
          <w:tab w:val="num" w:pos="0"/>
        </w:tabs>
        <w:ind w:left="0" w:firstLine="426"/>
        <w:divId w:val="1321614286"/>
        <w:rPr>
          <w:sz w:val="18"/>
          <w:szCs w:val="18"/>
        </w:rPr>
      </w:pPr>
      <w:r>
        <w:rPr>
          <w:rFonts w:hint="eastAsia"/>
          <w:sz w:val="18"/>
          <w:szCs w:val="18"/>
        </w:rPr>
        <w:t>取决于指数或比率的可变租赁付款额；</w:t>
      </w:r>
    </w:p>
    <w:p w:rsidR="00B54A20" w:rsidRDefault="00B54A20" w:rsidP="00D51BB1">
      <w:pPr>
        <w:widowControl/>
        <w:numPr>
          <w:ilvl w:val="5"/>
          <w:numId w:val="28"/>
        </w:numPr>
        <w:tabs>
          <w:tab w:val="clear" w:pos="4320"/>
          <w:tab w:val="num" w:pos="0"/>
        </w:tabs>
        <w:ind w:left="0" w:firstLine="426"/>
        <w:divId w:val="1321614286"/>
        <w:rPr>
          <w:sz w:val="18"/>
          <w:szCs w:val="18"/>
        </w:rPr>
      </w:pPr>
      <w:r>
        <w:rPr>
          <w:rFonts w:hint="eastAsia"/>
          <w:sz w:val="18"/>
          <w:szCs w:val="18"/>
        </w:rPr>
        <w:t>在本公司合理确定将行使该选择权的情况下，租赁付款额包括购买选择权的行权价格；</w:t>
      </w:r>
    </w:p>
    <w:p w:rsidR="00B54A20" w:rsidRDefault="00B54A20" w:rsidP="00D51BB1">
      <w:pPr>
        <w:widowControl/>
        <w:numPr>
          <w:ilvl w:val="5"/>
          <w:numId w:val="28"/>
        </w:numPr>
        <w:tabs>
          <w:tab w:val="clear" w:pos="4320"/>
          <w:tab w:val="num" w:pos="0"/>
        </w:tabs>
        <w:ind w:left="0" w:firstLine="426"/>
        <w:divId w:val="1321614286"/>
        <w:rPr>
          <w:sz w:val="18"/>
          <w:szCs w:val="18"/>
        </w:rPr>
      </w:pPr>
      <w:r>
        <w:rPr>
          <w:rFonts w:hint="eastAsia"/>
          <w:sz w:val="18"/>
          <w:szCs w:val="18"/>
        </w:rPr>
        <w:t>在租赁</w:t>
      </w:r>
      <w:proofErr w:type="gramStart"/>
      <w:r>
        <w:rPr>
          <w:rFonts w:hint="eastAsia"/>
          <w:sz w:val="18"/>
          <w:szCs w:val="18"/>
        </w:rPr>
        <w:t>期反映</w:t>
      </w:r>
      <w:proofErr w:type="gramEnd"/>
      <w:r>
        <w:rPr>
          <w:rFonts w:hint="eastAsia"/>
          <w:sz w:val="18"/>
          <w:szCs w:val="18"/>
        </w:rPr>
        <w:t>出本公司将行使终止租赁选择权的情况下，租赁付款额包括行使终止租赁选择权需支付的款项；</w:t>
      </w:r>
    </w:p>
    <w:p w:rsidR="00B54A20" w:rsidRDefault="00B54A20" w:rsidP="00D51BB1">
      <w:pPr>
        <w:widowControl/>
        <w:numPr>
          <w:ilvl w:val="5"/>
          <w:numId w:val="28"/>
        </w:numPr>
        <w:tabs>
          <w:tab w:val="clear" w:pos="4320"/>
          <w:tab w:val="num" w:pos="0"/>
        </w:tabs>
        <w:ind w:left="0" w:firstLine="426"/>
        <w:divId w:val="1321614286"/>
        <w:rPr>
          <w:sz w:val="18"/>
          <w:szCs w:val="18"/>
        </w:rPr>
      </w:pPr>
      <w:r>
        <w:rPr>
          <w:rFonts w:hint="eastAsia"/>
          <w:sz w:val="18"/>
          <w:szCs w:val="18"/>
        </w:rPr>
        <w:t>根据本公司提供的担保余值预计应支付的款项。</w:t>
      </w:r>
    </w:p>
    <w:p w:rsidR="00B54A20" w:rsidRDefault="00B54A20">
      <w:pPr>
        <w:pStyle w:val="a3"/>
        <w:spacing w:before="0" w:beforeAutospacing="0" w:after="0" w:afterAutospacing="0"/>
        <w:ind w:firstLine="357"/>
        <w:jc w:val="both"/>
        <w:divId w:val="1321614286"/>
      </w:pPr>
      <w:r>
        <w:rPr>
          <w:rFonts w:hint="eastAsia"/>
          <w:sz w:val="18"/>
          <w:szCs w:val="18"/>
        </w:rPr>
        <w:t>本公司按照固定的折现率计算租赁负债在租赁期内各期间的利息费用，并计入当期损益或相关资产成本。</w:t>
      </w:r>
    </w:p>
    <w:p w:rsidR="00B54A20" w:rsidRDefault="00B54A20">
      <w:pPr>
        <w:pStyle w:val="a3"/>
        <w:spacing w:before="0" w:beforeAutospacing="0" w:after="0" w:afterAutospacing="0"/>
        <w:ind w:firstLine="357"/>
        <w:jc w:val="both"/>
        <w:divId w:val="1321614286"/>
      </w:pPr>
      <w:r>
        <w:rPr>
          <w:rFonts w:hint="eastAsia"/>
          <w:sz w:val="18"/>
          <w:szCs w:val="18"/>
        </w:rPr>
        <w:t>未纳入租赁负债计量的可变租赁付款额应当在实际发生时计入当期损益或相关资产成本。</w:t>
      </w:r>
    </w:p>
    <w:p w:rsidR="00E62F69" w:rsidRDefault="00B54A20">
      <w:pPr>
        <w:pStyle w:val="3"/>
        <w:spacing w:line="280" w:lineRule="exact"/>
        <w:jc w:val="left"/>
        <w:rPr>
          <w:rFonts w:ascii="宋体" w:hAnsi="宋体" w:cs="宋体"/>
          <w:b/>
          <w:bCs/>
        </w:rPr>
      </w:pPr>
      <w:bookmarkStart w:id="60" w:name="_Toc989053"/>
      <w:r>
        <w:rPr>
          <w:rFonts w:ascii="宋体" w:hAnsi="宋体" w:cs="宋体"/>
          <w:b/>
          <w:bCs/>
        </w:rPr>
        <w:t>36、预计负债</w:t>
      </w:r>
      <w:bookmarkEnd w:id="60"/>
    </w:p>
    <w:p w:rsidR="00B54A20" w:rsidRDefault="00B54A20" w:rsidP="00D51BB1">
      <w:pPr>
        <w:widowControl/>
        <w:numPr>
          <w:ilvl w:val="1"/>
          <w:numId w:val="29"/>
        </w:numPr>
        <w:tabs>
          <w:tab w:val="clear" w:pos="1440"/>
        </w:tabs>
        <w:ind w:left="0" w:firstLine="425"/>
        <w:divId w:val="176894477"/>
        <w:rPr>
          <w:sz w:val="18"/>
          <w:szCs w:val="18"/>
        </w:rPr>
      </w:pPr>
      <w:r>
        <w:rPr>
          <w:rFonts w:hint="eastAsia"/>
          <w:sz w:val="18"/>
          <w:szCs w:val="18"/>
        </w:rPr>
        <w:t>预计负债的确认标准</w:t>
      </w:r>
    </w:p>
    <w:p w:rsidR="00B54A20" w:rsidRDefault="00B54A20" w:rsidP="00EE66B1">
      <w:pPr>
        <w:pStyle w:val="a3"/>
        <w:spacing w:before="0" w:beforeAutospacing="0" w:after="0" w:afterAutospacing="0"/>
        <w:ind w:firstLine="425"/>
        <w:jc w:val="both"/>
        <w:divId w:val="176894477"/>
      </w:pPr>
      <w:r>
        <w:rPr>
          <w:rFonts w:hint="eastAsia"/>
          <w:sz w:val="18"/>
          <w:szCs w:val="18"/>
        </w:rPr>
        <w:t>与或有事项相关的义务同时满足下列条件时，本公司确认为预计负债：</w:t>
      </w:r>
    </w:p>
    <w:p w:rsidR="00B54A20" w:rsidRDefault="00B54A20" w:rsidP="00EE66B1">
      <w:pPr>
        <w:pStyle w:val="a3"/>
        <w:spacing w:before="0" w:beforeAutospacing="0" w:after="0" w:afterAutospacing="0"/>
        <w:ind w:firstLine="425"/>
        <w:jc w:val="both"/>
        <w:divId w:val="176894477"/>
      </w:pPr>
      <w:r>
        <w:rPr>
          <w:rFonts w:hint="eastAsia"/>
          <w:sz w:val="18"/>
          <w:szCs w:val="18"/>
        </w:rPr>
        <w:t>该义务是本公司承担的现时义务；</w:t>
      </w:r>
    </w:p>
    <w:p w:rsidR="00B54A20" w:rsidRDefault="00B54A20" w:rsidP="00EE66B1">
      <w:pPr>
        <w:pStyle w:val="a3"/>
        <w:spacing w:before="0" w:beforeAutospacing="0" w:after="0" w:afterAutospacing="0"/>
        <w:ind w:firstLine="425"/>
        <w:jc w:val="both"/>
        <w:divId w:val="176894477"/>
      </w:pPr>
      <w:r>
        <w:rPr>
          <w:rFonts w:hint="eastAsia"/>
          <w:sz w:val="18"/>
          <w:szCs w:val="18"/>
        </w:rPr>
        <w:t>履行该义务很可能导致经济利益流出本公司；</w:t>
      </w:r>
    </w:p>
    <w:p w:rsidR="00B54A20" w:rsidRDefault="00B54A20" w:rsidP="00EE66B1">
      <w:pPr>
        <w:pStyle w:val="a3"/>
        <w:spacing w:before="0" w:beforeAutospacing="0" w:after="0" w:afterAutospacing="0"/>
        <w:ind w:firstLine="425"/>
        <w:jc w:val="both"/>
        <w:divId w:val="176894477"/>
      </w:pPr>
      <w:r>
        <w:rPr>
          <w:rFonts w:hint="eastAsia"/>
          <w:sz w:val="18"/>
          <w:szCs w:val="18"/>
        </w:rPr>
        <w:t>该义务的金额能够可靠地计量。</w:t>
      </w:r>
    </w:p>
    <w:p w:rsidR="00B54A20" w:rsidRDefault="00B54A20" w:rsidP="00D51BB1">
      <w:pPr>
        <w:widowControl/>
        <w:numPr>
          <w:ilvl w:val="1"/>
          <w:numId w:val="30"/>
        </w:numPr>
        <w:tabs>
          <w:tab w:val="clear" w:pos="1440"/>
        </w:tabs>
        <w:ind w:left="0" w:firstLine="425"/>
        <w:divId w:val="176894477"/>
        <w:rPr>
          <w:sz w:val="18"/>
          <w:szCs w:val="18"/>
        </w:rPr>
      </w:pPr>
      <w:r>
        <w:rPr>
          <w:rFonts w:ascii="Times New Roman" w:hAnsi="Times New Roman" w:cs="Times New Roman"/>
          <w:sz w:val="18"/>
          <w:szCs w:val="18"/>
        </w:rPr>
        <w:t> </w:t>
      </w:r>
      <w:r>
        <w:rPr>
          <w:rFonts w:hint="eastAsia"/>
          <w:sz w:val="18"/>
          <w:szCs w:val="18"/>
        </w:rPr>
        <w:t>预计负债的计量方法</w:t>
      </w:r>
    </w:p>
    <w:p w:rsidR="00B54A20" w:rsidRDefault="00B54A20" w:rsidP="00EE66B1">
      <w:pPr>
        <w:pStyle w:val="a3"/>
        <w:spacing w:before="0" w:beforeAutospacing="0" w:after="0" w:afterAutospacing="0"/>
        <w:ind w:firstLine="425"/>
        <w:jc w:val="both"/>
        <w:divId w:val="176894477"/>
      </w:pPr>
      <w:r>
        <w:rPr>
          <w:rFonts w:hint="eastAsia"/>
          <w:sz w:val="18"/>
          <w:szCs w:val="18"/>
        </w:rPr>
        <w:t>本公司预计负债</w:t>
      </w:r>
      <w:proofErr w:type="gramStart"/>
      <w:r>
        <w:rPr>
          <w:rFonts w:hint="eastAsia"/>
          <w:sz w:val="18"/>
          <w:szCs w:val="18"/>
        </w:rPr>
        <w:t>按履行</w:t>
      </w:r>
      <w:proofErr w:type="gramEnd"/>
      <w:r>
        <w:rPr>
          <w:rFonts w:hint="eastAsia"/>
          <w:sz w:val="18"/>
          <w:szCs w:val="18"/>
        </w:rPr>
        <w:t>相关现时义务所需的支出的最佳估计数进行初始计量。</w:t>
      </w:r>
    </w:p>
    <w:p w:rsidR="00B54A20" w:rsidRDefault="00B54A20" w:rsidP="00EE66B1">
      <w:pPr>
        <w:pStyle w:val="a3"/>
        <w:spacing w:before="0" w:beforeAutospacing="0" w:after="0" w:afterAutospacing="0"/>
        <w:ind w:firstLine="425"/>
        <w:jc w:val="both"/>
        <w:divId w:val="176894477"/>
      </w:pPr>
      <w:r>
        <w:rPr>
          <w:rFonts w:hint="eastAsia"/>
          <w:sz w:val="18"/>
          <w:szCs w:val="18"/>
        </w:rPr>
        <w:t>本公司在确定最佳估计数时，综合考虑与或有事项有关的风险、不确定性和货币时间价值等因素。对于货币时间价值影响重大的，通过对相关未来现金流出进行折现后确定最佳估计数。</w:t>
      </w:r>
    </w:p>
    <w:p w:rsidR="00B54A20" w:rsidRDefault="00B54A20" w:rsidP="00EE66B1">
      <w:pPr>
        <w:pStyle w:val="a3"/>
        <w:spacing w:before="0" w:beforeAutospacing="0" w:after="0" w:afterAutospacing="0"/>
        <w:ind w:firstLine="425"/>
        <w:jc w:val="both"/>
        <w:divId w:val="176894477"/>
      </w:pPr>
      <w:r>
        <w:rPr>
          <w:rFonts w:hint="eastAsia"/>
          <w:sz w:val="18"/>
          <w:szCs w:val="18"/>
        </w:rPr>
        <w:t>最佳估计数分别以下情况处理：</w:t>
      </w:r>
    </w:p>
    <w:p w:rsidR="00B54A20" w:rsidRDefault="00B54A20" w:rsidP="00EE66B1">
      <w:pPr>
        <w:pStyle w:val="a3"/>
        <w:spacing w:before="0" w:beforeAutospacing="0" w:after="0" w:afterAutospacing="0"/>
        <w:ind w:firstLine="425"/>
        <w:jc w:val="both"/>
        <w:divId w:val="176894477"/>
      </w:pPr>
      <w:r>
        <w:rPr>
          <w:rFonts w:hint="eastAsia"/>
          <w:sz w:val="18"/>
          <w:szCs w:val="18"/>
        </w:rPr>
        <w:t>所需支出存在一个连续范围（或区间），且该范围内各种结果发生的可能性相同的，</w:t>
      </w:r>
      <w:proofErr w:type="gramStart"/>
      <w:r>
        <w:rPr>
          <w:rFonts w:hint="eastAsia"/>
          <w:sz w:val="18"/>
          <w:szCs w:val="18"/>
        </w:rPr>
        <w:t>则最佳估计数按照</w:t>
      </w:r>
      <w:proofErr w:type="gramEnd"/>
      <w:r>
        <w:rPr>
          <w:rFonts w:hint="eastAsia"/>
          <w:sz w:val="18"/>
          <w:szCs w:val="18"/>
        </w:rPr>
        <w:t>该范围的中间值即上下限金额的平均数确定。</w:t>
      </w:r>
    </w:p>
    <w:p w:rsidR="00B54A20" w:rsidRDefault="00B54A20" w:rsidP="00EE66B1">
      <w:pPr>
        <w:pStyle w:val="a3"/>
        <w:spacing w:before="0" w:beforeAutospacing="0" w:after="0" w:afterAutospacing="0"/>
        <w:ind w:firstLine="425"/>
        <w:jc w:val="both"/>
        <w:divId w:val="176894477"/>
      </w:pPr>
      <w:r>
        <w:rPr>
          <w:rFonts w:hint="eastAsia"/>
          <w:sz w:val="18"/>
          <w:szCs w:val="18"/>
        </w:rPr>
        <w:t>所需支出不存在一个连续范围（或区间），或虽然存在一个连续范围但该范围内各种结果发生的可能性不相同的，如或有事项涉及单个项目的，</w:t>
      </w:r>
      <w:proofErr w:type="gramStart"/>
      <w:r>
        <w:rPr>
          <w:rFonts w:hint="eastAsia"/>
          <w:sz w:val="18"/>
          <w:szCs w:val="18"/>
        </w:rPr>
        <w:t>则最佳估计数按照</w:t>
      </w:r>
      <w:proofErr w:type="gramEnd"/>
      <w:r>
        <w:rPr>
          <w:rFonts w:hint="eastAsia"/>
          <w:sz w:val="18"/>
          <w:szCs w:val="18"/>
        </w:rPr>
        <w:t>最可能发生金额确定；如或有事项涉及多个项目的，</w:t>
      </w:r>
      <w:proofErr w:type="gramStart"/>
      <w:r>
        <w:rPr>
          <w:rFonts w:hint="eastAsia"/>
          <w:sz w:val="18"/>
          <w:szCs w:val="18"/>
        </w:rPr>
        <w:t>则最佳</w:t>
      </w:r>
      <w:proofErr w:type="gramEnd"/>
      <w:r>
        <w:rPr>
          <w:rFonts w:hint="eastAsia"/>
          <w:sz w:val="18"/>
          <w:szCs w:val="18"/>
        </w:rPr>
        <w:t>估计数按各种可能结果及相关概率计算确定。</w:t>
      </w:r>
    </w:p>
    <w:p w:rsidR="00B54A20" w:rsidRDefault="00B54A20" w:rsidP="00EE66B1">
      <w:pPr>
        <w:pStyle w:val="a3"/>
        <w:spacing w:before="0" w:beforeAutospacing="0" w:after="0" w:afterAutospacing="0"/>
        <w:ind w:firstLine="425"/>
        <w:jc w:val="both"/>
        <w:divId w:val="176894477"/>
      </w:pPr>
      <w:r>
        <w:rPr>
          <w:rFonts w:hint="eastAsia"/>
          <w:sz w:val="18"/>
          <w:szCs w:val="18"/>
        </w:rPr>
        <w:t>本公司清偿预计负债所需支出全部或部分预期由第三方补偿的，补偿金额在基本确定能够收到时，作为资产单独确认，确认的补偿金额不超过预计负债的账面价值。</w:t>
      </w:r>
    </w:p>
    <w:p w:rsidR="00E62F69" w:rsidRDefault="00B54A20">
      <w:pPr>
        <w:pStyle w:val="3"/>
        <w:spacing w:line="280" w:lineRule="exact"/>
        <w:jc w:val="left"/>
        <w:rPr>
          <w:rFonts w:ascii="宋体" w:hAnsi="宋体" w:cs="宋体"/>
          <w:b/>
          <w:bCs/>
        </w:rPr>
      </w:pPr>
      <w:bookmarkStart w:id="61" w:name="_Toc989054"/>
      <w:r>
        <w:rPr>
          <w:rFonts w:ascii="宋体" w:hAnsi="宋体" w:cs="宋体"/>
          <w:b/>
          <w:bCs/>
        </w:rPr>
        <w:t>37、股份支付</w:t>
      </w:r>
      <w:bookmarkEnd w:id="61"/>
    </w:p>
    <w:p w:rsidR="00B54A20" w:rsidRDefault="00B54A20" w:rsidP="00D51BB1">
      <w:pPr>
        <w:widowControl/>
        <w:numPr>
          <w:ilvl w:val="0"/>
          <w:numId w:val="31"/>
        </w:numPr>
        <w:tabs>
          <w:tab w:val="clear" w:pos="720"/>
          <w:tab w:val="num" w:pos="0"/>
        </w:tabs>
        <w:ind w:left="0" w:firstLine="425"/>
        <w:divId w:val="1162500788"/>
        <w:rPr>
          <w:sz w:val="18"/>
          <w:szCs w:val="18"/>
        </w:rPr>
      </w:pPr>
      <w:r>
        <w:rPr>
          <w:rFonts w:hint="eastAsia"/>
          <w:sz w:val="18"/>
          <w:szCs w:val="18"/>
        </w:rPr>
        <w:t>股份支付的种类</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本公司的股份支付分为以权益结算的股份支付和以现金结算的股份支付。</w:t>
      </w:r>
    </w:p>
    <w:p w:rsidR="00B54A20" w:rsidRDefault="00B54A20" w:rsidP="00D51BB1">
      <w:pPr>
        <w:widowControl/>
        <w:numPr>
          <w:ilvl w:val="0"/>
          <w:numId w:val="32"/>
        </w:numPr>
        <w:tabs>
          <w:tab w:val="clear" w:pos="720"/>
          <w:tab w:val="num" w:pos="0"/>
        </w:tabs>
        <w:ind w:left="0" w:firstLine="425"/>
        <w:divId w:val="1162500788"/>
        <w:rPr>
          <w:sz w:val="18"/>
          <w:szCs w:val="18"/>
        </w:rPr>
      </w:pPr>
      <w:r>
        <w:rPr>
          <w:rFonts w:ascii="Times New Roman" w:hAnsi="Times New Roman" w:cs="Times New Roman"/>
          <w:sz w:val="18"/>
          <w:szCs w:val="18"/>
        </w:rPr>
        <w:t> </w:t>
      </w:r>
      <w:r>
        <w:rPr>
          <w:rFonts w:hint="eastAsia"/>
          <w:sz w:val="18"/>
          <w:szCs w:val="18"/>
        </w:rPr>
        <w:t>权益工具公允价值的确定方法</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对于授予的存在活跃市场的期权等权益工具，按照活跃市场中的报价确定其公允价值。对于授予的不存在活跃市场的期权等权益工具，采用期权定价模型等确定其公允价值，选用的期权定价模型考虑以下因素：（1）期权的行权价格；（2）期权的有效期；（3）标的股份的现行价格；（4）股价预计波动率；（5）股份的预计股利；（6）期权有效期内的无风险利率。</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在确定权益工具授予日的公允价值时，考虑股份支付协议规定的可行</w:t>
      </w:r>
      <w:proofErr w:type="gramStart"/>
      <w:r>
        <w:rPr>
          <w:rFonts w:hint="eastAsia"/>
          <w:sz w:val="18"/>
          <w:szCs w:val="18"/>
        </w:rPr>
        <w:t>权条件</w:t>
      </w:r>
      <w:proofErr w:type="gramEnd"/>
      <w:r>
        <w:rPr>
          <w:rFonts w:hint="eastAsia"/>
          <w:sz w:val="18"/>
          <w:szCs w:val="18"/>
        </w:rPr>
        <w:t>中的市场条件和非可行</w:t>
      </w:r>
      <w:proofErr w:type="gramStart"/>
      <w:r>
        <w:rPr>
          <w:rFonts w:hint="eastAsia"/>
          <w:sz w:val="18"/>
          <w:szCs w:val="18"/>
        </w:rPr>
        <w:t>权条件</w:t>
      </w:r>
      <w:proofErr w:type="gramEnd"/>
      <w:r>
        <w:rPr>
          <w:rFonts w:hint="eastAsia"/>
          <w:sz w:val="18"/>
          <w:szCs w:val="18"/>
        </w:rPr>
        <w:t>的影响。股份支付存在非可行</w:t>
      </w:r>
      <w:proofErr w:type="gramStart"/>
      <w:r>
        <w:rPr>
          <w:rFonts w:hint="eastAsia"/>
          <w:sz w:val="18"/>
          <w:szCs w:val="18"/>
        </w:rPr>
        <w:t>权条件</w:t>
      </w:r>
      <w:proofErr w:type="gramEnd"/>
      <w:r>
        <w:rPr>
          <w:rFonts w:hint="eastAsia"/>
          <w:sz w:val="18"/>
          <w:szCs w:val="18"/>
        </w:rPr>
        <w:t>的，只要职工或其他方满足了所有可行</w:t>
      </w:r>
      <w:proofErr w:type="gramStart"/>
      <w:r>
        <w:rPr>
          <w:rFonts w:hint="eastAsia"/>
          <w:sz w:val="18"/>
          <w:szCs w:val="18"/>
        </w:rPr>
        <w:t>权条件</w:t>
      </w:r>
      <w:proofErr w:type="gramEnd"/>
      <w:r>
        <w:rPr>
          <w:rFonts w:hint="eastAsia"/>
          <w:sz w:val="18"/>
          <w:szCs w:val="18"/>
        </w:rPr>
        <w:t>中的非市场条件（如服务期限等），即确认已得到服务相对应的成本费用。</w:t>
      </w:r>
    </w:p>
    <w:p w:rsidR="00B54A20" w:rsidRDefault="00B54A20" w:rsidP="00D51BB1">
      <w:pPr>
        <w:widowControl/>
        <w:numPr>
          <w:ilvl w:val="0"/>
          <w:numId w:val="33"/>
        </w:numPr>
        <w:tabs>
          <w:tab w:val="clear" w:pos="720"/>
          <w:tab w:val="num" w:pos="0"/>
        </w:tabs>
        <w:ind w:left="0" w:firstLine="425"/>
        <w:divId w:val="1162500788"/>
        <w:rPr>
          <w:sz w:val="18"/>
          <w:szCs w:val="18"/>
        </w:rPr>
      </w:pPr>
      <w:r>
        <w:rPr>
          <w:rFonts w:ascii="Times New Roman" w:hAnsi="Times New Roman" w:cs="Times New Roman"/>
          <w:sz w:val="18"/>
          <w:szCs w:val="18"/>
        </w:rPr>
        <w:t> </w:t>
      </w:r>
      <w:r>
        <w:rPr>
          <w:rFonts w:hint="eastAsia"/>
          <w:sz w:val="18"/>
          <w:szCs w:val="18"/>
        </w:rPr>
        <w:t>确定可行权权益工具最佳估计的依据</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等待期内每个资产负债表日，根据最新取得的可行</w:t>
      </w:r>
      <w:proofErr w:type="gramStart"/>
      <w:r>
        <w:rPr>
          <w:rFonts w:hint="eastAsia"/>
          <w:sz w:val="18"/>
          <w:szCs w:val="18"/>
        </w:rPr>
        <w:t>权职工</w:t>
      </w:r>
      <w:proofErr w:type="gramEnd"/>
      <w:r>
        <w:rPr>
          <w:rFonts w:hint="eastAsia"/>
          <w:sz w:val="18"/>
          <w:szCs w:val="18"/>
        </w:rPr>
        <w:t>人数变动等后续信息</w:t>
      </w:r>
      <w:proofErr w:type="gramStart"/>
      <w:r>
        <w:rPr>
          <w:rFonts w:hint="eastAsia"/>
          <w:sz w:val="18"/>
          <w:szCs w:val="18"/>
        </w:rPr>
        <w:t>作出</w:t>
      </w:r>
      <w:proofErr w:type="gramEnd"/>
      <w:r>
        <w:rPr>
          <w:rFonts w:hint="eastAsia"/>
          <w:sz w:val="18"/>
          <w:szCs w:val="18"/>
        </w:rPr>
        <w:t>最佳估计，修正预计可行权的权益工具数量。在可行权日，最终预计可行权权益工具的数量与实际可行权数量一致。</w:t>
      </w:r>
    </w:p>
    <w:p w:rsidR="00B54A20" w:rsidRDefault="00B54A20" w:rsidP="00D51BB1">
      <w:pPr>
        <w:widowControl/>
        <w:numPr>
          <w:ilvl w:val="0"/>
          <w:numId w:val="34"/>
        </w:numPr>
        <w:tabs>
          <w:tab w:val="clear" w:pos="720"/>
          <w:tab w:val="num" w:pos="0"/>
        </w:tabs>
        <w:ind w:left="0" w:firstLine="425"/>
        <w:divId w:val="1162500788"/>
        <w:rPr>
          <w:sz w:val="18"/>
          <w:szCs w:val="18"/>
        </w:rPr>
      </w:pPr>
      <w:r>
        <w:rPr>
          <w:rFonts w:hint="eastAsia"/>
          <w:sz w:val="18"/>
          <w:szCs w:val="18"/>
        </w:rPr>
        <w:t>会计处理方法</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以权益结算的股份支付，按授予职工权益工具的公允价值计量。授予后立即可行权的，在授予</w:t>
      </w:r>
      <w:proofErr w:type="gramStart"/>
      <w:r>
        <w:rPr>
          <w:rFonts w:hint="eastAsia"/>
          <w:sz w:val="18"/>
          <w:szCs w:val="18"/>
        </w:rPr>
        <w:t>日按照</w:t>
      </w:r>
      <w:proofErr w:type="gramEnd"/>
      <w:r>
        <w:rPr>
          <w:rFonts w:hint="eastAsia"/>
          <w:sz w:val="18"/>
          <w:szCs w:val="18"/>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Pr>
          <w:rFonts w:hint="eastAsia"/>
          <w:sz w:val="18"/>
          <w:szCs w:val="18"/>
        </w:rPr>
        <w:t>权情况</w:t>
      </w:r>
      <w:proofErr w:type="gramEnd"/>
      <w:r>
        <w:rPr>
          <w:rFonts w:hint="eastAsia"/>
          <w:sz w:val="18"/>
          <w:szCs w:val="18"/>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B54A20" w:rsidRDefault="00B54A20" w:rsidP="00EE66B1">
      <w:pPr>
        <w:pStyle w:val="a3"/>
        <w:tabs>
          <w:tab w:val="num" w:pos="0"/>
        </w:tabs>
        <w:spacing w:before="0" w:beforeAutospacing="0" w:after="0" w:afterAutospacing="0"/>
        <w:ind w:firstLine="425"/>
        <w:jc w:val="both"/>
        <w:divId w:val="1162500788"/>
      </w:pPr>
      <w:r>
        <w:rPr>
          <w:rFonts w:hint="eastAsia"/>
          <w:sz w:val="18"/>
          <w:szCs w:val="18"/>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Pr>
          <w:rFonts w:hint="eastAsia"/>
          <w:sz w:val="18"/>
          <w:szCs w:val="18"/>
        </w:rPr>
        <w:t>权条件</w:t>
      </w:r>
      <w:proofErr w:type="gramEnd"/>
      <w:r>
        <w:rPr>
          <w:rFonts w:hint="eastAsia"/>
          <w:sz w:val="18"/>
          <w:szCs w:val="18"/>
        </w:rPr>
        <w:t>但在等待期内未满足的，本公司将其作为授予权益工具的取消处理。</w:t>
      </w:r>
    </w:p>
    <w:p w:rsidR="00E62F69" w:rsidRDefault="00B54A20">
      <w:pPr>
        <w:pStyle w:val="3"/>
        <w:spacing w:line="280" w:lineRule="exact"/>
        <w:jc w:val="left"/>
        <w:rPr>
          <w:rFonts w:ascii="宋体" w:hAnsi="宋体" w:cs="宋体"/>
          <w:b/>
          <w:bCs/>
        </w:rPr>
      </w:pPr>
      <w:bookmarkStart w:id="62" w:name="_Toc989055"/>
      <w:r>
        <w:rPr>
          <w:rFonts w:ascii="宋体" w:hAnsi="宋体" w:cs="宋体"/>
          <w:b/>
          <w:bCs/>
        </w:rPr>
        <w:t>38、优先股、永续债等其他金融工具</w:t>
      </w:r>
      <w:bookmarkEnd w:id="62"/>
    </w:p>
    <w:p w:rsidR="00B54A20" w:rsidRDefault="00B54A20" w:rsidP="00EE66B1">
      <w:pPr>
        <w:pStyle w:val="a3"/>
        <w:spacing w:before="0" w:beforeAutospacing="0" w:after="0" w:afterAutospacing="0"/>
        <w:ind w:firstLine="426"/>
        <w:divId w:val="1625499021"/>
        <w:rPr>
          <w:rFonts w:ascii="Calibri" w:hAnsi="Calibri"/>
          <w:sz w:val="21"/>
          <w:szCs w:val="21"/>
        </w:rPr>
      </w:pPr>
      <w:r>
        <w:rPr>
          <w:rFonts w:hint="eastAsia"/>
          <w:sz w:val="18"/>
          <w:szCs w:val="18"/>
        </w:rPr>
        <w:t>无。</w:t>
      </w:r>
    </w:p>
    <w:p w:rsidR="00E62F69" w:rsidRDefault="00B54A20">
      <w:pPr>
        <w:pStyle w:val="3"/>
        <w:spacing w:line="280" w:lineRule="exact"/>
        <w:jc w:val="left"/>
        <w:rPr>
          <w:rFonts w:ascii="宋体" w:hAnsi="宋体" w:cs="宋体"/>
          <w:b/>
          <w:bCs/>
        </w:rPr>
      </w:pPr>
      <w:bookmarkStart w:id="63" w:name="_Toc989056"/>
      <w:r>
        <w:rPr>
          <w:rFonts w:ascii="宋体" w:hAnsi="宋体" w:cs="宋体"/>
          <w:b/>
          <w:bCs/>
        </w:rPr>
        <w:t>39、收入</w:t>
      </w:r>
      <w:bookmarkEnd w:id="63"/>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收入确认和计量所采用的会计政策</w:t>
      </w:r>
    </w:p>
    <w:p w:rsidR="00B54A20" w:rsidRDefault="00B54A20">
      <w:pPr>
        <w:pStyle w:val="a3"/>
        <w:spacing w:beforeAutospacing="0" w:afterAutospacing="0" w:line="240" w:lineRule="atLeast"/>
        <w:divId w:val="1335109913"/>
        <w:rPr>
          <w:rFonts w:ascii="Calibri" w:hAnsi="Calibri"/>
          <w:sz w:val="21"/>
          <w:szCs w:val="21"/>
        </w:rPr>
      </w:pPr>
      <w:r>
        <w:rPr>
          <w:rFonts w:hint="eastAsia"/>
          <w:sz w:val="18"/>
          <w:szCs w:val="18"/>
        </w:rPr>
        <w:t>收入确认和计量所采用的会计政策</w:t>
      </w:r>
    </w:p>
    <w:p w:rsidR="00B54A20" w:rsidRDefault="00B54A20" w:rsidP="00D51BB1">
      <w:pPr>
        <w:widowControl/>
        <w:numPr>
          <w:ilvl w:val="0"/>
          <w:numId w:val="35"/>
        </w:numPr>
        <w:tabs>
          <w:tab w:val="clear" w:pos="720"/>
          <w:tab w:val="num" w:pos="0"/>
        </w:tabs>
        <w:ind w:left="0" w:firstLine="425"/>
        <w:divId w:val="1335109913"/>
        <w:rPr>
          <w:rFonts w:ascii="宋体" w:hAnsi="宋体"/>
          <w:sz w:val="18"/>
          <w:szCs w:val="18"/>
        </w:rPr>
      </w:pPr>
      <w:r>
        <w:rPr>
          <w:rFonts w:ascii="Times New Roman" w:hAnsi="Times New Roman" w:cs="Times New Roman"/>
          <w:sz w:val="18"/>
          <w:szCs w:val="18"/>
        </w:rPr>
        <w:t> </w:t>
      </w:r>
      <w:r>
        <w:rPr>
          <w:rFonts w:hint="eastAsia"/>
          <w:sz w:val="18"/>
          <w:szCs w:val="18"/>
        </w:rPr>
        <w:t>收入确认的一般原则</w:t>
      </w:r>
    </w:p>
    <w:p w:rsidR="00B54A20" w:rsidRDefault="00B54A20" w:rsidP="00EE66B1">
      <w:pPr>
        <w:pStyle w:val="a3"/>
        <w:tabs>
          <w:tab w:val="num" w:pos="0"/>
        </w:tabs>
        <w:spacing w:before="0" w:beforeAutospacing="0" w:after="0" w:afterAutospacing="0"/>
        <w:ind w:firstLine="425"/>
        <w:jc w:val="both"/>
        <w:divId w:val="1335109913"/>
      </w:pPr>
      <w:r>
        <w:rPr>
          <w:rFonts w:hint="eastAsia"/>
          <w:sz w:val="18"/>
          <w:szCs w:val="18"/>
        </w:rPr>
        <w:t>本公司在履行了合同中的履约义务，即在客户取得相关商品或服务控制权时，按照分摊至该项履约义务的交易价格确认收入。</w:t>
      </w:r>
    </w:p>
    <w:p w:rsidR="00B54A20" w:rsidRDefault="00B54A20" w:rsidP="00EE66B1">
      <w:pPr>
        <w:pStyle w:val="a3"/>
        <w:tabs>
          <w:tab w:val="num" w:pos="0"/>
        </w:tabs>
        <w:spacing w:before="0" w:beforeAutospacing="0" w:after="0" w:afterAutospacing="0"/>
        <w:ind w:firstLine="425"/>
        <w:jc w:val="both"/>
        <w:divId w:val="1335109913"/>
      </w:pPr>
      <w:r>
        <w:rPr>
          <w:rFonts w:hint="eastAsia"/>
          <w:sz w:val="18"/>
          <w:szCs w:val="18"/>
        </w:rPr>
        <w:t>履约义务，是指合同中本公司向客户转让可明确区分商品或服务的承诺。</w:t>
      </w:r>
    </w:p>
    <w:p w:rsidR="00B54A20" w:rsidRDefault="00B54A20" w:rsidP="00EE66B1">
      <w:pPr>
        <w:pStyle w:val="a3"/>
        <w:tabs>
          <w:tab w:val="num" w:pos="0"/>
        </w:tabs>
        <w:spacing w:before="0" w:beforeAutospacing="0" w:after="0" w:afterAutospacing="0"/>
        <w:ind w:firstLine="425"/>
        <w:jc w:val="both"/>
        <w:divId w:val="1335109913"/>
      </w:pPr>
      <w:r>
        <w:rPr>
          <w:rFonts w:hint="eastAsia"/>
          <w:sz w:val="18"/>
          <w:szCs w:val="18"/>
        </w:rPr>
        <w:t>取得相关商品控制权，是指能够主导该商品的使用并从中获得几乎全部的经济利益。</w:t>
      </w:r>
    </w:p>
    <w:p w:rsidR="00B54A20" w:rsidRDefault="00B54A20" w:rsidP="00EE66B1">
      <w:pPr>
        <w:pStyle w:val="a3"/>
        <w:tabs>
          <w:tab w:val="num" w:pos="0"/>
        </w:tabs>
        <w:spacing w:before="0" w:beforeAutospacing="0" w:after="0" w:afterAutospacing="0"/>
        <w:ind w:firstLine="425"/>
        <w:jc w:val="both"/>
        <w:divId w:val="1335109913"/>
      </w:pPr>
      <w:r>
        <w:rPr>
          <w:rFonts w:hint="eastAsia"/>
          <w:sz w:val="18"/>
          <w:szCs w:val="18"/>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(1)客户在本公司履约的同时即取得并消耗本公司履约所带来的经济利益；(2)客户能够控制本公司履约过程中在建的商品；(3)本公司履约过程中所产出的商品具有不可替代用途，且本公司在整个合同期间内有权就累计至今已完成的履约部分收取款项。否则，本公司在客户取得相关商品或服务控制权的时点确认收入。</w:t>
      </w:r>
    </w:p>
    <w:p w:rsidR="00B54A20" w:rsidRDefault="00B54A20" w:rsidP="00EE66B1">
      <w:pPr>
        <w:pStyle w:val="a3"/>
        <w:tabs>
          <w:tab w:val="num" w:pos="0"/>
        </w:tabs>
        <w:spacing w:before="0" w:beforeAutospacing="0" w:after="0" w:afterAutospacing="0"/>
        <w:ind w:firstLine="425"/>
        <w:jc w:val="both"/>
        <w:divId w:val="1335109913"/>
      </w:pPr>
      <w:r>
        <w:rPr>
          <w:rFonts w:hint="eastAsia"/>
          <w:sz w:val="18"/>
          <w:szCs w:val="18"/>
        </w:rPr>
        <w:t>对于在某一时段内履行的履约义务，本公司根据商品和劳务的性质，采用产出法/投入法确定恰当的履约进度。产出法是根据已转移给客户的商品对于客户的价值确定履约进度（投入法是根据公司为履行履约义务的投入确定履约进度）。当履约进度不能合理确定时，公司已经发生的成本预计能够得到补偿的，按照已经发生的成本金额确认收入，直到履约进度能够合理确定为止。</w:t>
      </w:r>
    </w:p>
    <w:p w:rsidR="00B54A20" w:rsidRDefault="00B54A20" w:rsidP="00D51BB1">
      <w:pPr>
        <w:widowControl/>
        <w:numPr>
          <w:ilvl w:val="0"/>
          <w:numId w:val="36"/>
        </w:numPr>
        <w:tabs>
          <w:tab w:val="clear" w:pos="720"/>
          <w:tab w:val="num" w:pos="0"/>
        </w:tabs>
        <w:ind w:left="0" w:firstLine="425"/>
        <w:divId w:val="1335109913"/>
        <w:rPr>
          <w:sz w:val="18"/>
          <w:szCs w:val="18"/>
        </w:rPr>
      </w:pPr>
      <w:r>
        <w:rPr>
          <w:rFonts w:ascii="Times New Roman" w:hAnsi="Times New Roman" w:cs="Times New Roman"/>
          <w:sz w:val="18"/>
          <w:szCs w:val="18"/>
        </w:rPr>
        <w:t> </w:t>
      </w:r>
      <w:r>
        <w:rPr>
          <w:rFonts w:hint="eastAsia"/>
          <w:sz w:val="18"/>
          <w:szCs w:val="18"/>
        </w:rPr>
        <w:t>收入确认的具体方法</w:t>
      </w:r>
    </w:p>
    <w:p w:rsidR="00B54A20" w:rsidRDefault="00B54A20">
      <w:pPr>
        <w:pStyle w:val="a3"/>
        <w:spacing w:before="0" w:beforeAutospacing="0" w:after="0" w:afterAutospacing="0" w:line="360" w:lineRule="auto"/>
        <w:ind w:left="422"/>
        <w:jc w:val="both"/>
        <w:divId w:val="1335109913"/>
      </w:pPr>
      <w:r>
        <w:rPr>
          <w:rStyle w:val="a4"/>
          <w:rFonts w:hint="eastAsia"/>
          <w:sz w:val="18"/>
          <w:szCs w:val="18"/>
        </w:rPr>
        <w:t>（</w:t>
      </w:r>
      <w:r>
        <w:rPr>
          <w:rStyle w:val="a4"/>
          <w:rFonts w:ascii="Times New Roman" w:hAnsi="Times New Roman" w:cs="Times New Roman"/>
          <w:sz w:val="18"/>
          <w:szCs w:val="18"/>
        </w:rPr>
        <w:t>1</w:t>
      </w:r>
      <w:r>
        <w:rPr>
          <w:rStyle w:val="a4"/>
          <w:rFonts w:hint="eastAsia"/>
          <w:sz w:val="18"/>
          <w:szCs w:val="18"/>
        </w:rPr>
        <w:t>）销售商品收入</w:t>
      </w:r>
    </w:p>
    <w:p w:rsidR="00B54A20" w:rsidRDefault="00B54A20" w:rsidP="00EE66B1">
      <w:pPr>
        <w:pStyle w:val="a3"/>
        <w:spacing w:before="0" w:beforeAutospacing="0" w:after="0" w:afterAutospacing="0"/>
        <w:ind w:firstLine="420"/>
        <w:jc w:val="both"/>
        <w:divId w:val="1335109913"/>
      </w:pPr>
      <w:r>
        <w:rPr>
          <w:rFonts w:hint="eastAsia"/>
          <w:sz w:val="18"/>
          <w:szCs w:val="18"/>
        </w:rPr>
        <w:t>公司的产品销售属于在某一时</w:t>
      </w:r>
      <w:proofErr w:type="gramStart"/>
      <w:r>
        <w:rPr>
          <w:rFonts w:hint="eastAsia"/>
          <w:sz w:val="18"/>
          <w:szCs w:val="18"/>
        </w:rPr>
        <w:t>点履行</w:t>
      </w:r>
      <w:proofErr w:type="gramEnd"/>
      <w:r>
        <w:rPr>
          <w:rFonts w:hint="eastAsia"/>
          <w:sz w:val="18"/>
          <w:szCs w:val="18"/>
        </w:rPr>
        <w:t>的履约义务，内销收入在公司将产品运送至合同约定交货地点并由客户确认接受、已收取价款或取得收款权利且相关的经济利益很可能流入时确认。外销收入在公司已根据合同约定将产品报关，取得提单，已收取货款或取得了收款权利且相关的经济利益很可能流入时确认。线上销售收入在客户确认签收时确认对应的收入实现。</w:t>
      </w:r>
    </w:p>
    <w:p w:rsidR="00B54A20" w:rsidRDefault="00B54A20" w:rsidP="00EE66B1">
      <w:pPr>
        <w:pStyle w:val="a3"/>
        <w:spacing w:before="0" w:beforeAutospacing="0" w:after="0" w:afterAutospacing="0"/>
        <w:ind w:firstLine="420"/>
        <w:jc w:val="both"/>
        <w:divId w:val="1335109913"/>
      </w:pPr>
      <w:r>
        <w:rPr>
          <w:rFonts w:hint="eastAsia"/>
          <w:sz w:val="18"/>
          <w:szCs w:val="18"/>
        </w:rPr>
        <w:t>（2）出租收入</w:t>
      </w:r>
    </w:p>
    <w:p w:rsidR="00B54A20" w:rsidRDefault="00B54A20" w:rsidP="00EE66B1">
      <w:pPr>
        <w:pStyle w:val="a3"/>
        <w:spacing w:before="0" w:beforeAutospacing="0" w:after="0" w:afterAutospacing="0"/>
        <w:ind w:firstLine="420"/>
        <w:jc w:val="both"/>
        <w:divId w:val="1335109913"/>
      </w:pPr>
      <w:r>
        <w:rPr>
          <w:rFonts w:hint="eastAsia"/>
          <w:sz w:val="18"/>
          <w:szCs w:val="18"/>
        </w:rPr>
        <w:t>按与承租方</w:t>
      </w:r>
      <w:proofErr w:type="gramStart"/>
      <w:r>
        <w:rPr>
          <w:rFonts w:hint="eastAsia"/>
          <w:sz w:val="18"/>
          <w:szCs w:val="18"/>
        </w:rPr>
        <w:t>签定</w:t>
      </w:r>
      <w:proofErr w:type="gramEnd"/>
      <w:r>
        <w:rPr>
          <w:rFonts w:hint="eastAsia"/>
          <w:sz w:val="18"/>
          <w:szCs w:val="18"/>
        </w:rPr>
        <w:t>的合同或协议规定的承租方付租期间和金额，按直线法分摊确认设备出租收入的实现。</w:t>
      </w:r>
    </w:p>
    <w:p w:rsidR="00B54A20" w:rsidRDefault="00B54A20" w:rsidP="00D51BB1">
      <w:pPr>
        <w:widowControl/>
        <w:numPr>
          <w:ilvl w:val="0"/>
          <w:numId w:val="37"/>
        </w:numPr>
        <w:ind w:left="0" w:firstLine="426"/>
        <w:divId w:val="1335109913"/>
        <w:rPr>
          <w:sz w:val="18"/>
          <w:szCs w:val="18"/>
        </w:rPr>
      </w:pPr>
      <w:r>
        <w:rPr>
          <w:rFonts w:hint="eastAsia"/>
          <w:sz w:val="18"/>
          <w:szCs w:val="18"/>
        </w:rPr>
        <w:t>特定交易的收入处理原则</w:t>
      </w:r>
      <w:r>
        <w:rPr>
          <w:rFonts w:ascii="Times New Roman" w:hAnsi="Times New Roman" w:cs="Times New Roman"/>
          <w:sz w:val="18"/>
          <w:szCs w:val="18"/>
        </w:rPr>
        <w:t xml:space="preserve"> </w:t>
      </w:r>
    </w:p>
    <w:p w:rsidR="00B54A20" w:rsidRDefault="00B54A20" w:rsidP="00EE66B1">
      <w:pPr>
        <w:pStyle w:val="a3"/>
        <w:spacing w:before="0" w:beforeAutospacing="0" w:after="0" w:afterAutospacing="0"/>
        <w:ind w:firstLine="360"/>
        <w:jc w:val="both"/>
        <w:divId w:val="1335109913"/>
      </w:pPr>
      <w:r>
        <w:rPr>
          <w:rFonts w:ascii="Arial Narrow" w:hAnsi="Arial Narrow"/>
          <w:sz w:val="18"/>
          <w:szCs w:val="18"/>
        </w:rPr>
        <w:t xml:space="preserve">    </w:t>
      </w:r>
      <w:r>
        <w:rPr>
          <w:rFonts w:hint="eastAsia"/>
          <w:sz w:val="18"/>
          <w:szCs w:val="18"/>
        </w:rPr>
        <w:t>（</w:t>
      </w:r>
      <w:r>
        <w:rPr>
          <w:rFonts w:ascii="Times New Roman" w:hAnsi="Times New Roman" w:cs="Times New Roman"/>
          <w:sz w:val="18"/>
          <w:szCs w:val="18"/>
        </w:rPr>
        <w:t>1</w:t>
      </w:r>
      <w:r>
        <w:rPr>
          <w:rFonts w:hint="eastAsia"/>
          <w:sz w:val="18"/>
          <w:szCs w:val="18"/>
        </w:rPr>
        <w:t>）附有销售退回条款的合同</w:t>
      </w:r>
    </w:p>
    <w:p w:rsidR="00B54A20" w:rsidRDefault="00B54A20" w:rsidP="00EE66B1">
      <w:pPr>
        <w:pStyle w:val="a3"/>
        <w:spacing w:before="0" w:beforeAutospacing="0" w:after="0" w:afterAutospacing="0"/>
        <w:ind w:firstLine="420"/>
        <w:jc w:val="both"/>
        <w:divId w:val="1335109913"/>
      </w:pPr>
      <w:r>
        <w:rPr>
          <w:rFonts w:hint="eastAsia"/>
          <w:sz w:val="18"/>
          <w:szCs w:val="18"/>
        </w:rPr>
        <w:t>在客户取得相关商品控制权时，按照因向客户转让商品而预期有权收取的对价金额（即，不包含预期因销售退回将退还的金额）确认收入，按照预期因销售退回将退还的金额确认负债。</w:t>
      </w:r>
    </w:p>
    <w:p w:rsidR="00B54A20" w:rsidRDefault="00B54A20" w:rsidP="00EE66B1">
      <w:pPr>
        <w:pStyle w:val="a3"/>
        <w:spacing w:before="0" w:beforeAutospacing="0" w:after="0" w:afterAutospacing="0"/>
        <w:jc w:val="both"/>
        <w:divId w:val="1335109913"/>
      </w:pPr>
      <w:r>
        <w:rPr>
          <w:rFonts w:hint="eastAsia"/>
          <w:sz w:val="18"/>
          <w:szCs w:val="18"/>
        </w:rPr>
        <w:t>销售商品时预期将退回商品的账面价值，扣除收回该商品预计发生的成本（包括退回商品的价值减损）后的余额，在“应收退货成本”项下核算。</w:t>
      </w:r>
    </w:p>
    <w:p w:rsidR="00B54A20" w:rsidRDefault="00B54A20" w:rsidP="00EE66B1">
      <w:pPr>
        <w:pStyle w:val="a3"/>
        <w:spacing w:before="0" w:beforeAutospacing="0" w:after="0" w:afterAutospacing="0"/>
        <w:ind w:firstLine="360"/>
        <w:jc w:val="both"/>
        <w:divId w:val="1335109913"/>
      </w:pPr>
      <w:r>
        <w:rPr>
          <w:rFonts w:hint="eastAsia"/>
          <w:sz w:val="18"/>
          <w:szCs w:val="18"/>
        </w:rPr>
        <w:t>（2）附有质量保证条款的合同</w:t>
      </w:r>
    </w:p>
    <w:p w:rsidR="00B54A20" w:rsidRDefault="00B54A20" w:rsidP="00EE66B1">
      <w:pPr>
        <w:pStyle w:val="a3"/>
        <w:spacing w:before="0" w:beforeAutospacing="0" w:after="0" w:afterAutospacing="0"/>
        <w:jc w:val="both"/>
        <w:divId w:val="1335109913"/>
      </w:pPr>
      <w:r>
        <w:rPr>
          <w:rFonts w:hint="eastAsia"/>
          <w:sz w:val="18"/>
          <w:szCs w:val="18"/>
        </w:rPr>
        <w:t>评估该质量保证是否在向客户保证所销售商品符合既定标准之外提供了一项单独的服务。公司提供额外服务的，则作为单项履约义务，按照收入准则规定进行会计处理；否则，质量保证责任按照或有事项的会计准则规定进行会计处理。</w:t>
      </w:r>
    </w:p>
    <w:p w:rsidR="00B54A20" w:rsidRDefault="00B54A20" w:rsidP="00EE66B1">
      <w:pPr>
        <w:pStyle w:val="a3"/>
        <w:spacing w:before="0" w:beforeAutospacing="0" w:after="0" w:afterAutospacing="0"/>
        <w:ind w:firstLine="360"/>
        <w:jc w:val="both"/>
        <w:divId w:val="1335109913"/>
      </w:pPr>
      <w:r>
        <w:rPr>
          <w:rFonts w:hint="eastAsia"/>
          <w:sz w:val="18"/>
          <w:szCs w:val="18"/>
        </w:rPr>
        <w:t>（3）附有客户额外购买选择权的销售合同</w:t>
      </w:r>
    </w:p>
    <w:p w:rsidR="00B54A20" w:rsidRDefault="00B54A20" w:rsidP="00EE66B1">
      <w:pPr>
        <w:pStyle w:val="a3"/>
        <w:spacing w:before="0" w:beforeAutospacing="0" w:after="0" w:afterAutospacing="0"/>
        <w:jc w:val="both"/>
        <w:divId w:val="1335109913"/>
      </w:pPr>
      <w:r>
        <w:rPr>
          <w:rFonts w:hint="eastAsia"/>
          <w:sz w:val="18"/>
          <w:szCs w:val="18"/>
        </w:rPr>
        <w:t>公司评估该选择权是否向客户提供了一项重大权利。提供重大权利的，则作为单项履约义务，将交易价格分摊至该履约义务，在客户未来行使购买选择</w:t>
      </w:r>
      <w:proofErr w:type="gramStart"/>
      <w:r>
        <w:rPr>
          <w:rFonts w:hint="eastAsia"/>
          <w:sz w:val="18"/>
          <w:szCs w:val="18"/>
        </w:rPr>
        <w:t>权取得</w:t>
      </w:r>
      <w:proofErr w:type="gramEnd"/>
      <w:r>
        <w:rPr>
          <w:rFonts w:hint="eastAsia"/>
          <w:sz w:val="18"/>
          <w:szCs w:val="18"/>
        </w:rPr>
        <w:t>相关商品控制权时，或者该选择权失效时，确认相应的收入。客户额外购买选择权的单独售价无法直接观察的，</w:t>
      </w:r>
      <w:proofErr w:type="gramStart"/>
      <w:r>
        <w:rPr>
          <w:rFonts w:hint="eastAsia"/>
          <w:sz w:val="18"/>
          <w:szCs w:val="18"/>
        </w:rPr>
        <w:t>则综合</w:t>
      </w:r>
      <w:proofErr w:type="gramEnd"/>
      <w:r>
        <w:rPr>
          <w:rFonts w:hint="eastAsia"/>
          <w:sz w:val="18"/>
          <w:szCs w:val="18"/>
        </w:rPr>
        <w:t>考虑客户行使和不行使该选择权所能获得的折扣的差异、客户行使该选择权的可能性等全部相关信息后，予以合理估计。</w:t>
      </w:r>
    </w:p>
    <w:p w:rsidR="00B54A20" w:rsidRDefault="00B54A20" w:rsidP="00EE66B1">
      <w:pPr>
        <w:pStyle w:val="a3"/>
        <w:spacing w:before="0" w:beforeAutospacing="0" w:after="0" w:afterAutospacing="0"/>
        <w:ind w:firstLine="360"/>
        <w:jc w:val="both"/>
        <w:divId w:val="1335109913"/>
      </w:pPr>
      <w:r>
        <w:rPr>
          <w:rFonts w:hint="eastAsia"/>
          <w:sz w:val="18"/>
          <w:szCs w:val="18"/>
        </w:rPr>
        <w:t>（4）向客户授予知识产权许可的合同</w:t>
      </w:r>
    </w:p>
    <w:p w:rsidR="00B54A20" w:rsidRDefault="00B54A20" w:rsidP="00EE66B1">
      <w:pPr>
        <w:pStyle w:val="a3"/>
        <w:spacing w:before="0" w:beforeAutospacing="0" w:after="0" w:afterAutospacing="0"/>
        <w:jc w:val="both"/>
        <w:divId w:val="1335109913"/>
      </w:pPr>
      <w:r>
        <w:rPr>
          <w:rFonts w:hint="eastAsia"/>
          <w:sz w:val="18"/>
          <w:szCs w:val="18"/>
        </w:rPr>
        <w:t>评估该知识产权许可是否构成单项履约义务，构成单项履约义务的，则进一步确定其是在某一时段内履行还是在某一时点履行。向客户授予知识产权许可，并约定按客户实际销售或使用情况收取特许权使用费的，则在下列</w:t>
      </w:r>
      <w:proofErr w:type="gramStart"/>
      <w:r>
        <w:rPr>
          <w:rFonts w:hint="eastAsia"/>
          <w:sz w:val="18"/>
          <w:szCs w:val="18"/>
        </w:rPr>
        <w:t>两项孰晚的</w:t>
      </w:r>
      <w:proofErr w:type="gramEnd"/>
      <w:r>
        <w:rPr>
          <w:rFonts w:hint="eastAsia"/>
          <w:sz w:val="18"/>
          <w:szCs w:val="18"/>
        </w:rPr>
        <w:t>时点确认收入：客户后续销售或使用行为实际发生；公司履行相关履约义务。</w:t>
      </w:r>
    </w:p>
    <w:p w:rsidR="00B54A20" w:rsidRDefault="00B54A20" w:rsidP="00EE66B1">
      <w:pPr>
        <w:pStyle w:val="a3"/>
        <w:spacing w:before="0" w:beforeAutospacing="0" w:after="0" w:afterAutospacing="0"/>
        <w:ind w:firstLine="360"/>
        <w:jc w:val="both"/>
        <w:divId w:val="1335109913"/>
      </w:pPr>
      <w:r>
        <w:rPr>
          <w:rFonts w:hint="eastAsia"/>
          <w:sz w:val="18"/>
          <w:szCs w:val="18"/>
        </w:rPr>
        <w:t>（5）售后回购</w:t>
      </w:r>
    </w:p>
    <w:p w:rsidR="00B54A20" w:rsidRPr="00EE66B1" w:rsidRDefault="00B54A20" w:rsidP="00D51BB1">
      <w:pPr>
        <w:widowControl/>
        <w:numPr>
          <w:ilvl w:val="0"/>
          <w:numId w:val="38"/>
        </w:numPr>
        <w:ind w:left="0" w:firstLine="426"/>
        <w:divId w:val="1335109913"/>
        <w:rPr>
          <w:rFonts w:asciiTheme="minorEastAsia" w:hAnsiTheme="minorEastAsia"/>
          <w:sz w:val="18"/>
          <w:szCs w:val="18"/>
        </w:rPr>
      </w:pPr>
      <w:r>
        <w:rPr>
          <w:rFonts w:hint="eastAsia"/>
          <w:sz w:val="18"/>
          <w:szCs w:val="18"/>
        </w:rPr>
        <w:t>）</w:t>
      </w:r>
      <w:r>
        <w:rPr>
          <w:rFonts w:ascii="Times New Roman" w:hAnsi="Times New Roman" w:cs="Times New Roman"/>
          <w:sz w:val="18"/>
          <w:szCs w:val="18"/>
        </w:rPr>
        <w:t>   </w:t>
      </w:r>
      <w:r w:rsidRPr="00EE66B1">
        <w:rPr>
          <w:rFonts w:asciiTheme="minorEastAsia" w:hAnsiTheme="minorEastAsia" w:hint="eastAsia"/>
          <w:sz w:val="18"/>
          <w:szCs w:val="18"/>
        </w:rPr>
        <w:t>因与客户的远期安排而负有回购义务的合同：这种情况下客户在销售时点并未取得相关商品控制权，因此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rsidR="00B54A20" w:rsidRPr="00EE66B1" w:rsidRDefault="00B54A20" w:rsidP="00D51BB1">
      <w:pPr>
        <w:widowControl/>
        <w:numPr>
          <w:ilvl w:val="0"/>
          <w:numId w:val="38"/>
        </w:numPr>
        <w:tabs>
          <w:tab w:val="clear" w:pos="720"/>
          <w:tab w:val="num" w:pos="426"/>
        </w:tabs>
        <w:ind w:left="0" w:firstLine="426"/>
        <w:divId w:val="1335109913"/>
        <w:rPr>
          <w:rFonts w:asciiTheme="minorEastAsia" w:hAnsiTheme="minorEastAsia"/>
          <w:sz w:val="18"/>
          <w:szCs w:val="18"/>
        </w:rPr>
      </w:pPr>
      <w:r w:rsidRPr="00EE66B1">
        <w:rPr>
          <w:rFonts w:asciiTheme="minorEastAsia" w:hAnsiTheme="minorEastAsia" w:hint="eastAsia"/>
          <w:sz w:val="18"/>
          <w:szCs w:val="18"/>
        </w:rPr>
        <w:t>）应客户要求产生的回购义务的合同：经评估客户具有重大经济动因的，将售后回购作为租赁交易或融资交易，按照本条</w:t>
      </w:r>
      <w:r w:rsidRPr="00EE66B1">
        <w:rPr>
          <w:rFonts w:asciiTheme="minorEastAsia" w:hAnsiTheme="minorEastAsia" w:cs="Times New Roman"/>
          <w:sz w:val="18"/>
          <w:szCs w:val="18"/>
        </w:rPr>
        <w:t>1</w:t>
      </w:r>
      <w:r w:rsidRPr="00EE66B1">
        <w:rPr>
          <w:rFonts w:asciiTheme="minorEastAsia" w:hAnsiTheme="minorEastAsia" w:hint="eastAsia"/>
          <w:sz w:val="18"/>
          <w:szCs w:val="18"/>
        </w:rPr>
        <w:t>）规定进行会计处理；否则将其作为附有销售退回条款的销售交易进行处理。</w:t>
      </w:r>
    </w:p>
    <w:p w:rsidR="00B54A20" w:rsidRPr="00EE66B1" w:rsidRDefault="00B54A20" w:rsidP="00EE66B1">
      <w:pPr>
        <w:pStyle w:val="a3"/>
        <w:spacing w:before="0" w:beforeAutospacing="0" w:after="0" w:afterAutospacing="0"/>
        <w:ind w:firstLine="426"/>
        <w:jc w:val="both"/>
        <w:divId w:val="1335109913"/>
        <w:rPr>
          <w:rFonts w:asciiTheme="minorEastAsia" w:eastAsiaTheme="minorEastAsia" w:hAnsiTheme="minorEastAsia"/>
        </w:rPr>
      </w:pPr>
      <w:r w:rsidRPr="00EE66B1">
        <w:rPr>
          <w:rFonts w:asciiTheme="minorEastAsia" w:eastAsiaTheme="minorEastAsia" w:hAnsiTheme="minorEastAsia" w:hint="eastAsia"/>
          <w:sz w:val="18"/>
          <w:szCs w:val="18"/>
        </w:rPr>
        <w:t>（6）向客户收取无需退回的初始费的合同</w:t>
      </w:r>
    </w:p>
    <w:p w:rsidR="00B54A20" w:rsidRPr="00EE66B1" w:rsidRDefault="00B54A20" w:rsidP="00EE66B1">
      <w:pPr>
        <w:pStyle w:val="a3"/>
        <w:spacing w:before="0" w:beforeAutospacing="0" w:after="0" w:afterAutospacing="0"/>
        <w:ind w:firstLine="426"/>
        <w:jc w:val="both"/>
        <w:divId w:val="1335109913"/>
        <w:rPr>
          <w:rFonts w:asciiTheme="minorEastAsia" w:eastAsiaTheme="minorEastAsia" w:hAnsiTheme="minorEastAsia"/>
        </w:rPr>
      </w:pPr>
      <w:r w:rsidRPr="00EE66B1">
        <w:rPr>
          <w:rFonts w:asciiTheme="minorEastAsia" w:eastAsiaTheme="minorEastAsia" w:hAnsiTheme="minorEastAsia" w:hint="eastAsia"/>
          <w:sz w:val="18"/>
          <w:szCs w:val="18"/>
        </w:rPr>
        <w:t>在合同开始（或接近合同开始）日向客户收取的无需退回的初始费应当计入交易价格。公司经评估，该初始费与向客户转让已承诺的商品相关，并且该商品构成单项履约义务的，则在转让该商品时，按照分摊至该商品的交易价格确认收入；该初始费与向客户转让已承诺的商品相关，但该商品不构成单项履约义务的，则在包含该商品的单项履约义务履行时，按照分摊至该单项履约义务的交易价格确认收入；该初始费与向客户转让已承诺的商品不相关的，该初始费则作为未来将转让商品的预收款，在未来转让该商品时确认为收入。</w:t>
      </w:r>
    </w:p>
    <w:p w:rsidR="00E62F69" w:rsidRPr="00EE66B1" w:rsidRDefault="00B54A20" w:rsidP="00EE66B1">
      <w:pPr>
        <w:spacing w:line="240" w:lineRule="exact"/>
        <w:ind w:firstLine="426"/>
        <w:rPr>
          <w:rFonts w:asciiTheme="minorEastAsia" w:hAnsiTheme="minorEastAsia" w:cs="宋体"/>
          <w:sz w:val="18"/>
          <w:szCs w:val="18"/>
        </w:rPr>
      </w:pPr>
      <w:r w:rsidRPr="00EE66B1">
        <w:rPr>
          <w:rFonts w:asciiTheme="minorEastAsia" w:hAnsiTheme="minorEastAsia" w:cs="宋体"/>
          <w:sz w:val="18"/>
          <w:szCs w:val="18"/>
        </w:rPr>
        <w:t>同类业务采用不同经营模式导致收入确认会计政策存在差异的情况</w:t>
      </w:r>
    </w:p>
    <w:p w:rsidR="00B54A20" w:rsidRPr="00EE66B1" w:rsidRDefault="00B54A20" w:rsidP="00EE66B1">
      <w:pPr>
        <w:pStyle w:val="a3"/>
        <w:spacing w:before="0" w:beforeAutospacing="0" w:after="0" w:afterAutospacing="0"/>
        <w:ind w:firstLine="426"/>
        <w:divId w:val="838429694"/>
        <w:rPr>
          <w:rFonts w:asciiTheme="minorEastAsia" w:eastAsiaTheme="minorEastAsia" w:hAnsiTheme="minorEastAsia"/>
          <w:sz w:val="18"/>
          <w:szCs w:val="18"/>
        </w:rPr>
      </w:pPr>
      <w:r w:rsidRPr="00EE66B1">
        <w:rPr>
          <w:rFonts w:asciiTheme="minorEastAsia" w:eastAsiaTheme="minorEastAsia" w:hAnsiTheme="minorEastAsia" w:hint="eastAsia"/>
          <w:sz w:val="18"/>
          <w:szCs w:val="18"/>
        </w:rPr>
        <w:t>无。</w:t>
      </w:r>
    </w:p>
    <w:p w:rsidR="00E62F69" w:rsidRDefault="00B54A20">
      <w:pPr>
        <w:pStyle w:val="3"/>
        <w:spacing w:line="280" w:lineRule="exact"/>
        <w:jc w:val="left"/>
        <w:rPr>
          <w:rFonts w:ascii="宋体" w:hAnsi="宋体" w:cs="宋体"/>
          <w:b/>
          <w:bCs/>
        </w:rPr>
      </w:pPr>
      <w:bookmarkStart w:id="64" w:name="_Toc989057"/>
      <w:r>
        <w:rPr>
          <w:rFonts w:ascii="宋体" w:hAnsi="宋体" w:cs="宋体"/>
          <w:b/>
          <w:bCs/>
        </w:rPr>
        <w:t>40、政府补助</w:t>
      </w:r>
      <w:bookmarkEnd w:id="64"/>
    </w:p>
    <w:p w:rsidR="00B54A20" w:rsidRDefault="00B54A20" w:rsidP="00D51BB1">
      <w:pPr>
        <w:widowControl/>
        <w:numPr>
          <w:ilvl w:val="0"/>
          <w:numId w:val="39"/>
        </w:numPr>
        <w:ind w:left="714" w:hanging="357"/>
        <w:divId w:val="1478641298"/>
        <w:rPr>
          <w:sz w:val="18"/>
          <w:szCs w:val="18"/>
        </w:rPr>
      </w:pPr>
      <w:r>
        <w:rPr>
          <w:rFonts w:ascii="Times New Roman" w:hAnsi="Times New Roman" w:cs="Times New Roman"/>
          <w:sz w:val="18"/>
          <w:szCs w:val="18"/>
        </w:rPr>
        <w:t> </w:t>
      </w:r>
      <w:r>
        <w:rPr>
          <w:rFonts w:hint="eastAsia"/>
          <w:sz w:val="18"/>
          <w:szCs w:val="18"/>
        </w:rPr>
        <w:t>类型</w:t>
      </w:r>
    </w:p>
    <w:p w:rsidR="00B54A20" w:rsidRDefault="00B54A20">
      <w:pPr>
        <w:pStyle w:val="a3"/>
        <w:spacing w:before="0" w:beforeAutospacing="0" w:after="0" w:afterAutospacing="0"/>
        <w:ind w:firstLine="360"/>
        <w:jc w:val="both"/>
        <w:divId w:val="1478641298"/>
      </w:pPr>
      <w:r>
        <w:rPr>
          <w:rFonts w:hint="eastAsia"/>
          <w:sz w:val="18"/>
          <w:szCs w:val="18"/>
        </w:rPr>
        <w:t>政府补助，是本公司从政府无偿取得的货币性资产与非货币性资产。根据相关政府文件规定的补助对象，将政府补助划分为与资产相关的政府补助和与收益相关的政府补助。</w:t>
      </w:r>
    </w:p>
    <w:p w:rsidR="00B54A20" w:rsidRDefault="00B54A20">
      <w:pPr>
        <w:pStyle w:val="a3"/>
        <w:spacing w:before="0" w:beforeAutospacing="0" w:after="0" w:afterAutospacing="0"/>
        <w:jc w:val="both"/>
        <w:divId w:val="1478641298"/>
      </w:pPr>
      <w:r>
        <w:rPr>
          <w:rFonts w:hint="eastAsia"/>
          <w:sz w:val="18"/>
          <w:szCs w:val="18"/>
        </w:rPr>
        <w:t>对于政府文件未明确补助对象的政府补助，公司根据实际补助对象划分为与资产相关的政府补助或与收益相关的政府补助，相关判断依据说明详见附注五、注释【36.递延收益】/【注释55.营业外收入】。</w:t>
      </w:r>
    </w:p>
    <w:p w:rsidR="00B54A20" w:rsidRDefault="00B54A20">
      <w:pPr>
        <w:pStyle w:val="a3"/>
        <w:spacing w:before="0" w:beforeAutospacing="0" w:after="0" w:afterAutospacing="0"/>
        <w:jc w:val="both"/>
        <w:divId w:val="1478641298"/>
      </w:pPr>
      <w:r>
        <w:rPr>
          <w:rFonts w:hint="eastAsia"/>
          <w:sz w:val="18"/>
          <w:szCs w:val="18"/>
        </w:rPr>
        <w:t>与资产相关的政府补助，是指本公司取得的、用于购建或以其他方式形成长期资产的政府补助。与收益相关的政府补助，是指除与资产相关的政府补助之外的政府补助。</w:t>
      </w:r>
    </w:p>
    <w:p w:rsidR="00B54A20" w:rsidRDefault="00B54A20" w:rsidP="00D51BB1">
      <w:pPr>
        <w:widowControl/>
        <w:numPr>
          <w:ilvl w:val="0"/>
          <w:numId w:val="40"/>
        </w:numPr>
        <w:ind w:left="714" w:hanging="357"/>
        <w:divId w:val="1478641298"/>
        <w:rPr>
          <w:sz w:val="18"/>
          <w:szCs w:val="18"/>
        </w:rPr>
      </w:pPr>
      <w:r>
        <w:rPr>
          <w:rFonts w:ascii="Times New Roman" w:hAnsi="Times New Roman" w:cs="Times New Roman"/>
          <w:sz w:val="18"/>
          <w:szCs w:val="18"/>
        </w:rPr>
        <w:t> </w:t>
      </w:r>
      <w:r>
        <w:rPr>
          <w:rFonts w:hint="eastAsia"/>
          <w:sz w:val="18"/>
          <w:szCs w:val="18"/>
        </w:rPr>
        <w:t>政府补助的确认</w:t>
      </w:r>
    </w:p>
    <w:p w:rsidR="00B54A20" w:rsidRDefault="00B54A20">
      <w:pPr>
        <w:pStyle w:val="a3"/>
        <w:spacing w:before="0" w:beforeAutospacing="0" w:after="0" w:afterAutospacing="0"/>
        <w:ind w:firstLine="360"/>
        <w:jc w:val="both"/>
        <w:divId w:val="1478641298"/>
      </w:pPr>
      <w:r>
        <w:rPr>
          <w:rFonts w:hint="eastAsia"/>
          <w:sz w:val="18"/>
          <w:szCs w:val="18"/>
        </w:rPr>
        <w:t>对期末有证据表明公司能够符合财政扶持政策规定的相关条件且预计能够收到财政扶持资金的，按应收金额确认政府补助。除此之外，政府补助均在实际收到时确认。</w:t>
      </w:r>
    </w:p>
    <w:p w:rsidR="00B54A20" w:rsidRDefault="00B54A20">
      <w:pPr>
        <w:pStyle w:val="a3"/>
        <w:spacing w:before="0" w:beforeAutospacing="0" w:after="0" w:afterAutospacing="0"/>
        <w:jc w:val="both"/>
        <w:divId w:val="1478641298"/>
      </w:pPr>
      <w:r>
        <w:rPr>
          <w:rFonts w:hint="eastAsia"/>
          <w:sz w:val="18"/>
          <w:szCs w:val="18"/>
        </w:rPr>
        <w:t>政府补助为货币性资产的，按照收到或应收的金额计量。政府补助为非货币性资产的，按照公允价值计量；公允价值不能够可靠取得的，按照名义金额（人民币1元）计量。按照名义金额计量的政府补助，直接计入当期损益。</w:t>
      </w:r>
    </w:p>
    <w:p w:rsidR="00B54A20" w:rsidRDefault="00B54A20" w:rsidP="00D51BB1">
      <w:pPr>
        <w:widowControl/>
        <w:numPr>
          <w:ilvl w:val="0"/>
          <w:numId w:val="41"/>
        </w:numPr>
        <w:ind w:left="714" w:hanging="357"/>
        <w:divId w:val="1478641298"/>
        <w:rPr>
          <w:sz w:val="18"/>
          <w:szCs w:val="18"/>
        </w:rPr>
      </w:pPr>
      <w:r>
        <w:rPr>
          <w:rFonts w:ascii="Times New Roman" w:hAnsi="Times New Roman" w:cs="Times New Roman"/>
          <w:sz w:val="18"/>
          <w:szCs w:val="18"/>
        </w:rPr>
        <w:t> </w:t>
      </w:r>
      <w:r>
        <w:rPr>
          <w:rFonts w:hint="eastAsia"/>
          <w:sz w:val="18"/>
          <w:szCs w:val="18"/>
        </w:rPr>
        <w:t>会计处理方法</w:t>
      </w:r>
    </w:p>
    <w:p w:rsidR="00B54A20" w:rsidRDefault="00B54A20">
      <w:pPr>
        <w:pStyle w:val="a3"/>
        <w:spacing w:before="0" w:beforeAutospacing="0" w:after="0" w:afterAutospacing="0"/>
        <w:ind w:firstLine="360"/>
        <w:jc w:val="both"/>
        <w:divId w:val="1478641298"/>
      </w:pPr>
      <w:r>
        <w:rPr>
          <w:rFonts w:hint="eastAsia"/>
          <w:sz w:val="18"/>
          <w:szCs w:val="18"/>
        </w:rPr>
        <w:t>本公司根据经济业务的实质，确定某一类政府补助业务应当采用总额法还是净额法进行会计处理。通常情况下，本公司对于同类或类似政府补助业务只选用一种方法，且对该业务一贯地运用该方法。</w:t>
      </w:r>
    </w:p>
    <w:p w:rsidR="00B54A20" w:rsidRDefault="00B54A20">
      <w:pPr>
        <w:pStyle w:val="a3"/>
        <w:spacing w:before="0" w:beforeAutospacing="0" w:after="0" w:afterAutospacing="0"/>
        <w:jc w:val="both"/>
        <w:divId w:val="1478641298"/>
      </w:pPr>
      <w:r>
        <w:rPr>
          <w:rFonts w:hint="eastAsia"/>
          <w:sz w:val="18"/>
          <w:szCs w:val="18"/>
        </w:rPr>
        <w:t>  与资产相关的政府补助，应当冲减相关资产的账面价值或</w:t>
      </w:r>
      <w:proofErr w:type="gramStart"/>
      <w:r>
        <w:rPr>
          <w:rFonts w:hint="eastAsia"/>
          <w:sz w:val="18"/>
          <w:szCs w:val="18"/>
        </w:rPr>
        <w:t>确认为递延</w:t>
      </w:r>
      <w:proofErr w:type="gramEnd"/>
      <w:r>
        <w:rPr>
          <w:rFonts w:hint="eastAsia"/>
          <w:sz w:val="18"/>
          <w:szCs w:val="18"/>
        </w:rPr>
        <w:t>收益。与资产相关的政府补助</w:t>
      </w:r>
      <w:proofErr w:type="gramStart"/>
      <w:r>
        <w:rPr>
          <w:rFonts w:hint="eastAsia"/>
          <w:sz w:val="18"/>
          <w:szCs w:val="18"/>
        </w:rPr>
        <w:t>确认为递延</w:t>
      </w:r>
      <w:proofErr w:type="gramEnd"/>
      <w:r>
        <w:rPr>
          <w:rFonts w:hint="eastAsia"/>
          <w:sz w:val="18"/>
          <w:szCs w:val="18"/>
        </w:rPr>
        <w:t>收益的，在所建造或购买资产使用寿命内按照合理、系统的方法分期计入损益。</w:t>
      </w:r>
    </w:p>
    <w:p w:rsidR="00B54A20" w:rsidRDefault="00B54A20">
      <w:pPr>
        <w:pStyle w:val="a3"/>
        <w:spacing w:before="0" w:beforeAutospacing="0" w:after="0" w:afterAutospacing="0"/>
        <w:jc w:val="both"/>
        <w:divId w:val="1478641298"/>
      </w:pPr>
      <w:r>
        <w:rPr>
          <w:rFonts w:hint="eastAsia"/>
          <w:sz w:val="18"/>
          <w:szCs w:val="18"/>
        </w:rPr>
        <w:t>与收益相关的政府补助，用于补偿企业以后期间的相关费用或损失的，</w:t>
      </w:r>
      <w:proofErr w:type="gramStart"/>
      <w:r>
        <w:rPr>
          <w:rFonts w:hint="eastAsia"/>
          <w:sz w:val="18"/>
          <w:szCs w:val="18"/>
        </w:rPr>
        <w:t>确认为递延</w:t>
      </w:r>
      <w:proofErr w:type="gramEnd"/>
      <w:r>
        <w:rPr>
          <w:rFonts w:hint="eastAsia"/>
          <w:sz w:val="18"/>
          <w:szCs w:val="18"/>
        </w:rPr>
        <w:t>收益，在确认相关费用或损失的期间计入当期损益或冲减相关成本；用于补偿企业已发生的相关费用或损失的，取得时直接计入当期损益或冲减相关成本。</w:t>
      </w:r>
    </w:p>
    <w:p w:rsidR="00B54A20" w:rsidRDefault="00B54A20">
      <w:pPr>
        <w:pStyle w:val="a3"/>
        <w:spacing w:before="0" w:beforeAutospacing="0" w:after="0" w:afterAutospacing="0"/>
        <w:jc w:val="both"/>
        <w:divId w:val="1478641298"/>
      </w:pPr>
      <w:r>
        <w:rPr>
          <w:rFonts w:hint="eastAsia"/>
          <w:sz w:val="18"/>
          <w:szCs w:val="18"/>
        </w:rPr>
        <w:t>与企业日常活动相关的政府补助计入其他收益或冲减相关成本费用；与企业日常活动无关的政府补助计入营业外收支。</w:t>
      </w:r>
    </w:p>
    <w:p w:rsidR="00B54A20" w:rsidRDefault="00B54A20">
      <w:pPr>
        <w:pStyle w:val="a3"/>
        <w:spacing w:before="0" w:beforeAutospacing="0" w:after="0" w:afterAutospacing="0"/>
        <w:jc w:val="both"/>
        <w:divId w:val="1478641298"/>
      </w:pPr>
      <w:r>
        <w:rPr>
          <w:rFonts w:hint="eastAsia"/>
          <w:sz w:val="18"/>
          <w:szCs w:val="18"/>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B54A20" w:rsidRDefault="00B54A20">
      <w:pPr>
        <w:pStyle w:val="a3"/>
        <w:spacing w:before="0" w:beforeAutospacing="0" w:after="0" w:afterAutospacing="0"/>
        <w:jc w:val="both"/>
        <w:divId w:val="1478641298"/>
      </w:pPr>
      <w:r>
        <w:rPr>
          <w:rFonts w:hint="eastAsia"/>
          <w:sz w:val="18"/>
          <w:szCs w:val="18"/>
        </w:rPr>
        <w:t xml:space="preserve">已确认的政府补助需要返还时，初始确认时冲减相关资产账面价值的，调整资产账面价值；存在相关递延收益余额的，冲减相关递延收益账面余额，超出部分计入当期损益；不存在相关递延收益的，直接计入当期损益。 </w:t>
      </w:r>
    </w:p>
    <w:p w:rsidR="00E62F69" w:rsidRDefault="00B54A20">
      <w:pPr>
        <w:pStyle w:val="3"/>
        <w:spacing w:line="280" w:lineRule="exact"/>
        <w:jc w:val="left"/>
        <w:rPr>
          <w:rFonts w:ascii="宋体" w:hAnsi="宋体" w:cs="宋体"/>
          <w:b/>
          <w:bCs/>
        </w:rPr>
      </w:pPr>
      <w:bookmarkStart w:id="65" w:name="_Toc989058"/>
      <w:r>
        <w:rPr>
          <w:rFonts w:ascii="宋体" w:hAnsi="宋体" w:cs="宋体"/>
          <w:b/>
          <w:bCs/>
        </w:rPr>
        <w:t>41、递延所得税资产/递延所得税负债</w:t>
      </w:r>
      <w:bookmarkEnd w:id="65"/>
    </w:p>
    <w:p w:rsidR="00B54A20" w:rsidRDefault="00B54A20">
      <w:pPr>
        <w:pStyle w:val="a3"/>
        <w:spacing w:before="0" w:beforeAutospacing="0" w:after="0" w:afterAutospacing="0"/>
        <w:ind w:firstLine="360"/>
        <w:jc w:val="both"/>
        <w:divId w:val="860627509"/>
      </w:pPr>
      <w:r>
        <w:rPr>
          <w:rFonts w:hint="eastAsia"/>
          <w:sz w:val="18"/>
          <w:szCs w:val="18"/>
        </w:rPr>
        <w:t>递延所得税资产和递延所得税负债根据资产和负债的计税基础与其账面价值的差额(暂时性差异)计算确认。于资产负债表日，递延所得税资产和递延所得税负债，按照预期收回该资产或清偿该负债期间的适用税率计量。</w:t>
      </w:r>
    </w:p>
    <w:p w:rsidR="00B54A20" w:rsidRDefault="00B54A20" w:rsidP="00D51BB1">
      <w:pPr>
        <w:widowControl/>
        <w:numPr>
          <w:ilvl w:val="0"/>
          <w:numId w:val="42"/>
        </w:numPr>
        <w:ind w:left="714" w:hanging="357"/>
        <w:divId w:val="860627509"/>
        <w:rPr>
          <w:sz w:val="18"/>
          <w:szCs w:val="18"/>
        </w:rPr>
      </w:pPr>
      <w:r>
        <w:rPr>
          <w:rFonts w:hint="eastAsia"/>
          <w:sz w:val="18"/>
          <w:szCs w:val="18"/>
        </w:rPr>
        <w:t>确认递延所得税资产的依据</w:t>
      </w:r>
    </w:p>
    <w:p w:rsidR="00B54A20" w:rsidRDefault="00B54A20">
      <w:pPr>
        <w:pStyle w:val="a3"/>
        <w:spacing w:before="0" w:beforeAutospacing="0" w:after="0" w:afterAutospacing="0"/>
        <w:ind w:firstLine="360"/>
        <w:jc w:val="both"/>
        <w:divId w:val="860627509"/>
      </w:pPr>
      <w:r>
        <w:rPr>
          <w:rFonts w:hint="eastAsia"/>
          <w:sz w:val="18"/>
          <w:szCs w:val="18"/>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1）该交易不是企业合并；（2）交易发生时既不影响会计利润也不影响应纳税所得额或可抵扣亏损。</w:t>
      </w:r>
    </w:p>
    <w:p w:rsidR="00B54A20" w:rsidRDefault="00B54A20">
      <w:pPr>
        <w:pStyle w:val="a3"/>
        <w:spacing w:before="0" w:beforeAutospacing="0" w:after="0" w:afterAutospacing="0"/>
        <w:ind w:firstLine="360"/>
        <w:jc w:val="both"/>
        <w:divId w:val="860627509"/>
      </w:pPr>
      <w:r>
        <w:rPr>
          <w:rFonts w:hint="eastAsia"/>
          <w:sz w:val="18"/>
          <w:szCs w:val="18"/>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B54A20" w:rsidRDefault="00B54A20" w:rsidP="00D51BB1">
      <w:pPr>
        <w:widowControl/>
        <w:numPr>
          <w:ilvl w:val="0"/>
          <w:numId w:val="43"/>
        </w:numPr>
        <w:ind w:left="714" w:hanging="357"/>
        <w:divId w:val="860627509"/>
        <w:rPr>
          <w:sz w:val="18"/>
          <w:szCs w:val="18"/>
        </w:rPr>
      </w:pPr>
      <w:r>
        <w:rPr>
          <w:rFonts w:ascii="Times New Roman" w:hAnsi="Times New Roman" w:cs="Times New Roman"/>
          <w:sz w:val="18"/>
          <w:szCs w:val="18"/>
        </w:rPr>
        <w:t> </w:t>
      </w:r>
      <w:r>
        <w:rPr>
          <w:rFonts w:hint="eastAsia"/>
          <w:sz w:val="18"/>
          <w:szCs w:val="18"/>
        </w:rPr>
        <w:t>确认递延所得税负债的依据</w:t>
      </w:r>
    </w:p>
    <w:p w:rsidR="00B54A20" w:rsidRDefault="00B54A20">
      <w:pPr>
        <w:pStyle w:val="a3"/>
        <w:spacing w:before="0" w:beforeAutospacing="0" w:after="0" w:afterAutospacing="0"/>
        <w:ind w:firstLine="360"/>
        <w:jc w:val="both"/>
        <w:divId w:val="860627509"/>
      </w:pPr>
      <w:r>
        <w:rPr>
          <w:rFonts w:hint="eastAsia"/>
          <w:sz w:val="18"/>
          <w:szCs w:val="18"/>
        </w:rPr>
        <w:t>公司将当期与以前期间应交未交的应纳税暂时性差异</w:t>
      </w:r>
      <w:proofErr w:type="gramStart"/>
      <w:r>
        <w:rPr>
          <w:rFonts w:hint="eastAsia"/>
          <w:sz w:val="18"/>
          <w:szCs w:val="18"/>
        </w:rPr>
        <w:t>确认为递延</w:t>
      </w:r>
      <w:proofErr w:type="gramEnd"/>
      <w:r>
        <w:rPr>
          <w:rFonts w:hint="eastAsia"/>
          <w:sz w:val="18"/>
          <w:szCs w:val="18"/>
        </w:rPr>
        <w:t>所得税负债。但不包括：</w:t>
      </w:r>
    </w:p>
    <w:p w:rsidR="00B54A20" w:rsidRDefault="00B54A20">
      <w:pPr>
        <w:pStyle w:val="a3"/>
        <w:spacing w:before="0" w:beforeAutospacing="0" w:after="0" w:afterAutospacing="0"/>
        <w:ind w:firstLine="360"/>
        <w:jc w:val="both"/>
        <w:divId w:val="860627509"/>
      </w:pPr>
      <w:r>
        <w:rPr>
          <w:rFonts w:hint="eastAsia"/>
          <w:sz w:val="18"/>
          <w:szCs w:val="18"/>
        </w:rPr>
        <w:t>（1）商誉的初始确认所形成的暂时性差异；</w:t>
      </w:r>
    </w:p>
    <w:p w:rsidR="00B54A20" w:rsidRDefault="00B54A20">
      <w:pPr>
        <w:pStyle w:val="a3"/>
        <w:spacing w:before="0" w:beforeAutospacing="0" w:after="0" w:afterAutospacing="0"/>
        <w:ind w:firstLine="360"/>
        <w:jc w:val="both"/>
        <w:divId w:val="860627509"/>
      </w:pPr>
      <w:r>
        <w:rPr>
          <w:rFonts w:hint="eastAsia"/>
          <w:sz w:val="18"/>
          <w:szCs w:val="18"/>
        </w:rPr>
        <w:t>（2）非企业合并形成的交易或事项，且该交易或事项发生时既不影响会计利润，也不影响应纳税所得额（或可抵扣亏损）所形成的暂时性差异；</w:t>
      </w:r>
    </w:p>
    <w:p w:rsidR="00B54A20" w:rsidRDefault="00B54A20">
      <w:pPr>
        <w:pStyle w:val="a3"/>
        <w:spacing w:before="0" w:beforeAutospacing="0" w:after="0" w:afterAutospacing="0"/>
        <w:ind w:firstLine="360"/>
        <w:jc w:val="both"/>
        <w:divId w:val="860627509"/>
      </w:pPr>
      <w:r>
        <w:rPr>
          <w:rFonts w:hint="eastAsia"/>
          <w:sz w:val="18"/>
          <w:szCs w:val="18"/>
        </w:rPr>
        <w:t>（3）对于与子公司、联营企业投资相关的应纳税暂时性差异，该暂时性差异转回的时间能够控制并且该暂时性差异在可预见的未来很可能不会转回。</w:t>
      </w:r>
    </w:p>
    <w:p w:rsidR="00B54A20" w:rsidRDefault="00B54A20" w:rsidP="00D51BB1">
      <w:pPr>
        <w:widowControl/>
        <w:numPr>
          <w:ilvl w:val="0"/>
          <w:numId w:val="44"/>
        </w:numPr>
        <w:ind w:left="714" w:hanging="357"/>
        <w:divId w:val="860627509"/>
        <w:rPr>
          <w:sz w:val="18"/>
          <w:szCs w:val="18"/>
        </w:rPr>
      </w:pPr>
      <w:r>
        <w:rPr>
          <w:rFonts w:hint="eastAsia"/>
          <w:sz w:val="18"/>
          <w:szCs w:val="18"/>
        </w:rPr>
        <w:t>同时满足下列条件时，</w:t>
      </w:r>
      <w:proofErr w:type="gramStart"/>
      <w:r>
        <w:rPr>
          <w:rFonts w:hint="eastAsia"/>
          <w:sz w:val="18"/>
          <w:szCs w:val="18"/>
        </w:rPr>
        <w:t>将递延</w:t>
      </w:r>
      <w:proofErr w:type="gramEnd"/>
      <w:r>
        <w:rPr>
          <w:rFonts w:hint="eastAsia"/>
          <w:sz w:val="18"/>
          <w:szCs w:val="18"/>
        </w:rPr>
        <w:t>所得税资产及递延所得税负债以</w:t>
      </w:r>
      <w:proofErr w:type="gramStart"/>
      <w:r>
        <w:rPr>
          <w:rFonts w:hint="eastAsia"/>
          <w:sz w:val="18"/>
          <w:szCs w:val="18"/>
        </w:rPr>
        <w:t>抵销</w:t>
      </w:r>
      <w:proofErr w:type="gramEnd"/>
      <w:r>
        <w:rPr>
          <w:rFonts w:hint="eastAsia"/>
          <w:sz w:val="18"/>
          <w:szCs w:val="18"/>
        </w:rPr>
        <w:t>后的净额列示</w:t>
      </w:r>
    </w:p>
    <w:p w:rsidR="00B54A20" w:rsidRDefault="00B54A20">
      <w:pPr>
        <w:pStyle w:val="a3"/>
        <w:spacing w:before="0" w:beforeAutospacing="0" w:after="0" w:afterAutospacing="0"/>
        <w:ind w:firstLine="360"/>
        <w:jc w:val="both"/>
        <w:divId w:val="860627509"/>
      </w:pPr>
      <w:r>
        <w:rPr>
          <w:rFonts w:hint="eastAsia"/>
          <w:sz w:val="18"/>
          <w:szCs w:val="18"/>
        </w:rPr>
        <w:t>（1）企业拥有以净额结算当期所得税资产及当期所得税负债的法定权利；</w:t>
      </w:r>
    </w:p>
    <w:p w:rsidR="00B54A20" w:rsidRDefault="00B54A20">
      <w:pPr>
        <w:pStyle w:val="a3"/>
        <w:spacing w:before="0" w:beforeAutospacing="0" w:after="0" w:afterAutospacing="0"/>
        <w:ind w:firstLine="360"/>
        <w:jc w:val="both"/>
        <w:divId w:val="860627509"/>
      </w:pPr>
      <w:r>
        <w:rPr>
          <w:rFonts w:hint="eastAsia"/>
          <w:sz w:val="18"/>
          <w:szCs w:val="18"/>
        </w:rPr>
        <w:t>（2）递延所得税资产和递延所得税负债是与同</w:t>
      </w:r>
      <w:proofErr w:type="gramStart"/>
      <w:r>
        <w:rPr>
          <w:rFonts w:hint="eastAsia"/>
          <w:sz w:val="18"/>
          <w:szCs w:val="18"/>
        </w:rPr>
        <w:t>一税收</w:t>
      </w:r>
      <w:proofErr w:type="gramEnd"/>
      <w:r>
        <w:rPr>
          <w:rFonts w:hint="eastAsia"/>
          <w:sz w:val="18"/>
          <w:szCs w:val="18"/>
        </w:rPr>
        <w:t>征管部门对同一纳税主体征收的所得税相关或者对不同的纳税主体相关，但在未来每一具有重要性的递延所得税资产和递延所得税负债转回的期间内，涉及的纳税主体</w:t>
      </w:r>
      <w:proofErr w:type="gramStart"/>
      <w:r>
        <w:rPr>
          <w:rFonts w:hint="eastAsia"/>
          <w:sz w:val="18"/>
          <w:szCs w:val="18"/>
        </w:rPr>
        <w:t>体</w:t>
      </w:r>
      <w:proofErr w:type="gramEnd"/>
      <w:r>
        <w:rPr>
          <w:rFonts w:hint="eastAsia"/>
          <w:sz w:val="18"/>
          <w:szCs w:val="18"/>
        </w:rPr>
        <w:t>意图以净额结算当期所得税资产及当期所得税负债或是同时取得资产、清偿债务。</w:t>
      </w:r>
    </w:p>
    <w:p w:rsidR="00E62F69" w:rsidRDefault="00B54A20">
      <w:pPr>
        <w:pStyle w:val="3"/>
        <w:spacing w:line="280" w:lineRule="exact"/>
        <w:jc w:val="left"/>
        <w:rPr>
          <w:rFonts w:ascii="宋体" w:hAnsi="宋体" w:cs="宋体"/>
          <w:b/>
          <w:bCs/>
        </w:rPr>
      </w:pPr>
      <w:bookmarkStart w:id="66" w:name="_Toc989059"/>
      <w:r>
        <w:rPr>
          <w:rFonts w:ascii="宋体" w:hAnsi="宋体" w:cs="宋体"/>
          <w:b/>
          <w:bCs/>
        </w:rPr>
        <w:t>42、租赁</w:t>
      </w:r>
      <w:bookmarkEnd w:id="66"/>
    </w:p>
    <w:p w:rsidR="00E62F69" w:rsidRDefault="00B54A20">
      <w:pPr>
        <w:keepNext/>
        <w:keepLines/>
        <w:spacing w:before="300" w:after="300" w:line="280" w:lineRule="exact"/>
        <w:outlineLvl w:val="3"/>
        <w:rPr>
          <w:rFonts w:ascii="宋体" w:eastAsia="宋体" w:hAnsi="宋体" w:cs="宋体"/>
          <w:b/>
          <w:bCs/>
          <w:szCs w:val="21"/>
        </w:rPr>
      </w:pPr>
      <w:bookmarkStart w:id="67" w:name="_Toc989060"/>
      <w:r>
        <w:rPr>
          <w:rFonts w:ascii="宋体" w:eastAsia="宋体" w:hAnsi="宋体" w:cs="宋体"/>
          <w:b/>
          <w:bCs/>
          <w:szCs w:val="21"/>
        </w:rPr>
        <w:t>（1） 经营租赁的会计处理方法</w:t>
      </w:r>
      <w:bookmarkEnd w:id="67"/>
    </w:p>
    <w:p w:rsidR="00B54A20" w:rsidRDefault="00B54A20">
      <w:pPr>
        <w:pStyle w:val="a3"/>
        <w:spacing w:before="0" w:beforeAutospacing="0" w:after="0" w:afterAutospacing="0"/>
        <w:ind w:firstLine="420"/>
        <w:divId w:val="1263145644"/>
      </w:pPr>
      <w:r>
        <w:rPr>
          <w:rFonts w:hint="eastAsia"/>
          <w:sz w:val="18"/>
          <w:szCs w:val="18"/>
        </w:rPr>
        <w:t>本公司在租赁期内各个期间采用直线法或其他系统合理的方法，将经营租赁的</w:t>
      </w:r>
      <w:proofErr w:type="gramStart"/>
      <w:r>
        <w:rPr>
          <w:rFonts w:hint="eastAsia"/>
          <w:sz w:val="18"/>
          <w:szCs w:val="18"/>
        </w:rPr>
        <w:t>租赁收</w:t>
      </w:r>
      <w:proofErr w:type="gramEnd"/>
      <w:r>
        <w:rPr>
          <w:rFonts w:hint="eastAsia"/>
          <w:sz w:val="18"/>
          <w:szCs w:val="18"/>
        </w:rPr>
        <w:t>款额确认为租金收入；发生的与经营租赁有关的初始直接费用资本化，在租赁期内按照与租金收入确认相同的基础进行分摊，分期计入当期损益；取得的与经营租赁有关的未计入</w:t>
      </w:r>
      <w:proofErr w:type="gramStart"/>
      <w:r>
        <w:rPr>
          <w:rFonts w:hint="eastAsia"/>
          <w:sz w:val="18"/>
          <w:szCs w:val="18"/>
        </w:rPr>
        <w:t>租赁收</w:t>
      </w:r>
      <w:proofErr w:type="gramEnd"/>
      <w:r>
        <w:rPr>
          <w:rFonts w:hint="eastAsia"/>
          <w:sz w:val="18"/>
          <w:szCs w:val="18"/>
        </w:rPr>
        <w:t>款额的可变租赁付款额，在实际发生时计入当期损益。</w:t>
      </w:r>
    </w:p>
    <w:p w:rsidR="00E62F69" w:rsidRDefault="00B54A20">
      <w:pPr>
        <w:keepNext/>
        <w:keepLines/>
        <w:spacing w:before="300" w:after="300" w:line="280" w:lineRule="exact"/>
        <w:outlineLvl w:val="3"/>
        <w:rPr>
          <w:rFonts w:ascii="宋体" w:eastAsia="宋体" w:hAnsi="宋体" w:cs="宋体"/>
          <w:b/>
          <w:bCs/>
          <w:szCs w:val="21"/>
        </w:rPr>
      </w:pPr>
      <w:bookmarkStart w:id="68" w:name="_Toc989061"/>
      <w:r>
        <w:rPr>
          <w:rFonts w:ascii="宋体" w:eastAsia="宋体" w:hAnsi="宋体" w:cs="宋体"/>
          <w:b/>
          <w:bCs/>
          <w:szCs w:val="21"/>
        </w:rPr>
        <w:t>（2） 融资租赁的会计处理方法</w:t>
      </w:r>
      <w:bookmarkEnd w:id="68"/>
    </w:p>
    <w:p w:rsidR="00B54A20" w:rsidRDefault="00B54A20" w:rsidP="009867B5">
      <w:pPr>
        <w:pStyle w:val="a3"/>
        <w:spacing w:before="0" w:beforeAutospacing="0" w:after="0" w:afterAutospacing="0"/>
        <w:ind w:firstLine="420"/>
        <w:divId w:val="1693796129"/>
      </w:pPr>
      <w:r>
        <w:rPr>
          <w:rFonts w:hint="eastAsia"/>
          <w:sz w:val="18"/>
          <w:szCs w:val="18"/>
        </w:rPr>
        <w:t>在租赁期开始日，本公司对融资租赁确认应收融资租赁款，并终止确认融资租赁资产。</w:t>
      </w:r>
    </w:p>
    <w:p w:rsidR="00B54A20" w:rsidRDefault="00B54A20" w:rsidP="009867B5">
      <w:pPr>
        <w:pStyle w:val="a3"/>
        <w:spacing w:before="0" w:beforeAutospacing="0" w:after="0" w:afterAutospacing="0"/>
        <w:ind w:firstLine="420"/>
        <w:divId w:val="1693796129"/>
      </w:pPr>
      <w:r>
        <w:rPr>
          <w:rFonts w:hint="eastAsia"/>
          <w:sz w:val="18"/>
          <w:szCs w:val="18"/>
        </w:rPr>
        <w:t>应收融资租赁款初始计量时，以未担保余值和租赁期开始日尚未收到的</w:t>
      </w:r>
      <w:proofErr w:type="gramStart"/>
      <w:r>
        <w:rPr>
          <w:rFonts w:hint="eastAsia"/>
          <w:sz w:val="18"/>
          <w:szCs w:val="18"/>
        </w:rPr>
        <w:t>租赁收</w:t>
      </w:r>
      <w:proofErr w:type="gramEnd"/>
      <w:r>
        <w:rPr>
          <w:rFonts w:hint="eastAsia"/>
          <w:sz w:val="18"/>
          <w:szCs w:val="18"/>
        </w:rPr>
        <w:t>款额按照租赁内含利率折现的现值之和作为应收融资租赁款的入账价值。</w:t>
      </w:r>
      <w:proofErr w:type="gramStart"/>
      <w:r>
        <w:rPr>
          <w:rFonts w:hint="eastAsia"/>
          <w:sz w:val="18"/>
          <w:szCs w:val="18"/>
        </w:rPr>
        <w:t>租赁收</w:t>
      </w:r>
      <w:proofErr w:type="gramEnd"/>
      <w:r>
        <w:rPr>
          <w:rFonts w:hint="eastAsia"/>
          <w:sz w:val="18"/>
          <w:szCs w:val="18"/>
        </w:rPr>
        <w:t>款额包括：</w:t>
      </w:r>
    </w:p>
    <w:p w:rsidR="00B54A20" w:rsidRDefault="00B54A20" w:rsidP="009867B5">
      <w:pPr>
        <w:pStyle w:val="a3"/>
        <w:spacing w:before="0" w:beforeAutospacing="0" w:after="0" w:afterAutospacing="0"/>
        <w:ind w:firstLine="420"/>
        <w:divId w:val="1693796129"/>
      </w:pPr>
      <w:r>
        <w:rPr>
          <w:rFonts w:hint="eastAsia"/>
          <w:sz w:val="18"/>
          <w:szCs w:val="18"/>
        </w:rPr>
        <w:t>1）扣除租赁激励相关金额后的固定付款额及实质固定付款额；</w:t>
      </w:r>
    </w:p>
    <w:p w:rsidR="00B54A20" w:rsidRDefault="00B54A20" w:rsidP="009867B5">
      <w:pPr>
        <w:pStyle w:val="a3"/>
        <w:spacing w:before="0" w:beforeAutospacing="0" w:after="0" w:afterAutospacing="0"/>
        <w:ind w:firstLine="420"/>
        <w:divId w:val="1693796129"/>
      </w:pPr>
      <w:r>
        <w:rPr>
          <w:rFonts w:hint="eastAsia"/>
          <w:sz w:val="18"/>
          <w:szCs w:val="18"/>
        </w:rPr>
        <w:t>2）取决于指数或比率的可变租赁付款额；</w:t>
      </w:r>
    </w:p>
    <w:p w:rsidR="00B54A20" w:rsidRDefault="00B54A20" w:rsidP="009867B5">
      <w:pPr>
        <w:pStyle w:val="a3"/>
        <w:spacing w:before="0" w:beforeAutospacing="0" w:after="0" w:afterAutospacing="0"/>
        <w:ind w:firstLine="420"/>
        <w:divId w:val="1693796129"/>
      </w:pPr>
      <w:r>
        <w:rPr>
          <w:rFonts w:hint="eastAsia"/>
          <w:sz w:val="18"/>
          <w:szCs w:val="18"/>
        </w:rPr>
        <w:t>3）合理确定承租人将行使购买选择权的情况下，</w:t>
      </w:r>
      <w:proofErr w:type="gramStart"/>
      <w:r>
        <w:rPr>
          <w:rFonts w:hint="eastAsia"/>
          <w:sz w:val="18"/>
          <w:szCs w:val="18"/>
        </w:rPr>
        <w:t>租赁收</w:t>
      </w:r>
      <w:proofErr w:type="gramEnd"/>
      <w:r>
        <w:rPr>
          <w:rFonts w:hint="eastAsia"/>
          <w:sz w:val="18"/>
          <w:szCs w:val="18"/>
        </w:rPr>
        <w:t>款额包括购买选择权的行权价格；</w:t>
      </w:r>
    </w:p>
    <w:p w:rsidR="00B54A20" w:rsidRDefault="00B54A20" w:rsidP="009867B5">
      <w:pPr>
        <w:pStyle w:val="a3"/>
        <w:spacing w:before="0" w:beforeAutospacing="0" w:after="0" w:afterAutospacing="0"/>
        <w:ind w:firstLine="420"/>
        <w:divId w:val="1693796129"/>
      </w:pPr>
      <w:r>
        <w:rPr>
          <w:rFonts w:hint="eastAsia"/>
          <w:sz w:val="18"/>
          <w:szCs w:val="18"/>
        </w:rPr>
        <w:t>4）租赁</w:t>
      </w:r>
      <w:proofErr w:type="gramStart"/>
      <w:r>
        <w:rPr>
          <w:rFonts w:hint="eastAsia"/>
          <w:sz w:val="18"/>
          <w:szCs w:val="18"/>
        </w:rPr>
        <w:t>期反映</w:t>
      </w:r>
      <w:proofErr w:type="gramEnd"/>
      <w:r>
        <w:rPr>
          <w:rFonts w:hint="eastAsia"/>
          <w:sz w:val="18"/>
          <w:szCs w:val="18"/>
        </w:rPr>
        <w:t>出承租人将行使终止租赁选择权的情况下，</w:t>
      </w:r>
      <w:proofErr w:type="gramStart"/>
      <w:r>
        <w:rPr>
          <w:rFonts w:hint="eastAsia"/>
          <w:sz w:val="18"/>
          <w:szCs w:val="18"/>
        </w:rPr>
        <w:t>租赁收</w:t>
      </w:r>
      <w:proofErr w:type="gramEnd"/>
      <w:r>
        <w:rPr>
          <w:rFonts w:hint="eastAsia"/>
          <w:sz w:val="18"/>
          <w:szCs w:val="18"/>
        </w:rPr>
        <w:t>款额包括承租人行使终止租赁选择权需支付的款项；</w:t>
      </w:r>
    </w:p>
    <w:p w:rsidR="00B54A20" w:rsidRDefault="00B54A20" w:rsidP="009867B5">
      <w:pPr>
        <w:pStyle w:val="a3"/>
        <w:spacing w:before="0" w:beforeAutospacing="0" w:after="0" w:afterAutospacing="0"/>
        <w:ind w:firstLine="420"/>
        <w:divId w:val="1693796129"/>
      </w:pPr>
      <w:r>
        <w:rPr>
          <w:rFonts w:hint="eastAsia"/>
          <w:sz w:val="18"/>
          <w:szCs w:val="18"/>
        </w:rPr>
        <w:t>5）由承租人、与承租人有关的一方以及有经济能力履行担保义务的</w:t>
      </w:r>
      <w:proofErr w:type="gramStart"/>
      <w:r>
        <w:rPr>
          <w:rFonts w:hint="eastAsia"/>
          <w:sz w:val="18"/>
          <w:szCs w:val="18"/>
        </w:rPr>
        <w:t>独立第三</w:t>
      </w:r>
      <w:proofErr w:type="gramEnd"/>
      <w:r>
        <w:rPr>
          <w:rFonts w:hint="eastAsia"/>
          <w:sz w:val="18"/>
          <w:szCs w:val="18"/>
        </w:rPr>
        <w:t>方向出租人提供的担保余值。</w:t>
      </w:r>
    </w:p>
    <w:p w:rsidR="00B54A20" w:rsidRDefault="00B54A20" w:rsidP="009867B5">
      <w:pPr>
        <w:pStyle w:val="a3"/>
        <w:spacing w:before="0" w:beforeAutospacing="0" w:after="0" w:afterAutospacing="0"/>
        <w:ind w:firstLineChars="200" w:firstLine="360"/>
        <w:divId w:val="1693796129"/>
        <w:rPr>
          <w:sz w:val="18"/>
          <w:szCs w:val="18"/>
        </w:rPr>
      </w:pPr>
      <w:r>
        <w:rPr>
          <w:rFonts w:hint="eastAsia"/>
          <w:sz w:val="18"/>
          <w:szCs w:val="18"/>
        </w:rPr>
        <w:t>本公司按照固定的租赁内含利率计算并确认租赁期内各个期间的利息收入，所取得的未纳入租赁投资净额计量的可变租赁付款额在实际发生时计入当期损益。</w:t>
      </w:r>
    </w:p>
    <w:p w:rsidR="00E62F69" w:rsidRDefault="00B54A20">
      <w:pPr>
        <w:pStyle w:val="3"/>
        <w:spacing w:line="280" w:lineRule="exact"/>
        <w:jc w:val="left"/>
        <w:rPr>
          <w:rFonts w:ascii="宋体" w:hAnsi="宋体" w:cs="宋体"/>
          <w:b/>
          <w:bCs/>
        </w:rPr>
      </w:pPr>
      <w:bookmarkStart w:id="69" w:name="_Toc989062"/>
      <w:r>
        <w:rPr>
          <w:rFonts w:ascii="宋体" w:hAnsi="宋体" w:cs="宋体"/>
          <w:b/>
          <w:bCs/>
        </w:rPr>
        <w:t>43、其他重要的会计政策和会计估计</w:t>
      </w:r>
      <w:bookmarkEnd w:id="69"/>
    </w:p>
    <w:p w:rsidR="00B54A20" w:rsidRDefault="00B54A20" w:rsidP="00D51BB1">
      <w:pPr>
        <w:widowControl/>
        <w:numPr>
          <w:ilvl w:val="0"/>
          <w:numId w:val="45"/>
        </w:numPr>
        <w:divId w:val="1511526466"/>
        <w:rPr>
          <w:rFonts w:ascii="Calibri" w:hAnsi="Calibri"/>
          <w:szCs w:val="21"/>
        </w:rPr>
      </w:pPr>
      <w:r>
        <w:rPr>
          <w:rFonts w:hint="eastAsia"/>
          <w:sz w:val="18"/>
          <w:szCs w:val="18"/>
        </w:rPr>
        <w:t>终止经营</w:t>
      </w:r>
    </w:p>
    <w:p w:rsidR="00B54A20" w:rsidRDefault="00B54A20">
      <w:pPr>
        <w:pStyle w:val="a3"/>
        <w:spacing w:before="0" w:beforeAutospacing="0" w:after="0" w:afterAutospacing="0"/>
        <w:ind w:firstLine="420"/>
        <w:divId w:val="1511526466"/>
      </w:pPr>
      <w:r>
        <w:rPr>
          <w:rFonts w:hint="eastAsia"/>
          <w:sz w:val="18"/>
          <w:szCs w:val="18"/>
        </w:rPr>
        <w:t>本公司将满足下列条件之一的，且该组成部分已经处置或划归为持有待售类别的、能够单独区分的组成部分确认为终止经营组成部分：</w:t>
      </w:r>
    </w:p>
    <w:p w:rsidR="00B54A20" w:rsidRDefault="00B54A20">
      <w:pPr>
        <w:pStyle w:val="a3"/>
        <w:spacing w:before="0" w:beforeAutospacing="0" w:after="0" w:afterAutospacing="0"/>
        <w:ind w:firstLine="420"/>
        <w:divId w:val="1511526466"/>
      </w:pPr>
      <w:r>
        <w:rPr>
          <w:rFonts w:hint="eastAsia"/>
          <w:sz w:val="18"/>
          <w:szCs w:val="18"/>
        </w:rPr>
        <w:t>（1）该组成部分代表一项独立的主要业务或一个单独的主要经营地区。</w:t>
      </w:r>
    </w:p>
    <w:p w:rsidR="00B54A20" w:rsidRDefault="00B54A20">
      <w:pPr>
        <w:pStyle w:val="a3"/>
        <w:spacing w:before="0" w:beforeAutospacing="0" w:after="0" w:afterAutospacing="0"/>
        <w:ind w:firstLine="420"/>
        <w:divId w:val="1511526466"/>
      </w:pPr>
      <w:r>
        <w:rPr>
          <w:rFonts w:hint="eastAsia"/>
          <w:sz w:val="18"/>
          <w:szCs w:val="18"/>
        </w:rPr>
        <w:t>（2）该组成部分是拟对一项独立的主要业务或一个单独的主要经营地区进行处置的一项相关联计划的一部分。</w:t>
      </w:r>
    </w:p>
    <w:p w:rsidR="00B54A20" w:rsidRDefault="00B54A20">
      <w:pPr>
        <w:pStyle w:val="a3"/>
        <w:spacing w:before="0" w:beforeAutospacing="0" w:after="0" w:afterAutospacing="0"/>
        <w:ind w:firstLine="420"/>
        <w:divId w:val="1511526466"/>
      </w:pPr>
      <w:r>
        <w:rPr>
          <w:rFonts w:hint="eastAsia"/>
          <w:sz w:val="18"/>
          <w:szCs w:val="18"/>
        </w:rPr>
        <w:t>（3）该组成部分是专为转售而取得的子公司。</w:t>
      </w:r>
    </w:p>
    <w:p w:rsidR="00B54A20" w:rsidRDefault="00B54A20">
      <w:pPr>
        <w:pStyle w:val="a3"/>
        <w:spacing w:before="0" w:beforeAutospacing="0" w:after="0" w:afterAutospacing="0"/>
        <w:ind w:firstLine="420"/>
        <w:divId w:val="1511526466"/>
      </w:pPr>
      <w:r>
        <w:rPr>
          <w:rFonts w:hint="eastAsia"/>
          <w:sz w:val="18"/>
          <w:szCs w:val="18"/>
        </w:rPr>
        <w:t>终止经营的减值损失和转回金额等经营损益及处置损益作为终止经营损益在利润表中列示。</w:t>
      </w:r>
    </w:p>
    <w:p w:rsidR="00B54A20" w:rsidRDefault="00B54A20" w:rsidP="00D51BB1">
      <w:pPr>
        <w:widowControl/>
        <w:numPr>
          <w:ilvl w:val="0"/>
          <w:numId w:val="46"/>
        </w:numPr>
        <w:divId w:val="1511526466"/>
        <w:rPr>
          <w:rFonts w:ascii="Calibri" w:hAnsi="Calibri"/>
          <w:szCs w:val="21"/>
        </w:rPr>
      </w:pPr>
      <w:r>
        <w:rPr>
          <w:rFonts w:hint="eastAsia"/>
          <w:sz w:val="18"/>
          <w:szCs w:val="18"/>
        </w:rPr>
        <w:t>套期会计</w:t>
      </w:r>
    </w:p>
    <w:p w:rsidR="00B54A20" w:rsidRDefault="00B54A20">
      <w:pPr>
        <w:pStyle w:val="a3"/>
        <w:spacing w:before="0" w:beforeAutospacing="0" w:after="0" w:afterAutospacing="0"/>
        <w:ind w:firstLine="420"/>
        <w:divId w:val="1511526466"/>
      </w:pPr>
      <w:r>
        <w:rPr>
          <w:rFonts w:hint="eastAsia"/>
          <w:sz w:val="18"/>
          <w:szCs w:val="18"/>
        </w:rPr>
        <w:t>本公司按照套期关系，将套期保值划分为公允价值套期、现金流量套期和境外净投资套期。</w:t>
      </w:r>
    </w:p>
    <w:p w:rsidR="00B54A20" w:rsidRDefault="00B54A20" w:rsidP="00D51BB1">
      <w:pPr>
        <w:widowControl/>
        <w:numPr>
          <w:ilvl w:val="0"/>
          <w:numId w:val="47"/>
        </w:numPr>
        <w:ind w:left="714" w:hanging="357"/>
        <w:divId w:val="1511526466"/>
        <w:rPr>
          <w:sz w:val="18"/>
          <w:szCs w:val="18"/>
        </w:rPr>
      </w:pPr>
      <w:r>
        <w:rPr>
          <w:rFonts w:ascii="Times New Roman" w:hAnsi="Times New Roman" w:cs="Times New Roman"/>
          <w:sz w:val="18"/>
          <w:szCs w:val="18"/>
        </w:rPr>
        <w:t> </w:t>
      </w:r>
      <w:r>
        <w:rPr>
          <w:rFonts w:hint="eastAsia"/>
          <w:sz w:val="18"/>
          <w:szCs w:val="18"/>
        </w:rPr>
        <w:t>对于同时满足下列条件的套期工具，运用套期会计方法进行处理</w:t>
      </w:r>
    </w:p>
    <w:p w:rsidR="00B54A20" w:rsidRDefault="00B54A20">
      <w:pPr>
        <w:pStyle w:val="a3"/>
        <w:spacing w:before="0" w:beforeAutospacing="0" w:after="0" w:afterAutospacing="0"/>
        <w:ind w:firstLine="420"/>
        <w:divId w:val="1511526466"/>
      </w:pPr>
      <w:r>
        <w:rPr>
          <w:rFonts w:hint="eastAsia"/>
          <w:sz w:val="18"/>
          <w:szCs w:val="18"/>
        </w:rPr>
        <w:t>（1）套</w:t>
      </w:r>
      <w:proofErr w:type="gramStart"/>
      <w:r>
        <w:rPr>
          <w:rFonts w:hint="eastAsia"/>
          <w:sz w:val="18"/>
          <w:szCs w:val="18"/>
        </w:rPr>
        <w:t>期关系</w:t>
      </w:r>
      <w:proofErr w:type="gramEnd"/>
      <w:r>
        <w:rPr>
          <w:rFonts w:hint="eastAsia"/>
          <w:sz w:val="18"/>
          <w:szCs w:val="18"/>
        </w:rPr>
        <w:t>仅由符合条件的套</w:t>
      </w:r>
      <w:proofErr w:type="gramStart"/>
      <w:r>
        <w:rPr>
          <w:rFonts w:hint="eastAsia"/>
          <w:sz w:val="18"/>
          <w:szCs w:val="18"/>
        </w:rPr>
        <w:t>期工具</w:t>
      </w:r>
      <w:proofErr w:type="gramEnd"/>
      <w:r>
        <w:rPr>
          <w:rFonts w:hint="eastAsia"/>
          <w:sz w:val="18"/>
          <w:szCs w:val="18"/>
        </w:rPr>
        <w:t>和被套</w:t>
      </w:r>
      <w:proofErr w:type="gramStart"/>
      <w:r>
        <w:rPr>
          <w:rFonts w:hint="eastAsia"/>
          <w:sz w:val="18"/>
          <w:szCs w:val="18"/>
        </w:rPr>
        <w:t>期项目</w:t>
      </w:r>
      <w:proofErr w:type="gramEnd"/>
      <w:r>
        <w:rPr>
          <w:rFonts w:hint="eastAsia"/>
          <w:sz w:val="18"/>
          <w:szCs w:val="18"/>
        </w:rPr>
        <w:t>组成。</w:t>
      </w:r>
    </w:p>
    <w:p w:rsidR="00B54A20" w:rsidRDefault="00B54A20">
      <w:pPr>
        <w:pStyle w:val="a3"/>
        <w:spacing w:before="0" w:beforeAutospacing="0" w:after="0" w:afterAutospacing="0"/>
        <w:ind w:firstLine="420"/>
        <w:divId w:val="1511526466"/>
      </w:pPr>
      <w:r>
        <w:rPr>
          <w:rFonts w:hint="eastAsia"/>
          <w:sz w:val="18"/>
          <w:szCs w:val="18"/>
        </w:rPr>
        <w:t>（2）在套期开始时，本公司正式指定了套</w:t>
      </w:r>
      <w:proofErr w:type="gramStart"/>
      <w:r>
        <w:rPr>
          <w:rFonts w:hint="eastAsia"/>
          <w:sz w:val="18"/>
          <w:szCs w:val="18"/>
        </w:rPr>
        <w:t>期工具</w:t>
      </w:r>
      <w:proofErr w:type="gramEnd"/>
      <w:r>
        <w:rPr>
          <w:rFonts w:hint="eastAsia"/>
          <w:sz w:val="18"/>
          <w:szCs w:val="18"/>
        </w:rPr>
        <w:t>和被套期项目，并准备了关于套</w:t>
      </w:r>
      <w:proofErr w:type="gramStart"/>
      <w:r>
        <w:rPr>
          <w:rFonts w:hint="eastAsia"/>
          <w:sz w:val="18"/>
          <w:szCs w:val="18"/>
        </w:rPr>
        <w:t>期关系</w:t>
      </w:r>
      <w:proofErr w:type="gramEnd"/>
      <w:r>
        <w:rPr>
          <w:rFonts w:hint="eastAsia"/>
          <w:sz w:val="18"/>
          <w:szCs w:val="18"/>
        </w:rPr>
        <w:t>和从事套期的风险管理策略和风险管理目标的书面文件。</w:t>
      </w:r>
    </w:p>
    <w:p w:rsidR="00B54A20" w:rsidRDefault="00B54A20">
      <w:pPr>
        <w:pStyle w:val="a3"/>
        <w:spacing w:before="0" w:beforeAutospacing="0" w:after="0" w:afterAutospacing="0"/>
        <w:ind w:firstLine="420"/>
        <w:divId w:val="1511526466"/>
      </w:pPr>
      <w:r>
        <w:rPr>
          <w:rFonts w:hint="eastAsia"/>
          <w:sz w:val="18"/>
          <w:szCs w:val="18"/>
        </w:rPr>
        <w:t>（3）套</w:t>
      </w:r>
      <w:proofErr w:type="gramStart"/>
      <w:r>
        <w:rPr>
          <w:rFonts w:hint="eastAsia"/>
          <w:sz w:val="18"/>
          <w:szCs w:val="18"/>
        </w:rPr>
        <w:t>期关系</w:t>
      </w:r>
      <w:proofErr w:type="gramEnd"/>
      <w:r>
        <w:rPr>
          <w:rFonts w:hint="eastAsia"/>
          <w:sz w:val="18"/>
          <w:szCs w:val="18"/>
        </w:rPr>
        <w:t>符合套期有效性要求。</w:t>
      </w:r>
    </w:p>
    <w:p w:rsidR="00B54A20" w:rsidRDefault="00B54A20">
      <w:pPr>
        <w:pStyle w:val="a3"/>
        <w:spacing w:before="0" w:beforeAutospacing="0" w:after="0" w:afterAutospacing="0"/>
        <w:ind w:firstLine="420"/>
        <w:divId w:val="1511526466"/>
      </w:pPr>
      <w:r>
        <w:rPr>
          <w:rFonts w:hint="eastAsia"/>
          <w:sz w:val="18"/>
          <w:szCs w:val="18"/>
        </w:rPr>
        <w:t>套</w:t>
      </w:r>
      <w:proofErr w:type="gramStart"/>
      <w:r>
        <w:rPr>
          <w:rFonts w:hint="eastAsia"/>
          <w:sz w:val="18"/>
          <w:szCs w:val="18"/>
        </w:rPr>
        <w:t>期同时</w:t>
      </w:r>
      <w:proofErr w:type="gramEnd"/>
      <w:r>
        <w:rPr>
          <w:rFonts w:hint="eastAsia"/>
          <w:sz w:val="18"/>
          <w:szCs w:val="18"/>
        </w:rPr>
        <w:t>满足下列条件的，认定套</w:t>
      </w:r>
      <w:proofErr w:type="gramStart"/>
      <w:r>
        <w:rPr>
          <w:rFonts w:hint="eastAsia"/>
          <w:sz w:val="18"/>
          <w:szCs w:val="18"/>
        </w:rPr>
        <w:t>期关系</w:t>
      </w:r>
      <w:proofErr w:type="gramEnd"/>
      <w:r>
        <w:rPr>
          <w:rFonts w:hint="eastAsia"/>
          <w:sz w:val="18"/>
          <w:szCs w:val="18"/>
        </w:rPr>
        <w:t>符合套期有效性要求：</w:t>
      </w:r>
    </w:p>
    <w:p w:rsidR="00B54A20" w:rsidRDefault="00B54A20">
      <w:pPr>
        <w:pStyle w:val="a3"/>
        <w:spacing w:before="0" w:beforeAutospacing="0" w:after="0" w:afterAutospacing="0"/>
        <w:ind w:firstLine="420"/>
        <w:divId w:val="1511526466"/>
      </w:pPr>
      <w:r>
        <w:rPr>
          <w:rFonts w:hint="eastAsia"/>
          <w:sz w:val="18"/>
          <w:szCs w:val="18"/>
        </w:rPr>
        <w:t>1）被套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之间存在经济关系。该经济关系使得套</w:t>
      </w:r>
      <w:proofErr w:type="gramStart"/>
      <w:r>
        <w:rPr>
          <w:rFonts w:hint="eastAsia"/>
          <w:sz w:val="18"/>
          <w:szCs w:val="18"/>
        </w:rPr>
        <w:t>期工具</w:t>
      </w:r>
      <w:proofErr w:type="gramEnd"/>
      <w:r>
        <w:rPr>
          <w:rFonts w:hint="eastAsia"/>
          <w:sz w:val="18"/>
          <w:szCs w:val="18"/>
        </w:rPr>
        <w:t>和被套</w:t>
      </w:r>
      <w:proofErr w:type="gramStart"/>
      <w:r>
        <w:rPr>
          <w:rFonts w:hint="eastAsia"/>
          <w:sz w:val="18"/>
          <w:szCs w:val="18"/>
        </w:rPr>
        <w:t>期项目</w:t>
      </w:r>
      <w:proofErr w:type="gramEnd"/>
      <w:r>
        <w:rPr>
          <w:rFonts w:hint="eastAsia"/>
          <w:sz w:val="18"/>
          <w:szCs w:val="18"/>
        </w:rPr>
        <w:t>的价值因面临相同的被套期风险而发生方向相反的变动。</w:t>
      </w:r>
    </w:p>
    <w:p w:rsidR="00B54A20" w:rsidRDefault="00B54A20">
      <w:pPr>
        <w:pStyle w:val="a3"/>
        <w:spacing w:before="0" w:beforeAutospacing="0" w:after="0" w:afterAutospacing="0"/>
        <w:ind w:firstLine="420"/>
        <w:divId w:val="1511526466"/>
      </w:pPr>
      <w:r>
        <w:rPr>
          <w:rFonts w:hint="eastAsia"/>
          <w:sz w:val="18"/>
          <w:szCs w:val="18"/>
        </w:rPr>
        <w:t>2）被套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经济关系产生的价值变动中，信用风险的影响不占主导地位。</w:t>
      </w:r>
    </w:p>
    <w:p w:rsidR="00B54A20" w:rsidRDefault="00B54A20">
      <w:pPr>
        <w:pStyle w:val="a3"/>
        <w:spacing w:before="0" w:beforeAutospacing="0" w:after="0" w:afterAutospacing="0"/>
        <w:ind w:firstLine="420"/>
        <w:divId w:val="1511526466"/>
      </w:pPr>
      <w:r>
        <w:rPr>
          <w:rFonts w:hint="eastAsia"/>
          <w:sz w:val="18"/>
          <w:szCs w:val="18"/>
        </w:rPr>
        <w:t>3）套</w:t>
      </w:r>
      <w:proofErr w:type="gramStart"/>
      <w:r>
        <w:rPr>
          <w:rFonts w:hint="eastAsia"/>
          <w:sz w:val="18"/>
          <w:szCs w:val="18"/>
        </w:rPr>
        <w:t>期关系</w:t>
      </w:r>
      <w:proofErr w:type="gramEnd"/>
      <w:r>
        <w:rPr>
          <w:rFonts w:hint="eastAsia"/>
          <w:sz w:val="18"/>
          <w:szCs w:val="18"/>
        </w:rPr>
        <w:t>的套期比率，等于公司实际套期的被套</w:t>
      </w:r>
      <w:proofErr w:type="gramStart"/>
      <w:r>
        <w:rPr>
          <w:rFonts w:hint="eastAsia"/>
          <w:sz w:val="18"/>
          <w:szCs w:val="18"/>
        </w:rPr>
        <w:t>期项目</w:t>
      </w:r>
      <w:proofErr w:type="gramEnd"/>
      <w:r>
        <w:rPr>
          <w:rFonts w:hint="eastAsia"/>
          <w:sz w:val="18"/>
          <w:szCs w:val="18"/>
        </w:rPr>
        <w:t>数量与对其进行套期的套</w:t>
      </w:r>
      <w:proofErr w:type="gramStart"/>
      <w:r>
        <w:rPr>
          <w:rFonts w:hint="eastAsia"/>
          <w:sz w:val="18"/>
          <w:szCs w:val="18"/>
        </w:rPr>
        <w:t>期工具</w:t>
      </w:r>
      <w:proofErr w:type="gramEnd"/>
      <w:r>
        <w:rPr>
          <w:rFonts w:hint="eastAsia"/>
          <w:sz w:val="18"/>
          <w:szCs w:val="18"/>
        </w:rPr>
        <w:t>实际数量之比，但不反映被套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相对权重的失衡，这种失衡会导致套期无效，并可能产生与套期会计目标不一致的会计结果。</w:t>
      </w:r>
    </w:p>
    <w:p w:rsidR="00B54A20" w:rsidRDefault="00B54A20" w:rsidP="00D51BB1">
      <w:pPr>
        <w:widowControl/>
        <w:numPr>
          <w:ilvl w:val="0"/>
          <w:numId w:val="48"/>
        </w:numPr>
        <w:ind w:left="714" w:hanging="357"/>
        <w:divId w:val="1511526466"/>
        <w:rPr>
          <w:sz w:val="18"/>
          <w:szCs w:val="18"/>
        </w:rPr>
      </w:pPr>
      <w:r>
        <w:rPr>
          <w:rFonts w:ascii="Times New Roman" w:hAnsi="Times New Roman" w:cs="Times New Roman"/>
          <w:sz w:val="18"/>
          <w:szCs w:val="18"/>
        </w:rPr>
        <w:t> </w:t>
      </w:r>
      <w:r>
        <w:rPr>
          <w:rFonts w:hint="eastAsia"/>
          <w:sz w:val="18"/>
          <w:szCs w:val="18"/>
        </w:rPr>
        <w:t>公允价值套期会计处理</w:t>
      </w:r>
    </w:p>
    <w:p w:rsidR="00B54A20" w:rsidRDefault="00B54A20">
      <w:pPr>
        <w:pStyle w:val="a3"/>
        <w:spacing w:before="0" w:beforeAutospacing="0" w:after="0" w:afterAutospacing="0"/>
        <w:ind w:firstLine="420"/>
        <w:divId w:val="1511526466"/>
      </w:pPr>
      <w:r>
        <w:rPr>
          <w:rFonts w:hint="eastAsia"/>
          <w:sz w:val="18"/>
          <w:szCs w:val="18"/>
        </w:rPr>
        <w:t>（1）套</w:t>
      </w:r>
      <w:proofErr w:type="gramStart"/>
      <w:r>
        <w:rPr>
          <w:rFonts w:hint="eastAsia"/>
          <w:sz w:val="18"/>
          <w:szCs w:val="18"/>
        </w:rPr>
        <w:t>期工具</w:t>
      </w:r>
      <w:proofErr w:type="gramEnd"/>
      <w:r>
        <w:rPr>
          <w:rFonts w:hint="eastAsia"/>
          <w:sz w:val="18"/>
          <w:szCs w:val="18"/>
        </w:rPr>
        <w:t>产生的利得或损失计入当期损益。如果套</w:t>
      </w:r>
      <w:proofErr w:type="gramStart"/>
      <w:r>
        <w:rPr>
          <w:rFonts w:hint="eastAsia"/>
          <w:sz w:val="18"/>
          <w:szCs w:val="18"/>
        </w:rPr>
        <w:t>期工具</w:t>
      </w:r>
      <w:proofErr w:type="gramEnd"/>
      <w:r>
        <w:rPr>
          <w:rFonts w:hint="eastAsia"/>
          <w:sz w:val="18"/>
          <w:szCs w:val="18"/>
        </w:rPr>
        <w:t>是对选择以公允价值计量且其变动计入其他综合收益的</w:t>
      </w:r>
      <w:proofErr w:type="gramStart"/>
      <w:r>
        <w:rPr>
          <w:rFonts w:hint="eastAsia"/>
          <w:sz w:val="18"/>
          <w:szCs w:val="18"/>
        </w:rPr>
        <w:t>非交易</w:t>
      </w:r>
      <w:proofErr w:type="gramEnd"/>
      <w:r>
        <w:rPr>
          <w:rFonts w:hint="eastAsia"/>
          <w:sz w:val="18"/>
          <w:szCs w:val="18"/>
        </w:rPr>
        <w:t>性权益工具投资（或其组成部分）进行套期的，套</w:t>
      </w:r>
      <w:proofErr w:type="gramStart"/>
      <w:r>
        <w:rPr>
          <w:rFonts w:hint="eastAsia"/>
          <w:sz w:val="18"/>
          <w:szCs w:val="18"/>
        </w:rPr>
        <w:t>期工具</w:t>
      </w:r>
      <w:proofErr w:type="gramEnd"/>
      <w:r>
        <w:rPr>
          <w:rFonts w:hint="eastAsia"/>
          <w:sz w:val="18"/>
          <w:szCs w:val="18"/>
        </w:rPr>
        <w:t>产生的利得或损失计入其他综合收益。</w:t>
      </w:r>
    </w:p>
    <w:p w:rsidR="00B54A20" w:rsidRDefault="00B54A20">
      <w:pPr>
        <w:pStyle w:val="a3"/>
        <w:spacing w:before="0" w:beforeAutospacing="0" w:after="0" w:afterAutospacing="0"/>
        <w:ind w:firstLine="420"/>
        <w:divId w:val="1511526466"/>
      </w:pPr>
      <w:r>
        <w:rPr>
          <w:rFonts w:hint="eastAsia"/>
          <w:sz w:val="18"/>
          <w:szCs w:val="18"/>
        </w:rPr>
        <w:t>（2）被套</w:t>
      </w:r>
      <w:proofErr w:type="gramStart"/>
      <w:r>
        <w:rPr>
          <w:rFonts w:hint="eastAsia"/>
          <w:sz w:val="18"/>
          <w:szCs w:val="18"/>
        </w:rPr>
        <w:t>期项目</w:t>
      </w:r>
      <w:proofErr w:type="gramEnd"/>
      <w:r>
        <w:rPr>
          <w:rFonts w:hint="eastAsia"/>
          <w:sz w:val="18"/>
          <w:szCs w:val="18"/>
        </w:rPr>
        <w:t>因被套期风险敞口形成的利得或损失计入当期损益，同时调整未以公允价值计量的已确认被套</w:t>
      </w:r>
      <w:proofErr w:type="gramStart"/>
      <w:r>
        <w:rPr>
          <w:rFonts w:hint="eastAsia"/>
          <w:sz w:val="18"/>
          <w:szCs w:val="18"/>
        </w:rPr>
        <w:t>期项目</w:t>
      </w:r>
      <w:proofErr w:type="gramEnd"/>
      <w:r>
        <w:rPr>
          <w:rFonts w:hint="eastAsia"/>
          <w:sz w:val="18"/>
          <w:szCs w:val="18"/>
        </w:rPr>
        <w:t>的账面价值。被套</w:t>
      </w:r>
      <w:proofErr w:type="gramStart"/>
      <w:r>
        <w:rPr>
          <w:rFonts w:hint="eastAsia"/>
          <w:sz w:val="18"/>
          <w:szCs w:val="18"/>
        </w:rPr>
        <w:t>期项目</w:t>
      </w:r>
      <w:proofErr w:type="gramEnd"/>
      <w:r>
        <w:rPr>
          <w:rFonts w:hint="eastAsia"/>
          <w:sz w:val="18"/>
          <w:szCs w:val="18"/>
        </w:rPr>
        <w:t>为以公允价值计量且其变动计入其他综合收益的金融资产（或其组成部分）的，其因被套期风险敞口形成的利得或损失计入当期损益，其账面价值已经按公允价值计量，不需要调整；被套</w:t>
      </w:r>
      <w:proofErr w:type="gramStart"/>
      <w:r>
        <w:rPr>
          <w:rFonts w:hint="eastAsia"/>
          <w:sz w:val="18"/>
          <w:szCs w:val="18"/>
        </w:rPr>
        <w:t>期项目</w:t>
      </w:r>
      <w:proofErr w:type="gramEnd"/>
      <w:r>
        <w:rPr>
          <w:rFonts w:hint="eastAsia"/>
          <w:sz w:val="18"/>
          <w:szCs w:val="18"/>
        </w:rPr>
        <w:t>为公司选择以公允价值计量且其变动计入其他综合收益的</w:t>
      </w:r>
      <w:proofErr w:type="gramStart"/>
      <w:r>
        <w:rPr>
          <w:rFonts w:hint="eastAsia"/>
          <w:sz w:val="18"/>
          <w:szCs w:val="18"/>
        </w:rPr>
        <w:t>非交易</w:t>
      </w:r>
      <w:proofErr w:type="gramEnd"/>
      <w:r>
        <w:rPr>
          <w:rFonts w:hint="eastAsia"/>
          <w:sz w:val="18"/>
          <w:szCs w:val="18"/>
        </w:rPr>
        <w:t>性权益工具投资（或其组成部分）的，其因被套期风险敞口形成的利得或损失计入其他综合收益，其账面价值已经按公允价值计量，不需要调整。</w:t>
      </w:r>
    </w:p>
    <w:p w:rsidR="00B54A20" w:rsidRDefault="00B54A20">
      <w:pPr>
        <w:pStyle w:val="a3"/>
        <w:spacing w:before="0" w:beforeAutospacing="0" w:after="0" w:afterAutospacing="0"/>
        <w:ind w:firstLine="420"/>
        <w:divId w:val="1511526466"/>
      </w:pPr>
      <w:r>
        <w:rPr>
          <w:rFonts w:hint="eastAsia"/>
          <w:sz w:val="18"/>
          <w:szCs w:val="18"/>
        </w:rPr>
        <w:t>被套</w:t>
      </w:r>
      <w:proofErr w:type="gramStart"/>
      <w:r>
        <w:rPr>
          <w:rFonts w:hint="eastAsia"/>
          <w:sz w:val="18"/>
          <w:szCs w:val="18"/>
        </w:rPr>
        <w:t>期项目</w:t>
      </w:r>
      <w:proofErr w:type="gramEnd"/>
      <w:r>
        <w:rPr>
          <w:rFonts w:hint="eastAsia"/>
          <w:sz w:val="18"/>
          <w:szCs w:val="18"/>
        </w:rPr>
        <w:t>为尚未确认的确定承诺（或其组成部分）的，其在套</w:t>
      </w:r>
      <w:proofErr w:type="gramStart"/>
      <w:r>
        <w:rPr>
          <w:rFonts w:hint="eastAsia"/>
          <w:sz w:val="18"/>
          <w:szCs w:val="18"/>
        </w:rPr>
        <w:t>期关系</w:t>
      </w:r>
      <w:proofErr w:type="gramEnd"/>
      <w:r>
        <w:rPr>
          <w:rFonts w:hint="eastAsia"/>
          <w:sz w:val="18"/>
          <w:szCs w:val="18"/>
        </w:rPr>
        <w:t>指定后因被套期风险引起的公允价值累计变动额确认为一项资产或负债，相关的利得或损失计入各相关期间损益。当履行确定承诺而取得资产或承担负债时，调整该资产或负债的初始确认金额，以包括已确认的被套</w:t>
      </w:r>
      <w:proofErr w:type="gramStart"/>
      <w:r>
        <w:rPr>
          <w:rFonts w:hint="eastAsia"/>
          <w:sz w:val="18"/>
          <w:szCs w:val="18"/>
        </w:rPr>
        <w:t>期项目</w:t>
      </w:r>
      <w:proofErr w:type="gramEnd"/>
      <w:r>
        <w:rPr>
          <w:rFonts w:hint="eastAsia"/>
          <w:sz w:val="18"/>
          <w:szCs w:val="18"/>
        </w:rPr>
        <w:t>的公允价值累计变动额。</w:t>
      </w:r>
    </w:p>
    <w:p w:rsidR="00B54A20" w:rsidRDefault="00B54A20">
      <w:pPr>
        <w:pStyle w:val="a3"/>
        <w:spacing w:before="0" w:beforeAutospacing="0" w:after="0" w:afterAutospacing="0"/>
        <w:ind w:firstLine="420"/>
        <w:divId w:val="1511526466"/>
      </w:pPr>
      <w:r>
        <w:rPr>
          <w:rFonts w:hint="eastAsia"/>
          <w:sz w:val="18"/>
          <w:szCs w:val="18"/>
        </w:rPr>
        <w:t>（3）被套</w:t>
      </w:r>
      <w:proofErr w:type="gramStart"/>
      <w:r>
        <w:rPr>
          <w:rFonts w:hint="eastAsia"/>
          <w:sz w:val="18"/>
          <w:szCs w:val="18"/>
        </w:rPr>
        <w:t>期项目</w:t>
      </w:r>
      <w:proofErr w:type="gramEnd"/>
      <w:r>
        <w:rPr>
          <w:rFonts w:hint="eastAsia"/>
          <w:sz w:val="18"/>
          <w:szCs w:val="18"/>
        </w:rPr>
        <w:t>为以摊</w:t>
      </w:r>
      <w:proofErr w:type="gramStart"/>
      <w:r>
        <w:rPr>
          <w:rFonts w:hint="eastAsia"/>
          <w:sz w:val="18"/>
          <w:szCs w:val="18"/>
        </w:rPr>
        <w:t>余成本</w:t>
      </w:r>
      <w:proofErr w:type="gramEnd"/>
      <w:r>
        <w:rPr>
          <w:rFonts w:hint="eastAsia"/>
          <w:sz w:val="18"/>
          <w:szCs w:val="18"/>
        </w:rPr>
        <w:t>计量的金融工具（或其组成部分）的，对被套</w:t>
      </w:r>
      <w:proofErr w:type="gramStart"/>
      <w:r>
        <w:rPr>
          <w:rFonts w:hint="eastAsia"/>
          <w:sz w:val="18"/>
          <w:szCs w:val="18"/>
        </w:rPr>
        <w:t>期项目</w:t>
      </w:r>
      <w:proofErr w:type="gramEnd"/>
      <w:r>
        <w:rPr>
          <w:rFonts w:hint="eastAsia"/>
          <w:sz w:val="18"/>
          <w:szCs w:val="18"/>
        </w:rPr>
        <w:t>账面价值所作的调整按照开始摊销日重新计算的实际利率进行摊销，并计入当期损益。该摊销可以自调整日开始，但不晚于对被套</w:t>
      </w:r>
      <w:proofErr w:type="gramStart"/>
      <w:r>
        <w:rPr>
          <w:rFonts w:hint="eastAsia"/>
          <w:sz w:val="18"/>
          <w:szCs w:val="18"/>
        </w:rPr>
        <w:t>期项目</w:t>
      </w:r>
      <w:proofErr w:type="gramEnd"/>
      <w:r>
        <w:rPr>
          <w:rFonts w:hint="eastAsia"/>
          <w:sz w:val="18"/>
          <w:szCs w:val="18"/>
        </w:rPr>
        <w:t>终止进行</w:t>
      </w:r>
      <w:proofErr w:type="gramStart"/>
      <w:r>
        <w:rPr>
          <w:rFonts w:hint="eastAsia"/>
          <w:sz w:val="18"/>
          <w:szCs w:val="18"/>
        </w:rPr>
        <w:t>套期利得</w:t>
      </w:r>
      <w:proofErr w:type="gramEnd"/>
      <w:r>
        <w:rPr>
          <w:rFonts w:hint="eastAsia"/>
          <w:sz w:val="18"/>
          <w:szCs w:val="18"/>
        </w:rPr>
        <w:t>和损失调整的时点。被套</w:t>
      </w:r>
      <w:proofErr w:type="gramStart"/>
      <w:r>
        <w:rPr>
          <w:rFonts w:hint="eastAsia"/>
          <w:sz w:val="18"/>
          <w:szCs w:val="18"/>
        </w:rPr>
        <w:t>期项目</w:t>
      </w:r>
      <w:proofErr w:type="gramEnd"/>
      <w:r>
        <w:rPr>
          <w:rFonts w:hint="eastAsia"/>
          <w:sz w:val="18"/>
          <w:szCs w:val="18"/>
        </w:rPr>
        <w:t>为以公允价值计量且其变动计入其他综合收益的金融资产（或其组成部分）的，则按照相同的方式对累计已确认的</w:t>
      </w:r>
      <w:proofErr w:type="gramStart"/>
      <w:r>
        <w:rPr>
          <w:rFonts w:hint="eastAsia"/>
          <w:sz w:val="18"/>
          <w:szCs w:val="18"/>
        </w:rPr>
        <w:t>套期利得</w:t>
      </w:r>
      <w:proofErr w:type="gramEnd"/>
      <w:r>
        <w:rPr>
          <w:rFonts w:hint="eastAsia"/>
          <w:sz w:val="18"/>
          <w:szCs w:val="18"/>
        </w:rPr>
        <w:t>或损失进行摊销，并计入当期损益，但不调整金融资产（或其组成部分）的账面价值。</w:t>
      </w:r>
    </w:p>
    <w:p w:rsidR="00B54A20" w:rsidRDefault="00B54A20" w:rsidP="00D51BB1">
      <w:pPr>
        <w:widowControl/>
        <w:numPr>
          <w:ilvl w:val="0"/>
          <w:numId w:val="49"/>
        </w:numPr>
        <w:ind w:left="714" w:hanging="357"/>
        <w:divId w:val="1511526466"/>
        <w:rPr>
          <w:sz w:val="18"/>
          <w:szCs w:val="18"/>
        </w:rPr>
      </w:pPr>
      <w:r>
        <w:rPr>
          <w:rFonts w:hint="eastAsia"/>
          <w:sz w:val="18"/>
          <w:szCs w:val="18"/>
        </w:rPr>
        <w:t>现金流量套期会计处理</w:t>
      </w:r>
    </w:p>
    <w:p w:rsidR="00B54A20" w:rsidRDefault="00B54A20">
      <w:pPr>
        <w:pStyle w:val="a3"/>
        <w:spacing w:before="0" w:beforeAutospacing="0" w:after="0" w:afterAutospacing="0"/>
        <w:ind w:firstLine="420"/>
        <w:divId w:val="1511526466"/>
      </w:pPr>
      <w:r>
        <w:rPr>
          <w:rFonts w:hint="eastAsia"/>
          <w:sz w:val="18"/>
          <w:szCs w:val="18"/>
        </w:rPr>
        <w:t>（1）套</w:t>
      </w:r>
      <w:proofErr w:type="gramStart"/>
      <w:r>
        <w:rPr>
          <w:rFonts w:hint="eastAsia"/>
          <w:sz w:val="18"/>
          <w:szCs w:val="18"/>
        </w:rPr>
        <w:t>期工具</w:t>
      </w:r>
      <w:proofErr w:type="gramEnd"/>
      <w:r>
        <w:rPr>
          <w:rFonts w:hint="eastAsia"/>
          <w:sz w:val="18"/>
          <w:szCs w:val="18"/>
        </w:rPr>
        <w:t>产生的利得或损失中属于套</w:t>
      </w:r>
      <w:proofErr w:type="gramStart"/>
      <w:r>
        <w:rPr>
          <w:rFonts w:hint="eastAsia"/>
          <w:sz w:val="18"/>
          <w:szCs w:val="18"/>
        </w:rPr>
        <w:t>期有效</w:t>
      </w:r>
      <w:proofErr w:type="gramEnd"/>
      <w:r>
        <w:rPr>
          <w:rFonts w:hint="eastAsia"/>
          <w:sz w:val="18"/>
          <w:szCs w:val="18"/>
        </w:rPr>
        <w:t>的部分，作为现金流量套期储备，计入其他综合收益。现金流量套期储备的金额，按照下列两项的绝对额中较低者确定：</w:t>
      </w:r>
    </w:p>
    <w:p w:rsidR="00B54A20" w:rsidRDefault="00B54A20">
      <w:pPr>
        <w:pStyle w:val="a3"/>
        <w:spacing w:before="0" w:beforeAutospacing="0" w:after="0" w:afterAutospacing="0"/>
        <w:ind w:firstLine="420"/>
        <w:divId w:val="1511526466"/>
      </w:pPr>
      <w:r>
        <w:rPr>
          <w:rFonts w:hint="eastAsia"/>
          <w:sz w:val="18"/>
          <w:szCs w:val="18"/>
        </w:rPr>
        <w:t>1）套</w:t>
      </w:r>
      <w:proofErr w:type="gramStart"/>
      <w:r>
        <w:rPr>
          <w:rFonts w:hint="eastAsia"/>
          <w:sz w:val="18"/>
          <w:szCs w:val="18"/>
        </w:rPr>
        <w:t>期工具</w:t>
      </w:r>
      <w:proofErr w:type="gramEnd"/>
      <w:r>
        <w:rPr>
          <w:rFonts w:hint="eastAsia"/>
          <w:sz w:val="18"/>
          <w:szCs w:val="18"/>
        </w:rPr>
        <w:t>自套期开始的累计利得或损失；</w:t>
      </w:r>
    </w:p>
    <w:p w:rsidR="00B54A20" w:rsidRDefault="00B54A20">
      <w:pPr>
        <w:pStyle w:val="a3"/>
        <w:spacing w:before="0" w:beforeAutospacing="0" w:after="0" w:afterAutospacing="0"/>
        <w:ind w:firstLine="420"/>
        <w:divId w:val="1511526466"/>
      </w:pPr>
      <w:r>
        <w:rPr>
          <w:rFonts w:hint="eastAsia"/>
          <w:sz w:val="18"/>
          <w:szCs w:val="18"/>
        </w:rPr>
        <w:t>2）被套</w:t>
      </w:r>
      <w:proofErr w:type="gramStart"/>
      <w:r>
        <w:rPr>
          <w:rFonts w:hint="eastAsia"/>
          <w:sz w:val="18"/>
          <w:szCs w:val="18"/>
        </w:rPr>
        <w:t>期项目</w:t>
      </w:r>
      <w:proofErr w:type="gramEnd"/>
      <w:r>
        <w:rPr>
          <w:rFonts w:hint="eastAsia"/>
          <w:sz w:val="18"/>
          <w:szCs w:val="18"/>
        </w:rPr>
        <w:t>自套期开始的预计未来现金流量现值的累计变动额。每期计入其他综合收益的现金流量套期储备的金额为当期现金流量套期储备的变动额。</w:t>
      </w:r>
    </w:p>
    <w:p w:rsidR="00B54A20" w:rsidRDefault="00B54A20">
      <w:pPr>
        <w:pStyle w:val="a3"/>
        <w:spacing w:before="0" w:beforeAutospacing="0" w:after="0" w:afterAutospacing="0"/>
        <w:ind w:firstLine="420"/>
        <w:divId w:val="1511526466"/>
      </w:pPr>
      <w:r>
        <w:rPr>
          <w:rFonts w:hint="eastAsia"/>
          <w:sz w:val="18"/>
          <w:szCs w:val="18"/>
        </w:rPr>
        <w:t>（2）套</w:t>
      </w:r>
      <w:proofErr w:type="gramStart"/>
      <w:r>
        <w:rPr>
          <w:rFonts w:hint="eastAsia"/>
          <w:sz w:val="18"/>
          <w:szCs w:val="18"/>
        </w:rPr>
        <w:t>期工具</w:t>
      </w:r>
      <w:proofErr w:type="gramEnd"/>
      <w:r>
        <w:rPr>
          <w:rFonts w:hint="eastAsia"/>
          <w:sz w:val="18"/>
          <w:szCs w:val="18"/>
        </w:rPr>
        <w:t>产生的利得或损失中属于套期无效的部分（即扣除计入其他综合收益后的其他利得或损失），计入当期损益。</w:t>
      </w:r>
    </w:p>
    <w:p w:rsidR="00B54A20" w:rsidRDefault="00B54A20">
      <w:pPr>
        <w:pStyle w:val="a3"/>
        <w:spacing w:before="0" w:beforeAutospacing="0" w:after="0" w:afterAutospacing="0"/>
        <w:ind w:firstLine="420"/>
        <w:divId w:val="1511526466"/>
      </w:pPr>
      <w:r>
        <w:rPr>
          <w:rFonts w:hint="eastAsia"/>
          <w:sz w:val="18"/>
          <w:szCs w:val="18"/>
        </w:rPr>
        <w:t>（3）现金流量套期储备的金额，按照下列规定处理：</w:t>
      </w:r>
    </w:p>
    <w:p w:rsidR="00B54A20" w:rsidRDefault="00B54A20">
      <w:pPr>
        <w:pStyle w:val="a3"/>
        <w:spacing w:before="0" w:beforeAutospacing="0" w:after="0" w:afterAutospacing="0"/>
        <w:ind w:firstLine="420"/>
        <w:divId w:val="1511526466"/>
      </w:pPr>
      <w:r>
        <w:rPr>
          <w:rFonts w:hint="eastAsia"/>
          <w:sz w:val="18"/>
          <w:szCs w:val="18"/>
        </w:rPr>
        <w:t>1）被套</w:t>
      </w:r>
      <w:proofErr w:type="gramStart"/>
      <w:r>
        <w:rPr>
          <w:rFonts w:hint="eastAsia"/>
          <w:sz w:val="18"/>
          <w:szCs w:val="18"/>
        </w:rPr>
        <w:t>期项目</w:t>
      </w:r>
      <w:proofErr w:type="gramEnd"/>
      <w:r>
        <w:rPr>
          <w:rFonts w:hint="eastAsia"/>
          <w:sz w:val="18"/>
          <w:szCs w:val="18"/>
        </w:rPr>
        <w:t>为预期交易，且该预期交易使公司随后确认一项非金融资产或非金融负债的，或者非金融资产或非金融负债的预期交易形成一项适用于公允价值套期会计的确定承诺时，则将原在其他综合收益中确认的现金流量套期储备金额转出，计入该资产或负债的初始确认金额。</w:t>
      </w:r>
    </w:p>
    <w:p w:rsidR="00B54A20" w:rsidRDefault="00B54A20">
      <w:pPr>
        <w:pStyle w:val="a3"/>
        <w:spacing w:before="0" w:beforeAutospacing="0" w:after="0" w:afterAutospacing="0"/>
        <w:ind w:firstLine="420"/>
        <w:divId w:val="1511526466"/>
      </w:pPr>
      <w:r>
        <w:rPr>
          <w:rFonts w:hint="eastAsia"/>
          <w:sz w:val="18"/>
          <w:szCs w:val="18"/>
        </w:rPr>
        <w:t>2）对于不属于前一条涉及的现金流量套期，在被套期的预期现金流量影响损益的相同期间，将原在其他综合收益中确认的现金流量套期储备金额转出，计入当期损益。</w:t>
      </w:r>
    </w:p>
    <w:p w:rsidR="00B54A20" w:rsidRDefault="00B54A20">
      <w:pPr>
        <w:pStyle w:val="a3"/>
        <w:spacing w:before="0" w:beforeAutospacing="0" w:after="0" w:afterAutospacing="0"/>
        <w:ind w:firstLine="420"/>
        <w:divId w:val="1511526466"/>
      </w:pPr>
      <w:r>
        <w:rPr>
          <w:rFonts w:hint="eastAsia"/>
          <w:sz w:val="18"/>
          <w:szCs w:val="18"/>
        </w:rPr>
        <w:t>3）如果在其他综合收益中确认的现金流量套期储备金额是一项损失，且该损失全部或部分预计在未来会计期间不能弥补的，则在预计不能弥补时，将预计不能弥补的部分从其他综合收益中转出，计入当期损益。</w:t>
      </w:r>
    </w:p>
    <w:p w:rsidR="00B54A20" w:rsidRDefault="00B54A20" w:rsidP="00D51BB1">
      <w:pPr>
        <w:widowControl/>
        <w:numPr>
          <w:ilvl w:val="0"/>
          <w:numId w:val="50"/>
        </w:numPr>
        <w:ind w:left="714" w:hanging="357"/>
        <w:divId w:val="1511526466"/>
        <w:rPr>
          <w:sz w:val="18"/>
          <w:szCs w:val="18"/>
        </w:rPr>
      </w:pPr>
      <w:r>
        <w:rPr>
          <w:rFonts w:hint="eastAsia"/>
          <w:sz w:val="18"/>
          <w:szCs w:val="18"/>
        </w:rPr>
        <w:t>境外经营净投资套期</w:t>
      </w:r>
    </w:p>
    <w:p w:rsidR="00B54A20" w:rsidRDefault="00B54A20">
      <w:pPr>
        <w:pStyle w:val="a3"/>
        <w:spacing w:before="0" w:beforeAutospacing="0" w:after="0" w:afterAutospacing="0"/>
        <w:ind w:firstLine="420"/>
        <w:divId w:val="1511526466"/>
      </w:pPr>
      <w:r>
        <w:rPr>
          <w:rFonts w:hint="eastAsia"/>
          <w:sz w:val="18"/>
          <w:szCs w:val="18"/>
        </w:rPr>
        <w:t>对境外经营净投资的套期，包括对作为净投资的一部分进行会计处理的货币性项目的套期，本公司按照类似于现金流量套期会计的规定处理:</w:t>
      </w:r>
    </w:p>
    <w:p w:rsidR="00B54A20" w:rsidRDefault="00B54A20" w:rsidP="00D51BB1">
      <w:pPr>
        <w:widowControl/>
        <w:numPr>
          <w:ilvl w:val="0"/>
          <w:numId w:val="51"/>
        </w:numPr>
        <w:divId w:val="1511526466"/>
        <w:rPr>
          <w:rFonts w:ascii="Calibri" w:hAnsi="Calibri"/>
          <w:szCs w:val="21"/>
        </w:rPr>
      </w:pPr>
      <w:r>
        <w:rPr>
          <w:rFonts w:hint="eastAsia"/>
          <w:sz w:val="18"/>
          <w:szCs w:val="18"/>
        </w:rPr>
        <w:t>套</w:t>
      </w:r>
      <w:proofErr w:type="gramStart"/>
      <w:r>
        <w:rPr>
          <w:rFonts w:hint="eastAsia"/>
          <w:sz w:val="18"/>
          <w:szCs w:val="18"/>
        </w:rPr>
        <w:t>期工具</w:t>
      </w:r>
      <w:proofErr w:type="gramEnd"/>
      <w:r>
        <w:rPr>
          <w:rFonts w:hint="eastAsia"/>
          <w:sz w:val="18"/>
          <w:szCs w:val="18"/>
        </w:rPr>
        <w:t>形成的利得或损失中属于套</w:t>
      </w:r>
      <w:proofErr w:type="gramStart"/>
      <w:r>
        <w:rPr>
          <w:rFonts w:hint="eastAsia"/>
          <w:sz w:val="18"/>
          <w:szCs w:val="18"/>
        </w:rPr>
        <w:t>期有效</w:t>
      </w:r>
      <w:proofErr w:type="gramEnd"/>
      <w:r>
        <w:rPr>
          <w:rFonts w:hint="eastAsia"/>
          <w:sz w:val="18"/>
          <w:szCs w:val="18"/>
        </w:rPr>
        <w:t>的部分，应当计入其他综合收益。</w:t>
      </w:r>
    </w:p>
    <w:p w:rsidR="00B54A20" w:rsidRDefault="00B54A20">
      <w:pPr>
        <w:pStyle w:val="a3"/>
        <w:spacing w:before="0" w:beforeAutospacing="0" w:after="0" w:afterAutospacing="0"/>
        <w:ind w:firstLine="420"/>
        <w:divId w:val="1511526466"/>
      </w:pPr>
      <w:r>
        <w:rPr>
          <w:rFonts w:hint="eastAsia"/>
          <w:sz w:val="18"/>
          <w:szCs w:val="18"/>
        </w:rPr>
        <w:t>全部或部分处置境外经营时，上述计入其他综合收益的套</w:t>
      </w:r>
      <w:proofErr w:type="gramStart"/>
      <w:r>
        <w:rPr>
          <w:rFonts w:hint="eastAsia"/>
          <w:sz w:val="18"/>
          <w:szCs w:val="18"/>
        </w:rPr>
        <w:t>期工具利</w:t>
      </w:r>
      <w:proofErr w:type="gramEnd"/>
      <w:r>
        <w:rPr>
          <w:rFonts w:hint="eastAsia"/>
          <w:sz w:val="18"/>
          <w:szCs w:val="18"/>
        </w:rPr>
        <w:t>得或损失应当相应转出，计入当期损益。</w:t>
      </w:r>
    </w:p>
    <w:p w:rsidR="00B54A20" w:rsidRDefault="00B54A20" w:rsidP="00D51BB1">
      <w:pPr>
        <w:widowControl/>
        <w:numPr>
          <w:ilvl w:val="0"/>
          <w:numId w:val="52"/>
        </w:numPr>
        <w:divId w:val="1511526466"/>
        <w:rPr>
          <w:rFonts w:ascii="Calibri" w:hAnsi="Calibri"/>
          <w:szCs w:val="21"/>
        </w:rPr>
      </w:pPr>
      <w:r>
        <w:rPr>
          <w:rFonts w:hint="eastAsia"/>
          <w:sz w:val="18"/>
          <w:szCs w:val="18"/>
        </w:rPr>
        <w:t>套</w:t>
      </w:r>
      <w:proofErr w:type="gramStart"/>
      <w:r>
        <w:rPr>
          <w:rFonts w:hint="eastAsia"/>
          <w:sz w:val="18"/>
          <w:szCs w:val="18"/>
        </w:rPr>
        <w:t>期工具</w:t>
      </w:r>
      <w:proofErr w:type="gramEnd"/>
      <w:r>
        <w:rPr>
          <w:rFonts w:hint="eastAsia"/>
          <w:sz w:val="18"/>
          <w:szCs w:val="18"/>
        </w:rPr>
        <w:t>形成的利得或损失中属于套期无效的部分，应当计入当期损益。</w:t>
      </w:r>
    </w:p>
    <w:p w:rsidR="00B54A20" w:rsidRDefault="00B54A20" w:rsidP="00D51BB1">
      <w:pPr>
        <w:widowControl/>
        <w:numPr>
          <w:ilvl w:val="0"/>
          <w:numId w:val="53"/>
        </w:numPr>
        <w:ind w:left="714" w:hanging="357"/>
        <w:divId w:val="1511526466"/>
        <w:rPr>
          <w:rFonts w:ascii="宋体" w:hAnsi="宋体"/>
          <w:sz w:val="18"/>
          <w:szCs w:val="18"/>
        </w:rPr>
      </w:pPr>
      <w:r>
        <w:rPr>
          <w:rFonts w:ascii="Times New Roman" w:hAnsi="Times New Roman" w:cs="Times New Roman"/>
          <w:sz w:val="18"/>
          <w:szCs w:val="18"/>
        </w:rPr>
        <w:t xml:space="preserve">  </w:t>
      </w:r>
      <w:r>
        <w:rPr>
          <w:rFonts w:hint="eastAsia"/>
          <w:sz w:val="18"/>
          <w:szCs w:val="18"/>
        </w:rPr>
        <w:t>终止运用套期会计</w:t>
      </w:r>
    </w:p>
    <w:p w:rsidR="00B54A20" w:rsidRDefault="00B54A20">
      <w:pPr>
        <w:pStyle w:val="a3"/>
        <w:spacing w:before="0" w:beforeAutospacing="0" w:after="0" w:afterAutospacing="0"/>
        <w:ind w:firstLine="420"/>
        <w:divId w:val="1511526466"/>
      </w:pPr>
      <w:r>
        <w:rPr>
          <w:rFonts w:hint="eastAsia"/>
          <w:sz w:val="18"/>
          <w:szCs w:val="18"/>
        </w:rPr>
        <w:t>对于发生下列情形之一的，则终止运用套期会计：</w:t>
      </w:r>
    </w:p>
    <w:p w:rsidR="00B54A20" w:rsidRDefault="00B54A20">
      <w:pPr>
        <w:pStyle w:val="a3"/>
        <w:spacing w:before="0" w:beforeAutospacing="0" w:after="0" w:afterAutospacing="0"/>
        <w:ind w:firstLine="420"/>
        <w:divId w:val="1511526466"/>
      </w:pPr>
      <w:r>
        <w:rPr>
          <w:rFonts w:hint="eastAsia"/>
          <w:sz w:val="18"/>
          <w:szCs w:val="18"/>
        </w:rPr>
        <w:t>（1）因风险管理目标发生变化，导致套</w:t>
      </w:r>
      <w:proofErr w:type="gramStart"/>
      <w:r>
        <w:rPr>
          <w:rFonts w:hint="eastAsia"/>
          <w:sz w:val="18"/>
          <w:szCs w:val="18"/>
        </w:rPr>
        <w:t>期关系</w:t>
      </w:r>
      <w:proofErr w:type="gramEnd"/>
      <w:r>
        <w:rPr>
          <w:rFonts w:hint="eastAsia"/>
          <w:sz w:val="18"/>
          <w:szCs w:val="18"/>
        </w:rPr>
        <w:t>不再满足风险管理目标。</w:t>
      </w:r>
    </w:p>
    <w:p w:rsidR="00B54A20" w:rsidRDefault="00B54A20">
      <w:pPr>
        <w:pStyle w:val="a3"/>
        <w:spacing w:before="0" w:beforeAutospacing="0" w:after="0" w:afterAutospacing="0"/>
        <w:ind w:firstLine="420"/>
        <w:divId w:val="1511526466"/>
      </w:pPr>
      <w:r>
        <w:rPr>
          <w:rFonts w:hint="eastAsia"/>
          <w:sz w:val="18"/>
          <w:szCs w:val="18"/>
        </w:rPr>
        <w:t>（2）套</w:t>
      </w:r>
      <w:proofErr w:type="gramStart"/>
      <w:r>
        <w:rPr>
          <w:rFonts w:hint="eastAsia"/>
          <w:sz w:val="18"/>
          <w:szCs w:val="18"/>
        </w:rPr>
        <w:t>期工具</w:t>
      </w:r>
      <w:proofErr w:type="gramEnd"/>
      <w:r>
        <w:rPr>
          <w:rFonts w:hint="eastAsia"/>
          <w:sz w:val="18"/>
          <w:szCs w:val="18"/>
        </w:rPr>
        <w:t>已到期、被出售、合同终止或已行使。</w:t>
      </w:r>
    </w:p>
    <w:p w:rsidR="00B54A20" w:rsidRDefault="00B54A20">
      <w:pPr>
        <w:pStyle w:val="a3"/>
        <w:spacing w:before="0" w:beforeAutospacing="0" w:after="0" w:afterAutospacing="0"/>
        <w:ind w:firstLine="420"/>
        <w:divId w:val="1511526466"/>
      </w:pPr>
      <w:r>
        <w:rPr>
          <w:rFonts w:hint="eastAsia"/>
          <w:sz w:val="18"/>
          <w:szCs w:val="18"/>
        </w:rPr>
        <w:t>（3）被套</w:t>
      </w:r>
      <w:proofErr w:type="gramStart"/>
      <w:r>
        <w:rPr>
          <w:rFonts w:hint="eastAsia"/>
          <w:sz w:val="18"/>
          <w:szCs w:val="18"/>
        </w:rPr>
        <w:t>期项目</w:t>
      </w:r>
      <w:proofErr w:type="gramEnd"/>
      <w:r>
        <w:rPr>
          <w:rFonts w:hint="eastAsia"/>
          <w:sz w:val="18"/>
          <w:szCs w:val="18"/>
        </w:rPr>
        <w:t>与套</w:t>
      </w:r>
      <w:proofErr w:type="gramStart"/>
      <w:r>
        <w:rPr>
          <w:rFonts w:hint="eastAsia"/>
          <w:sz w:val="18"/>
          <w:szCs w:val="18"/>
        </w:rPr>
        <w:t>期工具</w:t>
      </w:r>
      <w:proofErr w:type="gramEnd"/>
      <w:r>
        <w:rPr>
          <w:rFonts w:hint="eastAsia"/>
          <w:sz w:val="18"/>
          <w:szCs w:val="18"/>
        </w:rPr>
        <w:t>之间不再存在经济关系，或者被套</w:t>
      </w:r>
      <w:proofErr w:type="gramStart"/>
      <w:r>
        <w:rPr>
          <w:rFonts w:hint="eastAsia"/>
          <w:sz w:val="18"/>
          <w:szCs w:val="18"/>
        </w:rPr>
        <w:t>期项目</w:t>
      </w:r>
      <w:proofErr w:type="gramEnd"/>
      <w:r>
        <w:rPr>
          <w:rFonts w:hint="eastAsia"/>
          <w:sz w:val="18"/>
          <w:szCs w:val="18"/>
        </w:rPr>
        <w:t>和套</w:t>
      </w:r>
      <w:proofErr w:type="gramStart"/>
      <w:r>
        <w:rPr>
          <w:rFonts w:hint="eastAsia"/>
          <w:sz w:val="18"/>
          <w:szCs w:val="18"/>
        </w:rPr>
        <w:t>期工具</w:t>
      </w:r>
      <w:proofErr w:type="gramEnd"/>
      <w:r>
        <w:rPr>
          <w:rFonts w:hint="eastAsia"/>
          <w:sz w:val="18"/>
          <w:szCs w:val="18"/>
        </w:rPr>
        <w:t>经济关系产生的价值变动中，信用风险的影响开始占主导地位。</w:t>
      </w:r>
    </w:p>
    <w:p w:rsidR="00B54A20" w:rsidRDefault="00B54A20">
      <w:pPr>
        <w:pStyle w:val="a3"/>
        <w:spacing w:before="0" w:beforeAutospacing="0" w:after="0" w:afterAutospacing="0"/>
        <w:ind w:firstLine="420"/>
        <w:divId w:val="1511526466"/>
      </w:pPr>
      <w:r>
        <w:rPr>
          <w:rFonts w:hint="eastAsia"/>
          <w:sz w:val="18"/>
          <w:szCs w:val="18"/>
        </w:rPr>
        <w:t>（4）套</w:t>
      </w:r>
      <w:proofErr w:type="gramStart"/>
      <w:r>
        <w:rPr>
          <w:rFonts w:hint="eastAsia"/>
          <w:sz w:val="18"/>
          <w:szCs w:val="18"/>
        </w:rPr>
        <w:t>期关系</w:t>
      </w:r>
      <w:proofErr w:type="gramEnd"/>
      <w:r>
        <w:rPr>
          <w:rFonts w:hint="eastAsia"/>
          <w:sz w:val="18"/>
          <w:szCs w:val="18"/>
        </w:rPr>
        <w:t>不再满足本准则所规定的运用套期会计方法的其他条件。在适用套</w:t>
      </w:r>
      <w:proofErr w:type="gramStart"/>
      <w:r>
        <w:rPr>
          <w:rFonts w:hint="eastAsia"/>
          <w:sz w:val="18"/>
          <w:szCs w:val="18"/>
        </w:rPr>
        <w:t>期关系</w:t>
      </w:r>
      <w:proofErr w:type="gramEnd"/>
      <w:r>
        <w:rPr>
          <w:rFonts w:hint="eastAsia"/>
          <w:sz w:val="18"/>
          <w:szCs w:val="18"/>
        </w:rPr>
        <w:t>再平衡的情况下，企业应当首先考虑套</w:t>
      </w:r>
      <w:proofErr w:type="gramStart"/>
      <w:r>
        <w:rPr>
          <w:rFonts w:hint="eastAsia"/>
          <w:sz w:val="18"/>
          <w:szCs w:val="18"/>
        </w:rPr>
        <w:t>期关系</w:t>
      </w:r>
      <w:proofErr w:type="gramEnd"/>
      <w:r>
        <w:rPr>
          <w:rFonts w:hint="eastAsia"/>
          <w:sz w:val="18"/>
          <w:szCs w:val="18"/>
        </w:rPr>
        <w:t>再平衡，然后评估套</w:t>
      </w:r>
      <w:proofErr w:type="gramStart"/>
      <w:r>
        <w:rPr>
          <w:rFonts w:hint="eastAsia"/>
          <w:sz w:val="18"/>
          <w:szCs w:val="18"/>
        </w:rPr>
        <w:t>期关系</w:t>
      </w:r>
      <w:proofErr w:type="gramEnd"/>
      <w:r>
        <w:rPr>
          <w:rFonts w:hint="eastAsia"/>
          <w:sz w:val="18"/>
          <w:szCs w:val="18"/>
        </w:rPr>
        <w:t>是否满足本准则所规定的运用套期会计方法的条件。</w:t>
      </w:r>
    </w:p>
    <w:p w:rsidR="00B54A20" w:rsidRDefault="00B54A20">
      <w:pPr>
        <w:pStyle w:val="a3"/>
        <w:spacing w:before="0" w:beforeAutospacing="0" w:after="0" w:afterAutospacing="0"/>
        <w:ind w:firstLine="420"/>
        <w:divId w:val="1511526466"/>
      </w:pPr>
      <w:r>
        <w:rPr>
          <w:rFonts w:hint="eastAsia"/>
          <w:sz w:val="18"/>
          <w:szCs w:val="18"/>
        </w:rPr>
        <w:t>终止套期会计可能会影响套</w:t>
      </w:r>
      <w:proofErr w:type="gramStart"/>
      <w:r>
        <w:rPr>
          <w:rFonts w:hint="eastAsia"/>
          <w:sz w:val="18"/>
          <w:szCs w:val="18"/>
        </w:rPr>
        <w:t>期关系</w:t>
      </w:r>
      <w:proofErr w:type="gramEnd"/>
      <w:r>
        <w:rPr>
          <w:rFonts w:hint="eastAsia"/>
          <w:sz w:val="18"/>
          <w:szCs w:val="18"/>
        </w:rPr>
        <w:t>的整体或其中一部分，在仅影响其中一部分时，剩余未受影响的部分仍适用套期会计。</w:t>
      </w:r>
    </w:p>
    <w:p w:rsidR="00B54A20" w:rsidRDefault="00B54A20" w:rsidP="00D51BB1">
      <w:pPr>
        <w:widowControl/>
        <w:numPr>
          <w:ilvl w:val="0"/>
          <w:numId w:val="54"/>
        </w:numPr>
        <w:ind w:left="714" w:hanging="357"/>
        <w:divId w:val="1511526466"/>
        <w:rPr>
          <w:sz w:val="18"/>
          <w:szCs w:val="18"/>
        </w:rPr>
      </w:pPr>
      <w:r>
        <w:rPr>
          <w:rFonts w:ascii="Times New Roman" w:hAnsi="Times New Roman" w:cs="Times New Roman"/>
          <w:sz w:val="18"/>
          <w:szCs w:val="18"/>
        </w:rPr>
        <w:t> </w:t>
      </w:r>
      <w:r>
        <w:rPr>
          <w:rFonts w:hint="eastAsia"/>
          <w:sz w:val="18"/>
          <w:szCs w:val="18"/>
        </w:rPr>
        <w:t>信用风险敞口的公允价值选择</w:t>
      </w:r>
    </w:p>
    <w:p w:rsidR="00B54A20" w:rsidRDefault="00B54A20">
      <w:pPr>
        <w:pStyle w:val="a3"/>
        <w:spacing w:before="0" w:beforeAutospacing="0" w:after="0" w:afterAutospacing="0"/>
        <w:ind w:firstLine="420"/>
        <w:divId w:val="1511526466"/>
      </w:pPr>
      <w:r>
        <w:rPr>
          <w:rFonts w:hint="eastAsia"/>
          <w:sz w:val="18"/>
          <w:szCs w:val="18"/>
        </w:rPr>
        <w:t>当使用以公允价值计量且其变动计入当期损益的信用衍生工具管理金融工具（或其组成部分）的信用风险敞口时，可以在该金融工具（或其组成部分）初始确认时、后续计量中或尚未确认时，将其指定为以公允价值计量且其变动计入当期损益的金融工具，并同时</w:t>
      </w:r>
      <w:proofErr w:type="gramStart"/>
      <w:r>
        <w:rPr>
          <w:rFonts w:hint="eastAsia"/>
          <w:sz w:val="18"/>
          <w:szCs w:val="18"/>
        </w:rPr>
        <w:t>作出</w:t>
      </w:r>
      <w:proofErr w:type="gramEnd"/>
      <w:r>
        <w:rPr>
          <w:rFonts w:hint="eastAsia"/>
          <w:sz w:val="18"/>
          <w:szCs w:val="18"/>
        </w:rPr>
        <w:t>书面记录，但应同时满足下列条件：</w:t>
      </w:r>
    </w:p>
    <w:p w:rsidR="00B54A20" w:rsidRDefault="00B54A20">
      <w:pPr>
        <w:pStyle w:val="a3"/>
        <w:spacing w:before="0" w:beforeAutospacing="0" w:after="0" w:afterAutospacing="0"/>
        <w:ind w:firstLine="420"/>
        <w:divId w:val="1511526466"/>
      </w:pPr>
      <w:r>
        <w:rPr>
          <w:rFonts w:hint="eastAsia"/>
          <w:sz w:val="18"/>
          <w:szCs w:val="18"/>
        </w:rPr>
        <w:t>（1）金融工具信用风险敞口的主体（如借款人或贷款承诺持有人）与信用衍生工具涉及的主体相一致；</w:t>
      </w:r>
    </w:p>
    <w:p w:rsidR="00B54A20" w:rsidRDefault="00B54A20">
      <w:pPr>
        <w:pStyle w:val="a3"/>
        <w:spacing w:before="0" w:beforeAutospacing="0" w:after="0" w:afterAutospacing="0"/>
        <w:ind w:firstLine="420"/>
        <w:divId w:val="1511526466"/>
      </w:pPr>
      <w:r>
        <w:rPr>
          <w:rFonts w:hint="eastAsia"/>
          <w:sz w:val="18"/>
          <w:szCs w:val="18"/>
        </w:rPr>
        <w:t>（2）金融工具的偿付级次与根据信用衍生工具条款须交付的工具的偿付级次相一致。</w:t>
      </w:r>
    </w:p>
    <w:p w:rsidR="00E62F69" w:rsidRDefault="00B54A20">
      <w:pPr>
        <w:pStyle w:val="3"/>
        <w:spacing w:line="280" w:lineRule="exact"/>
        <w:jc w:val="left"/>
        <w:rPr>
          <w:rFonts w:ascii="宋体" w:hAnsi="宋体" w:cs="宋体"/>
          <w:b/>
          <w:bCs/>
        </w:rPr>
      </w:pPr>
      <w:bookmarkStart w:id="70" w:name="_Toc989063"/>
      <w:r>
        <w:rPr>
          <w:rFonts w:ascii="宋体" w:hAnsi="宋体" w:cs="宋体"/>
          <w:b/>
          <w:bCs/>
        </w:rPr>
        <w:t>44、重要会计政策和会计估计变更</w:t>
      </w:r>
      <w:bookmarkEnd w:id="70"/>
    </w:p>
    <w:p w:rsidR="00E62F69" w:rsidRDefault="00B54A20">
      <w:pPr>
        <w:keepNext/>
        <w:keepLines/>
        <w:spacing w:before="300" w:after="300" w:line="280" w:lineRule="exact"/>
        <w:outlineLvl w:val="3"/>
        <w:rPr>
          <w:rFonts w:ascii="宋体" w:eastAsia="宋体" w:hAnsi="宋体" w:cs="宋体"/>
          <w:b/>
          <w:bCs/>
          <w:sz w:val="18"/>
          <w:szCs w:val="18"/>
        </w:rPr>
      </w:pPr>
      <w:bookmarkStart w:id="71" w:name="_Toc989064"/>
      <w:r>
        <w:rPr>
          <w:rFonts w:ascii="宋体" w:eastAsia="宋体" w:hAnsi="宋体" w:cs="宋体"/>
          <w:b/>
          <w:bCs/>
          <w:sz w:val="18"/>
          <w:szCs w:val="18"/>
        </w:rPr>
        <w:t>（1） 重要会计政策变更</w:t>
      </w:r>
      <w:bookmarkEnd w:id="71"/>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 w:val="18"/>
          <w:szCs w:val="18"/>
        </w:rPr>
      </w:pPr>
      <w:bookmarkStart w:id="72" w:name="_Toc989065"/>
      <w:r>
        <w:rPr>
          <w:rFonts w:ascii="宋体" w:eastAsia="宋体" w:hAnsi="宋体" w:cs="宋体"/>
          <w:b/>
          <w:bCs/>
          <w:sz w:val="18"/>
          <w:szCs w:val="18"/>
        </w:rPr>
        <w:t>（2） 重要会计估计变更</w:t>
      </w:r>
      <w:bookmarkEnd w:id="72"/>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 w:val="18"/>
          <w:szCs w:val="18"/>
        </w:rPr>
      </w:pPr>
      <w:bookmarkStart w:id="73" w:name="_Toc989066"/>
      <w:r>
        <w:rPr>
          <w:rFonts w:ascii="宋体" w:eastAsia="宋体" w:hAnsi="宋体" w:cs="宋体"/>
          <w:b/>
          <w:bCs/>
          <w:sz w:val="18"/>
          <w:szCs w:val="18"/>
        </w:rPr>
        <w:t>（3） 2023年起首次执行新会计准则调整首次执行当年年初财务报表相关项目情况</w:t>
      </w:r>
      <w:bookmarkEnd w:id="73"/>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74" w:name="_Toc989067"/>
      <w:r>
        <w:rPr>
          <w:rFonts w:ascii="宋体" w:hAnsi="宋体" w:cs="宋体"/>
          <w:b/>
          <w:bCs/>
        </w:rPr>
        <w:t>45、其他</w:t>
      </w:r>
      <w:bookmarkEnd w:id="74"/>
    </w:p>
    <w:p w:rsidR="00B54A20" w:rsidRDefault="00B54A20">
      <w:pPr>
        <w:pStyle w:val="a3"/>
        <w:divId w:val="1123966716"/>
        <w:rPr>
          <w:sz w:val="18"/>
          <w:szCs w:val="18"/>
        </w:rPr>
      </w:pPr>
      <w:r>
        <w:rPr>
          <w:rFonts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75" w:name="_Toc989068"/>
      <w:r>
        <w:rPr>
          <w:rFonts w:ascii="宋体" w:eastAsia="宋体" w:hAnsi="宋体" w:cs="宋体"/>
          <w:b/>
          <w:bCs/>
          <w:sz w:val="24"/>
          <w:szCs w:val="24"/>
        </w:rPr>
        <w:t>六、税项</w:t>
      </w:r>
      <w:bookmarkEnd w:id="75"/>
    </w:p>
    <w:p w:rsidR="00E62F69" w:rsidRDefault="00B54A20">
      <w:pPr>
        <w:pStyle w:val="3"/>
        <w:spacing w:line="280" w:lineRule="exact"/>
        <w:jc w:val="left"/>
        <w:rPr>
          <w:rFonts w:ascii="宋体" w:hAnsi="宋体" w:cs="宋体"/>
          <w:b/>
          <w:bCs/>
        </w:rPr>
      </w:pPr>
      <w:bookmarkStart w:id="76" w:name="_Toc989069"/>
      <w:r>
        <w:rPr>
          <w:rFonts w:ascii="宋体" w:hAnsi="宋体" w:cs="宋体"/>
          <w:b/>
          <w:bCs/>
        </w:rPr>
        <w:t>1、主要税种及税率</w:t>
      </w:r>
      <w:bookmarkEnd w:id="7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802"/>
        <w:gridCol w:w="3827"/>
        <w:gridCol w:w="3010"/>
      </w:tblGrid>
      <w:tr w:rsidR="00E62F69"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8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0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E62F69" w:rsidRPr="009867B5"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line="240" w:lineRule="exact"/>
              <w:rPr>
                <w:rFonts w:ascii="宋体" w:eastAsia="宋体" w:hAnsi="宋体" w:cs="宋体"/>
                <w:sz w:val="18"/>
                <w:szCs w:val="18"/>
              </w:rPr>
            </w:pPr>
            <w:r>
              <w:rPr>
                <w:rFonts w:ascii="宋体" w:eastAsia="宋体" w:hAnsi="宋体" w:cs="宋体"/>
                <w:sz w:val="18"/>
                <w:szCs w:val="18"/>
              </w:rPr>
              <w:t>增值税</w:t>
            </w:r>
          </w:p>
        </w:tc>
        <w:tc>
          <w:tcPr>
            <w:tcW w:w="38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销售货物、应税劳务收入和应税服务收入</w:t>
            </w:r>
          </w:p>
        </w:tc>
        <w:tc>
          <w:tcPr>
            <w:tcW w:w="30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13%、10%、9%、6%</w:t>
            </w:r>
          </w:p>
        </w:tc>
      </w:tr>
      <w:tr w:rsidR="00E62F69" w:rsidRPr="009867B5"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line="240" w:lineRule="exact"/>
              <w:rPr>
                <w:rFonts w:ascii="宋体" w:eastAsia="宋体" w:hAnsi="宋体" w:cs="宋体"/>
                <w:sz w:val="18"/>
                <w:szCs w:val="18"/>
              </w:rPr>
            </w:pPr>
            <w:r>
              <w:rPr>
                <w:rFonts w:ascii="宋体" w:eastAsia="宋体" w:hAnsi="宋体" w:cs="宋体"/>
                <w:sz w:val="18"/>
                <w:szCs w:val="18"/>
              </w:rPr>
              <w:t>城市维护建设税</w:t>
            </w:r>
          </w:p>
        </w:tc>
        <w:tc>
          <w:tcPr>
            <w:tcW w:w="38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7%、5%、3%</w:t>
            </w:r>
          </w:p>
        </w:tc>
      </w:tr>
      <w:tr w:rsidR="00E62F69" w:rsidRPr="009867B5"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line="240" w:lineRule="exact"/>
              <w:rPr>
                <w:rFonts w:ascii="宋体" w:eastAsia="宋体" w:hAnsi="宋体" w:cs="宋体"/>
                <w:sz w:val="18"/>
                <w:szCs w:val="18"/>
              </w:rPr>
            </w:pPr>
            <w:r>
              <w:rPr>
                <w:rFonts w:ascii="宋体" w:eastAsia="宋体" w:hAnsi="宋体" w:cs="宋体"/>
                <w:sz w:val="18"/>
                <w:szCs w:val="18"/>
              </w:rPr>
              <w:t>企业所得税</w:t>
            </w:r>
          </w:p>
        </w:tc>
        <w:tc>
          <w:tcPr>
            <w:tcW w:w="38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25%、20%、16.5%、15%、10%、5%</w:t>
            </w:r>
          </w:p>
        </w:tc>
      </w:tr>
      <w:tr w:rsidR="00E62F69"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8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3%</w:t>
            </w:r>
          </w:p>
        </w:tc>
      </w:tr>
      <w:tr w:rsidR="00E62F69"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地方教育费附加</w:t>
            </w:r>
          </w:p>
        </w:tc>
        <w:tc>
          <w:tcPr>
            <w:tcW w:w="38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实缴流转税税额</w:t>
            </w:r>
          </w:p>
        </w:tc>
        <w:tc>
          <w:tcPr>
            <w:tcW w:w="30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w:t>
            </w:r>
          </w:p>
        </w:tc>
      </w:tr>
      <w:tr w:rsidR="00E62F69" w:rsidTr="009867B5">
        <w:trPr>
          <w:trHeight w:val="20"/>
        </w:trPr>
        <w:tc>
          <w:tcPr>
            <w:tcW w:w="280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水利基金</w:t>
            </w:r>
          </w:p>
        </w:tc>
        <w:tc>
          <w:tcPr>
            <w:tcW w:w="38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营业收入</w:t>
            </w:r>
          </w:p>
        </w:tc>
        <w:tc>
          <w:tcPr>
            <w:tcW w:w="30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0.1%</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r w:rsidR="009867B5">
        <w:rPr>
          <w:rFonts w:ascii="宋体" w:eastAsia="宋体" w:hAnsi="宋体" w:cs="宋体" w:hint="eastAsia"/>
          <w:sz w:val="18"/>
          <w:szCs w:val="18"/>
        </w:rPr>
        <w:t>:</w:t>
      </w:r>
    </w:p>
    <w:p w:rsidR="009867B5" w:rsidRDefault="009867B5">
      <w:pPr>
        <w:spacing w:before="100" w:after="100" w:line="240" w:lineRule="exact"/>
        <w:rPr>
          <w:rFonts w:ascii="宋体" w:eastAsia="宋体" w:hAnsi="宋体" w:cs="宋体"/>
          <w:sz w:val="18"/>
          <w:szCs w:val="18"/>
        </w:rPr>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香港华孚贸易有限公司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16.50%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香港华孚有限公司(1)</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16.50%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香港天成贸易有限公司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16.50%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奎屯锦孚纺织</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新疆六孚纺织工业</w:t>
            </w:r>
            <w:proofErr w:type="gramEnd"/>
            <w:r>
              <w:rPr>
                <w:rFonts w:ascii="宋体" w:eastAsia="宋体" w:hAnsi="宋体" w:cs="宋体"/>
                <w:sz w:val="18"/>
                <w:szCs w:val="18"/>
              </w:rPr>
              <w:t>园有限公司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标信纤维</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顺道（越南）实业独资有限公司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新疆棉花产业集团岳</w:t>
            </w:r>
            <w:proofErr w:type="gramStart"/>
            <w:r>
              <w:rPr>
                <w:rFonts w:ascii="宋体" w:eastAsia="宋体" w:hAnsi="宋体" w:cs="宋体"/>
                <w:sz w:val="18"/>
                <w:szCs w:val="18"/>
              </w:rPr>
              <w:t>普湖棉业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新疆棉花产业（集团）叶城棉业有限责任公司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奎屯</w:t>
            </w:r>
            <w:proofErr w:type="gramStart"/>
            <w:r>
              <w:rPr>
                <w:rFonts w:ascii="宋体" w:eastAsia="宋体" w:hAnsi="宋体" w:cs="宋体"/>
                <w:sz w:val="18"/>
                <w:szCs w:val="18"/>
              </w:rPr>
              <w:t>锦孚棉</w:t>
            </w:r>
            <w:proofErr w:type="gramEnd"/>
            <w:r>
              <w:rPr>
                <w:rFonts w:ascii="宋体" w:eastAsia="宋体" w:hAnsi="宋体" w:cs="宋体"/>
                <w:sz w:val="18"/>
                <w:szCs w:val="18"/>
              </w:rPr>
              <w:t>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阿瓦提银花棉业有限责任公司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沙雅银花棉业有限责任公司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新和银花棉业有限责任公司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库车纵横棉业有限责任公司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新疆华孚</w:t>
            </w:r>
            <w:proofErr w:type="gramStart"/>
            <w:r>
              <w:rPr>
                <w:rFonts w:ascii="宋体" w:eastAsia="宋体" w:hAnsi="宋体" w:cs="宋体"/>
                <w:sz w:val="18"/>
                <w:szCs w:val="18"/>
              </w:rPr>
              <w:t>恒丰棉业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胡杨河</w:t>
            </w:r>
            <w:proofErr w:type="gramEnd"/>
            <w:r>
              <w:rPr>
                <w:rFonts w:ascii="宋体" w:eastAsia="宋体" w:hAnsi="宋体" w:cs="宋体"/>
                <w:sz w:val="18"/>
                <w:szCs w:val="18"/>
              </w:rPr>
              <w:t>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石河子市华孚</w:t>
            </w:r>
            <w:proofErr w:type="gramStart"/>
            <w:r>
              <w:rPr>
                <w:rFonts w:ascii="宋体" w:eastAsia="宋体" w:hAnsi="宋体" w:cs="宋体"/>
                <w:sz w:val="18"/>
                <w:szCs w:val="18"/>
              </w:rPr>
              <w:t>宏丰棉业</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新疆科宁针纺科技有限公司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新加坡耀佳国际贸易有限公司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17%</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诸暨市卡拉美拉科技有限公司</w:t>
            </w:r>
            <w:proofErr w:type="gramEnd"/>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25%</w:t>
            </w:r>
          </w:p>
        </w:tc>
      </w:tr>
    </w:tbl>
    <w:p w:rsidR="00E62F69" w:rsidRDefault="00B54A20">
      <w:pPr>
        <w:pStyle w:val="3"/>
        <w:spacing w:line="280" w:lineRule="exact"/>
        <w:jc w:val="left"/>
        <w:rPr>
          <w:rFonts w:ascii="宋体" w:hAnsi="宋体" w:cs="宋体"/>
          <w:b/>
          <w:bCs/>
        </w:rPr>
      </w:pPr>
      <w:bookmarkStart w:id="77" w:name="_Toc989070"/>
      <w:r>
        <w:rPr>
          <w:rFonts w:ascii="宋体" w:hAnsi="宋体" w:cs="宋体"/>
          <w:b/>
          <w:bCs/>
        </w:rPr>
        <w:t>2、税收优惠</w:t>
      </w:r>
      <w:bookmarkEnd w:id="77"/>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1</w:t>
      </w:r>
      <w:r w:rsidRPr="009867B5">
        <w:rPr>
          <w:rFonts w:asciiTheme="minorEastAsia" w:eastAsiaTheme="minorEastAsia" w:hAnsiTheme="minorEastAsia" w:hint="eastAsia"/>
          <w:sz w:val="18"/>
          <w:szCs w:val="18"/>
        </w:rPr>
        <w:t>、本公司取得了安徽省科学技术厅、安徽省财政厅、国家税务总局安徽省税务局于</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w:t>
      </w:r>
      <w:r w:rsidRPr="009867B5">
        <w:rPr>
          <w:rFonts w:asciiTheme="minorEastAsia" w:eastAsiaTheme="minorEastAsia" w:hAnsiTheme="minorEastAsia"/>
          <w:sz w:val="18"/>
          <w:szCs w:val="18"/>
        </w:rPr>
        <w:t>9</w:t>
      </w:r>
      <w:r w:rsidRPr="009867B5">
        <w:rPr>
          <w:rFonts w:asciiTheme="minorEastAsia" w:eastAsiaTheme="minorEastAsia" w:hAnsiTheme="minorEastAsia" w:hint="eastAsia"/>
          <w:sz w:val="18"/>
          <w:szCs w:val="18"/>
        </w:rPr>
        <w:t>月</w:t>
      </w:r>
      <w:r w:rsidRPr="009867B5">
        <w:rPr>
          <w:rFonts w:asciiTheme="minorEastAsia" w:eastAsiaTheme="minorEastAsia" w:hAnsiTheme="minorEastAsia"/>
          <w:sz w:val="18"/>
          <w:szCs w:val="18"/>
        </w:rPr>
        <w:t>18</w:t>
      </w:r>
      <w:r w:rsidRPr="009867B5">
        <w:rPr>
          <w:rFonts w:asciiTheme="minorEastAsia" w:eastAsiaTheme="minorEastAsia" w:hAnsiTheme="minorEastAsia" w:hint="eastAsia"/>
          <w:sz w:val="18"/>
          <w:szCs w:val="18"/>
        </w:rPr>
        <w:t>日联合颁发的证书编号</w:t>
      </w:r>
      <w:r w:rsidRPr="009867B5">
        <w:rPr>
          <w:rFonts w:asciiTheme="minorEastAsia" w:eastAsiaTheme="minorEastAsia" w:hAnsiTheme="minorEastAsia"/>
          <w:sz w:val="18"/>
          <w:szCs w:val="18"/>
        </w:rPr>
        <w:t>GR202134002871</w:t>
      </w:r>
      <w:r w:rsidRPr="009867B5">
        <w:rPr>
          <w:rFonts w:asciiTheme="minorEastAsia" w:eastAsiaTheme="minorEastAsia" w:hAnsiTheme="minorEastAsia" w:hint="eastAsia"/>
          <w:sz w:val="18"/>
          <w:szCs w:val="18"/>
        </w:rPr>
        <w:t>的《高新技术企业证书》，有效期为</w:t>
      </w:r>
      <w:r w:rsidRPr="009867B5">
        <w:rPr>
          <w:rFonts w:asciiTheme="minorEastAsia" w:eastAsiaTheme="minorEastAsia" w:hAnsiTheme="minorEastAsia"/>
          <w:sz w:val="18"/>
          <w:szCs w:val="18"/>
        </w:rPr>
        <w:t>3</w:t>
      </w:r>
      <w:r w:rsidRPr="009867B5">
        <w:rPr>
          <w:rFonts w:asciiTheme="minorEastAsia" w:eastAsiaTheme="minorEastAsia" w:hAnsiTheme="minorEastAsia" w:hint="eastAsia"/>
          <w:sz w:val="18"/>
          <w:szCs w:val="18"/>
        </w:rPr>
        <w:t>年。本公司自</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年度起享受高新技术企业税收优惠税率，即享受</w:t>
      </w:r>
      <w:r w:rsidRPr="009867B5">
        <w:rPr>
          <w:rFonts w:asciiTheme="minorEastAsia" w:eastAsiaTheme="minorEastAsia" w:hAnsiTheme="minorEastAsia"/>
          <w:sz w:val="18"/>
          <w:szCs w:val="18"/>
        </w:rPr>
        <w:t>15%</w:t>
      </w:r>
      <w:r w:rsidRPr="009867B5">
        <w:rPr>
          <w:rFonts w:asciiTheme="minorEastAsia" w:eastAsiaTheme="minorEastAsia" w:hAnsiTheme="minorEastAsia" w:hint="eastAsia"/>
          <w:sz w:val="18"/>
          <w:szCs w:val="18"/>
        </w:rPr>
        <w:t>的企业所得税优惠税率。</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2</w:t>
      </w:r>
      <w:r w:rsidRPr="009867B5">
        <w:rPr>
          <w:rFonts w:asciiTheme="minorEastAsia" w:eastAsiaTheme="minorEastAsia" w:hAnsiTheme="minorEastAsia" w:hint="eastAsia"/>
          <w:sz w:val="18"/>
          <w:szCs w:val="18"/>
        </w:rPr>
        <w:t>、根据</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w:t>
      </w:r>
      <w:r w:rsidRPr="009867B5">
        <w:rPr>
          <w:rFonts w:asciiTheme="minorEastAsia" w:eastAsiaTheme="minorEastAsia" w:hAnsiTheme="minorEastAsia"/>
          <w:sz w:val="18"/>
          <w:szCs w:val="18"/>
        </w:rPr>
        <w:t>12</w:t>
      </w:r>
      <w:r w:rsidRPr="009867B5">
        <w:rPr>
          <w:rFonts w:asciiTheme="minorEastAsia" w:eastAsiaTheme="minorEastAsia" w:hAnsiTheme="minorEastAsia" w:hint="eastAsia"/>
          <w:sz w:val="18"/>
          <w:szCs w:val="18"/>
        </w:rPr>
        <w:t>月</w:t>
      </w:r>
      <w:r w:rsidRPr="009867B5">
        <w:rPr>
          <w:rFonts w:asciiTheme="minorEastAsia" w:eastAsiaTheme="minorEastAsia" w:hAnsiTheme="minorEastAsia"/>
          <w:sz w:val="18"/>
          <w:szCs w:val="18"/>
        </w:rPr>
        <w:t>16</w:t>
      </w:r>
      <w:r w:rsidRPr="009867B5">
        <w:rPr>
          <w:rFonts w:asciiTheme="minorEastAsia" w:eastAsiaTheme="minorEastAsia" w:hAnsiTheme="minorEastAsia" w:hint="eastAsia"/>
          <w:sz w:val="18"/>
          <w:szCs w:val="18"/>
        </w:rPr>
        <w:t>日浙江省科学技术厅、浙江省财政厅、国家税务总局浙江省税务局联合颁发的证书编号</w:t>
      </w:r>
      <w:r w:rsidRPr="009867B5">
        <w:rPr>
          <w:rFonts w:asciiTheme="minorEastAsia" w:eastAsiaTheme="minorEastAsia" w:hAnsiTheme="minorEastAsia"/>
          <w:sz w:val="18"/>
          <w:szCs w:val="18"/>
        </w:rPr>
        <w:t>GR202133001040</w:t>
      </w:r>
      <w:r w:rsidRPr="009867B5">
        <w:rPr>
          <w:rFonts w:asciiTheme="minorEastAsia" w:eastAsiaTheme="minorEastAsia" w:hAnsiTheme="minorEastAsia" w:hint="eastAsia"/>
          <w:sz w:val="18"/>
          <w:szCs w:val="18"/>
        </w:rPr>
        <w:t>的《高新技术企业证书》，有效期为</w:t>
      </w:r>
      <w:r w:rsidRPr="009867B5">
        <w:rPr>
          <w:rFonts w:asciiTheme="minorEastAsia" w:eastAsiaTheme="minorEastAsia" w:hAnsiTheme="minorEastAsia"/>
          <w:sz w:val="18"/>
          <w:szCs w:val="18"/>
        </w:rPr>
        <w:t>3</w:t>
      </w:r>
      <w:r w:rsidRPr="009867B5">
        <w:rPr>
          <w:rFonts w:asciiTheme="minorEastAsia" w:eastAsiaTheme="minorEastAsia" w:hAnsiTheme="minorEastAsia" w:hint="eastAsia"/>
          <w:sz w:val="18"/>
          <w:szCs w:val="18"/>
        </w:rPr>
        <w:t>年。浙江色纺自</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年度起享受高新技术企业税收优惠税率，即享受</w:t>
      </w:r>
      <w:r w:rsidRPr="009867B5">
        <w:rPr>
          <w:rFonts w:asciiTheme="minorEastAsia" w:eastAsiaTheme="minorEastAsia" w:hAnsiTheme="minorEastAsia"/>
          <w:sz w:val="18"/>
          <w:szCs w:val="18"/>
        </w:rPr>
        <w:t>15%</w:t>
      </w:r>
      <w:r w:rsidRPr="009867B5">
        <w:rPr>
          <w:rFonts w:asciiTheme="minorEastAsia" w:eastAsiaTheme="minorEastAsia" w:hAnsiTheme="minorEastAsia" w:hint="eastAsia"/>
          <w:sz w:val="18"/>
          <w:szCs w:val="18"/>
        </w:rPr>
        <w:t>的企业所得税优惠税率。</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3</w:t>
      </w:r>
      <w:r w:rsidRPr="009867B5">
        <w:rPr>
          <w:rFonts w:asciiTheme="minorEastAsia" w:eastAsiaTheme="minorEastAsia" w:hAnsiTheme="minorEastAsia" w:hint="eastAsia"/>
          <w:sz w:val="18"/>
          <w:szCs w:val="18"/>
        </w:rPr>
        <w:t>、根据财政部公告</w:t>
      </w:r>
      <w:r w:rsidRPr="009867B5">
        <w:rPr>
          <w:rFonts w:asciiTheme="minorEastAsia" w:eastAsiaTheme="minorEastAsia" w:hAnsiTheme="minorEastAsia"/>
          <w:sz w:val="18"/>
          <w:szCs w:val="18"/>
        </w:rPr>
        <w:t>2020</w:t>
      </w:r>
      <w:r w:rsidRPr="009867B5">
        <w:rPr>
          <w:rFonts w:asciiTheme="minorEastAsia" w:eastAsiaTheme="minorEastAsia" w:hAnsiTheme="minorEastAsia" w:hint="eastAsia"/>
          <w:sz w:val="18"/>
          <w:szCs w:val="18"/>
        </w:rPr>
        <w:t>年第</w:t>
      </w:r>
      <w:r w:rsidRPr="009867B5">
        <w:rPr>
          <w:rFonts w:asciiTheme="minorEastAsia" w:eastAsiaTheme="minorEastAsia" w:hAnsiTheme="minorEastAsia"/>
          <w:sz w:val="18"/>
          <w:szCs w:val="18"/>
        </w:rPr>
        <w:t>23</w:t>
      </w:r>
      <w:r w:rsidRPr="009867B5">
        <w:rPr>
          <w:rFonts w:asciiTheme="minorEastAsia" w:eastAsiaTheme="minorEastAsia" w:hAnsiTheme="minorEastAsia" w:hint="eastAsia"/>
          <w:sz w:val="18"/>
          <w:szCs w:val="18"/>
        </w:rPr>
        <w:t>号文件《财政部</w:t>
      </w:r>
      <w:r w:rsidRPr="009867B5">
        <w:rPr>
          <w:rFonts w:asciiTheme="minorEastAsia" w:eastAsiaTheme="minorEastAsia" w:hAnsiTheme="minorEastAsia"/>
          <w:sz w:val="18"/>
          <w:szCs w:val="18"/>
        </w:rPr>
        <w:t xml:space="preserve"> </w:t>
      </w:r>
      <w:r w:rsidRPr="009867B5">
        <w:rPr>
          <w:rFonts w:asciiTheme="minorEastAsia" w:eastAsiaTheme="minorEastAsia" w:hAnsiTheme="minorEastAsia" w:hint="eastAsia"/>
          <w:sz w:val="18"/>
          <w:szCs w:val="18"/>
        </w:rPr>
        <w:t>税务总局</w:t>
      </w:r>
      <w:r w:rsidRPr="009867B5">
        <w:rPr>
          <w:rFonts w:asciiTheme="minorEastAsia" w:eastAsiaTheme="minorEastAsia" w:hAnsiTheme="minorEastAsia"/>
          <w:sz w:val="18"/>
          <w:szCs w:val="18"/>
        </w:rPr>
        <w:t xml:space="preserve"> </w:t>
      </w:r>
      <w:r w:rsidRPr="009867B5">
        <w:rPr>
          <w:rFonts w:asciiTheme="minorEastAsia" w:eastAsiaTheme="minorEastAsia" w:hAnsiTheme="minorEastAsia" w:hint="eastAsia"/>
          <w:sz w:val="18"/>
          <w:szCs w:val="18"/>
        </w:rPr>
        <w:t>国家发展改革委关于延续西部大开发企业所得税政策的公告》的规定，对符合</w:t>
      </w:r>
      <w:r w:rsidRPr="009867B5">
        <w:rPr>
          <w:rFonts w:asciiTheme="minorEastAsia" w:eastAsiaTheme="minorEastAsia" w:hAnsiTheme="minorEastAsia"/>
          <w:sz w:val="18"/>
          <w:szCs w:val="18"/>
        </w:rPr>
        <w:t>[</w:t>
      </w:r>
      <w:r w:rsidRPr="009867B5">
        <w:rPr>
          <w:rFonts w:asciiTheme="minorEastAsia" w:eastAsiaTheme="minorEastAsia" w:hAnsiTheme="minorEastAsia" w:hint="eastAsia"/>
          <w:sz w:val="18"/>
          <w:szCs w:val="18"/>
        </w:rPr>
        <w:t>西部地区鼓励类产业目录</w:t>
      </w:r>
      <w:r w:rsidRPr="009867B5">
        <w:rPr>
          <w:rFonts w:asciiTheme="minorEastAsia" w:eastAsiaTheme="minorEastAsia" w:hAnsiTheme="minorEastAsia"/>
          <w:sz w:val="18"/>
          <w:szCs w:val="18"/>
        </w:rPr>
        <w:t>]</w:t>
      </w:r>
      <w:r w:rsidRPr="009867B5">
        <w:rPr>
          <w:rFonts w:asciiTheme="minorEastAsia" w:eastAsiaTheme="minorEastAsia" w:hAnsiTheme="minorEastAsia" w:hint="eastAsia"/>
          <w:sz w:val="18"/>
          <w:szCs w:val="18"/>
        </w:rPr>
        <w:t>第二十大类中的第六项的新疆自治区境内的纺织企业，自</w:t>
      </w:r>
      <w:r w:rsidRPr="009867B5">
        <w:rPr>
          <w:rFonts w:asciiTheme="minorEastAsia" w:eastAsiaTheme="minorEastAsia" w:hAnsiTheme="minorEastAsia"/>
          <w:sz w:val="18"/>
          <w:szCs w:val="18"/>
        </w:rPr>
        <w:t>2020</w:t>
      </w:r>
      <w:r w:rsidRPr="009867B5">
        <w:rPr>
          <w:rFonts w:asciiTheme="minorEastAsia" w:eastAsiaTheme="minorEastAsia" w:hAnsiTheme="minorEastAsia" w:hint="eastAsia"/>
          <w:sz w:val="18"/>
          <w:szCs w:val="18"/>
        </w:rPr>
        <w:t>年至</w:t>
      </w:r>
      <w:r w:rsidRPr="009867B5">
        <w:rPr>
          <w:rFonts w:asciiTheme="minorEastAsia" w:eastAsiaTheme="minorEastAsia" w:hAnsiTheme="minorEastAsia"/>
          <w:sz w:val="18"/>
          <w:szCs w:val="18"/>
        </w:rPr>
        <w:t>2030</w:t>
      </w:r>
      <w:r w:rsidRPr="009867B5">
        <w:rPr>
          <w:rFonts w:asciiTheme="minorEastAsia" w:eastAsiaTheme="minorEastAsia" w:hAnsiTheme="minorEastAsia" w:hint="eastAsia"/>
          <w:sz w:val="18"/>
          <w:szCs w:val="18"/>
        </w:rPr>
        <w:t>年，对设在西部地区的鼓励类产业企业减按</w:t>
      </w:r>
      <w:r w:rsidRPr="009867B5">
        <w:rPr>
          <w:rFonts w:asciiTheme="minorEastAsia" w:eastAsiaTheme="minorEastAsia" w:hAnsiTheme="minorEastAsia"/>
          <w:sz w:val="18"/>
          <w:szCs w:val="18"/>
        </w:rPr>
        <w:t>15%</w:t>
      </w:r>
      <w:r w:rsidRPr="009867B5">
        <w:rPr>
          <w:rFonts w:asciiTheme="minorEastAsia" w:eastAsiaTheme="minorEastAsia" w:hAnsiTheme="minorEastAsia" w:hint="eastAsia"/>
          <w:sz w:val="18"/>
          <w:szCs w:val="18"/>
        </w:rPr>
        <w:t>的税率征收企业所得税。据此，本公司之子公司阿克苏华孚、</w:t>
      </w:r>
      <w:proofErr w:type="gramStart"/>
      <w:r w:rsidRPr="009867B5">
        <w:rPr>
          <w:rFonts w:asciiTheme="minorEastAsia" w:eastAsiaTheme="minorEastAsia" w:hAnsiTheme="minorEastAsia" w:hint="eastAsia"/>
          <w:sz w:val="18"/>
          <w:szCs w:val="18"/>
        </w:rPr>
        <w:t>奎屯锦孚纺织</w:t>
      </w:r>
      <w:proofErr w:type="gramEnd"/>
      <w:r w:rsidRPr="009867B5">
        <w:rPr>
          <w:rFonts w:asciiTheme="minorEastAsia" w:eastAsiaTheme="minorEastAsia" w:hAnsiTheme="minorEastAsia" w:hint="eastAsia"/>
          <w:sz w:val="18"/>
          <w:szCs w:val="18"/>
        </w:rPr>
        <w:t>、</w:t>
      </w:r>
      <w:proofErr w:type="gramStart"/>
      <w:r w:rsidRPr="009867B5">
        <w:rPr>
          <w:rFonts w:asciiTheme="minorEastAsia" w:eastAsiaTheme="minorEastAsia" w:hAnsiTheme="minorEastAsia" w:hint="eastAsia"/>
          <w:sz w:val="18"/>
          <w:szCs w:val="18"/>
        </w:rPr>
        <w:t>新疆六孚纺织</w:t>
      </w:r>
      <w:proofErr w:type="gramEnd"/>
      <w:r w:rsidRPr="009867B5">
        <w:rPr>
          <w:rFonts w:asciiTheme="minorEastAsia" w:eastAsiaTheme="minorEastAsia" w:hAnsiTheme="minorEastAsia" w:hint="eastAsia"/>
          <w:sz w:val="18"/>
          <w:szCs w:val="18"/>
        </w:rPr>
        <w:t>享受</w:t>
      </w:r>
      <w:r w:rsidRPr="009867B5">
        <w:rPr>
          <w:rFonts w:asciiTheme="minorEastAsia" w:eastAsiaTheme="minorEastAsia" w:hAnsiTheme="minorEastAsia"/>
          <w:sz w:val="18"/>
          <w:szCs w:val="18"/>
        </w:rPr>
        <w:t>15%</w:t>
      </w:r>
      <w:r w:rsidRPr="009867B5">
        <w:rPr>
          <w:rFonts w:asciiTheme="minorEastAsia" w:eastAsiaTheme="minorEastAsia" w:hAnsiTheme="minorEastAsia" w:hint="eastAsia"/>
          <w:sz w:val="18"/>
          <w:szCs w:val="18"/>
        </w:rPr>
        <w:t>的企业所得税率。</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4</w:t>
      </w:r>
      <w:r w:rsidRPr="009867B5">
        <w:rPr>
          <w:rFonts w:asciiTheme="minorEastAsia" w:eastAsiaTheme="minorEastAsia" w:hAnsiTheme="minorEastAsia" w:hint="eastAsia"/>
          <w:sz w:val="18"/>
          <w:szCs w:val="18"/>
        </w:rPr>
        <w:t>、根据越南现行的</w:t>
      </w:r>
      <w:r w:rsidRPr="009867B5">
        <w:rPr>
          <w:rFonts w:asciiTheme="minorEastAsia" w:eastAsiaTheme="minorEastAsia" w:hAnsiTheme="minorEastAsia"/>
          <w:sz w:val="18"/>
          <w:szCs w:val="18"/>
        </w:rPr>
        <w:t xml:space="preserve">78/2014/TT-BTC </w:t>
      </w:r>
      <w:r w:rsidRPr="009867B5">
        <w:rPr>
          <w:rFonts w:asciiTheme="minorEastAsia" w:eastAsiaTheme="minorEastAsia" w:hAnsiTheme="minorEastAsia" w:hint="eastAsia"/>
          <w:sz w:val="18"/>
          <w:szCs w:val="18"/>
        </w:rPr>
        <w:t>和</w:t>
      </w:r>
      <w:r w:rsidRPr="009867B5">
        <w:rPr>
          <w:rFonts w:asciiTheme="minorEastAsia" w:eastAsiaTheme="minorEastAsia" w:hAnsiTheme="minorEastAsia"/>
          <w:sz w:val="18"/>
          <w:szCs w:val="18"/>
        </w:rPr>
        <w:t xml:space="preserve">96/2015/TT-BTC </w:t>
      </w:r>
      <w:r w:rsidRPr="009867B5">
        <w:rPr>
          <w:rFonts w:asciiTheme="minorEastAsia" w:eastAsiaTheme="minorEastAsia" w:hAnsiTheme="minorEastAsia" w:hint="eastAsia"/>
          <w:sz w:val="18"/>
          <w:szCs w:val="18"/>
        </w:rPr>
        <w:t>法规以及</w:t>
      </w:r>
      <w:r w:rsidRPr="009867B5">
        <w:rPr>
          <w:rFonts w:asciiTheme="minorEastAsia" w:eastAsiaTheme="minorEastAsia" w:hAnsiTheme="minorEastAsia"/>
          <w:sz w:val="18"/>
          <w:szCs w:val="18"/>
        </w:rPr>
        <w:t xml:space="preserve">57/2021/ND-CP </w:t>
      </w:r>
      <w:r w:rsidRPr="009867B5">
        <w:rPr>
          <w:rFonts w:asciiTheme="minorEastAsia" w:eastAsiaTheme="minorEastAsia" w:hAnsiTheme="minorEastAsia" w:hint="eastAsia"/>
          <w:sz w:val="18"/>
          <w:szCs w:val="18"/>
        </w:rPr>
        <w:t>和</w:t>
      </w:r>
      <w:r w:rsidRPr="009867B5">
        <w:rPr>
          <w:rFonts w:asciiTheme="minorEastAsia" w:eastAsiaTheme="minorEastAsia" w:hAnsiTheme="minorEastAsia"/>
          <w:sz w:val="18"/>
          <w:szCs w:val="18"/>
        </w:rPr>
        <w:t xml:space="preserve"> 218/2013/ND-CP</w:t>
      </w:r>
      <w:r w:rsidRPr="009867B5">
        <w:rPr>
          <w:rFonts w:asciiTheme="minorEastAsia" w:eastAsiaTheme="minorEastAsia" w:hAnsiTheme="minorEastAsia" w:hint="eastAsia"/>
          <w:sz w:val="18"/>
          <w:szCs w:val="18"/>
        </w:rPr>
        <w:t>补充条例的规定，对符合越南国家发展战略需求的制造工业支持产品的投资项目实行一定的企业所得税优惠激励措施。</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年根据越南相关政策规定，越南华孚又获得政府部门批准的“四免九减半”企业所得税优惠政策，据此，按照新税收优惠政策，越南华孚</w:t>
      </w:r>
      <w:r w:rsidRPr="009867B5">
        <w:rPr>
          <w:rFonts w:asciiTheme="minorEastAsia" w:eastAsiaTheme="minorEastAsia" w:hAnsiTheme="minorEastAsia"/>
          <w:sz w:val="18"/>
          <w:szCs w:val="18"/>
        </w:rPr>
        <w:t>2023</w:t>
      </w:r>
      <w:r w:rsidRPr="009867B5">
        <w:rPr>
          <w:rFonts w:asciiTheme="minorEastAsia" w:eastAsiaTheme="minorEastAsia" w:hAnsiTheme="minorEastAsia" w:hint="eastAsia"/>
          <w:sz w:val="18"/>
          <w:szCs w:val="18"/>
        </w:rPr>
        <w:t>年免征纱线产品自产自销业务的企业所得税。</w:t>
      </w:r>
      <w:r w:rsidRPr="009867B5">
        <w:rPr>
          <w:rFonts w:asciiTheme="minorEastAsia" w:eastAsiaTheme="minorEastAsia" w:hAnsiTheme="minorEastAsia"/>
          <w:sz w:val="18"/>
          <w:szCs w:val="18"/>
        </w:rPr>
        <w:t xml:space="preserve"> </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5</w:t>
      </w:r>
      <w:r w:rsidRPr="009867B5">
        <w:rPr>
          <w:rFonts w:asciiTheme="minorEastAsia" w:eastAsiaTheme="minorEastAsia" w:hAnsiTheme="minorEastAsia" w:hint="eastAsia"/>
          <w:sz w:val="18"/>
          <w:szCs w:val="18"/>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沙雅银花、库车纵横、库车恒丰、呼图壁宏盛、华孚恒丰、石河子</w:t>
      </w:r>
      <w:proofErr w:type="gramStart"/>
      <w:r w:rsidRPr="009867B5">
        <w:rPr>
          <w:rFonts w:asciiTheme="minorEastAsia" w:eastAsiaTheme="minorEastAsia" w:hAnsiTheme="minorEastAsia" w:hint="eastAsia"/>
          <w:sz w:val="18"/>
          <w:szCs w:val="18"/>
        </w:rPr>
        <w:t>宏盛棉业</w:t>
      </w:r>
      <w:proofErr w:type="gramEnd"/>
      <w:r w:rsidRPr="009867B5">
        <w:rPr>
          <w:rFonts w:asciiTheme="minorEastAsia" w:eastAsiaTheme="minorEastAsia" w:hAnsiTheme="minorEastAsia" w:hint="eastAsia"/>
          <w:sz w:val="18"/>
          <w:szCs w:val="18"/>
        </w:rPr>
        <w:t>、</w:t>
      </w:r>
      <w:proofErr w:type="gramStart"/>
      <w:r w:rsidRPr="009867B5">
        <w:rPr>
          <w:rFonts w:asciiTheme="minorEastAsia" w:eastAsiaTheme="minorEastAsia" w:hAnsiTheme="minorEastAsia" w:hint="eastAsia"/>
          <w:sz w:val="18"/>
          <w:szCs w:val="18"/>
        </w:rPr>
        <w:t>胡杨河宏盛棉</w:t>
      </w:r>
      <w:proofErr w:type="gramEnd"/>
      <w:r w:rsidRPr="009867B5">
        <w:rPr>
          <w:rFonts w:asciiTheme="minorEastAsia" w:eastAsiaTheme="minorEastAsia" w:hAnsiTheme="minorEastAsia" w:hint="eastAsia"/>
          <w:sz w:val="18"/>
          <w:szCs w:val="18"/>
        </w:rPr>
        <w:t>业、石河子</w:t>
      </w:r>
      <w:proofErr w:type="gramStart"/>
      <w:r w:rsidRPr="009867B5">
        <w:rPr>
          <w:rFonts w:asciiTheme="minorEastAsia" w:eastAsiaTheme="minorEastAsia" w:hAnsiTheme="minorEastAsia" w:hint="eastAsia"/>
          <w:sz w:val="18"/>
          <w:szCs w:val="18"/>
        </w:rPr>
        <w:t>宏丰棉业</w:t>
      </w:r>
      <w:proofErr w:type="gramEnd"/>
      <w:r w:rsidRPr="009867B5">
        <w:rPr>
          <w:rFonts w:asciiTheme="minorEastAsia" w:eastAsiaTheme="minorEastAsia" w:hAnsiTheme="minorEastAsia" w:hint="eastAsia"/>
          <w:sz w:val="18"/>
          <w:szCs w:val="18"/>
        </w:rPr>
        <w:t>免征企业所得税。</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6</w:t>
      </w:r>
      <w:r w:rsidRPr="009867B5">
        <w:rPr>
          <w:rFonts w:asciiTheme="minorEastAsia" w:eastAsiaTheme="minorEastAsia" w:hAnsiTheme="minorEastAsia" w:hint="eastAsia"/>
          <w:sz w:val="18"/>
          <w:szCs w:val="18"/>
        </w:rPr>
        <w:t>、根据</w:t>
      </w:r>
      <w:r w:rsidRPr="009867B5">
        <w:rPr>
          <w:rFonts w:asciiTheme="minorEastAsia" w:eastAsiaTheme="minorEastAsia" w:hAnsiTheme="minorEastAsia"/>
          <w:sz w:val="18"/>
          <w:szCs w:val="18"/>
        </w:rPr>
        <w:t>2022</w:t>
      </w:r>
      <w:r w:rsidRPr="009867B5">
        <w:rPr>
          <w:rFonts w:asciiTheme="minorEastAsia" w:eastAsiaTheme="minorEastAsia" w:hAnsiTheme="minorEastAsia" w:hint="eastAsia"/>
          <w:sz w:val="18"/>
          <w:szCs w:val="18"/>
        </w:rPr>
        <w:t>年</w:t>
      </w:r>
      <w:r w:rsidRPr="009867B5">
        <w:rPr>
          <w:rFonts w:asciiTheme="minorEastAsia" w:eastAsiaTheme="minorEastAsia" w:hAnsiTheme="minorEastAsia"/>
          <w:sz w:val="18"/>
          <w:szCs w:val="18"/>
        </w:rPr>
        <w:t>11</w:t>
      </w:r>
      <w:r w:rsidRPr="009867B5">
        <w:rPr>
          <w:rFonts w:asciiTheme="minorEastAsia" w:eastAsiaTheme="minorEastAsia" w:hAnsiTheme="minorEastAsia" w:hint="eastAsia"/>
          <w:sz w:val="18"/>
          <w:szCs w:val="18"/>
        </w:rPr>
        <w:t>月</w:t>
      </w:r>
      <w:r w:rsidRPr="009867B5">
        <w:rPr>
          <w:rFonts w:asciiTheme="minorEastAsia" w:eastAsiaTheme="minorEastAsia" w:hAnsiTheme="minorEastAsia"/>
          <w:sz w:val="18"/>
          <w:szCs w:val="18"/>
        </w:rPr>
        <w:t>28</w:t>
      </w:r>
      <w:r w:rsidRPr="009867B5">
        <w:rPr>
          <w:rFonts w:asciiTheme="minorEastAsia" w:eastAsiaTheme="minorEastAsia" w:hAnsiTheme="minorEastAsia" w:hint="eastAsia"/>
          <w:sz w:val="18"/>
          <w:szCs w:val="18"/>
        </w:rPr>
        <w:t>日新疆维吾尔自治区科学技术厅、新疆维吾尔自治区财政厅、国家税务总局新疆维吾尔自治区税务局联合颁发的证书编号</w:t>
      </w:r>
      <w:r w:rsidRPr="009867B5">
        <w:rPr>
          <w:rFonts w:asciiTheme="minorEastAsia" w:eastAsiaTheme="minorEastAsia" w:hAnsiTheme="minorEastAsia"/>
          <w:sz w:val="18"/>
          <w:szCs w:val="18"/>
        </w:rPr>
        <w:t>GR202265000504</w:t>
      </w:r>
      <w:r w:rsidRPr="009867B5">
        <w:rPr>
          <w:rFonts w:asciiTheme="minorEastAsia" w:eastAsiaTheme="minorEastAsia" w:hAnsiTheme="minorEastAsia" w:hint="eastAsia"/>
          <w:sz w:val="18"/>
          <w:szCs w:val="18"/>
        </w:rPr>
        <w:t>的《高新技术企业证书》，有效期为</w:t>
      </w:r>
      <w:r w:rsidRPr="009867B5">
        <w:rPr>
          <w:rFonts w:asciiTheme="minorEastAsia" w:eastAsiaTheme="minorEastAsia" w:hAnsiTheme="minorEastAsia"/>
          <w:sz w:val="18"/>
          <w:szCs w:val="18"/>
        </w:rPr>
        <w:t>3</w:t>
      </w:r>
      <w:r w:rsidRPr="009867B5">
        <w:rPr>
          <w:rFonts w:asciiTheme="minorEastAsia" w:eastAsiaTheme="minorEastAsia" w:hAnsiTheme="minorEastAsia" w:hint="eastAsia"/>
          <w:sz w:val="18"/>
          <w:szCs w:val="18"/>
        </w:rPr>
        <w:t>年。阿克苏</w:t>
      </w:r>
      <w:proofErr w:type="gramStart"/>
      <w:r w:rsidRPr="009867B5">
        <w:rPr>
          <w:rFonts w:asciiTheme="minorEastAsia" w:eastAsiaTheme="minorEastAsia" w:hAnsiTheme="minorEastAsia" w:hint="eastAsia"/>
          <w:sz w:val="18"/>
          <w:szCs w:val="18"/>
        </w:rPr>
        <w:t>标信自</w:t>
      </w:r>
      <w:proofErr w:type="gramEnd"/>
      <w:r w:rsidRPr="009867B5">
        <w:rPr>
          <w:rFonts w:asciiTheme="minorEastAsia" w:eastAsiaTheme="minorEastAsia" w:hAnsiTheme="minorEastAsia"/>
          <w:sz w:val="18"/>
          <w:szCs w:val="18"/>
        </w:rPr>
        <w:t>2022</w:t>
      </w:r>
      <w:r w:rsidRPr="009867B5">
        <w:rPr>
          <w:rFonts w:asciiTheme="minorEastAsia" w:eastAsiaTheme="minorEastAsia" w:hAnsiTheme="minorEastAsia" w:hint="eastAsia"/>
          <w:sz w:val="18"/>
          <w:szCs w:val="18"/>
        </w:rPr>
        <w:t>年度起享受高新技术企业税收优惠税率，即享受</w:t>
      </w:r>
      <w:r w:rsidRPr="009867B5">
        <w:rPr>
          <w:rFonts w:asciiTheme="minorEastAsia" w:eastAsiaTheme="minorEastAsia" w:hAnsiTheme="minorEastAsia"/>
          <w:sz w:val="18"/>
          <w:szCs w:val="18"/>
        </w:rPr>
        <w:t>15%</w:t>
      </w:r>
      <w:r w:rsidRPr="009867B5">
        <w:rPr>
          <w:rFonts w:asciiTheme="minorEastAsia" w:eastAsiaTheme="minorEastAsia" w:hAnsiTheme="minorEastAsia" w:hint="eastAsia"/>
          <w:sz w:val="18"/>
          <w:szCs w:val="18"/>
        </w:rPr>
        <w:t>的企业所得税优惠税率。</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7</w:t>
      </w:r>
      <w:r w:rsidRPr="009867B5">
        <w:rPr>
          <w:rFonts w:asciiTheme="minorEastAsia" w:eastAsiaTheme="minorEastAsia" w:hAnsiTheme="minorEastAsia" w:hint="eastAsia"/>
          <w:sz w:val="18"/>
          <w:szCs w:val="18"/>
        </w:rPr>
        <w:t>、新加坡注册企业首</w:t>
      </w:r>
      <w:r w:rsidRPr="009867B5">
        <w:rPr>
          <w:rFonts w:asciiTheme="minorEastAsia" w:eastAsiaTheme="minorEastAsia" w:hAnsiTheme="minorEastAsia"/>
          <w:sz w:val="18"/>
          <w:szCs w:val="18"/>
        </w:rPr>
        <w:t>1</w:t>
      </w:r>
      <w:r w:rsidRPr="009867B5">
        <w:rPr>
          <w:rFonts w:asciiTheme="minorEastAsia" w:eastAsiaTheme="minorEastAsia" w:hAnsiTheme="minorEastAsia" w:hint="eastAsia"/>
          <w:sz w:val="18"/>
          <w:szCs w:val="18"/>
        </w:rPr>
        <w:t>万新币利润，减免税务</w:t>
      </w:r>
      <w:r w:rsidRPr="009867B5">
        <w:rPr>
          <w:rFonts w:asciiTheme="minorEastAsia" w:eastAsiaTheme="minorEastAsia" w:hAnsiTheme="minorEastAsia"/>
          <w:sz w:val="18"/>
          <w:szCs w:val="18"/>
        </w:rPr>
        <w:t>75%</w:t>
      </w:r>
      <w:r w:rsidRPr="009867B5">
        <w:rPr>
          <w:rFonts w:asciiTheme="minorEastAsia" w:eastAsiaTheme="minorEastAsia" w:hAnsiTheme="minorEastAsia" w:hint="eastAsia"/>
          <w:sz w:val="18"/>
          <w:szCs w:val="18"/>
        </w:rPr>
        <w:t>，税率为</w:t>
      </w:r>
      <w:r w:rsidRPr="009867B5">
        <w:rPr>
          <w:rFonts w:asciiTheme="minorEastAsia" w:eastAsiaTheme="minorEastAsia" w:hAnsiTheme="minorEastAsia"/>
          <w:sz w:val="18"/>
          <w:szCs w:val="18"/>
        </w:rPr>
        <w:t>4.25%</w:t>
      </w:r>
      <w:r w:rsidRPr="009867B5">
        <w:rPr>
          <w:rFonts w:asciiTheme="minorEastAsia" w:eastAsiaTheme="minorEastAsia" w:hAnsiTheme="minorEastAsia" w:hint="eastAsia"/>
          <w:sz w:val="18"/>
          <w:szCs w:val="18"/>
        </w:rPr>
        <w:t>；企业后续</w:t>
      </w:r>
      <w:r w:rsidRPr="009867B5">
        <w:rPr>
          <w:rFonts w:asciiTheme="minorEastAsia" w:eastAsiaTheme="minorEastAsia" w:hAnsiTheme="minorEastAsia"/>
          <w:sz w:val="18"/>
          <w:szCs w:val="18"/>
        </w:rPr>
        <w:t>19</w:t>
      </w:r>
      <w:r w:rsidRPr="009867B5">
        <w:rPr>
          <w:rFonts w:asciiTheme="minorEastAsia" w:eastAsiaTheme="minorEastAsia" w:hAnsiTheme="minorEastAsia" w:hint="eastAsia"/>
          <w:sz w:val="18"/>
          <w:szCs w:val="18"/>
        </w:rPr>
        <w:t>万新币利润，享有减免税务</w:t>
      </w:r>
      <w:r w:rsidRPr="009867B5">
        <w:rPr>
          <w:rFonts w:asciiTheme="minorEastAsia" w:eastAsiaTheme="minorEastAsia" w:hAnsiTheme="minorEastAsia"/>
          <w:sz w:val="18"/>
          <w:szCs w:val="18"/>
        </w:rPr>
        <w:t>50%</w:t>
      </w:r>
      <w:r w:rsidRPr="009867B5">
        <w:rPr>
          <w:rFonts w:asciiTheme="minorEastAsia" w:eastAsiaTheme="minorEastAsia" w:hAnsiTheme="minorEastAsia" w:hint="eastAsia"/>
          <w:sz w:val="18"/>
          <w:szCs w:val="18"/>
        </w:rPr>
        <w:t>；企业超出</w:t>
      </w:r>
      <w:r w:rsidRPr="009867B5">
        <w:rPr>
          <w:rFonts w:asciiTheme="minorEastAsia" w:eastAsiaTheme="minorEastAsia" w:hAnsiTheme="minorEastAsia"/>
          <w:sz w:val="18"/>
          <w:szCs w:val="18"/>
        </w:rPr>
        <w:t>20</w:t>
      </w:r>
      <w:r w:rsidRPr="009867B5">
        <w:rPr>
          <w:rFonts w:asciiTheme="minorEastAsia" w:eastAsiaTheme="minorEastAsia" w:hAnsiTheme="minorEastAsia" w:hint="eastAsia"/>
          <w:sz w:val="18"/>
          <w:szCs w:val="18"/>
        </w:rPr>
        <w:t>万新币的利润部分，按照</w:t>
      </w:r>
      <w:r w:rsidRPr="009867B5">
        <w:rPr>
          <w:rFonts w:asciiTheme="minorEastAsia" w:eastAsiaTheme="minorEastAsia" w:hAnsiTheme="minorEastAsia"/>
          <w:sz w:val="18"/>
          <w:szCs w:val="18"/>
        </w:rPr>
        <w:t>17%</w:t>
      </w:r>
      <w:r w:rsidRPr="009867B5">
        <w:rPr>
          <w:rFonts w:asciiTheme="minorEastAsia" w:eastAsiaTheme="minorEastAsia" w:hAnsiTheme="minorEastAsia" w:hint="eastAsia"/>
          <w:sz w:val="18"/>
          <w:szCs w:val="18"/>
        </w:rPr>
        <w:t>的税率正常征收。</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8</w:t>
      </w:r>
      <w:r w:rsidRPr="009867B5">
        <w:rPr>
          <w:rFonts w:asciiTheme="minorEastAsia" w:eastAsiaTheme="minorEastAsia" w:hAnsiTheme="minorEastAsia" w:hint="eastAsia"/>
          <w:sz w:val="18"/>
          <w:szCs w:val="18"/>
        </w:rPr>
        <w:t>、根据</w:t>
      </w:r>
      <w:r w:rsidRPr="009867B5">
        <w:rPr>
          <w:rFonts w:asciiTheme="minorEastAsia" w:eastAsiaTheme="minorEastAsia" w:hAnsiTheme="minorEastAsia"/>
          <w:sz w:val="18"/>
          <w:szCs w:val="18"/>
        </w:rPr>
        <w:t>2022</w:t>
      </w:r>
      <w:r w:rsidRPr="009867B5">
        <w:rPr>
          <w:rFonts w:asciiTheme="minorEastAsia" w:eastAsiaTheme="minorEastAsia" w:hAnsiTheme="minorEastAsia" w:hint="eastAsia"/>
          <w:sz w:val="18"/>
          <w:szCs w:val="18"/>
        </w:rPr>
        <w:t>年</w:t>
      </w:r>
      <w:r w:rsidRPr="009867B5">
        <w:rPr>
          <w:rFonts w:asciiTheme="minorEastAsia" w:eastAsiaTheme="minorEastAsia" w:hAnsiTheme="minorEastAsia"/>
          <w:sz w:val="18"/>
          <w:szCs w:val="18"/>
        </w:rPr>
        <w:t>12</w:t>
      </w:r>
      <w:r w:rsidRPr="009867B5">
        <w:rPr>
          <w:rFonts w:asciiTheme="minorEastAsia" w:eastAsiaTheme="minorEastAsia" w:hAnsiTheme="minorEastAsia" w:hint="eastAsia"/>
          <w:sz w:val="18"/>
          <w:szCs w:val="18"/>
        </w:rPr>
        <w:t>月</w:t>
      </w:r>
      <w:r w:rsidRPr="009867B5">
        <w:rPr>
          <w:rFonts w:asciiTheme="minorEastAsia" w:eastAsiaTheme="minorEastAsia" w:hAnsiTheme="minorEastAsia"/>
          <w:sz w:val="18"/>
          <w:szCs w:val="18"/>
        </w:rPr>
        <w:t>24</w:t>
      </w:r>
      <w:r w:rsidRPr="009867B5">
        <w:rPr>
          <w:rFonts w:asciiTheme="minorEastAsia" w:eastAsiaTheme="minorEastAsia" w:hAnsiTheme="minorEastAsia" w:hint="eastAsia"/>
          <w:sz w:val="18"/>
          <w:szCs w:val="18"/>
        </w:rPr>
        <w:t>日浙江省科学技术厅、浙江省财政厅、国家税务总局浙江省税务局联合颁发的证书编号</w:t>
      </w:r>
      <w:r w:rsidRPr="009867B5">
        <w:rPr>
          <w:rFonts w:asciiTheme="minorEastAsia" w:eastAsiaTheme="minorEastAsia" w:hAnsiTheme="minorEastAsia"/>
          <w:sz w:val="18"/>
          <w:szCs w:val="18"/>
        </w:rPr>
        <w:t>GR202233000592</w:t>
      </w:r>
      <w:r w:rsidRPr="009867B5">
        <w:rPr>
          <w:rFonts w:asciiTheme="minorEastAsia" w:eastAsiaTheme="minorEastAsia" w:hAnsiTheme="minorEastAsia" w:hint="eastAsia"/>
          <w:sz w:val="18"/>
          <w:szCs w:val="18"/>
        </w:rPr>
        <w:t>的《高新技术企业证书》，有效期为</w:t>
      </w:r>
      <w:r w:rsidRPr="009867B5">
        <w:rPr>
          <w:rFonts w:asciiTheme="minorEastAsia" w:eastAsiaTheme="minorEastAsia" w:hAnsiTheme="minorEastAsia"/>
          <w:sz w:val="18"/>
          <w:szCs w:val="18"/>
        </w:rPr>
        <w:t>3</w:t>
      </w:r>
      <w:r w:rsidRPr="009867B5">
        <w:rPr>
          <w:rFonts w:asciiTheme="minorEastAsia" w:eastAsiaTheme="minorEastAsia" w:hAnsiTheme="minorEastAsia" w:hint="eastAsia"/>
          <w:sz w:val="18"/>
          <w:szCs w:val="18"/>
        </w:rPr>
        <w:t>年。卡拉美拉自</w:t>
      </w:r>
      <w:r w:rsidRPr="009867B5">
        <w:rPr>
          <w:rFonts w:asciiTheme="minorEastAsia" w:eastAsiaTheme="minorEastAsia" w:hAnsiTheme="minorEastAsia"/>
          <w:sz w:val="18"/>
          <w:szCs w:val="18"/>
        </w:rPr>
        <w:t>2022</w:t>
      </w:r>
      <w:r w:rsidRPr="009867B5">
        <w:rPr>
          <w:rFonts w:asciiTheme="minorEastAsia" w:eastAsiaTheme="minorEastAsia" w:hAnsiTheme="minorEastAsia" w:hint="eastAsia"/>
          <w:sz w:val="18"/>
          <w:szCs w:val="18"/>
        </w:rPr>
        <w:t>年度起享受高新技术企业税收优惠税率，即享受</w:t>
      </w:r>
      <w:r w:rsidRPr="009867B5">
        <w:rPr>
          <w:rFonts w:asciiTheme="minorEastAsia" w:eastAsiaTheme="minorEastAsia" w:hAnsiTheme="minorEastAsia"/>
          <w:sz w:val="18"/>
          <w:szCs w:val="18"/>
        </w:rPr>
        <w:t>15%</w:t>
      </w:r>
      <w:r w:rsidRPr="009867B5">
        <w:rPr>
          <w:rFonts w:asciiTheme="minorEastAsia" w:eastAsiaTheme="minorEastAsia" w:hAnsiTheme="minorEastAsia" w:hint="eastAsia"/>
          <w:sz w:val="18"/>
          <w:szCs w:val="18"/>
        </w:rPr>
        <w:t>的企业所得税优惠税率。</w:t>
      </w:r>
    </w:p>
    <w:p w:rsidR="00B54A20" w:rsidRPr="009867B5" w:rsidRDefault="00B54A20" w:rsidP="009867B5">
      <w:pPr>
        <w:pStyle w:val="a3"/>
        <w:spacing w:before="0" w:beforeAutospacing="0" w:after="0" w:afterAutospacing="0"/>
        <w:ind w:firstLine="420"/>
        <w:jc w:val="both"/>
        <w:divId w:val="357236934"/>
        <w:rPr>
          <w:rFonts w:asciiTheme="minorEastAsia" w:eastAsiaTheme="minorEastAsia" w:hAnsiTheme="minorEastAsia"/>
        </w:rPr>
      </w:pPr>
      <w:r w:rsidRPr="009867B5">
        <w:rPr>
          <w:rFonts w:asciiTheme="minorEastAsia" w:eastAsiaTheme="minorEastAsia" w:hAnsiTheme="minorEastAsia"/>
          <w:sz w:val="18"/>
          <w:szCs w:val="18"/>
        </w:rPr>
        <w:t>9</w:t>
      </w:r>
      <w:r w:rsidRPr="009867B5">
        <w:rPr>
          <w:rFonts w:asciiTheme="minorEastAsia" w:eastAsiaTheme="minorEastAsia" w:hAnsiTheme="minorEastAsia" w:hint="eastAsia"/>
          <w:sz w:val="18"/>
          <w:szCs w:val="18"/>
        </w:rPr>
        <w:t>、根据《财政部税务总局关于实施小微企业和个体工商户所得税优惠政策的公告》（</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年第</w:t>
      </w:r>
      <w:r w:rsidRPr="009867B5">
        <w:rPr>
          <w:rFonts w:asciiTheme="minorEastAsia" w:eastAsiaTheme="minorEastAsia" w:hAnsiTheme="minorEastAsia"/>
          <w:sz w:val="18"/>
          <w:szCs w:val="18"/>
        </w:rPr>
        <w:t>12</w:t>
      </w:r>
      <w:r w:rsidRPr="009867B5">
        <w:rPr>
          <w:rFonts w:asciiTheme="minorEastAsia" w:eastAsiaTheme="minorEastAsia" w:hAnsiTheme="minorEastAsia" w:hint="eastAsia"/>
          <w:sz w:val="18"/>
          <w:szCs w:val="18"/>
        </w:rPr>
        <w:t>号）的规定，自</w:t>
      </w:r>
      <w:r w:rsidRPr="009867B5">
        <w:rPr>
          <w:rFonts w:asciiTheme="minorEastAsia" w:eastAsiaTheme="minorEastAsia" w:hAnsiTheme="minorEastAsia"/>
          <w:sz w:val="18"/>
          <w:szCs w:val="18"/>
        </w:rPr>
        <w:t>2021</w:t>
      </w:r>
      <w:r w:rsidRPr="009867B5">
        <w:rPr>
          <w:rFonts w:asciiTheme="minorEastAsia" w:eastAsiaTheme="minorEastAsia" w:hAnsiTheme="minorEastAsia" w:hint="eastAsia"/>
          <w:sz w:val="18"/>
          <w:szCs w:val="18"/>
        </w:rPr>
        <w:t>年</w:t>
      </w:r>
      <w:r w:rsidRPr="009867B5">
        <w:rPr>
          <w:rFonts w:asciiTheme="minorEastAsia" w:eastAsiaTheme="minorEastAsia" w:hAnsiTheme="minorEastAsia"/>
          <w:sz w:val="18"/>
          <w:szCs w:val="18"/>
        </w:rPr>
        <w:t>1</w:t>
      </w:r>
      <w:r w:rsidRPr="009867B5">
        <w:rPr>
          <w:rFonts w:asciiTheme="minorEastAsia" w:eastAsiaTheme="minorEastAsia" w:hAnsiTheme="minorEastAsia" w:hint="eastAsia"/>
          <w:sz w:val="18"/>
          <w:szCs w:val="18"/>
        </w:rPr>
        <w:t>月</w:t>
      </w:r>
      <w:r w:rsidRPr="009867B5">
        <w:rPr>
          <w:rFonts w:asciiTheme="minorEastAsia" w:eastAsiaTheme="minorEastAsia" w:hAnsiTheme="minorEastAsia"/>
          <w:sz w:val="18"/>
          <w:szCs w:val="18"/>
        </w:rPr>
        <w:t>1</w:t>
      </w:r>
      <w:r w:rsidRPr="009867B5">
        <w:rPr>
          <w:rFonts w:asciiTheme="minorEastAsia" w:eastAsiaTheme="minorEastAsia" w:hAnsiTheme="minorEastAsia" w:hint="eastAsia"/>
          <w:sz w:val="18"/>
          <w:szCs w:val="18"/>
        </w:rPr>
        <w:t>日至</w:t>
      </w:r>
      <w:r w:rsidRPr="009867B5">
        <w:rPr>
          <w:rFonts w:asciiTheme="minorEastAsia" w:eastAsiaTheme="minorEastAsia" w:hAnsiTheme="minorEastAsia"/>
          <w:sz w:val="18"/>
          <w:szCs w:val="18"/>
        </w:rPr>
        <w:t>2022</w:t>
      </w:r>
      <w:r w:rsidRPr="009867B5">
        <w:rPr>
          <w:rFonts w:asciiTheme="minorEastAsia" w:eastAsiaTheme="minorEastAsia" w:hAnsiTheme="minorEastAsia" w:hint="eastAsia"/>
          <w:sz w:val="18"/>
          <w:szCs w:val="18"/>
        </w:rPr>
        <w:t>年</w:t>
      </w:r>
      <w:r w:rsidRPr="009867B5">
        <w:rPr>
          <w:rFonts w:asciiTheme="minorEastAsia" w:eastAsiaTheme="minorEastAsia" w:hAnsiTheme="minorEastAsia"/>
          <w:sz w:val="18"/>
          <w:szCs w:val="18"/>
        </w:rPr>
        <w:t>12</w:t>
      </w:r>
      <w:r w:rsidRPr="009867B5">
        <w:rPr>
          <w:rFonts w:asciiTheme="minorEastAsia" w:eastAsiaTheme="minorEastAsia" w:hAnsiTheme="minorEastAsia" w:hint="eastAsia"/>
          <w:sz w:val="18"/>
          <w:szCs w:val="18"/>
        </w:rPr>
        <w:t>月</w:t>
      </w:r>
      <w:r w:rsidRPr="009867B5">
        <w:rPr>
          <w:rFonts w:asciiTheme="minorEastAsia" w:eastAsiaTheme="minorEastAsia" w:hAnsiTheme="minorEastAsia"/>
          <w:sz w:val="18"/>
          <w:szCs w:val="18"/>
        </w:rPr>
        <w:t>31</w:t>
      </w:r>
      <w:r w:rsidRPr="009867B5">
        <w:rPr>
          <w:rFonts w:asciiTheme="minorEastAsia" w:eastAsiaTheme="minorEastAsia" w:hAnsiTheme="minorEastAsia" w:hint="eastAsia"/>
          <w:sz w:val="18"/>
          <w:szCs w:val="18"/>
        </w:rPr>
        <w:t>日，对小型微利企业年应纳税所得额不超过</w:t>
      </w:r>
      <w:r w:rsidRPr="009867B5">
        <w:rPr>
          <w:rFonts w:asciiTheme="minorEastAsia" w:eastAsiaTheme="minorEastAsia" w:hAnsiTheme="minorEastAsia"/>
          <w:sz w:val="18"/>
          <w:szCs w:val="18"/>
        </w:rPr>
        <w:t>100</w:t>
      </w:r>
      <w:r w:rsidRPr="009867B5">
        <w:rPr>
          <w:rFonts w:asciiTheme="minorEastAsia" w:eastAsiaTheme="minorEastAsia" w:hAnsiTheme="minorEastAsia" w:hint="eastAsia"/>
          <w:sz w:val="18"/>
          <w:szCs w:val="18"/>
        </w:rPr>
        <w:t>万元的部分，减按</w:t>
      </w:r>
      <w:r w:rsidRPr="009867B5">
        <w:rPr>
          <w:rFonts w:asciiTheme="minorEastAsia" w:eastAsiaTheme="minorEastAsia" w:hAnsiTheme="minorEastAsia"/>
          <w:sz w:val="18"/>
          <w:szCs w:val="18"/>
        </w:rPr>
        <w:t>12.5%</w:t>
      </w:r>
      <w:r w:rsidRPr="009867B5">
        <w:rPr>
          <w:rFonts w:asciiTheme="minorEastAsia" w:eastAsiaTheme="minorEastAsia" w:hAnsiTheme="minorEastAsia" w:hint="eastAsia"/>
          <w:sz w:val="18"/>
          <w:szCs w:val="18"/>
        </w:rPr>
        <w:t>计入应纳税所得额，按</w:t>
      </w:r>
      <w:r w:rsidRPr="009867B5">
        <w:rPr>
          <w:rFonts w:asciiTheme="minorEastAsia" w:eastAsiaTheme="minorEastAsia" w:hAnsiTheme="minorEastAsia"/>
          <w:sz w:val="18"/>
          <w:szCs w:val="18"/>
        </w:rPr>
        <w:t>20%</w:t>
      </w:r>
      <w:r w:rsidRPr="009867B5">
        <w:rPr>
          <w:rFonts w:asciiTheme="minorEastAsia" w:eastAsiaTheme="minorEastAsia" w:hAnsiTheme="minorEastAsia" w:hint="eastAsia"/>
          <w:sz w:val="18"/>
          <w:szCs w:val="18"/>
        </w:rPr>
        <w:t>的税率缴纳企业所得税。根据《关于实施小微企业普惠性税收减免政策的通知》，对年应纳税所得额超过</w:t>
      </w:r>
      <w:r w:rsidRPr="009867B5">
        <w:rPr>
          <w:rFonts w:asciiTheme="minorEastAsia" w:eastAsiaTheme="minorEastAsia" w:hAnsiTheme="minorEastAsia"/>
          <w:sz w:val="18"/>
          <w:szCs w:val="18"/>
        </w:rPr>
        <w:t>100</w:t>
      </w:r>
      <w:r w:rsidRPr="009867B5">
        <w:rPr>
          <w:rFonts w:asciiTheme="minorEastAsia" w:eastAsiaTheme="minorEastAsia" w:hAnsiTheme="minorEastAsia" w:hint="eastAsia"/>
          <w:sz w:val="18"/>
          <w:szCs w:val="18"/>
        </w:rPr>
        <w:t>万元但不超过</w:t>
      </w:r>
      <w:r w:rsidRPr="009867B5">
        <w:rPr>
          <w:rFonts w:asciiTheme="minorEastAsia" w:eastAsiaTheme="minorEastAsia" w:hAnsiTheme="minorEastAsia"/>
          <w:sz w:val="18"/>
          <w:szCs w:val="18"/>
        </w:rPr>
        <w:t>300</w:t>
      </w:r>
      <w:r w:rsidRPr="009867B5">
        <w:rPr>
          <w:rFonts w:asciiTheme="minorEastAsia" w:eastAsiaTheme="minorEastAsia" w:hAnsiTheme="minorEastAsia" w:hint="eastAsia"/>
          <w:sz w:val="18"/>
          <w:szCs w:val="18"/>
        </w:rPr>
        <w:t>万元的部分，减按</w:t>
      </w:r>
      <w:r w:rsidRPr="009867B5">
        <w:rPr>
          <w:rFonts w:asciiTheme="minorEastAsia" w:eastAsiaTheme="minorEastAsia" w:hAnsiTheme="minorEastAsia"/>
          <w:sz w:val="18"/>
          <w:szCs w:val="18"/>
        </w:rPr>
        <w:t>50%</w:t>
      </w:r>
      <w:r w:rsidRPr="009867B5">
        <w:rPr>
          <w:rFonts w:asciiTheme="minorEastAsia" w:eastAsiaTheme="minorEastAsia" w:hAnsiTheme="minorEastAsia" w:hint="eastAsia"/>
          <w:sz w:val="18"/>
          <w:szCs w:val="18"/>
        </w:rPr>
        <w:t>计入应纳税所得额，按</w:t>
      </w:r>
      <w:r w:rsidRPr="009867B5">
        <w:rPr>
          <w:rFonts w:asciiTheme="minorEastAsia" w:eastAsiaTheme="minorEastAsia" w:hAnsiTheme="minorEastAsia"/>
          <w:sz w:val="18"/>
          <w:szCs w:val="18"/>
        </w:rPr>
        <w:t>20%</w:t>
      </w:r>
      <w:r w:rsidRPr="009867B5">
        <w:rPr>
          <w:rFonts w:asciiTheme="minorEastAsia" w:eastAsiaTheme="minorEastAsia" w:hAnsiTheme="minorEastAsia" w:hint="eastAsia"/>
          <w:sz w:val="18"/>
          <w:szCs w:val="18"/>
        </w:rPr>
        <w:t>的税率缴纳企业所得税。本公司存在上海清澄、阿克苏新能源、安徽博忆、江苏清澄、上虞华孚物流、浙江阿大互联、上海华孚色纺、</w:t>
      </w:r>
      <w:proofErr w:type="gramStart"/>
      <w:r w:rsidRPr="009867B5">
        <w:rPr>
          <w:rFonts w:asciiTheme="minorEastAsia" w:eastAsiaTheme="minorEastAsia" w:hAnsiTheme="minorEastAsia" w:hint="eastAsia"/>
          <w:sz w:val="18"/>
          <w:szCs w:val="18"/>
        </w:rPr>
        <w:t>菁英电</w:t>
      </w:r>
      <w:proofErr w:type="gramEnd"/>
      <w:r w:rsidRPr="009867B5">
        <w:rPr>
          <w:rFonts w:asciiTheme="minorEastAsia" w:eastAsiaTheme="minorEastAsia" w:hAnsiTheme="minorEastAsia" w:hint="eastAsia"/>
          <w:sz w:val="18"/>
          <w:szCs w:val="18"/>
        </w:rPr>
        <w:t>商、</w:t>
      </w:r>
      <w:proofErr w:type="gramStart"/>
      <w:r w:rsidRPr="009867B5">
        <w:rPr>
          <w:rFonts w:asciiTheme="minorEastAsia" w:eastAsiaTheme="minorEastAsia" w:hAnsiTheme="minorEastAsia" w:hint="eastAsia"/>
          <w:sz w:val="18"/>
          <w:szCs w:val="18"/>
        </w:rPr>
        <w:t>菁</w:t>
      </w:r>
      <w:proofErr w:type="gramEnd"/>
      <w:r w:rsidRPr="009867B5">
        <w:rPr>
          <w:rFonts w:asciiTheme="minorEastAsia" w:eastAsiaTheme="minorEastAsia" w:hAnsiTheme="minorEastAsia" w:hint="eastAsia"/>
          <w:sz w:val="18"/>
          <w:szCs w:val="18"/>
        </w:rPr>
        <w:t>英创业、新疆天路、浙江名</w:t>
      </w:r>
      <w:proofErr w:type="gramStart"/>
      <w:r w:rsidRPr="009867B5">
        <w:rPr>
          <w:rFonts w:asciiTheme="minorEastAsia" w:eastAsiaTheme="minorEastAsia" w:hAnsiTheme="minorEastAsia" w:hint="eastAsia"/>
          <w:sz w:val="18"/>
          <w:szCs w:val="18"/>
        </w:rPr>
        <w:t>鲲</w:t>
      </w:r>
      <w:proofErr w:type="gramEnd"/>
      <w:r w:rsidRPr="009867B5">
        <w:rPr>
          <w:rFonts w:asciiTheme="minorEastAsia" w:eastAsiaTheme="minorEastAsia" w:hAnsiTheme="minorEastAsia" w:hint="eastAsia"/>
          <w:sz w:val="18"/>
          <w:szCs w:val="18"/>
        </w:rPr>
        <w:t>、</w:t>
      </w:r>
      <w:proofErr w:type="gramStart"/>
      <w:r w:rsidRPr="009867B5">
        <w:rPr>
          <w:rFonts w:asciiTheme="minorEastAsia" w:eastAsiaTheme="minorEastAsia" w:hAnsiTheme="minorEastAsia" w:hint="eastAsia"/>
          <w:sz w:val="18"/>
          <w:szCs w:val="18"/>
        </w:rPr>
        <w:t>浙江铭孚等</w:t>
      </w:r>
      <w:proofErr w:type="gramEnd"/>
      <w:r w:rsidRPr="009867B5">
        <w:rPr>
          <w:rFonts w:asciiTheme="minorEastAsia" w:eastAsiaTheme="minorEastAsia" w:hAnsiTheme="minorEastAsia" w:hint="eastAsia"/>
          <w:sz w:val="18"/>
          <w:szCs w:val="18"/>
        </w:rPr>
        <w:t>子公司按照政策适用该税收优惠政策。</w:t>
      </w:r>
    </w:p>
    <w:p w:rsidR="00E62F69" w:rsidRDefault="00B54A20">
      <w:pPr>
        <w:pStyle w:val="3"/>
        <w:spacing w:line="280" w:lineRule="exact"/>
        <w:jc w:val="left"/>
        <w:rPr>
          <w:rFonts w:ascii="宋体" w:hAnsi="宋体" w:cs="宋体"/>
          <w:b/>
          <w:bCs/>
        </w:rPr>
      </w:pPr>
      <w:bookmarkStart w:id="78" w:name="_Toc989071"/>
      <w:r>
        <w:rPr>
          <w:rFonts w:ascii="宋体" w:hAnsi="宋体" w:cs="宋体"/>
          <w:b/>
          <w:bCs/>
        </w:rPr>
        <w:t>3、其他</w:t>
      </w:r>
      <w:bookmarkEnd w:id="78"/>
    </w:p>
    <w:p w:rsidR="00B54A20" w:rsidRDefault="00B54A20">
      <w:pPr>
        <w:pStyle w:val="a3"/>
        <w:spacing w:before="0" w:beforeAutospacing="0" w:after="120" w:afterAutospacing="0"/>
        <w:ind w:firstLine="420"/>
        <w:jc w:val="both"/>
        <w:divId w:val="1028335466"/>
      </w:pPr>
      <w:r>
        <w:rPr>
          <w:rFonts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79" w:name="_Toc989072"/>
      <w:r>
        <w:rPr>
          <w:rFonts w:ascii="宋体" w:eastAsia="宋体" w:hAnsi="宋体" w:cs="宋体"/>
          <w:b/>
          <w:bCs/>
          <w:sz w:val="24"/>
          <w:szCs w:val="24"/>
        </w:rPr>
        <w:t>七、合并财务报表项目注释</w:t>
      </w:r>
      <w:bookmarkEnd w:id="79"/>
    </w:p>
    <w:p w:rsidR="00E62F69" w:rsidRDefault="00B54A20">
      <w:pPr>
        <w:pStyle w:val="3"/>
        <w:spacing w:line="280" w:lineRule="exact"/>
        <w:jc w:val="left"/>
        <w:rPr>
          <w:rFonts w:ascii="宋体" w:hAnsi="宋体" w:cs="宋体"/>
          <w:b/>
          <w:bCs/>
        </w:rPr>
      </w:pPr>
      <w:bookmarkStart w:id="80" w:name="_Toc989073"/>
      <w:r>
        <w:rPr>
          <w:rFonts w:ascii="宋体" w:hAnsi="宋体" w:cs="宋体"/>
          <w:b/>
          <w:bCs/>
        </w:rPr>
        <w:t>1、货币资金</w:t>
      </w:r>
      <w:bookmarkEnd w:id="8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637"/>
        <w:gridCol w:w="2001"/>
        <w:gridCol w:w="2001"/>
      </w:tblGrid>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0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0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190,184.64</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325,552.70</w:t>
            </w:r>
          </w:p>
        </w:tc>
      </w:tr>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1,914,649,588.90</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1,498,354,671.03</w:t>
            </w:r>
          </w:p>
        </w:tc>
      </w:tr>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2,388,201,589.09</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1,220,195,237.83</w:t>
            </w:r>
          </w:p>
        </w:tc>
      </w:tr>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4,303,041,362.63</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2,718,875,461.56</w:t>
            </w:r>
          </w:p>
        </w:tc>
      </w:tr>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其中：存放在境外的款项总额</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168,936,542.55</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156,163,601.57</w:t>
            </w:r>
          </w:p>
        </w:tc>
      </w:tr>
      <w:tr w:rsidR="00E62F69" w:rsidTr="009867B5">
        <w:trPr>
          <w:trHeight w:val="240"/>
        </w:trPr>
        <w:tc>
          <w:tcPr>
            <w:tcW w:w="563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因抵押、质押或冻结等对使用有限制的款项总额</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2,068,052,845.75</w:t>
            </w:r>
          </w:p>
        </w:tc>
        <w:tc>
          <w:tcPr>
            <w:tcW w:w="2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872,999,804.51</w:t>
            </w:r>
          </w:p>
        </w:tc>
      </w:tr>
    </w:tbl>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9867B5">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81" w:name="_Toc989074"/>
      <w:r>
        <w:rPr>
          <w:rFonts w:ascii="宋体" w:hAnsi="宋体" w:cs="宋体"/>
          <w:b/>
          <w:bCs/>
        </w:rPr>
        <w:t>2、交易性金融资产</w:t>
      </w:r>
      <w:bookmarkEnd w:id="8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920"/>
        <w:gridCol w:w="1859"/>
        <w:gridCol w:w="1860"/>
      </w:tblGrid>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86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18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186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8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86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衍生金融资产</w:t>
            </w:r>
          </w:p>
        </w:tc>
        <w:tc>
          <w:tcPr>
            <w:tcW w:w="18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50,719,140.14</w:t>
            </w:r>
          </w:p>
        </w:tc>
        <w:tc>
          <w:tcPr>
            <w:tcW w:w="186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108,631,285.26</w:t>
            </w:r>
          </w:p>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理财产品</w:t>
            </w:r>
          </w:p>
        </w:tc>
        <w:tc>
          <w:tcPr>
            <w:tcW w:w="18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74,421,170.66</w:t>
            </w:r>
          </w:p>
        </w:tc>
        <w:tc>
          <w:tcPr>
            <w:tcW w:w="186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499,932,798.40</w:t>
            </w:r>
          </w:p>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指定以公允价值计量且其变动计入当期损益的金融资产</w:t>
            </w:r>
          </w:p>
        </w:tc>
        <w:tc>
          <w:tcPr>
            <w:tcW w:w="18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86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8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86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867B5">
        <w:trPr>
          <w:trHeight w:val="240"/>
        </w:trPr>
        <w:tc>
          <w:tcPr>
            <w:tcW w:w="59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186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608,564,083.66</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9867B5">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82" w:name="_Toc989075"/>
      <w:r>
        <w:rPr>
          <w:rFonts w:ascii="宋体" w:hAnsi="宋体" w:cs="宋体"/>
          <w:b/>
          <w:bCs/>
        </w:rPr>
        <w:t>3、衍生金融资产</w:t>
      </w:r>
      <w:bookmarkEnd w:id="82"/>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9867B5">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83" w:name="_Toc989076"/>
      <w:r>
        <w:rPr>
          <w:rFonts w:ascii="宋体" w:hAnsi="宋体" w:cs="宋体"/>
          <w:b/>
          <w:bCs/>
        </w:rPr>
        <w:t>4、应收票据</w:t>
      </w:r>
      <w:bookmarkEnd w:id="83"/>
    </w:p>
    <w:p w:rsidR="00E62F69" w:rsidRDefault="00B54A20">
      <w:pPr>
        <w:keepNext/>
        <w:keepLines/>
        <w:spacing w:before="300" w:after="300" w:line="280" w:lineRule="exact"/>
        <w:outlineLvl w:val="3"/>
        <w:rPr>
          <w:rFonts w:ascii="宋体" w:eastAsia="宋体" w:hAnsi="宋体" w:cs="宋体"/>
          <w:b/>
          <w:bCs/>
          <w:szCs w:val="21"/>
        </w:rPr>
      </w:pPr>
      <w:bookmarkStart w:id="84" w:name="_Toc989077"/>
      <w:r>
        <w:rPr>
          <w:rFonts w:ascii="宋体" w:eastAsia="宋体" w:hAnsi="宋体" w:cs="宋体"/>
          <w:b/>
          <w:bCs/>
          <w:szCs w:val="21"/>
        </w:rPr>
        <w:t>（1） 应收票据分类列示</w:t>
      </w:r>
      <w:bookmarkEnd w:id="8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79,501,976.58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7,351,148.42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bl>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E62F69">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87,240,027.55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r w:rsidR="00E62F69" w:rsidTr="009867B5">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867B5">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银行承兑汇票组合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79,501,976.58</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91.13%</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79,501,976.58</w:t>
            </w:r>
          </w:p>
        </w:tc>
      </w:tr>
      <w:tr w:rsidR="00E62F69" w:rsidTr="009867B5">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7,738,050.97</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8.87%</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7,351,148.42</w:t>
            </w:r>
          </w:p>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548,068,656.25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87,240,027.55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86,853,125.00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如是按照预期信用损失一般模型计提应收票据坏账准备，请参照其他应收款的披露方式披露坏账准备的相关信息：</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85" w:name="_Toc989078"/>
      <w:r>
        <w:rPr>
          <w:rFonts w:ascii="宋体" w:eastAsia="宋体" w:hAnsi="宋体" w:cs="宋体"/>
          <w:b/>
          <w:bCs/>
          <w:szCs w:val="21"/>
        </w:rPr>
        <w:t>（2） 本期计提、收回或转回的坏账准备情况</w:t>
      </w:r>
      <w:bookmarkEnd w:id="85"/>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商业承兑汇票组合</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386,902.55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86" w:name="_Toc989079"/>
      <w:r>
        <w:rPr>
          <w:rFonts w:ascii="宋体" w:eastAsia="宋体" w:hAnsi="宋体" w:cs="宋体"/>
          <w:b/>
          <w:bCs/>
          <w:szCs w:val="21"/>
        </w:rPr>
        <w:t>（3） 期末公司已质押的应收票据</w:t>
      </w:r>
      <w:bookmarkEnd w:id="8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50,631,456.32</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50,631,456.32</w:t>
            </w:r>
          </w:p>
        </w:tc>
      </w:tr>
    </w:tbl>
    <w:p w:rsidR="00E62F69" w:rsidRDefault="00B54A20">
      <w:pPr>
        <w:keepNext/>
        <w:keepLines/>
        <w:spacing w:before="300" w:after="300" w:line="280" w:lineRule="exact"/>
        <w:outlineLvl w:val="3"/>
        <w:rPr>
          <w:rFonts w:ascii="宋体" w:eastAsia="宋体" w:hAnsi="宋体" w:cs="宋体"/>
          <w:b/>
          <w:bCs/>
          <w:szCs w:val="21"/>
        </w:rPr>
      </w:pPr>
      <w:bookmarkStart w:id="87" w:name="_Toc989080"/>
      <w:r>
        <w:rPr>
          <w:rFonts w:ascii="宋体" w:eastAsia="宋体" w:hAnsi="宋体" w:cs="宋体"/>
          <w:b/>
          <w:bCs/>
          <w:szCs w:val="21"/>
        </w:rPr>
        <w:t>（4） 期末公司已背书或贴现且在资产负债表日尚未到期的应收票据</w:t>
      </w:r>
      <w:bookmarkEnd w:id="8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2,510,820,385.79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2,550,820,385.79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E62F69" w:rsidRDefault="00B54A20">
      <w:pPr>
        <w:keepNext/>
        <w:keepLines/>
        <w:spacing w:before="300" w:after="300" w:line="280" w:lineRule="exact"/>
        <w:outlineLvl w:val="3"/>
        <w:rPr>
          <w:rFonts w:ascii="宋体" w:eastAsia="宋体" w:hAnsi="宋体" w:cs="宋体"/>
          <w:b/>
          <w:bCs/>
          <w:szCs w:val="21"/>
        </w:rPr>
      </w:pPr>
      <w:bookmarkStart w:id="88" w:name="_Toc989081"/>
      <w:r>
        <w:rPr>
          <w:rFonts w:ascii="宋体" w:eastAsia="宋体" w:hAnsi="宋体" w:cs="宋体"/>
          <w:b/>
          <w:bCs/>
          <w:szCs w:val="21"/>
        </w:rPr>
        <w:t>（5） 期末公司因出票人未履约而将其转应收账款的票据</w:t>
      </w:r>
      <w:bookmarkEnd w:id="88"/>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89" w:name="_Toc989082"/>
      <w:r>
        <w:rPr>
          <w:rFonts w:ascii="宋体" w:eastAsia="宋体" w:hAnsi="宋体" w:cs="宋体"/>
          <w:b/>
          <w:bCs/>
          <w:szCs w:val="21"/>
        </w:rPr>
        <w:t>（6） 本期实际核销的应收票据情况</w:t>
      </w:r>
      <w:bookmarkEnd w:id="89"/>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其中重要的应收票据核销情况：</w:t>
      </w:r>
      <w:r w:rsidR="009867B5">
        <w:rPr>
          <w:rFonts w:ascii="宋体" w:eastAsia="宋体" w:hAnsi="宋体" w:cs="宋体" w:hint="eastAsia"/>
          <w:sz w:val="18"/>
          <w:szCs w:val="18"/>
        </w:rPr>
        <w:t>无</w:t>
      </w:r>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应收票据核销说明：</w:t>
      </w:r>
      <w:r>
        <w:rPr>
          <w:rFonts w:hint="eastAsia"/>
          <w:sz w:val="18"/>
          <w:szCs w:val="18"/>
        </w:rPr>
        <w:t>无。</w:t>
      </w:r>
    </w:p>
    <w:p w:rsidR="00E62F69" w:rsidRDefault="00B54A20">
      <w:pPr>
        <w:pStyle w:val="3"/>
        <w:spacing w:line="280" w:lineRule="exact"/>
        <w:jc w:val="left"/>
        <w:rPr>
          <w:rFonts w:ascii="宋体" w:hAnsi="宋体" w:cs="宋体"/>
          <w:b/>
          <w:bCs/>
        </w:rPr>
      </w:pPr>
      <w:bookmarkStart w:id="90" w:name="_Toc989083"/>
      <w:r>
        <w:rPr>
          <w:rFonts w:ascii="宋体" w:hAnsi="宋体" w:cs="宋体"/>
          <w:b/>
          <w:bCs/>
        </w:rPr>
        <w:t>5、应收账款</w:t>
      </w:r>
      <w:bookmarkEnd w:id="90"/>
    </w:p>
    <w:p w:rsidR="00E62F69" w:rsidRDefault="00B54A20">
      <w:pPr>
        <w:keepNext/>
        <w:keepLines/>
        <w:spacing w:before="300" w:after="300" w:line="280" w:lineRule="exact"/>
        <w:outlineLvl w:val="3"/>
        <w:rPr>
          <w:rFonts w:ascii="宋体" w:eastAsia="宋体" w:hAnsi="宋体" w:cs="宋体"/>
          <w:b/>
          <w:bCs/>
          <w:szCs w:val="21"/>
        </w:rPr>
      </w:pPr>
      <w:bookmarkStart w:id="91" w:name="_Toc989084"/>
      <w:r>
        <w:rPr>
          <w:rFonts w:ascii="宋体" w:eastAsia="宋体" w:hAnsi="宋体" w:cs="宋体"/>
          <w:b/>
          <w:bCs/>
          <w:szCs w:val="21"/>
        </w:rPr>
        <w:t>（1） 应收账款分类披露</w:t>
      </w:r>
      <w:bookmarkEnd w:id="9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E62F69" w:rsidTr="00FD211C">
        <w:trPr>
          <w:cantSplit/>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FD211C">
        <w:trPr>
          <w:cantSplit/>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rsidTr="00FD211C">
        <w:trPr>
          <w:cantSplit/>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154,962,074.43</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143,741,924.59</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11,220,149.84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159,064,591.83</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143,366,750.20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15,697,841.63</w:t>
            </w:r>
          </w:p>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1,003,055,334.61</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50,907,139.57</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952,148,195.04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963,326,121.16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911,985,897.30</w:t>
            </w:r>
          </w:p>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989,266,581.62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50,907,139.57</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938,359,442.05</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944,525,346.54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893,185,122.68</w:t>
            </w:r>
          </w:p>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性质组合</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13,788,752.99</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13,788,752.99</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18,800,774.62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18,800,774.62</w:t>
            </w:r>
          </w:p>
        </w:tc>
      </w:tr>
      <w:tr w:rsidR="00E62F69" w:rsidTr="00FD211C">
        <w:trPr>
          <w:cantSplit/>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1,158,017,409.04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194,649,064.16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963,368,344.88</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1,122,390,712.99</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194,706,974.06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927,683,738.93</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FD211C">
        <w:trPr>
          <w:cantSplit/>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FD211C">
        <w:trPr>
          <w:cantSplit/>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江门市新会区冠华针织厂有限公司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56,338,505.94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56,338,505.94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破产清算，预计无法收回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陈国强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2,095,637.69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2,095,637.69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诉讼</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潘龙法</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779,080.73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779,080.73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诉讼</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冠华针织厂有限公司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26,730,903.51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26,730,903.51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破产清算，预计无法收回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东莞德永佳纺织制衣有限公司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2,570,858.86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常州常泽纺织</w:t>
            </w:r>
            <w:proofErr w:type="gramEnd"/>
            <w:r>
              <w:rPr>
                <w:rFonts w:ascii="宋体" w:eastAsia="宋体" w:hAnsi="宋体" w:cs="宋体"/>
                <w:sz w:val="18"/>
                <w:szCs w:val="18"/>
              </w:rPr>
              <w:t>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848,029.00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848,029.00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陈志董</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6,138,279.86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6,138,279.86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w:t>
            </w:r>
            <w:proofErr w:type="gramStart"/>
            <w:r>
              <w:rPr>
                <w:rFonts w:ascii="宋体" w:eastAsia="宋体" w:hAnsi="宋体" w:cs="宋体"/>
                <w:sz w:val="18"/>
                <w:szCs w:val="18"/>
              </w:rPr>
              <w:t>市衡奇针织</w:t>
            </w:r>
            <w:proofErr w:type="gramEnd"/>
            <w:r>
              <w:rPr>
                <w:rFonts w:ascii="宋体" w:eastAsia="宋体" w:hAnsi="宋体" w:cs="宋体"/>
                <w:sz w:val="18"/>
                <w:szCs w:val="18"/>
              </w:rPr>
              <w:t>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20,217.08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10,108.54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SPORTM</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ASTER LTD(俄罗斯)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3,421,867.06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1,710,933.53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Acrocargo</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Express EUROPE gMBH(DEU德国)</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108,391.62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54,195.81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METALLSTANDART</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LLC(俄罗斯)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5,401,835.90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2,700,917.95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ART-TRADE</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LLC(俄罗斯)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2,111,421.12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1,055,710.56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DZT  LOGISTIC </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LLC(俄罗斯)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5,272,124.41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2,636,062.20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IMPORT.EXPORT</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GRISSEL E.L.R.L(秘鲁)</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948,372.00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474,186.00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LLC</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TLC BELY RAST(俄罗斯)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8,285,511.20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4,142,755.60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WIESE&amp;KLEINSOCKSWEARGMBH</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194,001.02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97,000.50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Acrocargo</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Express Europe Gmbh</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2,116,639.65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1,058,319.82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CENTRIC</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SOCKS LLC</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2,600,876.98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1,300,438.49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张家港</w:t>
            </w:r>
            <w:proofErr w:type="gramStart"/>
            <w:r>
              <w:rPr>
                <w:rFonts w:ascii="宋体" w:eastAsia="宋体" w:hAnsi="宋体" w:cs="宋体"/>
                <w:sz w:val="18"/>
                <w:szCs w:val="18"/>
              </w:rPr>
              <w:t>保税区汉木国际贸易</w:t>
            </w:r>
            <w:proofErr w:type="gramEnd"/>
            <w:r>
              <w:rPr>
                <w:rFonts w:ascii="宋体" w:eastAsia="宋体" w:hAnsi="宋体" w:cs="宋体"/>
                <w:sz w:val="18"/>
                <w:szCs w:val="18"/>
              </w:rPr>
              <w:t>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苏州柏孚纺织科技有限公司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吉安县新军安新型材料有限公司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158,982,553.63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143,741,924.59</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按组合计提坏账准备：预期信用风险组合</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1年以内</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980,158,764.77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49,007,938.24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1-2年</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5,441,753.87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544,175.39</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2-3年</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2,461,314.32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492,262.86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3-4年</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349,532.05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174,766.03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4-5年</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836,097.78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668,878.22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5年以上</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19,118.83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19,118.83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989,266,581.62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50,907,139.57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按组合计提坏账准备：性质组合</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以信用证结算的销售货款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13,788,752.99</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sidR="009867B5">
        <w:rPr>
          <w:rFonts w:ascii="宋体" w:eastAsia="宋体" w:hAnsi="宋体" w:cs="宋体"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1,008,519,209.63</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107,501,733.80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31,234,549.23</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10,761,916.38</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9,906,699.77</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before="40" w:after="40" w:line="240" w:lineRule="exact"/>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836,097.78</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before="40" w:after="40" w:line="240" w:lineRule="exact"/>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19,118.83</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1,158,017,409.04</w:t>
            </w:r>
          </w:p>
        </w:tc>
      </w:tr>
    </w:tbl>
    <w:p w:rsidR="00E62F69" w:rsidRDefault="00B54A20">
      <w:pPr>
        <w:keepNext/>
        <w:keepLines/>
        <w:spacing w:before="300" w:after="300" w:line="280" w:lineRule="exact"/>
        <w:outlineLvl w:val="3"/>
        <w:rPr>
          <w:rFonts w:ascii="宋体" w:eastAsia="宋体" w:hAnsi="宋体" w:cs="宋体"/>
          <w:b/>
          <w:bCs/>
          <w:szCs w:val="21"/>
        </w:rPr>
      </w:pPr>
      <w:bookmarkStart w:id="92" w:name="_Toc989085"/>
      <w:r>
        <w:rPr>
          <w:rFonts w:ascii="宋体" w:eastAsia="宋体" w:hAnsi="宋体" w:cs="宋体"/>
          <w:b/>
          <w:bCs/>
          <w:szCs w:val="21"/>
        </w:rPr>
        <w:t>（2） 本期计提、收回或转回的坏账准备情况</w:t>
      </w:r>
      <w:bookmarkEnd w:id="92"/>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566"/>
        <w:gridCol w:w="1418"/>
        <w:gridCol w:w="1147"/>
        <w:gridCol w:w="1121"/>
        <w:gridCol w:w="1417"/>
        <w:gridCol w:w="1593"/>
      </w:tblGrid>
      <w:tr w:rsidR="00E62F69" w:rsidTr="009867B5">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5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103"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59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9867B5">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5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4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12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9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单项计提坏账准备的应收账款</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143,366,750.20</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-457,212.62</w:t>
            </w: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832,387.01</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143,741,924.59</w:t>
            </w: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51,340,223.86</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426,237.52</w:t>
            </w: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-859,321.81</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50,907,139.57</w:t>
            </w: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194,706,974.06</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-30,975.10</w:t>
            </w: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-26,934.80</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194,649,064.16</w:t>
            </w:r>
          </w:p>
        </w:tc>
      </w:tr>
    </w:tbl>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93" w:name="_Toc989086"/>
      <w:r>
        <w:rPr>
          <w:rFonts w:ascii="宋体" w:eastAsia="宋体" w:hAnsi="宋体" w:cs="宋体"/>
          <w:b/>
          <w:bCs/>
          <w:szCs w:val="21"/>
        </w:rPr>
        <w:t>（3） 本期实际核销的应收账款情况</w:t>
      </w:r>
      <w:bookmarkEnd w:id="93"/>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94" w:name="_Toc989087"/>
      <w:r>
        <w:rPr>
          <w:rFonts w:ascii="宋体" w:eastAsia="宋体" w:hAnsi="宋体" w:cs="宋体"/>
          <w:b/>
          <w:bCs/>
          <w:szCs w:val="21"/>
        </w:rPr>
        <w:t>（4） 按欠款方归集的期末余额前五名的应收账款情况</w:t>
      </w:r>
      <w:bookmarkEnd w:id="9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第一名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360,516,534.97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31.13%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18,025,826.75</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第二名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282,136,159.23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24.36%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14,106,807.96</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第三名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52,392,377.46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52,392,377.46</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第四名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26,730,903.51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26,730,903.51</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第五名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20,235,918.90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1,011,795.95</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742,011,894.07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64.07%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E62F69" w:rsidRDefault="00B54A20">
      <w:pPr>
        <w:keepNext/>
        <w:keepLines/>
        <w:spacing w:before="300" w:after="300" w:line="280" w:lineRule="exact"/>
        <w:outlineLvl w:val="3"/>
        <w:rPr>
          <w:rFonts w:ascii="宋体" w:eastAsia="宋体" w:hAnsi="宋体" w:cs="宋体"/>
          <w:b/>
          <w:bCs/>
          <w:szCs w:val="21"/>
        </w:rPr>
      </w:pPr>
      <w:bookmarkStart w:id="95" w:name="_Toc989088"/>
      <w:r>
        <w:rPr>
          <w:rFonts w:ascii="宋体" w:eastAsia="宋体" w:hAnsi="宋体" w:cs="宋体"/>
          <w:b/>
          <w:bCs/>
          <w:szCs w:val="21"/>
        </w:rPr>
        <w:t>（5） 因金融资产转移而终止确认的应收账款</w:t>
      </w:r>
      <w:bookmarkEnd w:id="95"/>
    </w:p>
    <w:p w:rsidR="00B54A20" w:rsidRDefault="00B54A20">
      <w:pPr>
        <w:pStyle w:val="a3"/>
        <w:divId w:val="870994396"/>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96" w:name="_Toc989089"/>
      <w:r>
        <w:rPr>
          <w:rFonts w:ascii="宋体" w:eastAsia="宋体" w:hAnsi="宋体" w:cs="宋体"/>
          <w:b/>
          <w:bCs/>
          <w:szCs w:val="21"/>
        </w:rPr>
        <w:t>（6）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96"/>
    </w:p>
    <w:p w:rsidR="00B54A20" w:rsidRDefault="00B54A20">
      <w:pPr>
        <w:pStyle w:val="a3"/>
        <w:divId w:val="274141828"/>
        <w:rPr>
          <w:sz w:val="18"/>
          <w:szCs w:val="18"/>
        </w:rPr>
      </w:pPr>
      <w:r>
        <w:rPr>
          <w:rFonts w:hint="eastAsia"/>
          <w:sz w:val="18"/>
          <w:szCs w:val="18"/>
        </w:rPr>
        <w:t>无。</w:t>
      </w:r>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97" w:name="_Toc989090"/>
      <w:r>
        <w:rPr>
          <w:rFonts w:ascii="宋体" w:hAnsi="宋体" w:cs="宋体"/>
          <w:b/>
          <w:bCs/>
        </w:rPr>
        <w:t>6、应收款项融资</w:t>
      </w:r>
      <w:bookmarkEnd w:id="97"/>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应收款项融资本期增减变动及公允价值变动情况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如是按照预期信用损失一般模型计提应收款项融资减值准备，请参照其他应收款的披露方式披露减值准备的相关信息：</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98" w:name="_Toc989091"/>
      <w:r>
        <w:rPr>
          <w:rFonts w:ascii="宋体" w:hAnsi="宋体" w:cs="宋体"/>
          <w:b/>
          <w:bCs/>
        </w:rPr>
        <w:t>7、预付款项</w:t>
      </w:r>
      <w:bookmarkEnd w:id="98"/>
    </w:p>
    <w:p w:rsidR="00E62F69" w:rsidRDefault="00B54A20">
      <w:pPr>
        <w:keepNext/>
        <w:keepLines/>
        <w:spacing w:before="300" w:after="300" w:line="280" w:lineRule="exact"/>
        <w:outlineLvl w:val="3"/>
        <w:rPr>
          <w:rFonts w:ascii="宋体" w:eastAsia="宋体" w:hAnsi="宋体" w:cs="宋体"/>
          <w:b/>
          <w:bCs/>
          <w:szCs w:val="21"/>
        </w:rPr>
      </w:pPr>
      <w:bookmarkStart w:id="99" w:name="_Toc989092"/>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99"/>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1,233,718,189.41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99.82%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761,496,641.08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99.30%</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1,621,204.87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4,001,881.70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0.52%</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425,998.15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1,059,207.52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0.14%</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237,790.39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269,594.54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0.04%</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1,236,003,182.82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766,827,324.84</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00" w:name="_Toc989093"/>
      <w:r>
        <w:rPr>
          <w:rFonts w:ascii="宋体" w:eastAsia="宋体" w:hAnsi="宋体" w:cs="宋体"/>
          <w:b/>
          <w:bCs/>
          <w:szCs w:val="21"/>
        </w:rPr>
        <w:t>（2） 按预付对象归集的期末余额前五名的预付款情况</w:t>
      </w:r>
      <w:bookmarkEnd w:id="100"/>
    </w:p>
    <w:tbl>
      <w:tblPr>
        <w:tblW w:w="10560" w:type="dxa"/>
        <w:jc w:val="center"/>
        <w:tblCellMar>
          <w:left w:w="0" w:type="dxa"/>
          <w:right w:w="0" w:type="dxa"/>
        </w:tblCellMar>
        <w:tblLook w:val="04A0" w:firstRow="1" w:lastRow="0" w:firstColumn="1" w:lastColumn="0" w:noHBand="0" w:noVBand="1"/>
      </w:tblPr>
      <w:tblGrid>
        <w:gridCol w:w="2780"/>
        <w:gridCol w:w="2360"/>
        <w:gridCol w:w="1120"/>
        <w:gridCol w:w="2320"/>
        <w:gridCol w:w="1980"/>
      </w:tblGrid>
      <w:tr w:rsidR="00B54A20" w:rsidTr="009867B5">
        <w:trPr>
          <w:divId w:val="2118014038"/>
          <w:trHeight w:val="690"/>
          <w:jc w:val="center"/>
        </w:trPr>
        <w:tc>
          <w:tcPr>
            <w:tcW w:w="2780" w:type="dxa"/>
            <w:tcBorders>
              <w:top w:val="single" w:sz="8" w:space="0" w:color="auto"/>
              <w:left w:val="single" w:sz="8" w:space="0" w:color="auto"/>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单位名称</w:t>
            </w:r>
          </w:p>
        </w:tc>
        <w:tc>
          <w:tcPr>
            <w:tcW w:w="2360"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期末余额</w:t>
            </w:r>
          </w:p>
        </w:tc>
        <w:tc>
          <w:tcPr>
            <w:tcW w:w="1120"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占预付账款期末余额的比例</w:t>
            </w:r>
            <w:r>
              <w:rPr>
                <w:rFonts w:hint="eastAsia"/>
                <w:sz w:val="18"/>
                <w:szCs w:val="18"/>
              </w:rPr>
              <w:t>(%)</w:t>
            </w:r>
          </w:p>
        </w:tc>
        <w:tc>
          <w:tcPr>
            <w:tcW w:w="2320"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账龄</w:t>
            </w:r>
          </w:p>
        </w:tc>
        <w:tc>
          <w:tcPr>
            <w:tcW w:w="1980" w:type="dxa"/>
            <w:tcBorders>
              <w:top w:val="single" w:sz="8" w:space="0" w:color="auto"/>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未结算原因</w:t>
            </w:r>
          </w:p>
        </w:tc>
      </w:tr>
      <w:tr w:rsidR="00B54A20" w:rsidTr="009867B5">
        <w:trPr>
          <w:divId w:val="2118014038"/>
          <w:trHeight w:val="285"/>
          <w:jc w:val="center"/>
        </w:trPr>
        <w:tc>
          <w:tcPr>
            <w:tcW w:w="2780" w:type="dxa"/>
            <w:tcBorders>
              <w:top w:val="nil"/>
              <w:left w:val="single" w:sz="8" w:space="0" w:color="auto"/>
              <w:bottom w:val="single" w:sz="8" w:space="0" w:color="auto"/>
              <w:right w:val="single" w:sz="8" w:space="0" w:color="auto"/>
            </w:tcBorders>
            <w:vAlign w:val="center"/>
            <w:hideMark/>
          </w:tcPr>
          <w:p w:rsidR="00B54A20" w:rsidRDefault="00B54A20">
            <w:pPr>
              <w:jc w:val="both"/>
              <w:rPr>
                <w:rFonts w:ascii="宋体" w:eastAsia="宋体" w:hAnsi="宋体" w:cs="宋体"/>
                <w:sz w:val="18"/>
                <w:szCs w:val="18"/>
              </w:rPr>
            </w:pPr>
            <w:r>
              <w:rPr>
                <w:rFonts w:hint="eastAsia"/>
                <w:sz w:val="18"/>
                <w:szCs w:val="18"/>
              </w:rPr>
              <w:t>第一名</w:t>
            </w:r>
          </w:p>
        </w:tc>
        <w:tc>
          <w:tcPr>
            <w:tcW w:w="236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220,481,491.26</w:t>
            </w:r>
          </w:p>
        </w:tc>
        <w:tc>
          <w:tcPr>
            <w:tcW w:w="112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 xml:space="preserve"> 16.37</w:t>
            </w:r>
          </w:p>
        </w:tc>
        <w:tc>
          <w:tcPr>
            <w:tcW w:w="232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合同未执行完毕</w:t>
            </w:r>
          </w:p>
        </w:tc>
      </w:tr>
      <w:tr w:rsidR="00B54A20" w:rsidTr="009867B5">
        <w:trPr>
          <w:divId w:val="2118014038"/>
          <w:trHeight w:val="285"/>
          <w:jc w:val="center"/>
        </w:trPr>
        <w:tc>
          <w:tcPr>
            <w:tcW w:w="2780" w:type="dxa"/>
            <w:tcBorders>
              <w:top w:val="nil"/>
              <w:left w:val="single" w:sz="8" w:space="0" w:color="auto"/>
              <w:bottom w:val="single" w:sz="8" w:space="0" w:color="auto"/>
              <w:right w:val="single" w:sz="8" w:space="0" w:color="auto"/>
            </w:tcBorders>
            <w:vAlign w:val="center"/>
            <w:hideMark/>
          </w:tcPr>
          <w:p w:rsidR="00B54A20" w:rsidRDefault="00B54A20">
            <w:pPr>
              <w:jc w:val="both"/>
              <w:rPr>
                <w:rFonts w:ascii="宋体" w:eastAsia="宋体" w:hAnsi="宋体" w:cs="宋体"/>
                <w:sz w:val="18"/>
                <w:szCs w:val="18"/>
              </w:rPr>
            </w:pPr>
            <w:r>
              <w:rPr>
                <w:rFonts w:hint="eastAsia"/>
                <w:sz w:val="18"/>
                <w:szCs w:val="18"/>
              </w:rPr>
              <w:t>第二名</w:t>
            </w:r>
          </w:p>
        </w:tc>
        <w:tc>
          <w:tcPr>
            <w:tcW w:w="236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121,551,065.66</w:t>
            </w:r>
          </w:p>
        </w:tc>
        <w:tc>
          <w:tcPr>
            <w:tcW w:w="112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 xml:space="preserve"> 9.03</w:t>
            </w:r>
          </w:p>
        </w:tc>
        <w:tc>
          <w:tcPr>
            <w:tcW w:w="232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合同未执行完毕</w:t>
            </w:r>
          </w:p>
        </w:tc>
      </w:tr>
      <w:tr w:rsidR="00B54A20" w:rsidTr="009867B5">
        <w:trPr>
          <w:divId w:val="2118014038"/>
          <w:trHeight w:val="285"/>
          <w:jc w:val="center"/>
        </w:trPr>
        <w:tc>
          <w:tcPr>
            <w:tcW w:w="2780" w:type="dxa"/>
            <w:tcBorders>
              <w:top w:val="nil"/>
              <w:left w:val="single" w:sz="8" w:space="0" w:color="auto"/>
              <w:bottom w:val="single" w:sz="8" w:space="0" w:color="auto"/>
              <w:right w:val="single" w:sz="8" w:space="0" w:color="auto"/>
            </w:tcBorders>
            <w:vAlign w:val="center"/>
            <w:hideMark/>
          </w:tcPr>
          <w:p w:rsidR="00B54A20" w:rsidRDefault="00B54A20">
            <w:pPr>
              <w:jc w:val="both"/>
              <w:rPr>
                <w:rFonts w:ascii="宋体" w:eastAsia="宋体" w:hAnsi="宋体" w:cs="宋体"/>
                <w:sz w:val="18"/>
                <w:szCs w:val="18"/>
              </w:rPr>
            </w:pPr>
            <w:r>
              <w:rPr>
                <w:rFonts w:hint="eastAsia"/>
                <w:sz w:val="18"/>
                <w:szCs w:val="18"/>
              </w:rPr>
              <w:t>第三名</w:t>
            </w:r>
          </w:p>
        </w:tc>
        <w:tc>
          <w:tcPr>
            <w:tcW w:w="236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110,882,577.15</w:t>
            </w:r>
          </w:p>
        </w:tc>
        <w:tc>
          <w:tcPr>
            <w:tcW w:w="112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 xml:space="preserve"> 8.23</w:t>
            </w:r>
          </w:p>
        </w:tc>
        <w:tc>
          <w:tcPr>
            <w:tcW w:w="232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合同未执行完毕</w:t>
            </w:r>
          </w:p>
        </w:tc>
      </w:tr>
      <w:tr w:rsidR="00B54A20" w:rsidTr="009867B5">
        <w:trPr>
          <w:divId w:val="2118014038"/>
          <w:trHeight w:val="285"/>
          <w:jc w:val="center"/>
        </w:trPr>
        <w:tc>
          <w:tcPr>
            <w:tcW w:w="2780" w:type="dxa"/>
            <w:tcBorders>
              <w:top w:val="nil"/>
              <w:left w:val="single" w:sz="8" w:space="0" w:color="auto"/>
              <w:bottom w:val="single" w:sz="8" w:space="0" w:color="auto"/>
              <w:right w:val="single" w:sz="8" w:space="0" w:color="auto"/>
            </w:tcBorders>
            <w:vAlign w:val="center"/>
            <w:hideMark/>
          </w:tcPr>
          <w:p w:rsidR="00B54A20" w:rsidRDefault="00B54A20">
            <w:pPr>
              <w:jc w:val="both"/>
              <w:rPr>
                <w:rFonts w:ascii="宋体" w:eastAsia="宋体" w:hAnsi="宋体" w:cs="宋体"/>
                <w:sz w:val="18"/>
                <w:szCs w:val="18"/>
              </w:rPr>
            </w:pPr>
            <w:r>
              <w:rPr>
                <w:rFonts w:hint="eastAsia"/>
                <w:sz w:val="18"/>
                <w:szCs w:val="18"/>
              </w:rPr>
              <w:t>第四名</w:t>
            </w:r>
          </w:p>
        </w:tc>
        <w:tc>
          <w:tcPr>
            <w:tcW w:w="236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92,170,000.00</w:t>
            </w:r>
          </w:p>
        </w:tc>
        <w:tc>
          <w:tcPr>
            <w:tcW w:w="112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6.84</w:t>
            </w:r>
          </w:p>
        </w:tc>
        <w:tc>
          <w:tcPr>
            <w:tcW w:w="232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合同未执行完毕</w:t>
            </w:r>
          </w:p>
        </w:tc>
      </w:tr>
      <w:tr w:rsidR="00B54A20" w:rsidTr="009867B5">
        <w:trPr>
          <w:divId w:val="2118014038"/>
          <w:trHeight w:val="285"/>
          <w:jc w:val="center"/>
        </w:trPr>
        <w:tc>
          <w:tcPr>
            <w:tcW w:w="2780" w:type="dxa"/>
            <w:tcBorders>
              <w:top w:val="nil"/>
              <w:left w:val="single" w:sz="8" w:space="0" w:color="auto"/>
              <w:bottom w:val="single" w:sz="8" w:space="0" w:color="auto"/>
              <w:right w:val="single" w:sz="8" w:space="0" w:color="auto"/>
            </w:tcBorders>
            <w:vAlign w:val="center"/>
            <w:hideMark/>
          </w:tcPr>
          <w:p w:rsidR="00B54A20" w:rsidRDefault="00B54A20">
            <w:pPr>
              <w:jc w:val="both"/>
              <w:rPr>
                <w:rFonts w:ascii="宋体" w:eastAsia="宋体" w:hAnsi="宋体" w:cs="宋体"/>
                <w:sz w:val="18"/>
                <w:szCs w:val="18"/>
              </w:rPr>
            </w:pPr>
            <w:r>
              <w:rPr>
                <w:rFonts w:hint="eastAsia"/>
                <w:sz w:val="18"/>
                <w:szCs w:val="18"/>
              </w:rPr>
              <w:t>第五名</w:t>
            </w:r>
          </w:p>
        </w:tc>
        <w:tc>
          <w:tcPr>
            <w:tcW w:w="236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85,706,782.35</w:t>
            </w:r>
          </w:p>
        </w:tc>
        <w:tc>
          <w:tcPr>
            <w:tcW w:w="112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6.36</w:t>
            </w:r>
          </w:p>
        </w:tc>
        <w:tc>
          <w:tcPr>
            <w:tcW w:w="232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一年以内</w:t>
            </w:r>
          </w:p>
        </w:tc>
        <w:tc>
          <w:tcPr>
            <w:tcW w:w="1980" w:type="dxa"/>
            <w:tcBorders>
              <w:top w:val="nil"/>
              <w:left w:val="nil"/>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合同未执行完毕</w:t>
            </w:r>
          </w:p>
        </w:tc>
      </w:tr>
      <w:tr w:rsidR="00B54A20" w:rsidTr="009867B5">
        <w:trPr>
          <w:divId w:val="2118014038"/>
          <w:trHeight w:val="345"/>
          <w:jc w:val="center"/>
        </w:trPr>
        <w:tc>
          <w:tcPr>
            <w:tcW w:w="2780" w:type="dxa"/>
            <w:tcBorders>
              <w:top w:val="nil"/>
              <w:left w:val="single" w:sz="8" w:space="0" w:color="auto"/>
              <w:bottom w:val="single" w:sz="8" w:space="0" w:color="auto"/>
              <w:right w:val="single" w:sz="8" w:space="0" w:color="auto"/>
            </w:tcBorders>
            <w:vAlign w:val="center"/>
            <w:hideMark/>
          </w:tcPr>
          <w:p w:rsidR="00B54A20" w:rsidRDefault="00B54A20">
            <w:pPr>
              <w:jc w:val="center"/>
              <w:rPr>
                <w:rFonts w:ascii="宋体" w:eastAsia="宋体" w:hAnsi="宋体" w:cs="宋体"/>
                <w:sz w:val="18"/>
                <w:szCs w:val="18"/>
              </w:rPr>
            </w:pPr>
            <w:r>
              <w:rPr>
                <w:rFonts w:hint="eastAsia"/>
                <w:sz w:val="18"/>
                <w:szCs w:val="18"/>
              </w:rPr>
              <w:t>合计</w:t>
            </w:r>
          </w:p>
        </w:tc>
        <w:tc>
          <w:tcPr>
            <w:tcW w:w="236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630,791,916.42</w:t>
            </w:r>
          </w:p>
        </w:tc>
        <w:tc>
          <w:tcPr>
            <w:tcW w:w="1120" w:type="dxa"/>
            <w:tcBorders>
              <w:top w:val="nil"/>
              <w:left w:val="nil"/>
              <w:bottom w:val="single" w:sz="8" w:space="0" w:color="auto"/>
              <w:right w:val="single" w:sz="8" w:space="0" w:color="auto"/>
            </w:tcBorders>
            <w:vAlign w:val="center"/>
            <w:hideMark/>
          </w:tcPr>
          <w:p w:rsidR="00B54A20" w:rsidRDefault="00B54A20">
            <w:pPr>
              <w:jc w:val="right"/>
              <w:rPr>
                <w:rFonts w:ascii="Arial Narrow" w:eastAsia="宋体" w:hAnsi="Arial Narrow" w:cs="宋体"/>
                <w:sz w:val="18"/>
                <w:szCs w:val="18"/>
              </w:rPr>
            </w:pPr>
            <w:r>
              <w:rPr>
                <w:rFonts w:ascii="Arial Narrow" w:hAnsi="Arial Narrow"/>
                <w:sz w:val="18"/>
                <w:szCs w:val="18"/>
              </w:rPr>
              <w:t>46.84</w:t>
            </w:r>
          </w:p>
        </w:tc>
        <w:tc>
          <w:tcPr>
            <w:tcW w:w="2320" w:type="dxa"/>
            <w:tcBorders>
              <w:top w:val="nil"/>
              <w:left w:val="nil"/>
              <w:bottom w:val="single" w:sz="8" w:space="0" w:color="auto"/>
              <w:right w:val="single" w:sz="8" w:space="0" w:color="auto"/>
            </w:tcBorders>
            <w:vAlign w:val="center"/>
            <w:hideMark/>
          </w:tcPr>
          <w:p w:rsidR="00B54A20" w:rsidRDefault="00B54A20">
            <w:pPr>
              <w:jc w:val="both"/>
              <w:rPr>
                <w:rFonts w:ascii="Arial Narrow" w:eastAsia="宋体" w:hAnsi="Arial Narrow" w:cs="宋体"/>
                <w:sz w:val="18"/>
                <w:szCs w:val="18"/>
              </w:rPr>
            </w:pPr>
          </w:p>
        </w:tc>
        <w:tc>
          <w:tcPr>
            <w:tcW w:w="0" w:type="auto"/>
            <w:tcBorders>
              <w:top w:val="nil"/>
              <w:left w:val="nil"/>
              <w:bottom w:val="single" w:sz="8" w:space="0" w:color="auto"/>
              <w:right w:val="single" w:sz="8" w:space="0" w:color="auto"/>
            </w:tcBorders>
            <w:noWrap/>
            <w:vAlign w:val="center"/>
            <w:hideMark/>
          </w:tcPr>
          <w:p w:rsidR="00B54A20" w:rsidRDefault="00B54A20">
            <w:pPr>
              <w:jc w:val="both"/>
              <w:rPr>
                <w:rFonts w:ascii="Arial Narrow" w:eastAsia="宋体" w:hAnsi="Arial Narrow" w:cs="宋体"/>
                <w:sz w:val="22"/>
              </w:rPr>
            </w:pPr>
          </w:p>
        </w:tc>
      </w:tr>
    </w:tbl>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01" w:name="_Toc989094"/>
      <w:r>
        <w:rPr>
          <w:rFonts w:ascii="宋体" w:hAnsi="宋体" w:cs="宋体"/>
          <w:b/>
          <w:bCs/>
        </w:rPr>
        <w:t>8、其他应收款</w:t>
      </w:r>
      <w:bookmarkEnd w:id="10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E62F69" w:rsidRDefault="00B54A20">
      <w:pPr>
        <w:keepNext/>
        <w:keepLines/>
        <w:spacing w:before="300" w:after="300" w:line="280" w:lineRule="exact"/>
        <w:outlineLvl w:val="3"/>
        <w:rPr>
          <w:rFonts w:ascii="宋体" w:eastAsia="宋体" w:hAnsi="宋体" w:cs="宋体"/>
          <w:b/>
          <w:bCs/>
          <w:szCs w:val="21"/>
        </w:rPr>
      </w:pPr>
      <w:bookmarkStart w:id="102" w:name="_Toc989095"/>
      <w:r>
        <w:rPr>
          <w:rFonts w:ascii="宋体" w:eastAsia="宋体" w:hAnsi="宋体" w:cs="宋体"/>
          <w:b/>
          <w:bCs/>
          <w:szCs w:val="21"/>
        </w:rPr>
        <w:t>（1） 应收利息</w:t>
      </w:r>
      <w:bookmarkEnd w:id="102"/>
    </w:p>
    <w:p w:rsidR="00E62F69" w:rsidRDefault="00B54A20">
      <w:pPr>
        <w:keepNext/>
        <w:keepLines/>
        <w:spacing w:before="300" w:after="300" w:line="280" w:lineRule="exact"/>
        <w:outlineLvl w:val="4"/>
        <w:rPr>
          <w:rFonts w:ascii="宋体" w:eastAsia="宋体" w:hAnsi="宋体" w:cs="宋体"/>
          <w:b/>
          <w:bCs/>
          <w:szCs w:val="21"/>
        </w:rPr>
      </w:pPr>
      <w:bookmarkStart w:id="103" w:name="_Toc989096"/>
      <w:r>
        <w:rPr>
          <w:rFonts w:ascii="宋体" w:eastAsia="宋体" w:hAnsi="宋体" w:cs="宋体"/>
          <w:b/>
          <w:bCs/>
          <w:szCs w:val="21"/>
        </w:rPr>
        <w:t>1） 应收利息分类</w:t>
      </w:r>
      <w:bookmarkEnd w:id="103"/>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Cs w:val="21"/>
        </w:rPr>
      </w:pPr>
      <w:bookmarkStart w:id="104" w:name="_Toc989098"/>
      <w:r>
        <w:rPr>
          <w:rFonts w:ascii="宋体" w:eastAsia="宋体" w:hAnsi="宋体" w:cs="宋体"/>
          <w:b/>
          <w:bCs/>
          <w:szCs w:val="21"/>
        </w:rPr>
        <w:t>3） 坏账准备计提情况</w:t>
      </w:r>
      <w:bookmarkEnd w:id="104"/>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105" w:name="_Toc989099"/>
      <w:r>
        <w:rPr>
          <w:rFonts w:ascii="宋体" w:eastAsia="宋体" w:hAnsi="宋体" w:cs="宋体"/>
          <w:b/>
          <w:bCs/>
          <w:szCs w:val="21"/>
        </w:rPr>
        <w:t>（2） 应收股利</w:t>
      </w:r>
      <w:bookmarkEnd w:id="105"/>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06" w:name="_Toc989103"/>
      <w:r>
        <w:rPr>
          <w:rFonts w:ascii="宋体" w:eastAsia="宋体" w:hAnsi="宋体" w:cs="宋体"/>
          <w:b/>
          <w:bCs/>
          <w:szCs w:val="21"/>
        </w:rPr>
        <w:t>（3） 其他应收款</w:t>
      </w:r>
      <w:bookmarkEnd w:id="106"/>
    </w:p>
    <w:p w:rsidR="00E62F69" w:rsidRDefault="00B54A20">
      <w:pPr>
        <w:keepNext/>
        <w:keepLines/>
        <w:spacing w:before="300" w:after="300" w:line="280" w:lineRule="exact"/>
        <w:outlineLvl w:val="4"/>
        <w:rPr>
          <w:rFonts w:ascii="宋体" w:eastAsia="宋体" w:hAnsi="宋体" w:cs="宋体"/>
          <w:b/>
          <w:bCs/>
          <w:szCs w:val="21"/>
        </w:rPr>
      </w:pPr>
      <w:bookmarkStart w:id="107" w:name="_Toc989104"/>
      <w:r>
        <w:rPr>
          <w:rFonts w:ascii="宋体" w:eastAsia="宋体" w:hAnsi="宋体" w:cs="宋体"/>
          <w:b/>
          <w:bCs/>
          <w:szCs w:val="21"/>
        </w:rPr>
        <w:t>1） 其他应收款按款项性质分类情况</w:t>
      </w:r>
      <w:bookmarkEnd w:id="10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28,139,282.14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28,139,282.14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保证金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17,712,185.96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38,800,021.27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押金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814,306.14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1,088,938.00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310,714.21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896,331.20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6,058,878.37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4,815,365.60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188,215,021.53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188,765,870.13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应收出口退税款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3,298,033.69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3,520,785.71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代付款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6,768,443.94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8,835,784.79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167,155,947.60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83,089,760.56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固定资产转让款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36,160,000.00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19,040,954.01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12,254,535.16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-155,644,848.01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-154,482,095.34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281,868,919.58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251,884,579.22</w:t>
            </w:r>
          </w:p>
        </w:tc>
      </w:tr>
    </w:tbl>
    <w:p w:rsidR="00E62F69" w:rsidRDefault="00B54A20">
      <w:pPr>
        <w:keepNext/>
        <w:keepLines/>
        <w:spacing w:before="300" w:after="300" w:line="280" w:lineRule="exact"/>
        <w:outlineLvl w:val="4"/>
        <w:rPr>
          <w:rFonts w:ascii="宋体" w:eastAsia="宋体" w:hAnsi="宋体" w:cs="宋体"/>
          <w:b/>
          <w:bCs/>
          <w:szCs w:val="21"/>
        </w:rPr>
      </w:pPr>
      <w:bookmarkStart w:id="108" w:name="_Toc989105"/>
      <w:r>
        <w:rPr>
          <w:rFonts w:ascii="宋体" w:eastAsia="宋体" w:hAnsi="宋体" w:cs="宋体"/>
          <w:b/>
          <w:bCs/>
          <w:szCs w:val="21"/>
        </w:rPr>
        <w:t>2） 坏账准备计提情况</w:t>
      </w:r>
      <w:bookmarkEnd w:id="10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132,992,452.75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154,482,095.34</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1,162,752.67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1,162,752.67</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2023年6月30日余额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134,155,205.42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155,644,848.01</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372,049,106.93</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30,323,628.21</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11,121,187.27</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24,019,845.18</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4,699,595.57</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before="40" w:after="40" w:line="240" w:lineRule="exact"/>
              <w:rPr>
                <w:rFonts w:ascii="宋体" w:eastAsia="宋体" w:hAnsi="宋体" w:cs="宋体"/>
                <w:sz w:val="18"/>
                <w:szCs w:val="18"/>
              </w:rPr>
            </w:pPr>
            <w:r>
              <w:rPr>
                <w:rFonts w:ascii="宋体" w:eastAsia="宋体" w:hAnsi="宋体" w:cs="宋体"/>
                <w:sz w:val="18"/>
                <w:szCs w:val="18"/>
              </w:rPr>
              <w:t>4至5年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860,537.11</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9867B5">
            <w:pPr>
              <w:spacing w:before="40" w:after="40" w:line="240" w:lineRule="exact"/>
              <w:rPr>
                <w:rFonts w:ascii="宋体" w:eastAsia="宋体" w:hAnsi="宋体" w:cs="宋体"/>
                <w:sz w:val="18"/>
                <w:szCs w:val="18"/>
              </w:rPr>
            </w:pPr>
            <w:r>
              <w:rPr>
                <w:rFonts w:ascii="宋体" w:eastAsia="宋体" w:hAnsi="宋体" w:cs="宋体"/>
                <w:sz w:val="18"/>
                <w:szCs w:val="18"/>
              </w:rPr>
              <w:t>5年以上</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18,459,712.50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437,513,767.59</w:t>
            </w:r>
          </w:p>
        </w:tc>
      </w:tr>
    </w:tbl>
    <w:p w:rsidR="00E62F69" w:rsidRDefault="00B54A20">
      <w:pPr>
        <w:keepNext/>
        <w:keepLines/>
        <w:spacing w:before="300" w:after="300" w:line="280" w:lineRule="exact"/>
        <w:outlineLvl w:val="4"/>
        <w:rPr>
          <w:rFonts w:ascii="宋体" w:eastAsia="宋体" w:hAnsi="宋体" w:cs="宋体"/>
          <w:b/>
          <w:bCs/>
          <w:szCs w:val="21"/>
        </w:rPr>
      </w:pPr>
      <w:bookmarkStart w:id="109" w:name="_Toc989106"/>
      <w:r>
        <w:rPr>
          <w:rFonts w:ascii="宋体" w:eastAsia="宋体" w:hAnsi="宋体" w:cs="宋体"/>
          <w:b/>
          <w:bCs/>
          <w:szCs w:val="21"/>
        </w:rPr>
        <w:t>3） 本期计提、收回或转回的坏账准备情况</w:t>
      </w:r>
      <w:bookmarkEnd w:id="109"/>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566"/>
        <w:gridCol w:w="1418"/>
        <w:gridCol w:w="1147"/>
        <w:gridCol w:w="1121"/>
        <w:gridCol w:w="1276"/>
        <w:gridCol w:w="1734"/>
      </w:tblGrid>
      <w:tr w:rsidR="00E62F69" w:rsidTr="009867B5">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56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96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9867B5">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56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4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12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单项计提预期信用损失的其他应收款</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21,489,642.59</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21,489,642.59</w:t>
            </w: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按组合计提预期信用损失的其他应收款</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其中：预期信用风险组合</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32,958,810.08</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1,566,066.72</w:t>
            </w: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356,395.72</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34,168,481.08</w:t>
            </w: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应收财政款组合</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100,033,642.67</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-46,918.33</w:t>
            </w: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99,986,724.34</w:t>
            </w:r>
          </w:p>
        </w:tc>
      </w:tr>
      <w:tr w:rsidR="00E62F69" w:rsidTr="009867B5">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154,482,095.34</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1,519,148.39</w:t>
            </w:r>
          </w:p>
        </w:tc>
        <w:tc>
          <w:tcPr>
            <w:tcW w:w="114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2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356,395.72</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155,644,848.01</w:t>
            </w:r>
          </w:p>
        </w:tc>
      </w:tr>
    </w:tbl>
    <w:p w:rsidR="00E62F69" w:rsidRDefault="00B54A20">
      <w:pPr>
        <w:keepNext/>
        <w:keepLines/>
        <w:spacing w:before="300" w:after="300" w:line="280" w:lineRule="exact"/>
        <w:outlineLvl w:val="4"/>
        <w:rPr>
          <w:rFonts w:ascii="宋体" w:eastAsia="宋体" w:hAnsi="宋体" w:cs="宋体"/>
          <w:b/>
          <w:bCs/>
          <w:szCs w:val="21"/>
        </w:rPr>
      </w:pPr>
      <w:bookmarkStart w:id="110" w:name="_Toc989107"/>
      <w:r>
        <w:rPr>
          <w:rFonts w:ascii="宋体" w:eastAsia="宋体" w:hAnsi="宋体" w:cs="宋体"/>
          <w:b/>
          <w:bCs/>
          <w:szCs w:val="21"/>
        </w:rPr>
        <w:t>4） 本期实际核销的其他应收款情况</w:t>
      </w:r>
      <w:bookmarkEnd w:id="110"/>
    </w:p>
    <w:p w:rsidR="00B54A20" w:rsidRPr="009867B5" w:rsidRDefault="00B54A20" w:rsidP="009867B5">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Cs w:val="21"/>
        </w:rPr>
      </w:pPr>
      <w:bookmarkStart w:id="111" w:name="_Toc989108"/>
      <w:r>
        <w:rPr>
          <w:rFonts w:ascii="宋体" w:eastAsia="宋体" w:hAnsi="宋体" w:cs="宋体"/>
          <w:b/>
          <w:bCs/>
          <w:szCs w:val="21"/>
        </w:rPr>
        <w:t>5） 按欠款方归集的期末余额前五名的其他应收款情况</w:t>
      </w:r>
      <w:bookmarkEnd w:id="11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rsidTr="00FD211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FD211C" w:rsidTr="00FD211C">
        <w:trPr>
          <w:trHeight w:val="240"/>
        </w:trPr>
        <w:tc>
          <w:tcPr>
            <w:tcW w:w="1606" w:type="dxa"/>
            <w:vMerge w:val="restart"/>
            <w:tcBorders>
              <w:top w:val="single" w:sz="2" w:space="0" w:color="auto"/>
              <w:left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23,546,696.39</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8.35%</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12,497,900.22</w:t>
            </w:r>
          </w:p>
        </w:tc>
      </w:tr>
      <w:tr w:rsidR="00FD211C" w:rsidTr="00FD211C">
        <w:trPr>
          <w:trHeight w:val="240"/>
        </w:trPr>
        <w:tc>
          <w:tcPr>
            <w:tcW w:w="1606" w:type="dxa"/>
            <w:vMerge/>
            <w:tcBorders>
              <w:left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37,360,604.62</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2至3年</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13.25%</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p>
        </w:tc>
      </w:tr>
      <w:tr w:rsidR="00FD211C" w:rsidTr="00FD211C">
        <w:trPr>
          <w:trHeight w:val="240"/>
        </w:trPr>
        <w:tc>
          <w:tcPr>
            <w:tcW w:w="1606" w:type="dxa"/>
            <w:vMerge/>
            <w:tcBorders>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4,592,600.00</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1.63%</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p>
        </w:tc>
      </w:tr>
      <w:tr w:rsidR="00FD211C" w:rsidTr="00EF4124">
        <w:trPr>
          <w:trHeight w:val="240"/>
        </w:trPr>
        <w:tc>
          <w:tcPr>
            <w:tcW w:w="1606" w:type="dxa"/>
            <w:vMerge w:val="restart"/>
            <w:tcBorders>
              <w:top w:val="single" w:sz="2" w:space="0" w:color="auto"/>
              <w:left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8,834,426.27</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3.13%</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43,591,757.24</w:t>
            </w:r>
          </w:p>
        </w:tc>
      </w:tr>
      <w:tr w:rsidR="00FD211C" w:rsidTr="00EF4124">
        <w:trPr>
          <w:trHeight w:val="240"/>
        </w:trPr>
        <w:tc>
          <w:tcPr>
            <w:tcW w:w="1606" w:type="dxa"/>
            <w:vMerge/>
            <w:tcBorders>
              <w:left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239,363.09</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2至3年</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p>
        </w:tc>
      </w:tr>
      <w:tr w:rsidR="00FD211C" w:rsidTr="00EF4124">
        <w:trPr>
          <w:trHeight w:val="240"/>
        </w:trPr>
        <w:tc>
          <w:tcPr>
            <w:tcW w:w="1606" w:type="dxa"/>
            <w:vMerge/>
            <w:tcBorders>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43,158,191.59</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15.31%</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p>
        </w:tc>
      </w:tr>
      <w:tr w:rsidR="00FD211C" w:rsidTr="003F19F4">
        <w:trPr>
          <w:trHeight w:val="240"/>
        </w:trPr>
        <w:tc>
          <w:tcPr>
            <w:tcW w:w="1606" w:type="dxa"/>
            <w:vMerge w:val="restart"/>
            <w:tcBorders>
              <w:top w:val="single" w:sz="2" w:space="0" w:color="auto"/>
              <w:left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1,698,328.21</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0.60%</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25,140,310.64</w:t>
            </w:r>
          </w:p>
        </w:tc>
      </w:tr>
      <w:tr w:rsidR="00FD211C" w:rsidTr="003F19F4">
        <w:trPr>
          <w:trHeight w:val="240"/>
        </w:trPr>
        <w:tc>
          <w:tcPr>
            <w:tcW w:w="1606" w:type="dxa"/>
            <w:vMerge/>
            <w:tcBorders>
              <w:left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21,024,893.94</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4至5年</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7.46%</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p>
        </w:tc>
      </w:tr>
      <w:tr w:rsidR="00FD211C" w:rsidTr="003F19F4">
        <w:trPr>
          <w:trHeight w:val="240"/>
        </w:trPr>
        <w:tc>
          <w:tcPr>
            <w:tcW w:w="1606" w:type="dxa"/>
            <w:vMerge/>
            <w:tcBorders>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补助款</w:t>
            </w:r>
          </w:p>
        </w:tc>
        <w:tc>
          <w:tcPr>
            <w:tcW w:w="1606"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8,173,394.02</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r>
              <w:rPr>
                <w:rFonts w:ascii="宋体" w:eastAsia="宋体" w:hAnsi="宋体" w:cs="宋体"/>
                <w:sz w:val="18"/>
                <w:szCs w:val="18"/>
              </w:rPr>
              <w:t>2.90%</w:t>
            </w:r>
          </w:p>
        </w:tc>
        <w:tc>
          <w:tcPr>
            <w:tcW w:w="1607" w:type="dxa"/>
            <w:tcBorders>
              <w:top w:val="single" w:sz="2" w:space="0" w:color="auto"/>
              <w:left w:val="single" w:sz="2" w:space="0" w:color="auto"/>
              <w:bottom w:val="single" w:sz="2" w:space="0" w:color="auto"/>
              <w:right w:val="single" w:sz="2" w:space="0" w:color="auto"/>
            </w:tcBorders>
            <w:vAlign w:val="center"/>
          </w:tcPr>
          <w:p w:rsidR="00FD211C" w:rsidRDefault="00FD211C">
            <w:pPr>
              <w:spacing w:line="240" w:lineRule="exact"/>
              <w:jc w:val="right"/>
              <w:rPr>
                <w:rFonts w:ascii="宋体" w:eastAsia="宋体" w:hAnsi="宋体" w:cs="宋体"/>
                <w:sz w:val="18"/>
                <w:szCs w:val="18"/>
              </w:rPr>
            </w:pPr>
          </w:p>
        </w:tc>
      </w:tr>
      <w:tr w:rsidR="00E62F69" w:rsidTr="00FD211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第三方往来款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10.64%</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1,500,000.00</w:t>
            </w:r>
          </w:p>
        </w:tc>
      </w:tr>
      <w:tr w:rsidR="00E62F69" w:rsidTr="00FD211C">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第三方往来款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21,477,996.11</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7.62%</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10,710,403.54</w:t>
            </w:r>
          </w:p>
        </w:tc>
      </w:tr>
      <w:tr w:rsidR="00E62F69" w:rsidTr="00FD211C">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200,106,494.24</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70.99%</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93,440,371.64</w:t>
            </w:r>
          </w:p>
        </w:tc>
      </w:tr>
    </w:tbl>
    <w:p w:rsidR="00E62F69" w:rsidRDefault="00B54A20">
      <w:pPr>
        <w:keepNext/>
        <w:keepLines/>
        <w:spacing w:before="300" w:after="300" w:line="280" w:lineRule="exact"/>
        <w:outlineLvl w:val="4"/>
        <w:rPr>
          <w:rFonts w:ascii="宋体" w:eastAsia="宋体" w:hAnsi="宋体" w:cs="宋体"/>
          <w:b/>
          <w:bCs/>
          <w:szCs w:val="21"/>
        </w:rPr>
      </w:pPr>
      <w:bookmarkStart w:id="112" w:name="_Toc989109"/>
      <w:r>
        <w:rPr>
          <w:rFonts w:ascii="宋体" w:eastAsia="宋体" w:hAnsi="宋体" w:cs="宋体"/>
          <w:b/>
          <w:bCs/>
          <w:szCs w:val="21"/>
        </w:rPr>
        <w:t>6） 涉及政府补助的应收款项</w:t>
      </w:r>
      <w:bookmarkEnd w:id="11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3001"/>
        <w:gridCol w:w="1559"/>
        <w:gridCol w:w="1224"/>
        <w:gridCol w:w="1928"/>
      </w:tblGrid>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0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政府补助项目名称</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22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预计收取的时间、金额及依据</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新疆生产建设兵团第七师财政局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出疆棉纱运费补贴、贷款贴息、生产补贴、色纺专项补贴、使用新疆棉补贴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8,834,426.27</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新疆生产建设兵团第七师财政局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出疆棉纱运费补贴、贷款贴息、生产补贴、色纺专项补贴、使用新疆棉补贴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239,363.09</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新疆生产建设兵团第七师财政局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出疆棉纱运费补贴、贷款贴息、生产补贴、色纺专项补贴、使用新疆棉补贴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43,158,191.59</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阿克苏纺织工业城（开发区）财政局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出疆棉补贴、电费补贴、税收返还</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23,546,696.39</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阿克苏纺织工业城（开发区）财政局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出疆棉补贴、电费补贴、税收返还</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37,360,604.62</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阿克苏纺织工业城（开发区）财政局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出疆棉补贴、电费补贴、税收返还</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4,592,600.00</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新疆维吾尔自治区财政厅</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出疆棉运费补贴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20,196,168.30</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新疆生产建设兵团第六师财政局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出疆棉运费补贴、贷款贴息、使用新疆棉补贴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1,698,328.21</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新疆生产建设兵团第六师财政局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出疆棉运费补贴、贷款贴息、使用新疆棉补贴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21,024,893.94</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4至5年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新疆生产建设兵团第六师财政局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出疆棉运费补贴、贷款贴息、使用新疆棉补贴</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8,173,394.02</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石河子市财政局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贷款贴息、使用新疆棉补贴、增值税返还</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190,960.00</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石河子市财政局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贷款贴息、使用新疆棉补贴、增值税返还</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13,915,394.11</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4至5年</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石河子市财政局</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贷款贴息、使用新疆棉补贴、增值税返还</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5,284,000.99</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5年以上</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预计2023年收回</w:t>
            </w:r>
          </w:p>
        </w:tc>
      </w:tr>
      <w:tr w:rsidR="00E62F69" w:rsidTr="00FD211C">
        <w:trPr>
          <w:cantSplit/>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合计</w:t>
            </w:r>
          </w:p>
        </w:tc>
        <w:tc>
          <w:tcPr>
            <w:tcW w:w="300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188,215,021.53</w:t>
            </w:r>
          </w:p>
        </w:tc>
        <w:tc>
          <w:tcPr>
            <w:tcW w:w="122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bl>
    <w:p w:rsidR="00E62F69" w:rsidRDefault="00B54A20">
      <w:pPr>
        <w:keepNext/>
        <w:keepLines/>
        <w:spacing w:before="300" w:after="300" w:line="280" w:lineRule="exact"/>
        <w:outlineLvl w:val="4"/>
        <w:rPr>
          <w:rFonts w:ascii="宋体" w:eastAsia="宋体" w:hAnsi="宋体" w:cs="宋体"/>
          <w:b/>
          <w:bCs/>
          <w:szCs w:val="21"/>
        </w:rPr>
      </w:pPr>
      <w:bookmarkStart w:id="113" w:name="_Toc989110"/>
      <w:r>
        <w:rPr>
          <w:rFonts w:ascii="宋体" w:eastAsia="宋体" w:hAnsi="宋体" w:cs="宋体"/>
          <w:b/>
          <w:bCs/>
          <w:szCs w:val="21"/>
        </w:rPr>
        <w:t>7） 因金融资产转移而终止确认的其他应收款</w:t>
      </w:r>
      <w:bookmarkEnd w:id="113"/>
    </w:p>
    <w:p w:rsidR="00B54A20" w:rsidRDefault="00B54A20">
      <w:pPr>
        <w:pStyle w:val="a3"/>
        <w:divId w:val="333071997"/>
        <w:rPr>
          <w:sz w:val="18"/>
          <w:szCs w:val="18"/>
        </w:rPr>
      </w:pP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Cs w:val="21"/>
        </w:rPr>
      </w:pPr>
      <w:bookmarkStart w:id="114" w:name="_Toc989111"/>
      <w:r>
        <w:rPr>
          <w:rFonts w:ascii="宋体" w:eastAsia="宋体" w:hAnsi="宋体" w:cs="宋体"/>
          <w:b/>
          <w:bCs/>
          <w:szCs w:val="21"/>
        </w:rPr>
        <w:t>8） 转移其他</w:t>
      </w:r>
      <w:proofErr w:type="gramStart"/>
      <w:r>
        <w:rPr>
          <w:rFonts w:ascii="宋体" w:eastAsia="宋体" w:hAnsi="宋体" w:cs="宋体"/>
          <w:b/>
          <w:bCs/>
          <w:szCs w:val="21"/>
        </w:rPr>
        <w:t>应收款且继续</w:t>
      </w:r>
      <w:proofErr w:type="gramEnd"/>
      <w:r>
        <w:rPr>
          <w:rFonts w:ascii="宋体" w:eastAsia="宋体" w:hAnsi="宋体" w:cs="宋体"/>
          <w:b/>
          <w:bCs/>
          <w:szCs w:val="21"/>
        </w:rPr>
        <w:t>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114"/>
    </w:p>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15" w:name="_Toc989112"/>
      <w:r>
        <w:rPr>
          <w:rFonts w:ascii="宋体" w:hAnsi="宋体" w:cs="宋体"/>
          <w:b/>
          <w:bCs/>
        </w:rPr>
        <w:t>9、存货</w:t>
      </w:r>
      <w:bookmarkEnd w:id="115"/>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rsidR="00E62F69" w:rsidRDefault="00B54A20">
      <w:pPr>
        <w:keepNext/>
        <w:keepLines/>
        <w:spacing w:before="300" w:after="300" w:line="280" w:lineRule="exact"/>
        <w:outlineLvl w:val="3"/>
        <w:rPr>
          <w:rFonts w:ascii="宋体" w:eastAsia="宋体" w:hAnsi="宋体" w:cs="宋体"/>
          <w:b/>
          <w:bCs/>
          <w:szCs w:val="21"/>
        </w:rPr>
      </w:pPr>
      <w:bookmarkStart w:id="116" w:name="_Toc989113"/>
      <w:r>
        <w:rPr>
          <w:rFonts w:ascii="宋体" w:eastAsia="宋体" w:hAnsi="宋体" w:cs="宋体"/>
          <w:b/>
          <w:bCs/>
          <w:szCs w:val="21"/>
        </w:rPr>
        <w:t>（1） 存货分类</w:t>
      </w:r>
      <w:bookmarkEnd w:id="11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rsidTr="001B5053">
        <w:trPr>
          <w:cantSplit/>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1B5053">
        <w:trPr>
          <w:cantSplit/>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912,487,273.37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51,173,965.39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861,313,307.98</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2,993,589,109.46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86,680,947.48</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2,906,908,161.98</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206,576,960.40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6,494,311.21</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200,082,649.19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249,390,977.12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15,406,278.32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233,984,698.80</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1,980,391,456.83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20,360,442.80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1,960,031,014.03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2,222,220,838.86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203,551,247.41</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2,018,669,591.45</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24,087,118.42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24,087,118.42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17,762,008.12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17,762,008.12</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41,012,387.15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41,012,387.15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26,891,246.86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26,891,246.86</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委托加工物资</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3,064,340.31</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3,064,340.31</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3,770,596.29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3,770,596.29</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自制半成品</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126,047,167.47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126,047,167.47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129,511,877.34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129,511,877.34</w:t>
            </w:r>
          </w:p>
        </w:tc>
      </w:tr>
      <w:tr w:rsidR="00E62F69" w:rsidTr="001B5053">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3,293,666,703.95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78,028,719.40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3,215,637,984.55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5,643,136,654.05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305,638,473.21</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5,337,498,180.84</w:t>
            </w:r>
          </w:p>
        </w:tc>
      </w:tr>
    </w:tbl>
    <w:p w:rsidR="00E62F69" w:rsidRDefault="00B54A20">
      <w:pPr>
        <w:keepNext/>
        <w:keepLines/>
        <w:spacing w:before="300" w:after="300" w:line="280" w:lineRule="exact"/>
        <w:outlineLvl w:val="3"/>
        <w:rPr>
          <w:rFonts w:ascii="宋体" w:eastAsia="宋体" w:hAnsi="宋体" w:cs="宋体"/>
          <w:b/>
          <w:bCs/>
          <w:szCs w:val="21"/>
        </w:rPr>
      </w:pPr>
      <w:bookmarkStart w:id="117" w:name="_Toc989114"/>
      <w:r>
        <w:rPr>
          <w:rFonts w:ascii="宋体" w:eastAsia="宋体" w:hAnsi="宋体" w:cs="宋体"/>
          <w:b/>
          <w:bCs/>
          <w:szCs w:val="21"/>
        </w:rPr>
        <w:t>（2） 存货跌价准备和合同履约成本减值准备</w:t>
      </w:r>
      <w:bookmarkEnd w:id="11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59"/>
        <w:gridCol w:w="1795"/>
        <w:gridCol w:w="1040"/>
        <w:gridCol w:w="1134"/>
        <w:gridCol w:w="1957"/>
        <w:gridCol w:w="1020"/>
        <w:gridCol w:w="1734"/>
      </w:tblGrid>
      <w:tr w:rsidR="00E62F69" w:rsidTr="001B5053">
        <w:trPr>
          <w:trHeight w:val="240"/>
        </w:trPr>
        <w:tc>
          <w:tcPr>
            <w:tcW w:w="9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1B5053">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9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17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977"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1B5053">
        <w:trPr>
          <w:trHeight w:val="240"/>
        </w:trPr>
        <w:tc>
          <w:tcPr>
            <w:tcW w:w="9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rsidP="001B5053">
            <w:pPr>
              <w:jc w:val="center"/>
            </w:pPr>
          </w:p>
        </w:tc>
        <w:tc>
          <w:tcPr>
            <w:tcW w:w="179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04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95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0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1B5053">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1B5053">
            <w:pPr>
              <w:spacing w:before="40" w:after="40" w:line="240" w:lineRule="exact"/>
              <w:jc w:val="center"/>
              <w:rPr>
                <w:rFonts w:ascii="宋体" w:eastAsia="宋体" w:hAnsi="宋体" w:cs="宋体"/>
                <w:sz w:val="18"/>
                <w:szCs w:val="18"/>
              </w:rPr>
            </w:pPr>
            <w:r>
              <w:rPr>
                <w:rFonts w:ascii="宋体" w:eastAsia="宋体" w:hAnsi="宋体" w:cs="宋体"/>
                <w:sz w:val="18"/>
                <w:szCs w:val="18"/>
              </w:rPr>
              <w:t>原材料</w:t>
            </w:r>
          </w:p>
        </w:tc>
        <w:tc>
          <w:tcPr>
            <w:tcW w:w="179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86,680,947.48</w:t>
            </w:r>
          </w:p>
        </w:tc>
        <w:tc>
          <w:tcPr>
            <w:tcW w:w="104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35,506,982.09</w:t>
            </w:r>
          </w:p>
        </w:tc>
        <w:tc>
          <w:tcPr>
            <w:tcW w:w="10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51,173,965.39</w:t>
            </w:r>
          </w:p>
        </w:tc>
      </w:tr>
      <w:tr w:rsidR="00E62F69" w:rsidTr="001B5053">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1B5053">
            <w:pPr>
              <w:spacing w:before="40" w:after="40" w:line="240" w:lineRule="exact"/>
              <w:jc w:val="center"/>
              <w:rPr>
                <w:rFonts w:ascii="宋体" w:eastAsia="宋体" w:hAnsi="宋体" w:cs="宋体"/>
                <w:sz w:val="18"/>
                <w:szCs w:val="18"/>
              </w:rPr>
            </w:pPr>
            <w:r>
              <w:rPr>
                <w:rFonts w:ascii="宋体" w:eastAsia="宋体" w:hAnsi="宋体" w:cs="宋体"/>
                <w:sz w:val="18"/>
                <w:szCs w:val="18"/>
              </w:rPr>
              <w:t>在产品</w:t>
            </w:r>
          </w:p>
        </w:tc>
        <w:tc>
          <w:tcPr>
            <w:tcW w:w="179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15,406,278.32</w:t>
            </w:r>
          </w:p>
        </w:tc>
        <w:tc>
          <w:tcPr>
            <w:tcW w:w="104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8,911,967.11</w:t>
            </w:r>
          </w:p>
        </w:tc>
        <w:tc>
          <w:tcPr>
            <w:tcW w:w="10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6,494,311.21</w:t>
            </w:r>
          </w:p>
        </w:tc>
      </w:tr>
      <w:tr w:rsidR="00E62F69" w:rsidTr="001B5053">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1B5053">
            <w:pPr>
              <w:spacing w:before="40" w:after="40" w:line="240" w:lineRule="exact"/>
              <w:jc w:val="center"/>
              <w:rPr>
                <w:rFonts w:ascii="宋体" w:eastAsia="宋体" w:hAnsi="宋体" w:cs="宋体"/>
                <w:sz w:val="18"/>
                <w:szCs w:val="18"/>
              </w:rPr>
            </w:pPr>
            <w:r>
              <w:rPr>
                <w:rFonts w:ascii="宋体" w:eastAsia="宋体" w:hAnsi="宋体" w:cs="宋体"/>
                <w:sz w:val="18"/>
                <w:szCs w:val="18"/>
              </w:rPr>
              <w:t>库存商品</w:t>
            </w:r>
          </w:p>
        </w:tc>
        <w:tc>
          <w:tcPr>
            <w:tcW w:w="179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203,551,247.41</w:t>
            </w:r>
          </w:p>
        </w:tc>
        <w:tc>
          <w:tcPr>
            <w:tcW w:w="104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183,190,804.61</w:t>
            </w:r>
          </w:p>
        </w:tc>
        <w:tc>
          <w:tcPr>
            <w:tcW w:w="10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20,360,442.80</w:t>
            </w:r>
          </w:p>
        </w:tc>
      </w:tr>
      <w:tr w:rsidR="00E62F69" w:rsidTr="001B5053">
        <w:trPr>
          <w:trHeight w:val="240"/>
        </w:trPr>
        <w:tc>
          <w:tcPr>
            <w:tcW w:w="9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1B505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79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305,638,473.21</w:t>
            </w:r>
          </w:p>
        </w:tc>
        <w:tc>
          <w:tcPr>
            <w:tcW w:w="104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5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227,609,753.81</w:t>
            </w:r>
          </w:p>
        </w:tc>
        <w:tc>
          <w:tcPr>
            <w:tcW w:w="102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78,028,719.40</w:t>
            </w:r>
          </w:p>
        </w:tc>
      </w:tr>
    </w:tbl>
    <w:p w:rsidR="00E62F69" w:rsidRDefault="00B54A20">
      <w:pPr>
        <w:keepNext/>
        <w:keepLines/>
        <w:spacing w:before="300" w:after="300" w:line="280" w:lineRule="exact"/>
        <w:outlineLvl w:val="3"/>
        <w:rPr>
          <w:rFonts w:ascii="宋体" w:eastAsia="宋体" w:hAnsi="宋体" w:cs="宋体"/>
          <w:b/>
          <w:bCs/>
          <w:szCs w:val="21"/>
        </w:rPr>
      </w:pPr>
      <w:bookmarkStart w:id="118" w:name="_Toc989115"/>
      <w:r>
        <w:rPr>
          <w:rFonts w:ascii="宋体" w:eastAsia="宋体" w:hAnsi="宋体" w:cs="宋体"/>
          <w:b/>
          <w:bCs/>
          <w:szCs w:val="21"/>
        </w:rPr>
        <w:t>（3） 存货期末余额含有借款费用资本</w:t>
      </w:r>
      <w:proofErr w:type="gramStart"/>
      <w:r>
        <w:rPr>
          <w:rFonts w:ascii="宋体" w:eastAsia="宋体" w:hAnsi="宋体" w:cs="宋体"/>
          <w:b/>
          <w:bCs/>
          <w:szCs w:val="21"/>
        </w:rPr>
        <w:t>化金额</w:t>
      </w:r>
      <w:proofErr w:type="gramEnd"/>
      <w:r>
        <w:rPr>
          <w:rFonts w:ascii="宋体" w:eastAsia="宋体" w:hAnsi="宋体" w:cs="宋体"/>
          <w:b/>
          <w:bCs/>
          <w:szCs w:val="21"/>
        </w:rPr>
        <w:t>的说明</w:t>
      </w:r>
      <w:bookmarkEnd w:id="118"/>
    </w:p>
    <w:p w:rsidR="00B54A20" w:rsidRDefault="00B54A20">
      <w:pPr>
        <w:pStyle w:val="a3"/>
        <w:divId w:val="474638232"/>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19" w:name="_Toc989116"/>
      <w:r>
        <w:rPr>
          <w:rFonts w:ascii="宋体" w:eastAsia="宋体" w:hAnsi="宋体" w:cs="宋体"/>
          <w:b/>
          <w:bCs/>
          <w:szCs w:val="21"/>
        </w:rPr>
        <w:t>（4） 合同履约成本本期摊销金额的说明</w:t>
      </w:r>
      <w:bookmarkEnd w:id="119"/>
    </w:p>
    <w:p w:rsidR="00B54A20" w:rsidRDefault="00B54A20">
      <w:pPr>
        <w:pStyle w:val="a3"/>
        <w:divId w:val="1561362231"/>
        <w:rPr>
          <w:sz w:val="18"/>
          <w:szCs w:val="18"/>
        </w:rPr>
      </w:pPr>
      <w:r>
        <w:rPr>
          <w:rFonts w:hint="eastAsia"/>
          <w:sz w:val="18"/>
          <w:szCs w:val="18"/>
        </w:rPr>
        <w:t>无。</w:t>
      </w:r>
    </w:p>
    <w:p w:rsidR="00E62F69" w:rsidRDefault="00B54A20">
      <w:pPr>
        <w:pStyle w:val="3"/>
        <w:spacing w:line="280" w:lineRule="exact"/>
        <w:jc w:val="left"/>
        <w:rPr>
          <w:rFonts w:ascii="宋体" w:hAnsi="宋体" w:cs="宋体"/>
          <w:b/>
          <w:bCs/>
        </w:rPr>
      </w:pPr>
      <w:bookmarkStart w:id="120" w:name="_Toc989117"/>
      <w:r>
        <w:rPr>
          <w:rFonts w:ascii="宋体" w:hAnsi="宋体" w:cs="宋体"/>
          <w:b/>
          <w:bCs/>
        </w:rPr>
        <w:t>10、合同资产</w:t>
      </w:r>
      <w:bookmarkEnd w:id="120"/>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合同资产的账面价值在本期内发生的重大变动金额和原因：</w:t>
      </w:r>
      <w:r w:rsidR="001B5053">
        <w:rPr>
          <w:rFonts w:ascii="宋体" w:eastAsia="宋体" w:hAnsi="宋体" w:cs="宋体"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如是按照预期信用损失一般模型计提合同资产减值准备，请参照其他应收款的披露方式披露减值准备的相关信息：</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本期合同资产计提减值准备情况：</w:t>
      </w:r>
      <w:r w:rsidR="001B5053">
        <w:rPr>
          <w:rFonts w:ascii="宋体" w:eastAsia="宋体" w:hAnsi="宋体" w:cs="宋体" w:hint="eastAsia"/>
          <w:sz w:val="18"/>
          <w:szCs w:val="18"/>
        </w:rPr>
        <w:t>无</w:t>
      </w:r>
    </w:p>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B5053">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21" w:name="_Toc989118"/>
      <w:r>
        <w:rPr>
          <w:rFonts w:ascii="宋体" w:hAnsi="宋体" w:cs="宋体"/>
          <w:b/>
          <w:bCs/>
        </w:rPr>
        <w:t>11、持有待售资产</w:t>
      </w:r>
      <w:bookmarkEnd w:id="121"/>
    </w:p>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B5053">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22" w:name="_Toc989119"/>
      <w:r>
        <w:rPr>
          <w:rFonts w:ascii="宋体" w:hAnsi="宋体" w:cs="宋体"/>
          <w:b/>
          <w:bCs/>
        </w:rPr>
        <w:t>12、一年内到期的非流动资产</w:t>
      </w:r>
      <w:bookmarkEnd w:id="12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一年内到期的长期</w:t>
            </w:r>
            <w:proofErr w:type="gramStart"/>
            <w:r>
              <w:rPr>
                <w:rFonts w:ascii="宋体" w:eastAsia="宋体" w:hAnsi="宋体" w:cs="宋体"/>
                <w:sz w:val="18"/>
                <w:szCs w:val="18"/>
              </w:rPr>
              <w:t>应收款重分类</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4,486,244.14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1,540,187.78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4,486,244.14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1,540,187.78</w:t>
            </w:r>
          </w:p>
        </w:tc>
      </w:tr>
    </w:tbl>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23" w:name="_Toc989120"/>
      <w:r>
        <w:rPr>
          <w:rFonts w:ascii="宋体" w:hAnsi="宋体" w:cs="宋体"/>
          <w:b/>
          <w:bCs/>
        </w:rPr>
        <w:t>13、其他流动资产</w:t>
      </w:r>
      <w:bookmarkEnd w:id="12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增值税留抵扣额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103,589,765.67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156,323,361.62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以</w:t>
            </w:r>
            <w:proofErr w:type="gramStart"/>
            <w:r>
              <w:rPr>
                <w:rFonts w:ascii="宋体" w:eastAsia="宋体" w:hAnsi="宋体" w:cs="宋体"/>
                <w:sz w:val="18"/>
                <w:szCs w:val="18"/>
              </w:rPr>
              <w:t>抵销</w:t>
            </w:r>
            <w:proofErr w:type="gramEnd"/>
            <w:r>
              <w:rPr>
                <w:rFonts w:ascii="宋体" w:eastAsia="宋体" w:hAnsi="宋体" w:cs="宋体"/>
                <w:sz w:val="18"/>
                <w:szCs w:val="18"/>
              </w:rPr>
              <w:t>后净额列示的所得税预缴税额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1,138,331.75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15,339,092.28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104,728,097.42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171,662,453.90</w:t>
            </w:r>
          </w:p>
        </w:tc>
      </w:tr>
    </w:tbl>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24" w:name="_Toc989121"/>
      <w:r>
        <w:rPr>
          <w:rFonts w:ascii="宋体" w:hAnsi="宋体" w:cs="宋体"/>
          <w:b/>
          <w:bCs/>
        </w:rPr>
        <w:t>14、债权投资</w:t>
      </w:r>
      <w:bookmarkEnd w:id="124"/>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25" w:name="_Toc989122"/>
      <w:r>
        <w:rPr>
          <w:rFonts w:ascii="宋体" w:hAnsi="宋体" w:cs="宋体"/>
          <w:b/>
          <w:bCs/>
        </w:rPr>
        <w:t>15、其他债权投资</w:t>
      </w:r>
      <w:bookmarkEnd w:id="125"/>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26" w:name="_Toc989123"/>
      <w:r>
        <w:rPr>
          <w:rFonts w:ascii="宋体" w:hAnsi="宋体" w:cs="宋体"/>
          <w:b/>
          <w:bCs/>
        </w:rPr>
        <w:t>16、长期应收款</w:t>
      </w:r>
      <w:bookmarkEnd w:id="126"/>
    </w:p>
    <w:p w:rsidR="00E62F69" w:rsidRDefault="00B54A20">
      <w:pPr>
        <w:keepNext/>
        <w:keepLines/>
        <w:spacing w:before="300" w:after="300" w:line="280" w:lineRule="exact"/>
        <w:outlineLvl w:val="3"/>
        <w:rPr>
          <w:rFonts w:ascii="宋体" w:eastAsia="宋体" w:hAnsi="宋体" w:cs="宋体"/>
          <w:b/>
          <w:bCs/>
          <w:szCs w:val="21"/>
        </w:rPr>
      </w:pPr>
      <w:bookmarkStart w:id="127" w:name="_Toc989124"/>
      <w:r>
        <w:rPr>
          <w:rFonts w:ascii="宋体" w:eastAsia="宋体" w:hAnsi="宋体" w:cs="宋体"/>
          <w:b/>
          <w:bCs/>
          <w:szCs w:val="21"/>
        </w:rPr>
        <w:t>（1） 长期应收款情况</w:t>
      </w:r>
      <w:bookmarkEnd w:id="12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031"/>
        <w:gridCol w:w="992"/>
        <w:gridCol w:w="992"/>
        <w:gridCol w:w="1418"/>
        <w:gridCol w:w="1417"/>
        <w:gridCol w:w="1380"/>
        <w:gridCol w:w="1205"/>
      </w:tblGrid>
      <w:tr w:rsidR="00E62F69" w:rsidTr="001B5053">
        <w:trPr>
          <w:trHeight w:val="240"/>
        </w:trPr>
        <w:tc>
          <w:tcPr>
            <w:tcW w:w="12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0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21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折现率区间</w:t>
            </w:r>
          </w:p>
        </w:tc>
      </w:tr>
      <w:tr w:rsidR="00E62F69" w:rsidTr="001B5053">
        <w:trPr>
          <w:trHeight w:val="240"/>
        </w:trPr>
        <w:tc>
          <w:tcPr>
            <w:tcW w:w="120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03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8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1B5053">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融资租赁款</w:t>
            </w:r>
          </w:p>
        </w:tc>
        <w:tc>
          <w:tcPr>
            <w:tcW w:w="103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4,918,512.88</w:t>
            </w: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2,084,788.82</w:t>
            </w:r>
          </w:p>
        </w:tc>
        <w:tc>
          <w:tcPr>
            <w:tcW w:w="138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2,833,724.06</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1B5053">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3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4,918,512.88</w:t>
            </w: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2,084,788.82</w:t>
            </w:r>
          </w:p>
        </w:tc>
        <w:tc>
          <w:tcPr>
            <w:tcW w:w="138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2,833,724.06</w:t>
            </w:r>
          </w:p>
        </w:tc>
        <w:tc>
          <w:tcPr>
            <w:tcW w:w="1205" w:type="dxa"/>
            <w:tcBorders>
              <w:top w:val="single" w:sz="2" w:space="0" w:color="auto"/>
              <w:left w:val="single" w:sz="2" w:space="0" w:color="auto"/>
              <w:bottom w:val="single" w:sz="2" w:space="0" w:color="auto"/>
              <w:right w:val="single" w:sz="2" w:space="0" w:color="auto"/>
            </w:tcBorders>
            <w:shd w:val="clear" w:color="auto" w:fill="auto"/>
            <w:vAlign w:val="center"/>
          </w:tcPr>
          <w:p w:rsidR="00E62F69" w:rsidRDefault="00E62F69"/>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128" w:name="_Toc989125"/>
      <w:r>
        <w:rPr>
          <w:rFonts w:ascii="宋体" w:eastAsia="宋体" w:hAnsi="宋体" w:cs="宋体"/>
          <w:b/>
          <w:bCs/>
          <w:szCs w:val="21"/>
        </w:rPr>
        <w:t>（2） 因金融资产转移而终止确认的长期应收款</w:t>
      </w:r>
      <w:bookmarkEnd w:id="128"/>
    </w:p>
    <w:p w:rsidR="00B54A20" w:rsidRDefault="00B54A20">
      <w:pPr>
        <w:pStyle w:val="a3"/>
        <w:divId w:val="1728529450"/>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29" w:name="_Toc989126"/>
      <w:r>
        <w:rPr>
          <w:rFonts w:ascii="宋体" w:eastAsia="宋体" w:hAnsi="宋体" w:cs="宋体"/>
          <w:b/>
          <w:bCs/>
          <w:szCs w:val="21"/>
        </w:rPr>
        <w:t>（3） 转移长期</w:t>
      </w:r>
      <w:proofErr w:type="gramStart"/>
      <w:r>
        <w:rPr>
          <w:rFonts w:ascii="宋体" w:eastAsia="宋体" w:hAnsi="宋体" w:cs="宋体"/>
          <w:b/>
          <w:bCs/>
          <w:szCs w:val="21"/>
        </w:rPr>
        <w:t>应收款且继续</w:t>
      </w:r>
      <w:proofErr w:type="gramEnd"/>
      <w:r>
        <w:rPr>
          <w:rFonts w:ascii="宋体" w:eastAsia="宋体" w:hAnsi="宋体" w:cs="宋体"/>
          <w:b/>
          <w:bCs/>
          <w:szCs w:val="21"/>
        </w:rPr>
        <w:t>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129"/>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B5053">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130" w:name="_Toc989127"/>
      <w:r>
        <w:rPr>
          <w:rFonts w:ascii="宋体" w:hAnsi="宋体" w:cs="宋体"/>
          <w:b/>
          <w:bCs/>
        </w:rPr>
        <w:t>17、长期股权投资</w:t>
      </w:r>
      <w:bookmarkEnd w:id="13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E62F69" w:rsidTr="001B5053">
        <w:trPr>
          <w:cantSplit/>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E62F69" w:rsidTr="001B5053">
        <w:trPr>
          <w:cantSplit/>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1B5053">
        <w:trPr>
          <w:cantSplit/>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E62F69" w:rsidTr="001B5053">
        <w:trPr>
          <w:cantSplit/>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E62F69" w:rsidTr="00FD211C">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45,034,947.32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45,034,947.32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FD211C">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福田实业（集团）有限公司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230,298,074.28</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7,401,858.02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224,847,531.10</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FD211C">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浙江华孚产业运营有限公司</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39,994,991.32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39,994,991.32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FD211C">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11,649,108.42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B5053">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7,401,858.02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B5053">
        <w:trPr>
          <w:cantSplit/>
          <w:trHeight w:val="240"/>
        </w:trPr>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326,977,121.34</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7,401,858.02</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321,526,578.16</w:t>
            </w:r>
          </w:p>
        </w:tc>
        <w:tc>
          <w:tcPr>
            <w:tcW w:w="80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B5053">
        <w:rPr>
          <w:rFonts w:ascii="宋体" w:eastAsia="宋体" w:hAnsi="宋体" w:cs="宋体" w:hint="eastAsia"/>
          <w:sz w:val="18"/>
          <w:szCs w:val="18"/>
        </w:rPr>
        <w:t>：</w:t>
      </w:r>
      <w:r>
        <w:rPr>
          <w:rFonts w:hint="eastAsia"/>
          <w:sz w:val="18"/>
          <w:szCs w:val="18"/>
        </w:rPr>
        <w:t>本公司持有福田实业（集团）有限公司（以下简称福田实业）</w:t>
      </w:r>
      <w:r>
        <w:rPr>
          <w:rFonts w:ascii="Calibri" w:hAnsi="Calibri"/>
          <w:sz w:val="18"/>
          <w:szCs w:val="18"/>
        </w:rPr>
        <w:t>17.30%</w:t>
      </w:r>
      <w:r>
        <w:rPr>
          <w:rFonts w:hint="eastAsia"/>
          <w:sz w:val="18"/>
          <w:szCs w:val="18"/>
        </w:rPr>
        <w:t>的股权，对福田实业的表决权比例亦为</w:t>
      </w:r>
      <w:r>
        <w:rPr>
          <w:rFonts w:ascii="Calibri" w:hAnsi="Calibri"/>
          <w:sz w:val="18"/>
          <w:szCs w:val="18"/>
        </w:rPr>
        <w:t>17.30%</w:t>
      </w:r>
      <w:r>
        <w:rPr>
          <w:rFonts w:hint="eastAsia"/>
          <w:sz w:val="18"/>
          <w:szCs w:val="18"/>
        </w:rPr>
        <w:t>。虽然该比例低于</w:t>
      </w:r>
      <w:r>
        <w:rPr>
          <w:rFonts w:ascii="Calibri" w:hAnsi="Calibri"/>
          <w:sz w:val="18"/>
          <w:szCs w:val="18"/>
        </w:rPr>
        <w:t>20%</w:t>
      </w:r>
      <w:r>
        <w:rPr>
          <w:rFonts w:hint="eastAsia"/>
          <w:sz w:val="18"/>
          <w:szCs w:val="18"/>
        </w:rPr>
        <w:t>，但由于本公司在福田实业董事会中派有代表并参与对乙公司财务和经营政策的决策，所以本公司能够对乙公司施加重大影响。</w:t>
      </w:r>
    </w:p>
    <w:p w:rsidR="00E62F69" w:rsidRDefault="00B54A20">
      <w:pPr>
        <w:pStyle w:val="3"/>
        <w:spacing w:line="280" w:lineRule="exact"/>
        <w:jc w:val="left"/>
        <w:rPr>
          <w:rFonts w:ascii="宋体" w:hAnsi="宋体" w:cs="宋体"/>
          <w:b/>
          <w:bCs/>
        </w:rPr>
      </w:pPr>
      <w:bookmarkStart w:id="131" w:name="_Toc989128"/>
      <w:r>
        <w:rPr>
          <w:rFonts w:ascii="宋体" w:hAnsi="宋体" w:cs="宋体"/>
          <w:b/>
          <w:bCs/>
        </w:rPr>
        <w:t>18、其他权益工具投资</w:t>
      </w:r>
      <w:bookmarkEnd w:id="13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062"/>
        <w:gridCol w:w="1984"/>
        <w:gridCol w:w="1593"/>
      </w:tblGrid>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8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浙江八达股份有限公司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66,000.00</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浙江凯旋股份有限公司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65,945.90</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65,945.90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石河子国民村镇银行有限责任公司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杭州英涉时装</w:t>
            </w:r>
            <w:proofErr w:type="gramEnd"/>
            <w:r>
              <w:rPr>
                <w:rFonts w:ascii="宋体" w:eastAsia="宋体" w:hAnsi="宋体" w:cs="宋体"/>
                <w:sz w:val="18"/>
                <w:szCs w:val="18"/>
              </w:rPr>
              <w:t>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7,830,000.00</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7,830,000.00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徽商银行股份有限公司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57,822,437.39</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56,479,234.53</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深圳市华泰瑞麟股权投资基金合伙企业（有限合伙）</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金华市先</w:t>
            </w:r>
            <w:proofErr w:type="gramStart"/>
            <w:r>
              <w:rPr>
                <w:rFonts w:ascii="宋体" w:eastAsia="宋体" w:hAnsi="宋体" w:cs="宋体"/>
                <w:sz w:val="18"/>
                <w:szCs w:val="18"/>
              </w:rPr>
              <w:t>智数字</w:t>
            </w:r>
            <w:proofErr w:type="gramEnd"/>
            <w:r>
              <w:rPr>
                <w:rFonts w:ascii="宋体" w:eastAsia="宋体" w:hAnsi="宋体" w:cs="宋体"/>
                <w:sz w:val="18"/>
                <w:szCs w:val="18"/>
              </w:rPr>
              <w:t>科技有限公司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150,000.00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浙样文化</w:t>
            </w:r>
            <w:proofErr w:type="gramEnd"/>
            <w:r>
              <w:rPr>
                <w:rFonts w:ascii="宋体" w:eastAsia="宋体" w:hAnsi="宋体" w:cs="宋体"/>
                <w:sz w:val="18"/>
                <w:szCs w:val="18"/>
              </w:rPr>
              <w:t>科技（金华）有限公司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72,500.00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金华</w:t>
            </w:r>
            <w:proofErr w:type="gramStart"/>
            <w:r>
              <w:rPr>
                <w:rFonts w:ascii="宋体" w:eastAsia="宋体" w:hAnsi="宋体" w:cs="宋体"/>
                <w:sz w:val="18"/>
                <w:szCs w:val="18"/>
              </w:rPr>
              <w:t>市企源科技</w:t>
            </w:r>
            <w:proofErr w:type="gramEnd"/>
            <w:r>
              <w:rPr>
                <w:rFonts w:ascii="宋体" w:eastAsia="宋体" w:hAnsi="宋体" w:cs="宋体"/>
                <w:sz w:val="18"/>
                <w:szCs w:val="18"/>
              </w:rPr>
              <w:t>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锦</w:t>
            </w:r>
            <w:proofErr w:type="gramStart"/>
            <w:r>
              <w:rPr>
                <w:rFonts w:ascii="宋体" w:eastAsia="宋体" w:hAnsi="宋体" w:cs="宋体"/>
                <w:sz w:val="18"/>
                <w:szCs w:val="18"/>
              </w:rPr>
              <w:t>程未来</w:t>
            </w:r>
            <w:proofErr w:type="gramEnd"/>
            <w:r>
              <w:rPr>
                <w:rFonts w:ascii="宋体" w:eastAsia="宋体" w:hAnsi="宋体" w:cs="宋体"/>
                <w:sz w:val="18"/>
                <w:szCs w:val="18"/>
              </w:rPr>
              <w:t>网络信息技术（金华）有限公司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260,000.00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网链数字</w:t>
            </w:r>
            <w:proofErr w:type="gramEnd"/>
            <w:r>
              <w:rPr>
                <w:rFonts w:ascii="宋体" w:eastAsia="宋体" w:hAnsi="宋体" w:cs="宋体"/>
                <w:sz w:val="18"/>
                <w:szCs w:val="18"/>
              </w:rPr>
              <w:t>人才科技有限公司</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243,000.00</w:t>
            </w:r>
          </w:p>
        </w:tc>
      </w:tr>
      <w:tr w:rsidR="00E62F69" w:rsidTr="001B5053">
        <w:trPr>
          <w:trHeight w:val="240"/>
        </w:trPr>
        <w:tc>
          <w:tcPr>
            <w:tcW w:w="606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8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80,784,383.29</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80,250,680.43</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分项披露</w:t>
      </w:r>
      <w:proofErr w:type="gramStart"/>
      <w:r>
        <w:rPr>
          <w:rFonts w:ascii="宋体" w:eastAsia="宋体" w:hAnsi="宋体" w:cs="宋体"/>
          <w:sz w:val="18"/>
          <w:szCs w:val="18"/>
        </w:rPr>
        <w:t>本期非交易</w:t>
      </w:r>
      <w:proofErr w:type="gramEnd"/>
      <w:r>
        <w:rPr>
          <w:rFonts w:ascii="宋体" w:eastAsia="宋体" w:hAnsi="宋体" w:cs="宋体"/>
          <w:sz w:val="18"/>
          <w:szCs w:val="18"/>
        </w:rPr>
        <w:t>性权益工具投资</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093"/>
        <w:gridCol w:w="1134"/>
        <w:gridCol w:w="1559"/>
        <w:gridCol w:w="722"/>
        <w:gridCol w:w="1377"/>
        <w:gridCol w:w="1377"/>
        <w:gridCol w:w="1377"/>
      </w:tblGrid>
      <w:tr w:rsidR="00E62F69" w:rsidTr="00FD211C">
        <w:trPr>
          <w:trHeight w:val="240"/>
        </w:trPr>
        <w:tc>
          <w:tcPr>
            <w:tcW w:w="209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确认的股利收入</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累计利得</w:t>
            </w:r>
          </w:p>
        </w:tc>
        <w:tc>
          <w:tcPr>
            <w:tcW w:w="72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累计损失</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其他综合收益转入留存收益的原因</w:t>
            </w:r>
          </w:p>
        </w:tc>
      </w:tr>
      <w:tr w:rsidR="00E62F69" w:rsidTr="00FD211C">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徽商银行股份有限公司</w:t>
            </w: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6,773,447.44</w:t>
            </w:r>
          </w:p>
        </w:tc>
        <w:tc>
          <w:tcPr>
            <w:tcW w:w="72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“三无”投资</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FD211C">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深圳市华泰瑞麟股权投资基金合伙企业（有限合伙）</w:t>
            </w: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221,317,605.00</w:t>
            </w:r>
          </w:p>
        </w:tc>
        <w:tc>
          <w:tcPr>
            <w:tcW w:w="72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“三无”投资</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FD211C">
        <w:trPr>
          <w:trHeight w:val="240"/>
        </w:trPr>
        <w:tc>
          <w:tcPr>
            <w:tcW w:w="20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合计</w:t>
            </w: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228,091,052.44</w:t>
            </w:r>
          </w:p>
        </w:tc>
        <w:tc>
          <w:tcPr>
            <w:tcW w:w="72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B5053">
        <w:rPr>
          <w:rFonts w:ascii="宋体" w:eastAsia="宋体" w:hAnsi="宋体" w:cs="宋体" w:hint="eastAsia"/>
          <w:sz w:val="18"/>
          <w:szCs w:val="18"/>
        </w:rPr>
        <w:t>无</w:t>
      </w:r>
      <w:r w:rsidR="00FD211C">
        <w:rPr>
          <w:rFonts w:ascii="宋体" w:eastAsia="宋体" w:hAnsi="宋体" w:cs="宋体" w:hint="eastAsia"/>
          <w:sz w:val="18"/>
          <w:szCs w:val="18"/>
        </w:rPr>
        <w:t>。</w:t>
      </w:r>
    </w:p>
    <w:p w:rsidR="00E62F69" w:rsidRDefault="00B54A20">
      <w:pPr>
        <w:pStyle w:val="3"/>
        <w:spacing w:line="280" w:lineRule="exact"/>
        <w:jc w:val="left"/>
        <w:rPr>
          <w:rFonts w:ascii="宋体" w:hAnsi="宋体" w:cs="宋体"/>
          <w:b/>
          <w:bCs/>
        </w:rPr>
      </w:pPr>
      <w:bookmarkStart w:id="132" w:name="_Toc989129"/>
      <w:r>
        <w:rPr>
          <w:rFonts w:ascii="宋体" w:hAnsi="宋体" w:cs="宋体"/>
          <w:b/>
          <w:bCs/>
        </w:rPr>
        <w:t>19、其他非流动金融资产</w:t>
      </w:r>
      <w:bookmarkEnd w:id="132"/>
    </w:p>
    <w:p w:rsidR="00B54A20" w:rsidRPr="001B5053" w:rsidRDefault="00B54A20" w:rsidP="001B5053">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33" w:name="_Toc989130"/>
      <w:r>
        <w:rPr>
          <w:rFonts w:ascii="宋体" w:hAnsi="宋体" w:cs="宋体"/>
          <w:b/>
          <w:bCs/>
        </w:rPr>
        <w:t>20、投资性房地产</w:t>
      </w:r>
      <w:bookmarkEnd w:id="133"/>
    </w:p>
    <w:p w:rsidR="00E62F69" w:rsidRDefault="00B54A20">
      <w:pPr>
        <w:keepNext/>
        <w:keepLines/>
        <w:spacing w:before="300" w:after="300" w:line="280" w:lineRule="exact"/>
        <w:outlineLvl w:val="3"/>
        <w:rPr>
          <w:rFonts w:ascii="宋体" w:eastAsia="宋体" w:hAnsi="宋体" w:cs="宋体"/>
          <w:b/>
          <w:bCs/>
          <w:sz w:val="18"/>
          <w:szCs w:val="18"/>
        </w:rPr>
      </w:pPr>
      <w:bookmarkStart w:id="134" w:name="_Toc989131"/>
      <w:r>
        <w:rPr>
          <w:rFonts w:ascii="宋体" w:eastAsia="宋体" w:hAnsi="宋体" w:cs="宋体"/>
          <w:b/>
          <w:bCs/>
          <w:sz w:val="18"/>
          <w:szCs w:val="18"/>
        </w:rPr>
        <w:t>（1） 采用成本计量模式的投资性房地产</w:t>
      </w:r>
      <w:bookmarkEnd w:id="134"/>
    </w:p>
    <w:p w:rsidR="00E62F69" w:rsidRDefault="00B54A20">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077"/>
        <w:gridCol w:w="1390"/>
        <w:gridCol w:w="1391"/>
        <w:gridCol w:w="1390"/>
        <w:gridCol w:w="1391"/>
      </w:tblGrid>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9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房屋、建筑物</w:t>
            </w:r>
          </w:p>
        </w:tc>
        <w:tc>
          <w:tcPr>
            <w:tcW w:w="139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39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在建工程</w:t>
            </w:r>
          </w:p>
        </w:tc>
        <w:tc>
          <w:tcPr>
            <w:tcW w:w="139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91,384,663.37</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91,384,663.37</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（1）外购</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（2）存货\固定资产\在建工程转入</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91,384,663.37</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91,384,663.37</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二、累计折旧和累计摊销</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29,791,868.89</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29,791,868.89</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1,990,795.17</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1,990,795.17</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（1）计提或摊销</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1,990,795.17</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1,990,795.17</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31,782,664.06</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31,782,664.06</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（2）其他转出</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59,601,999.31</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59,601,999.31</w:t>
            </w:r>
          </w:p>
        </w:tc>
      </w:tr>
      <w:tr w:rsidR="00E62F69" w:rsidTr="001A3F40">
        <w:trPr>
          <w:trHeight w:val="240"/>
        </w:trPr>
        <w:tc>
          <w:tcPr>
            <w:tcW w:w="40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61,592,794.48</w:t>
            </w: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9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61,592,794.48</w:t>
            </w:r>
          </w:p>
        </w:tc>
      </w:tr>
    </w:tbl>
    <w:p w:rsidR="00E62F69" w:rsidRDefault="00B54A20">
      <w:pPr>
        <w:keepNext/>
        <w:keepLines/>
        <w:spacing w:before="300" w:after="300" w:line="280" w:lineRule="exact"/>
        <w:outlineLvl w:val="3"/>
        <w:rPr>
          <w:rFonts w:ascii="宋体" w:eastAsia="宋体" w:hAnsi="宋体" w:cs="宋体"/>
          <w:b/>
          <w:bCs/>
          <w:sz w:val="18"/>
          <w:szCs w:val="18"/>
        </w:rPr>
      </w:pPr>
      <w:bookmarkStart w:id="135" w:name="_Toc989132"/>
      <w:r>
        <w:rPr>
          <w:rFonts w:ascii="宋体" w:eastAsia="宋体" w:hAnsi="宋体" w:cs="宋体"/>
          <w:b/>
          <w:bCs/>
          <w:sz w:val="18"/>
          <w:szCs w:val="18"/>
        </w:rPr>
        <w:t>（2） 采用公允价值计量模式的投资性房地产</w:t>
      </w:r>
      <w:bookmarkEnd w:id="135"/>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 w:val="18"/>
          <w:szCs w:val="18"/>
        </w:rPr>
      </w:pPr>
      <w:bookmarkStart w:id="136" w:name="_Toc989133"/>
      <w:r>
        <w:rPr>
          <w:rFonts w:ascii="宋体" w:eastAsia="宋体" w:hAnsi="宋体" w:cs="宋体"/>
          <w:b/>
          <w:bCs/>
          <w:sz w:val="18"/>
          <w:szCs w:val="18"/>
        </w:rPr>
        <w:t>（3） 未办妥产权证书的投资性房地产情况</w:t>
      </w:r>
      <w:bookmarkEnd w:id="136"/>
    </w:p>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A3F4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37" w:name="_Toc989134"/>
      <w:r>
        <w:rPr>
          <w:rFonts w:ascii="宋体" w:hAnsi="宋体" w:cs="宋体"/>
          <w:b/>
          <w:bCs/>
        </w:rPr>
        <w:t>21、固定资产</w:t>
      </w:r>
      <w:bookmarkEnd w:id="13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4,765,077,711.99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4,986,998,558.40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1,103,045.72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411,500.27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4,766,180,757.71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4,987,410,058.67</w:t>
            </w:r>
          </w:p>
        </w:tc>
      </w:tr>
    </w:tbl>
    <w:p w:rsidR="00E62F69" w:rsidRDefault="00B54A20">
      <w:pPr>
        <w:keepNext/>
        <w:keepLines/>
        <w:spacing w:before="300" w:after="300" w:line="280" w:lineRule="exact"/>
        <w:outlineLvl w:val="3"/>
        <w:rPr>
          <w:rFonts w:ascii="宋体" w:eastAsia="宋体" w:hAnsi="宋体" w:cs="宋体"/>
          <w:b/>
          <w:bCs/>
          <w:szCs w:val="21"/>
        </w:rPr>
      </w:pPr>
      <w:bookmarkStart w:id="138" w:name="_Toc989135"/>
      <w:r>
        <w:rPr>
          <w:rFonts w:ascii="宋体" w:eastAsia="宋体" w:hAnsi="宋体" w:cs="宋体"/>
          <w:b/>
          <w:bCs/>
          <w:szCs w:val="21"/>
        </w:rPr>
        <w:t>（1） 固定资产情况</w:t>
      </w:r>
      <w:bookmarkEnd w:id="13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运输工具</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电子及其他设备</w:t>
            </w:r>
          </w:p>
        </w:tc>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3,478,963,569.03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5,245,216,957.91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63,678,404.15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223,716,267.72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9,011,575,198.81</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34,387,814.26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55,575,710.97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665,488.30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2,534,886.43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93,163,899.96</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14,147,568.13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16,011,995.86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154,867.26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2,370,593.82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32,685,025.07</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1,124,464.90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10,051,339.89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205,636.36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11,381,441.15</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19,115,781.23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29,512,375.22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304,984.68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164,292.61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49,097,433.74</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10,071,435.83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46,265,554.73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1,335,032.36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4,078,106.56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61,750,129.48</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1,884,214.99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34,939,485.60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1,335,032.36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1,860,568.71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40,019,301.66</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投资性房地产转入</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处置子公司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8,187,220.84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11,326,069.13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2,217,537.85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21,730,827.82</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3,505,225,154.83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5,277,127,228.72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63,076,171.40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206,126,234.33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9,051,554,789.28</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1,036,867,174.17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2,684,736,362.21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48,346,985.07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215,699,166.17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3,985,649,687.62</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82,033,725.10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214,187,222.92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2,320,696.35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1,479,175.72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300,020,820.09</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63,632,403.60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185,149,298.88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2,098,657.42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1,334,492.08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252,214,851.98</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18,401,321.50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29,037,924.04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222,038.93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144,683.64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47,805,968.11</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4,631,169.29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37,094,464.56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1,492,015.95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3,468,553.40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46,686,203.20</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173,727.18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28,380,374.35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1,263,557.71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1,633,368.75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31,451,027.99</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处置子公司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4,457,442.11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8,714,090.21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228,458.24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1,835,184.65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15,235,175.21</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1,114,269,729.98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2,861,829,120.57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49,175,665.47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213,709,788.49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4,238,984,304.51</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27,855,790.59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10,863,099.09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38,569.60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169,493.51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38,926,952.79</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27,855,790.59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10,863,099.09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38,569.60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169,493.51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38,926,952.79</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2,361,154,426.89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2,381,834,894.49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13,794,625.02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8,293,765.59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4,765,077,711.99</w:t>
            </w:r>
          </w:p>
        </w:tc>
      </w:tr>
      <w:tr w:rsidR="00E62F69" w:rsidTr="001A3F40">
        <w:trPr>
          <w:cantSplit/>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2,414,240,604.27</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2,549,617,496.61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15,292,849.48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7,847,608.04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4,986,998,558.40</w:t>
            </w:r>
          </w:p>
        </w:tc>
      </w:tr>
    </w:tbl>
    <w:p w:rsidR="00E62F69" w:rsidRDefault="00B54A20">
      <w:pPr>
        <w:keepNext/>
        <w:keepLines/>
        <w:spacing w:before="300" w:after="300" w:line="280" w:lineRule="exact"/>
        <w:outlineLvl w:val="3"/>
        <w:rPr>
          <w:rFonts w:ascii="宋体" w:eastAsia="宋体" w:hAnsi="宋体" w:cs="宋体"/>
          <w:b/>
          <w:bCs/>
          <w:szCs w:val="21"/>
        </w:rPr>
      </w:pPr>
      <w:bookmarkStart w:id="139" w:name="_Toc989136"/>
      <w:r>
        <w:rPr>
          <w:rFonts w:ascii="宋体" w:eastAsia="宋体" w:hAnsi="宋体" w:cs="宋体"/>
          <w:b/>
          <w:bCs/>
          <w:szCs w:val="21"/>
        </w:rPr>
        <w:t>（2） 暂时闲置的固定资产情况</w:t>
      </w:r>
      <w:bookmarkEnd w:id="139"/>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账面原值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累计折旧</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182,658,859.38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76,884,473.38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10,518,148.49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95,256,237.51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34,635,868.75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27,888,295.91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6,747,572.84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1,740,450.36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1,566,405.33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174,045.03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电子及其他设备</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8,072,268.09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7,264,279.91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807,988.18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合计</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227,107,446.58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113,603,454.54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10,518,148.49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102,985,843.55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bl>
    <w:p w:rsidR="00E62F69" w:rsidRDefault="00B54A20">
      <w:pPr>
        <w:keepNext/>
        <w:keepLines/>
        <w:spacing w:before="300" w:after="300" w:line="280" w:lineRule="exact"/>
        <w:outlineLvl w:val="3"/>
        <w:rPr>
          <w:rFonts w:ascii="宋体" w:eastAsia="宋体" w:hAnsi="宋体" w:cs="宋体"/>
          <w:b/>
          <w:bCs/>
          <w:szCs w:val="21"/>
        </w:rPr>
      </w:pPr>
      <w:bookmarkStart w:id="140" w:name="_Toc989137"/>
      <w:r>
        <w:rPr>
          <w:rFonts w:ascii="宋体" w:eastAsia="宋体" w:hAnsi="宋体" w:cs="宋体"/>
          <w:b/>
          <w:bCs/>
          <w:szCs w:val="21"/>
        </w:rPr>
        <w:t>（3） 通过经营租赁租出的固定资产</w:t>
      </w:r>
      <w:bookmarkEnd w:id="140"/>
    </w:p>
    <w:p w:rsidR="001A3F40" w:rsidRDefault="001A3F40">
      <w:pPr>
        <w:keepNext/>
        <w:keepLines/>
        <w:spacing w:before="300" w:after="300" w:line="280" w:lineRule="exact"/>
        <w:outlineLvl w:val="3"/>
        <w:rPr>
          <w:rFonts w:ascii="宋体" w:eastAsia="宋体" w:hAnsi="宋体" w:cs="宋体"/>
          <w:sz w:val="18"/>
          <w:szCs w:val="18"/>
        </w:rPr>
      </w:pPr>
      <w:bookmarkStart w:id="141" w:name="_Toc989138"/>
      <w:r>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（4） 未办妥产权证书的固定资产情况</w:t>
      </w:r>
      <w:bookmarkEnd w:id="14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304,054,359.54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尚在办理中</w:t>
            </w:r>
          </w:p>
        </w:tc>
      </w:tr>
    </w:tbl>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A3F40">
        <w:rPr>
          <w:rFonts w:ascii="宋体" w:eastAsia="宋体" w:hAnsi="宋体" w:cs="宋体" w:hint="eastAsia"/>
          <w:sz w:val="18"/>
          <w:szCs w:val="18"/>
        </w:rPr>
        <w:t>：</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42" w:name="_Toc989139"/>
      <w:r>
        <w:rPr>
          <w:rFonts w:ascii="宋体" w:eastAsia="宋体" w:hAnsi="宋体" w:cs="宋体"/>
          <w:b/>
          <w:bCs/>
          <w:szCs w:val="21"/>
        </w:rPr>
        <w:t>（5） 固定资产清理</w:t>
      </w:r>
      <w:bookmarkEnd w:id="14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待处理设备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1,103,045.72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411,500.27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1,103,045.72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411,500.27</w:t>
            </w:r>
          </w:p>
        </w:tc>
      </w:tr>
    </w:tbl>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43" w:name="_Toc989140"/>
      <w:r>
        <w:rPr>
          <w:rFonts w:ascii="宋体" w:hAnsi="宋体" w:cs="宋体"/>
          <w:b/>
          <w:bCs/>
        </w:rPr>
        <w:t>22、在建工程</w:t>
      </w:r>
      <w:bookmarkEnd w:id="14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bl>
    <w:p w:rsidR="00E62F69" w:rsidRDefault="00B54A20">
      <w:pPr>
        <w:keepNext/>
        <w:keepLines/>
        <w:spacing w:before="300" w:after="300" w:line="280" w:lineRule="exact"/>
        <w:outlineLvl w:val="3"/>
        <w:rPr>
          <w:rFonts w:ascii="宋体" w:eastAsia="宋体" w:hAnsi="宋体" w:cs="宋体"/>
          <w:b/>
          <w:bCs/>
          <w:szCs w:val="21"/>
        </w:rPr>
      </w:pPr>
      <w:bookmarkStart w:id="144" w:name="_Toc989141"/>
      <w:r>
        <w:rPr>
          <w:rFonts w:ascii="宋体" w:eastAsia="宋体" w:hAnsi="宋体" w:cs="宋体"/>
          <w:b/>
          <w:bCs/>
          <w:szCs w:val="21"/>
        </w:rPr>
        <w:t>（1） 在建工程情况</w:t>
      </w:r>
      <w:bookmarkEnd w:id="144"/>
    </w:p>
    <w:p w:rsidR="001A3F40" w:rsidRDefault="001A3F40">
      <w:pPr>
        <w:keepNext/>
        <w:keepLines/>
        <w:spacing w:before="300" w:after="300" w:line="280" w:lineRule="exact"/>
        <w:outlineLvl w:val="3"/>
        <w:rPr>
          <w:rFonts w:ascii="宋体" w:eastAsia="宋体" w:hAnsi="宋体" w:cs="宋体"/>
          <w:b/>
          <w:bCs/>
          <w:szCs w:val="21"/>
        </w:rPr>
      </w:pPr>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566"/>
        <w:gridCol w:w="993"/>
        <w:gridCol w:w="1572"/>
        <w:gridCol w:w="1546"/>
        <w:gridCol w:w="992"/>
        <w:gridCol w:w="1593"/>
      </w:tblGrid>
      <w:tr w:rsidR="00E62F69" w:rsidTr="001A3F40">
        <w:trPr>
          <w:cantSplit/>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1A3F40">
        <w:trPr>
          <w:cantSplit/>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56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7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54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浙江色纺二期项目</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1,936,730.16</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1,936,730.16</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1,955,779.15</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1,955,779.15</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阿克苏华孚在建工程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3,594,415.84</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3,594,415.84</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3,496,754.95</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3,496,754.95</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深圳进出口在建工程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越南华孚在建工程</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9,075,343.08</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9,075,343.08</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2,747,347.11</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2,747,347.11</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标信在建</w:t>
            </w:r>
            <w:proofErr w:type="gramEnd"/>
            <w:r>
              <w:rPr>
                <w:rFonts w:ascii="宋体" w:eastAsia="宋体" w:hAnsi="宋体" w:cs="宋体"/>
                <w:sz w:val="18"/>
                <w:szCs w:val="18"/>
              </w:rPr>
              <w:t>工程</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33,809,104.53</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33,809,104.53</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29,253,681.20</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29,253,681.20</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淮北华孚供应链厂区建设</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Pr="001A3F40" w:rsidRDefault="00E62F69">
            <w:pPr>
              <w:spacing w:line="240" w:lineRule="exact"/>
              <w:jc w:val="right"/>
              <w:rPr>
                <w:rFonts w:ascii="宋体" w:eastAsia="宋体" w:hAnsi="宋体" w:cs="宋体"/>
                <w:sz w:val="18"/>
                <w:szCs w:val="18"/>
              </w:rPr>
            </w:pP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其他项目</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265,486.73</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265,486.73</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w:t>
            </w:r>
            <w:proofErr w:type="gramStart"/>
            <w:r>
              <w:rPr>
                <w:rFonts w:ascii="宋体" w:eastAsia="宋体" w:hAnsi="宋体" w:cs="宋体"/>
                <w:sz w:val="18"/>
                <w:szCs w:val="18"/>
              </w:rPr>
              <w:t>英鸿工业</w:t>
            </w:r>
            <w:proofErr w:type="gramEnd"/>
            <w:r>
              <w:rPr>
                <w:rFonts w:ascii="宋体" w:eastAsia="宋体" w:hAnsi="宋体" w:cs="宋体"/>
                <w:sz w:val="18"/>
                <w:szCs w:val="18"/>
              </w:rPr>
              <w:t>园建设项目</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268,543,379.49</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268,543,379.49</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213,614,727.91</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213,614,727.91</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阿大数字</w:t>
            </w:r>
            <w:proofErr w:type="gramStart"/>
            <w:r>
              <w:rPr>
                <w:rFonts w:ascii="宋体" w:eastAsia="宋体" w:hAnsi="宋体" w:cs="宋体"/>
                <w:sz w:val="18"/>
                <w:szCs w:val="18"/>
              </w:rPr>
              <w:t>袜</w:t>
            </w:r>
            <w:proofErr w:type="gramEnd"/>
            <w:r>
              <w:rPr>
                <w:rFonts w:ascii="宋体" w:eastAsia="宋体" w:hAnsi="宋体" w:cs="宋体"/>
                <w:sz w:val="18"/>
                <w:szCs w:val="18"/>
              </w:rPr>
              <w:t>制品生产车间</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78,994,876.03</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78,994,876.03</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86,362,522.39</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86,362,522.39</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30万锭智能产业园项目</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67,624,539.54</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67,624,539.54</w:t>
            </w:r>
          </w:p>
        </w:tc>
      </w:tr>
      <w:tr w:rsidR="00E62F69" w:rsidTr="001A3F40">
        <w:trPr>
          <w:cantSplit/>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6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99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7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492,426,795.80</w:t>
            </w:r>
          </w:p>
        </w:tc>
        <w:tc>
          <w:tcPr>
            <w:tcW w:w="154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405,320,838.98</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405,320,838.98</w:t>
            </w:r>
          </w:p>
        </w:tc>
      </w:tr>
    </w:tbl>
    <w:p w:rsidR="00E62F69" w:rsidRDefault="00B54A20">
      <w:pPr>
        <w:keepNext/>
        <w:keepLines/>
        <w:spacing w:before="300" w:after="300" w:line="280" w:lineRule="exact"/>
        <w:outlineLvl w:val="3"/>
        <w:rPr>
          <w:rFonts w:ascii="宋体" w:eastAsia="宋体" w:hAnsi="宋体" w:cs="宋体"/>
          <w:b/>
          <w:bCs/>
          <w:szCs w:val="21"/>
        </w:rPr>
      </w:pPr>
      <w:bookmarkStart w:id="145" w:name="_Toc989142"/>
      <w:r>
        <w:rPr>
          <w:rFonts w:ascii="宋体" w:eastAsia="宋体" w:hAnsi="宋体" w:cs="宋体"/>
          <w:b/>
          <w:bCs/>
          <w:szCs w:val="21"/>
        </w:rPr>
        <w:t>（2） 重要在建工程项目本期变动情况</w:t>
      </w:r>
      <w:bookmarkEnd w:id="14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E62F69">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w:t>
            </w:r>
            <w:proofErr w:type="gramStart"/>
            <w:r>
              <w:rPr>
                <w:rFonts w:ascii="宋体" w:eastAsia="宋体" w:hAnsi="宋体" w:cs="宋体"/>
                <w:sz w:val="18"/>
                <w:szCs w:val="18"/>
              </w:rPr>
              <w:t>英鸿工业</w:t>
            </w:r>
            <w:proofErr w:type="gramEnd"/>
            <w:r>
              <w:rPr>
                <w:rFonts w:ascii="宋体" w:eastAsia="宋体" w:hAnsi="宋体" w:cs="宋体"/>
                <w:sz w:val="18"/>
                <w:szCs w:val="18"/>
              </w:rPr>
              <w:t>园建设项目</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329,063,616.00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213,614,727.91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54,928,651.58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268,543,379.49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81.61%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81.61%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30万锭智能产业园项目1期</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448,882,085.78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67,624,539.54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28,930,054.01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347,133.61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96,207,459.94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21.51%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21.51%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募股资金</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阿大数字</w:t>
            </w:r>
            <w:proofErr w:type="gramStart"/>
            <w:r>
              <w:rPr>
                <w:rFonts w:ascii="宋体" w:eastAsia="宋体" w:hAnsi="宋体" w:cs="宋体"/>
                <w:sz w:val="18"/>
                <w:szCs w:val="18"/>
              </w:rPr>
              <w:t>袜</w:t>
            </w:r>
            <w:proofErr w:type="gramEnd"/>
            <w:r>
              <w:rPr>
                <w:rFonts w:ascii="宋体" w:eastAsia="宋体" w:hAnsi="宋体" w:cs="宋体"/>
                <w:sz w:val="18"/>
                <w:szCs w:val="18"/>
              </w:rPr>
              <w:t>制品生产车间</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134,620,750.88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86,362,522.39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888,990.83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8,256,637.19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78,994,876.03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64.81%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64.81%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标信在建</w:t>
            </w:r>
            <w:proofErr w:type="gramEnd"/>
            <w:r>
              <w:rPr>
                <w:rFonts w:ascii="宋体" w:eastAsia="宋体" w:hAnsi="宋体" w:cs="宋体"/>
                <w:sz w:val="18"/>
                <w:szCs w:val="18"/>
              </w:rPr>
              <w:t>工程</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37,638,942.27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29,673,564.02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7,154,202.60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2,598,779.27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34,228,987.35</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97.84%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97.84%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950,205,394.93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397,275,353.86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91,901,899.02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11,202,550.07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477,974,702.81</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E62F69" w:rsidRDefault="00B54A20">
      <w:pPr>
        <w:keepNext/>
        <w:keepLines/>
        <w:spacing w:before="300" w:after="300" w:line="280" w:lineRule="exact"/>
        <w:outlineLvl w:val="3"/>
        <w:rPr>
          <w:rFonts w:ascii="宋体" w:eastAsia="宋体" w:hAnsi="宋体" w:cs="宋体"/>
          <w:b/>
          <w:bCs/>
          <w:szCs w:val="21"/>
        </w:rPr>
      </w:pPr>
      <w:bookmarkStart w:id="146" w:name="_Toc989143"/>
      <w:r>
        <w:rPr>
          <w:rFonts w:ascii="宋体" w:eastAsia="宋体" w:hAnsi="宋体" w:cs="宋体"/>
          <w:b/>
          <w:bCs/>
          <w:szCs w:val="21"/>
        </w:rPr>
        <w:t>（3） 本期计提在建工程减值准备情况</w:t>
      </w:r>
      <w:bookmarkEnd w:id="146"/>
    </w:p>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A3F40">
        <w:rPr>
          <w:rFonts w:ascii="宋体" w:eastAsia="宋体" w:hAnsi="宋体" w:cs="宋体" w:hint="eastAsia"/>
          <w:sz w:val="18"/>
          <w:szCs w:val="18"/>
        </w:rPr>
        <w:t>：</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47" w:name="_Toc989144"/>
      <w:r>
        <w:rPr>
          <w:rFonts w:ascii="宋体" w:eastAsia="宋体" w:hAnsi="宋体" w:cs="宋体"/>
          <w:b/>
          <w:bCs/>
          <w:szCs w:val="21"/>
        </w:rPr>
        <w:t>（4） 工程物资</w:t>
      </w:r>
      <w:bookmarkEnd w:id="147"/>
    </w:p>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48" w:name="_Toc989145"/>
      <w:r>
        <w:rPr>
          <w:rFonts w:ascii="宋体" w:hAnsi="宋体" w:cs="宋体"/>
          <w:b/>
          <w:bCs/>
        </w:rPr>
        <w:t>23、生产性生物资产</w:t>
      </w:r>
      <w:bookmarkEnd w:id="148"/>
    </w:p>
    <w:p w:rsidR="00E62F69" w:rsidRDefault="00B54A20">
      <w:pPr>
        <w:keepNext/>
        <w:keepLines/>
        <w:spacing w:before="300" w:after="300" w:line="280" w:lineRule="exact"/>
        <w:outlineLvl w:val="3"/>
        <w:rPr>
          <w:rFonts w:ascii="宋体" w:eastAsia="宋体" w:hAnsi="宋体" w:cs="宋体"/>
          <w:b/>
          <w:bCs/>
          <w:szCs w:val="21"/>
        </w:rPr>
      </w:pPr>
      <w:bookmarkStart w:id="149" w:name="_Toc989146"/>
      <w:r>
        <w:rPr>
          <w:rFonts w:ascii="宋体" w:eastAsia="宋体" w:hAnsi="宋体" w:cs="宋体"/>
          <w:b/>
          <w:bCs/>
          <w:szCs w:val="21"/>
        </w:rPr>
        <w:t>（1） 采用成本计量模式的生产性生物资产</w:t>
      </w:r>
      <w:bookmarkEnd w:id="149"/>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150" w:name="_Toc989147"/>
      <w:r>
        <w:rPr>
          <w:rFonts w:ascii="宋体" w:eastAsia="宋体" w:hAnsi="宋体" w:cs="宋体"/>
          <w:b/>
          <w:bCs/>
          <w:szCs w:val="21"/>
        </w:rPr>
        <w:t>（2） 采用公允价值计量模式的生产性生物资产</w:t>
      </w:r>
      <w:bookmarkEnd w:id="150"/>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151" w:name="_Toc989148"/>
      <w:r>
        <w:rPr>
          <w:rFonts w:ascii="宋体" w:hAnsi="宋体" w:cs="宋体"/>
          <w:b/>
          <w:bCs/>
        </w:rPr>
        <w:t>24、油气资产</w:t>
      </w:r>
      <w:bookmarkEnd w:id="151"/>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152" w:name="_Toc989149"/>
      <w:r>
        <w:rPr>
          <w:rFonts w:ascii="宋体" w:hAnsi="宋体" w:cs="宋体"/>
          <w:b/>
          <w:bCs/>
        </w:rPr>
        <w:t>25、使用权资产</w:t>
      </w:r>
      <w:bookmarkEnd w:id="15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38,626,838.86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715,358.08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39,342,196.94</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2,327,608.31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2,327,608.31</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租赁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2,327,608.31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2,327,608.31</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32,220.96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32,220.96</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处置</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32,220.96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32,220.96</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40,922,226.21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715,358.08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41,637,584.29</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15,906,186.06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160,454.16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16,066,640.22</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4,075,436.08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44,247.85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4,119,683.93</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4,075,436.08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44,247.85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4,119,683.93</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19,981,622.14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204,702.01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20,186,324.15</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20,940,604.07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510,656.07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21,451,260.14</w:t>
            </w:r>
          </w:p>
        </w:tc>
      </w:tr>
      <w:tr w:rsidR="00E62F69" w:rsidTr="001A3F4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22,720,652.80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554,903.92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23,275,556.72</w:t>
            </w:r>
          </w:p>
        </w:tc>
      </w:tr>
    </w:tbl>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53" w:name="_Toc989150"/>
      <w:r>
        <w:rPr>
          <w:rFonts w:ascii="宋体" w:hAnsi="宋体" w:cs="宋体"/>
          <w:b/>
          <w:bCs/>
        </w:rPr>
        <w:t>26、无形资产</w:t>
      </w:r>
      <w:bookmarkEnd w:id="153"/>
    </w:p>
    <w:p w:rsidR="00E62F69" w:rsidRDefault="00B54A20">
      <w:pPr>
        <w:keepNext/>
        <w:keepLines/>
        <w:spacing w:before="300" w:after="300" w:line="280" w:lineRule="exact"/>
        <w:outlineLvl w:val="3"/>
        <w:rPr>
          <w:rFonts w:ascii="宋体" w:eastAsia="宋体" w:hAnsi="宋体" w:cs="宋体"/>
          <w:b/>
          <w:bCs/>
          <w:szCs w:val="21"/>
        </w:rPr>
      </w:pPr>
      <w:bookmarkStart w:id="154" w:name="_Toc989151"/>
      <w:r>
        <w:rPr>
          <w:rFonts w:ascii="宋体" w:eastAsia="宋体" w:hAnsi="宋体" w:cs="宋体"/>
          <w:b/>
          <w:bCs/>
          <w:szCs w:val="21"/>
        </w:rPr>
        <w:t>（1） 无形资产情况</w:t>
      </w:r>
      <w:bookmarkEnd w:id="15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软件</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1,127,109,036.56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29,109,593.98</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9,001,403.77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1,165,220,034.31</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6,496,368.14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263,957.84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6,800,325.98</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62,932.08</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263,957.84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366,889.92</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（2）内部研发</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6,433,436.06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6,433,436.06</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1,133,605,404.70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29,306,561.53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9,041,403.77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1,171,953,370.00</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186,704,561.91</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22,767,799.63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5,626,517.07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215,098,878.61</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11,988,006.75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718,961.12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840,850.98</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13,547,818.85</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9,729,856.99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718,961.12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840,850.98</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11,289,669.09</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外币报表折算差额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2,258,149.76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2,258,149.76</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66,990.29</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198,692,568.66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23,419,770.46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6,467,368.05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228,579,707.17</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934,912,836.04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5,886,791.07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2,574,035.72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943,373,662.83</w:t>
            </w:r>
          </w:p>
        </w:tc>
      </w:tr>
      <w:tr w:rsidR="00E62F69" w:rsidTr="001A3F40">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940,404,474.65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6,341,794.35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3,374,886.70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950,121,155.70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本期末通过公司内部研发形成的无形资产占无形资产余额的比例0.00%</w:t>
      </w:r>
    </w:p>
    <w:p w:rsidR="00E62F69" w:rsidRDefault="00B54A20">
      <w:pPr>
        <w:keepNext/>
        <w:keepLines/>
        <w:spacing w:before="300" w:after="300" w:line="280" w:lineRule="exact"/>
        <w:outlineLvl w:val="3"/>
        <w:rPr>
          <w:rFonts w:ascii="宋体" w:eastAsia="宋体" w:hAnsi="宋体" w:cs="宋体"/>
          <w:b/>
          <w:bCs/>
          <w:szCs w:val="21"/>
        </w:rPr>
      </w:pPr>
      <w:bookmarkStart w:id="155" w:name="_Toc989152"/>
      <w:r>
        <w:rPr>
          <w:rFonts w:ascii="宋体" w:eastAsia="宋体" w:hAnsi="宋体" w:cs="宋体"/>
          <w:b/>
          <w:bCs/>
          <w:szCs w:val="21"/>
        </w:rPr>
        <w:t>（2） 未办妥产权证书的土地使用权情况</w:t>
      </w:r>
      <w:bookmarkEnd w:id="15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土地使用权</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64,961,726.80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尚在办理中</w:t>
            </w:r>
          </w:p>
        </w:tc>
      </w:tr>
    </w:tbl>
    <w:p w:rsidR="00E62F69" w:rsidRDefault="00B54A20">
      <w:pPr>
        <w:pStyle w:val="3"/>
        <w:spacing w:line="280" w:lineRule="exact"/>
        <w:jc w:val="left"/>
        <w:rPr>
          <w:rFonts w:ascii="宋体" w:hAnsi="宋体" w:cs="宋体"/>
          <w:b/>
          <w:bCs/>
        </w:rPr>
      </w:pPr>
      <w:bookmarkStart w:id="156" w:name="_Toc989153"/>
      <w:r>
        <w:rPr>
          <w:rFonts w:ascii="宋体" w:hAnsi="宋体" w:cs="宋体"/>
          <w:b/>
          <w:bCs/>
        </w:rPr>
        <w:t>27、开发支出</w:t>
      </w:r>
      <w:bookmarkEnd w:id="156"/>
    </w:p>
    <w:p w:rsidR="00B54A20" w:rsidRPr="001A3F40" w:rsidRDefault="00B54A20" w:rsidP="001A3F4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1A3F4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57" w:name="_Toc989154"/>
      <w:r>
        <w:rPr>
          <w:rFonts w:ascii="宋体" w:hAnsi="宋体" w:cs="宋体"/>
          <w:b/>
          <w:bCs/>
        </w:rPr>
        <w:t>28、商誉</w:t>
      </w:r>
      <w:bookmarkEnd w:id="157"/>
    </w:p>
    <w:p w:rsidR="00E62F69" w:rsidRDefault="00B54A20">
      <w:pPr>
        <w:keepNext/>
        <w:keepLines/>
        <w:spacing w:before="300" w:after="300" w:line="280" w:lineRule="exact"/>
        <w:outlineLvl w:val="3"/>
        <w:rPr>
          <w:rFonts w:ascii="宋体" w:eastAsia="宋体" w:hAnsi="宋体" w:cs="宋体"/>
          <w:b/>
          <w:bCs/>
          <w:szCs w:val="21"/>
        </w:rPr>
      </w:pPr>
      <w:bookmarkStart w:id="158" w:name="_Toc989155"/>
      <w:r>
        <w:rPr>
          <w:rFonts w:ascii="宋体" w:eastAsia="宋体" w:hAnsi="宋体" w:cs="宋体"/>
          <w:b/>
          <w:bCs/>
          <w:szCs w:val="21"/>
        </w:rPr>
        <w:t>（1） 商誉账面原值</w:t>
      </w:r>
      <w:bookmarkEnd w:id="15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085"/>
        <w:gridCol w:w="1701"/>
        <w:gridCol w:w="1559"/>
        <w:gridCol w:w="1560"/>
        <w:gridCol w:w="1734"/>
      </w:tblGrid>
      <w:tr w:rsidR="00E62F69" w:rsidTr="001A3F40">
        <w:trPr>
          <w:trHeight w:val="240"/>
        </w:trPr>
        <w:tc>
          <w:tcPr>
            <w:tcW w:w="308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A3F40" w:rsidTr="001A3F40">
        <w:trPr>
          <w:trHeight w:val="240"/>
        </w:trPr>
        <w:tc>
          <w:tcPr>
            <w:tcW w:w="308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A3F40" w:rsidRDefault="001A3F40"/>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A3F40" w:rsidRDefault="001A3F40"/>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1A3F40" w:rsidRDefault="001A3F40">
            <w:pPr>
              <w:spacing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1A3F40" w:rsidRDefault="001A3F40">
            <w:pPr>
              <w:spacing w:line="240" w:lineRule="exact"/>
              <w:jc w:val="center"/>
              <w:rPr>
                <w:rFonts w:ascii="宋体" w:eastAsia="宋体" w:hAnsi="宋体" w:cs="宋体"/>
                <w:sz w:val="18"/>
                <w:szCs w:val="18"/>
              </w:rPr>
            </w:pPr>
            <w:r>
              <w:rPr>
                <w:rFonts w:ascii="宋体" w:eastAsia="宋体" w:hAnsi="宋体" w:cs="宋体"/>
                <w:sz w:val="18"/>
                <w:szCs w:val="18"/>
              </w:rPr>
              <w:t>处置</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A3F40" w:rsidRDefault="001A3F40"/>
        </w:tc>
      </w:tr>
      <w:tr w:rsidR="001A3F40" w:rsidTr="001A3F40">
        <w:trPr>
          <w:trHeight w:val="240"/>
        </w:trPr>
        <w:tc>
          <w:tcPr>
            <w:tcW w:w="3085"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701"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3,861,366.21</w:t>
            </w:r>
          </w:p>
        </w:tc>
        <w:tc>
          <w:tcPr>
            <w:tcW w:w="1559" w:type="dxa"/>
            <w:tcBorders>
              <w:top w:val="single" w:sz="2" w:space="0" w:color="auto"/>
              <w:left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560" w:type="dxa"/>
            <w:tcBorders>
              <w:top w:val="single" w:sz="2" w:space="0" w:color="auto"/>
              <w:left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3,861,366.21</w:t>
            </w:r>
          </w:p>
        </w:tc>
      </w:tr>
      <w:tr w:rsidR="001A3F40" w:rsidTr="001A3F40">
        <w:trPr>
          <w:trHeight w:val="240"/>
        </w:trPr>
        <w:tc>
          <w:tcPr>
            <w:tcW w:w="3085"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5,724,454.02</w:t>
            </w:r>
          </w:p>
        </w:tc>
        <w:tc>
          <w:tcPr>
            <w:tcW w:w="1559" w:type="dxa"/>
            <w:tcBorders>
              <w:left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560" w:type="dxa"/>
            <w:tcBorders>
              <w:left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5,724,454.02</w:t>
            </w:r>
          </w:p>
        </w:tc>
      </w:tr>
      <w:tr w:rsidR="001A3F40" w:rsidTr="001A3F40">
        <w:trPr>
          <w:trHeight w:val="240"/>
        </w:trPr>
        <w:tc>
          <w:tcPr>
            <w:tcW w:w="3085"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147,900,475.26</w:t>
            </w:r>
          </w:p>
        </w:tc>
        <w:tc>
          <w:tcPr>
            <w:tcW w:w="1559" w:type="dxa"/>
            <w:tcBorders>
              <w:left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560" w:type="dxa"/>
            <w:tcBorders>
              <w:left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147,900,475.26</w:t>
            </w:r>
          </w:p>
        </w:tc>
      </w:tr>
      <w:tr w:rsidR="001A3F40" w:rsidTr="001A3F40">
        <w:trPr>
          <w:trHeight w:val="240"/>
        </w:trPr>
        <w:tc>
          <w:tcPr>
            <w:tcW w:w="3085" w:type="dxa"/>
            <w:tcBorders>
              <w:top w:val="single" w:sz="2" w:space="0" w:color="auto"/>
              <w:left w:val="single" w:sz="2" w:space="0" w:color="auto"/>
              <w:bottom w:val="single" w:sz="2" w:space="0" w:color="auto"/>
              <w:right w:val="single" w:sz="2" w:space="0" w:color="auto"/>
            </w:tcBorders>
            <w:shd w:val="clear" w:color="auto" w:fill="D3D3D3"/>
            <w:vAlign w:val="center"/>
          </w:tcPr>
          <w:p w:rsidR="001A3F40" w:rsidRDefault="001A3F4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1559" w:type="dxa"/>
            <w:tcBorders>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560" w:type="dxa"/>
            <w:tcBorders>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1A3F40" w:rsidRDefault="001A3F40">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bl>
    <w:p w:rsidR="00E62F69" w:rsidRDefault="00B54A20" w:rsidP="001A3F40">
      <w:pPr>
        <w:keepNext/>
        <w:keepLines/>
        <w:spacing w:before="300" w:after="300" w:line="280" w:lineRule="exact"/>
        <w:outlineLvl w:val="3"/>
        <w:rPr>
          <w:rFonts w:ascii="宋体" w:eastAsia="宋体" w:hAnsi="宋体" w:cs="宋体"/>
          <w:sz w:val="18"/>
          <w:szCs w:val="18"/>
        </w:rPr>
      </w:pPr>
      <w:bookmarkStart w:id="159" w:name="_Toc989156"/>
      <w:r>
        <w:rPr>
          <w:rFonts w:ascii="宋体" w:eastAsia="宋体" w:hAnsi="宋体" w:cs="宋体"/>
          <w:b/>
          <w:bCs/>
          <w:szCs w:val="21"/>
        </w:rPr>
        <w:t>（2） 商誉减值准备</w:t>
      </w:r>
      <w:bookmarkEnd w:id="159"/>
    </w:p>
    <w:p w:rsidR="00B54A20" w:rsidRDefault="00B54A20" w:rsidP="001A3F40">
      <w:pPr>
        <w:pStyle w:val="a3"/>
        <w:spacing w:before="0" w:beforeAutospacing="0" w:after="0" w:afterAutospacing="0" w:line="240" w:lineRule="atLeast"/>
        <w:divId w:val="1508667927"/>
        <w:rPr>
          <w:rFonts w:ascii="Calibri" w:hAnsi="Calibri"/>
          <w:sz w:val="21"/>
          <w:szCs w:val="21"/>
        </w:rPr>
      </w:pPr>
      <w:r>
        <w:rPr>
          <w:rFonts w:hint="eastAsia"/>
          <w:sz w:val="18"/>
          <w:szCs w:val="18"/>
        </w:rPr>
        <w:t>商誉所在资产组或资产组组合的相关信息</w:t>
      </w:r>
    </w:p>
    <w:p w:rsidR="00B54A20" w:rsidRDefault="00B54A20" w:rsidP="001A3F40">
      <w:pPr>
        <w:pStyle w:val="a3"/>
        <w:spacing w:before="0" w:beforeAutospacing="0" w:after="0" w:afterAutospacing="0"/>
        <w:ind w:firstLine="420"/>
        <w:divId w:val="1508667927"/>
      </w:pPr>
      <w:r>
        <w:rPr>
          <w:rFonts w:hint="eastAsia"/>
          <w:sz w:val="18"/>
          <w:szCs w:val="18"/>
        </w:rPr>
        <w:t>本公司之子公司新疆华孚棉业于2018年1月对新疆棉花交易市场进行增资；注入增资款3,520.00万元，占总价款的100%；合并日，取得的被投资单位可辨认净资产公允价值份额为3233.86万元，从而形成商誉386.14万元；</w:t>
      </w:r>
    </w:p>
    <w:p w:rsidR="00B54A20" w:rsidRDefault="00B54A20" w:rsidP="001A3F40">
      <w:pPr>
        <w:pStyle w:val="a3"/>
        <w:spacing w:before="0" w:beforeAutospacing="0" w:after="0" w:afterAutospacing="0"/>
        <w:ind w:firstLine="420"/>
        <w:divId w:val="1508667927"/>
      </w:pPr>
      <w:r>
        <w:rPr>
          <w:rFonts w:hint="eastAsia"/>
          <w:sz w:val="18"/>
          <w:szCs w:val="18"/>
        </w:rPr>
        <w:t>本公司子公司阿大纺织于2019年8月约定向张晚霞、许栩光收购其持有的浙江博忆、</w:t>
      </w:r>
      <w:proofErr w:type="gramStart"/>
      <w:r>
        <w:rPr>
          <w:rFonts w:hint="eastAsia"/>
          <w:sz w:val="18"/>
          <w:szCs w:val="18"/>
        </w:rPr>
        <w:t>诸暨力旗</w:t>
      </w:r>
      <w:proofErr w:type="gramEnd"/>
      <w:r>
        <w:rPr>
          <w:rFonts w:hint="eastAsia"/>
          <w:sz w:val="18"/>
          <w:szCs w:val="18"/>
        </w:rPr>
        <w:t>51%股权，其中22,893,000.00元作为股权转让款支付给张晚霞、许栩光，另22,893,000.00元于2019年10月以投资款的形式分别投入到浙江博忆、诸暨力旗，投资成本合计为45,786,000.00元，</w:t>
      </w:r>
      <w:proofErr w:type="gramStart"/>
      <w:r>
        <w:rPr>
          <w:rFonts w:hint="eastAsia"/>
          <w:sz w:val="18"/>
          <w:szCs w:val="18"/>
        </w:rPr>
        <w:t>合并日</w:t>
      </w:r>
      <w:proofErr w:type="gramEnd"/>
      <w:r>
        <w:rPr>
          <w:rFonts w:hint="eastAsia"/>
          <w:sz w:val="18"/>
          <w:szCs w:val="18"/>
        </w:rPr>
        <w:t>商誉分别为2,047,002.37 元、3,677,451.65元；</w:t>
      </w:r>
      <w:proofErr w:type="gramStart"/>
      <w:r>
        <w:rPr>
          <w:rFonts w:hint="eastAsia"/>
          <w:sz w:val="18"/>
          <w:szCs w:val="18"/>
        </w:rPr>
        <w:t>浙江博忆已将力旗吸收</w:t>
      </w:r>
      <w:proofErr w:type="gramEnd"/>
      <w:r>
        <w:rPr>
          <w:rFonts w:hint="eastAsia"/>
          <w:sz w:val="18"/>
          <w:szCs w:val="18"/>
        </w:rPr>
        <w:t>合并到浙江博忆公司，吸收合并完成后本公司子公司对</w:t>
      </w:r>
      <w:proofErr w:type="gramStart"/>
      <w:r>
        <w:rPr>
          <w:rFonts w:hint="eastAsia"/>
          <w:sz w:val="18"/>
          <w:szCs w:val="18"/>
        </w:rPr>
        <w:t>诸暨力旗的</w:t>
      </w:r>
      <w:proofErr w:type="gramEnd"/>
      <w:r>
        <w:rPr>
          <w:rFonts w:hint="eastAsia"/>
          <w:sz w:val="18"/>
          <w:szCs w:val="18"/>
        </w:rPr>
        <w:t>商誉合并计入浙江博忆，因此本公司对</w:t>
      </w:r>
      <w:proofErr w:type="gramStart"/>
      <w:r>
        <w:rPr>
          <w:rFonts w:hint="eastAsia"/>
          <w:sz w:val="18"/>
          <w:szCs w:val="18"/>
        </w:rPr>
        <w:t>浙江博忆的</w:t>
      </w:r>
      <w:proofErr w:type="gramEnd"/>
      <w:r>
        <w:rPr>
          <w:rFonts w:hint="eastAsia"/>
          <w:sz w:val="18"/>
          <w:szCs w:val="18"/>
        </w:rPr>
        <w:t>商誉为5,724,454.02元。</w:t>
      </w:r>
    </w:p>
    <w:p w:rsidR="00B54A20" w:rsidRDefault="00B54A20" w:rsidP="001A3F40">
      <w:pPr>
        <w:pStyle w:val="a3"/>
        <w:spacing w:before="0" w:beforeAutospacing="0" w:after="0" w:afterAutospacing="0"/>
        <w:ind w:firstLine="420"/>
        <w:divId w:val="1508667927"/>
      </w:pPr>
      <w:r>
        <w:rPr>
          <w:rFonts w:hint="eastAsia"/>
          <w:sz w:val="18"/>
          <w:szCs w:val="18"/>
        </w:rPr>
        <w:t>本公司子公司深圳</w:t>
      </w:r>
      <w:proofErr w:type="gramStart"/>
      <w:r>
        <w:rPr>
          <w:rFonts w:hint="eastAsia"/>
          <w:sz w:val="18"/>
          <w:szCs w:val="18"/>
        </w:rPr>
        <w:t>网链于</w:t>
      </w:r>
      <w:proofErr w:type="gramEnd"/>
      <w:r>
        <w:rPr>
          <w:rFonts w:hint="eastAsia"/>
          <w:sz w:val="18"/>
          <w:szCs w:val="18"/>
        </w:rPr>
        <w:t>2021年8月以现金27,083.00万元和持有的阿克苏纺织小商品产业园有限公司100%股权，浙江博忆纺织科技有限公司51%股权，以及浙江易孚贸易有限公司70%股权向目标公司浙江鲲驰互联科技有限公司进行增资;投资成本合计为39,161.60万元 。</w:t>
      </w:r>
    </w:p>
    <w:p w:rsidR="00B54A20" w:rsidRDefault="00B54A20" w:rsidP="001A3F40">
      <w:pPr>
        <w:pStyle w:val="a3"/>
        <w:spacing w:before="0" w:beforeAutospacing="0" w:after="0" w:afterAutospacing="0"/>
        <w:ind w:firstLineChars="200" w:firstLine="360"/>
        <w:divId w:val="1508667927"/>
        <w:rPr>
          <w:sz w:val="18"/>
          <w:szCs w:val="18"/>
        </w:rPr>
      </w:pPr>
      <w:r>
        <w:rPr>
          <w:rFonts w:hint="eastAsia"/>
          <w:sz w:val="18"/>
          <w:szCs w:val="18"/>
        </w:rPr>
        <w:t>上述资产组与购买日所确认的资产组一致。</w:t>
      </w:r>
    </w:p>
    <w:p w:rsidR="00E62F69" w:rsidRDefault="00B54A20" w:rsidP="001A3F40">
      <w:pPr>
        <w:spacing w:line="240" w:lineRule="exact"/>
        <w:rPr>
          <w:rFonts w:ascii="宋体" w:eastAsia="宋体" w:hAnsi="宋体" w:cs="宋体"/>
          <w:sz w:val="18"/>
          <w:szCs w:val="18"/>
        </w:rPr>
      </w:pPr>
      <w:r>
        <w:rPr>
          <w:rFonts w:ascii="宋体" w:eastAsia="宋体" w:hAnsi="宋体" w:cs="宋体"/>
          <w:sz w:val="18"/>
          <w:szCs w:val="18"/>
        </w:rPr>
        <w:t>说明商誉减值测试过程、关键参数（如预计未来现金流量现值时的预测期增长率、稳定期增长率、利润率、折现率、预测期等）及商誉减值损失的确认方法：</w:t>
      </w:r>
    </w:p>
    <w:p w:rsidR="00B54A20" w:rsidRDefault="00B54A20" w:rsidP="001A3F40">
      <w:pPr>
        <w:pStyle w:val="a3"/>
        <w:spacing w:before="0" w:beforeAutospacing="0" w:after="0" w:afterAutospacing="0"/>
        <w:ind w:firstLineChars="200" w:firstLine="360"/>
        <w:divId w:val="218825527"/>
        <w:rPr>
          <w:sz w:val="18"/>
          <w:szCs w:val="18"/>
        </w:rPr>
      </w:pPr>
      <w:r>
        <w:rPr>
          <w:rFonts w:hint="eastAsia"/>
          <w:sz w:val="18"/>
          <w:szCs w:val="18"/>
        </w:rPr>
        <w:t>公司结合与商誉相关的能够从企业合并的协同效应中受益的资产组或者资产组组合进行商</w:t>
      </w:r>
      <w:proofErr w:type="gramStart"/>
      <w:r>
        <w:rPr>
          <w:rFonts w:hint="eastAsia"/>
          <w:sz w:val="18"/>
          <w:szCs w:val="18"/>
        </w:rPr>
        <w:t>誉</w:t>
      </w:r>
      <w:proofErr w:type="gramEnd"/>
      <w:r>
        <w:rPr>
          <w:rFonts w:hint="eastAsia"/>
          <w:sz w:val="18"/>
          <w:szCs w:val="18"/>
        </w:rPr>
        <w:t>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Pr>
          <w:rFonts w:hint="eastAsia"/>
          <w:sz w:val="18"/>
          <w:szCs w:val="18"/>
        </w:rPr>
        <w:t>与其可</w:t>
      </w:r>
      <w:proofErr w:type="gramEnd"/>
      <w:r>
        <w:rPr>
          <w:rFonts w:hint="eastAsia"/>
          <w:sz w:val="18"/>
          <w:szCs w:val="18"/>
        </w:rPr>
        <w:t>收回金额，如相关资产组或者资产组组合的可收回金额低于其账面价值的确认商誉的减值损失。</w:t>
      </w:r>
      <w:r>
        <w:rPr>
          <w:rFonts w:hint="eastAsia"/>
          <w:sz w:val="18"/>
          <w:szCs w:val="18"/>
        </w:rPr>
        <w:br/>
        <w:t>相关测试过程及结果如下：</w:t>
      </w:r>
      <w:r>
        <w:rPr>
          <w:rFonts w:hint="eastAsia"/>
          <w:sz w:val="18"/>
          <w:szCs w:val="18"/>
        </w:rPr>
        <w:br/>
      </w:r>
      <w:r w:rsidR="001A3F40">
        <w:rPr>
          <w:rFonts w:hint="eastAsia"/>
          <w:sz w:val="18"/>
          <w:szCs w:val="18"/>
        </w:rPr>
        <w:t xml:space="preserve">    </w:t>
      </w:r>
      <w:r>
        <w:rPr>
          <w:rFonts w:hint="eastAsia"/>
          <w:sz w:val="18"/>
          <w:szCs w:val="18"/>
        </w:rPr>
        <w:t>（1）、新疆棉花交易市场相关资产组的可收回金额是基于以前年度的经营情况、行业发展水平及管理层对市场发展的预期等因素，采用13.98%的折现率，测算预计未来现金流量现值确定得出。经测算、评估，资产组可收回金额大于账面价值，确认商誉不存在减值的迹象，故未计提减值准备。</w:t>
      </w:r>
      <w:r>
        <w:rPr>
          <w:rFonts w:hint="eastAsia"/>
          <w:sz w:val="18"/>
          <w:szCs w:val="18"/>
        </w:rPr>
        <w:br/>
      </w:r>
      <w:r w:rsidR="001A3F40">
        <w:rPr>
          <w:rFonts w:hint="eastAsia"/>
          <w:sz w:val="18"/>
          <w:szCs w:val="18"/>
        </w:rPr>
        <w:t xml:space="preserve">    </w:t>
      </w:r>
      <w:r>
        <w:rPr>
          <w:rFonts w:hint="eastAsia"/>
          <w:sz w:val="18"/>
          <w:szCs w:val="18"/>
        </w:rPr>
        <w:t>（2）、阿大纺织于2019年10月向浙江博忆、</w:t>
      </w:r>
      <w:proofErr w:type="gramStart"/>
      <w:r>
        <w:rPr>
          <w:rFonts w:hint="eastAsia"/>
          <w:sz w:val="18"/>
          <w:szCs w:val="18"/>
        </w:rPr>
        <w:t>诸暨力旗增资</w:t>
      </w:r>
      <w:proofErr w:type="gramEnd"/>
      <w:r>
        <w:rPr>
          <w:rFonts w:hint="eastAsia"/>
          <w:sz w:val="18"/>
          <w:szCs w:val="18"/>
        </w:rPr>
        <w:t>后累计持有其51%股权，经测试，截止2023年6月30日，包含商誉的相关资产组或者资产组组合的预计可收回金额大于账面价值，确认商誉不存在减值的迹象，故未计提减值准备。</w:t>
      </w:r>
      <w:r>
        <w:rPr>
          <w:rFonts w:hint="eastAsia"/>
          <w:sz w:val="18"/>
          <w:szCs w:val="18"/>
        </w:rPr>
        <w:br/>
      </w:r>
      <w:r w:rsidR="001A3F40">
        <w:rPr>
          <w:rFonts w:hint="eastAsia"/>
          <w:sz w:val="18"/>
          <w:szCs w:val="18"/>
        </w:rPr>
        <w:t xml:space="preserve">    </w:t>
      </w:r>
      <w:r>
        <w:rPr>
          <w:rFonts w:hint="eastAsia"/>
          <w:sz w:val="18"/>
          <w:szCs w:val="18"/>
        </w:rPr>
        <w:t>（3）、深圳</w:t>
      </w:r>
      <w:proofErr w:type="gramStart"/>
      <w:r>
        <w:rPr>
          <w:rFonts w:hint="eastAsia"/>
          <w:sz w:val="18"/>
          <w:szCs w:val="18"/>
        </w:rPr>
        <w:t>网链于</w:t>
      </w:r>
      <w:proofErr w:type="gramEnd"/>
      <w:r>
        <w:rPr>
          <w:rFonts w:hint="eastAsia"/>
          <w:sz w:val="18"/>
          <w:szCs w:val="18"/>
        </w:rPr>
        <w:t>2021年8月向浙江</w:t>
      </w:r>
      <w:proofErr w:type="gramStart"/>
      <w:r>
        <w:rPr>
          <w:rFonts w:hint="eastAsia"/>
          <w:sz w:val="18"/>
          <w:szCs w:val="18"/>
        </w:rPr>
        <w:t>鲲</w:t>
      </w:r>
      <w:proofErr w:type="gramEnd"/>
      <w:r>
        <w:rPr>
          <w:rFonts w:hint="eastAsia"/>
          <w:sz w:val="18"/>
          <w:szCs w:val="18"/>
        </w:rPr>
        <w:t>驰增资后累计持有其64.9515%股权，经测试，截止2023年6月30日，包含商誉的相关资产组或者资产组组合的预计可收回金额大于账面价值，确认商誉不存在减值的迹象，故未计提减值准备。</w:t>
      </w:r>
    </w:p>
    <w:p w:rsidR="00E62F69" w:rsidRDefault="00B54A20" w:rsidP="001A3F40">
      <w:pPr>
        <w:spacing w:line="240" w:lineRule="exact"/>
        <w:rPr>
          <w:rFonts w:ascii="宋体" w:eastAsia="宋体" w:hAnsi="宋体" w:cs="宋体"/>
          <w:sz w:val="18"/>
          <w:szCs w:val="18"/>
        </w:rPr>
      </w:pPr>
      <w:r>
        <w:rPr>
          <w:rFonts w:ascii="宋体" w:eastAsia="宋体" w:hAnsi="宋体" w:cs="宋体"/>
          <w:sz w:val="18"/>
          <w:szCs w:val="18"/>
        </w:rPr>
        <w:t>商誉减值测试的影响</w:t>
      </w:r>
    </w:p>
    <w:p w:rsidR="00E62F69" w:rsidRDefault="00B54A20" w:rsidP="001A3F40">
      <w:pPr>
        <w:spacing w:line="240" w:lineRule="exact"/>
        <w:ind w:firstLineChars="200" w:firstLine="360"/>
        <w:rPr>
          <w:rFonts w:ascii="宋体" w:eastAsia="宋体" w:hAnsi="宋体" w:cs="宋体"/>
          <w:sz w:val="18"/>
          <w:szCs w:val="18"/>
        </w:rPr>
      </w:pPr>
      <w:r>
        <w:rPr>
          <w:rFonts w:ascii="宋体" w:eastAsia="宋体" w:hAnsi="宋体" w:cs="宋体"/>
          <w:sz w:val="18"/>
          <w:szCs w:val="18"/>
        </w:rPr>
        <w:t>其他说明</w:t>
      </w:r>
      <w:r w:rsidR="001A3F40">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160" w:name="_Toc989157"/>
      <w:r>
        <w:rPr>
          <w:rFonts w:ascii="宋体" w:hAnsi="宋体" w:cs="宋体"/>
          <w:b/>
          <w:bCs/>
        </w:rPr>
        <w:t>29、长期待摊费用</w:t>
      </w:r>
      <w:bookmarkEnd w:id="16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装修费</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15,422,242.21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251,415.93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4,614,641.16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11,059,016.98</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机物料</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8,569,061.95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1,874,935.54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2,288,777.43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8,155,220.06</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租赁费</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15,817.98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15,817.98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7,321,261.92</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671,653.54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3,952,701.61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4,040,213.85</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31,328,384.06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2,798,005.01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10,871,938.18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23,254,450.89</w:t>
            </w:r>
          </w:p>
        </w:tc>
      </w:tr>
    </w:tbl>
    <w:p w:rsidR="00E62F69" w:rsidRDefault="00B54A20">
      <w:pPr>
        <w:pStyle w:val="3"/>
        <w:spacing w:line="280" w:lineRule="exact"/>
        <w:jc w:val="left"/>
        <w:rPr>
          <w:rFonts w:ascii="宋体" w:hAnsi="宋体" w:cs="宋体"/>
          <w:b/>
          <w:bCs/>
        </w:rPr>
      </w:pPr>
      <w:bookmarkStart w:id="161" w:name="_Toc989158"/>
      <w:r>
        <w:rPr>
          <w:rFonts w:ascii="宋体" w:hAnsi="宋体" w:cs="宋体"/>
          <w:b/>
          <w:bCs/>
        </w:rPr>
        <w:t>30、递延所得税资产/递延所得税负债</w:t>
      </w:r>
      <w:bookmarkEnd w:id="161"/>
    </w:p>
    <w:p w:rsidR="00E62F69" w:rsidRDefault="00B54A20">
      <w:pPr>
        <w:keepNext/>
        <w:keepLines/>
        <w:spacing w:before="300" w:after="300" w:line="280" w:lineRule="exact"/>
        <w:outlineLvl w:val="3"/>
        <w:rPr>
          <w:rFonts w:ascii="宋体" w:eastAsia="宋体" w:hAnsi="宋体" w:cs="宋体"/>
          <w:b/>
          <w:bCs/>
          <w:szCs w:val="21"/>
        </w:rPr>
      </w:pPr>
      <w:bookmarkStart w:id="162" w:name="_Toc989159"/>
      <w:r>
        <w:rPr>
          <w:rFonts w:ascii="宋体" w:eastAsia="宋体" w:hAnsi="宋体" w:cs="宋体"/>
          <w:b/>
          <w:bCs/>
          <w:szCs w:val="21"/>
        </w:rPr>
        <w:t>（1）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的递延所得税资产</w:t>
      </w:r>
      <w:bookmarkEnd w:id="16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1A3F40">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1A3F40">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79,858,214.91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15,408,521.95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143,822,194.21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25,040,372.50</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31,656,447.71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7,914,111.93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27,707.51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6,926.88</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510,885,993.81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99,874,451.97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649,600,199.84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129,647,829.59</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预计负债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11,710.96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2,927.74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57,448.36</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37,196,753.75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8,162,570.23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22,157,475.32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4,580,278.96</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227,672,471.12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44,281,598.23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167,698,226.86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37,639,652.16</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46,148,030.29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8,121,680.54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12,011,159.94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2,998,689.99</w:t>
            </w:r>
          </w:p>
        </w:tc>
      </w:tr>
      <w:tr w:rsidR="00E62F69" w:rsidTr="001A3F4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933,429,622.55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183,765,862.59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995,554,564.46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199,971,198.44</w:t>
            </w:r>
          </w:p>
        </w:tc>
      </w:tr>
    </w:tbl>
    <w:p w:rsidR="00E62F69" w:rsidRDefault="00B54A20">
      <w:pPr>
        <w:keepNext/>
        <w:keepLines/>
        <w:spacing w:before="300" w:after="300" w:line="280" w:lineRule="exact"/>
        <w:outlineLvl w:val="3"/>
        <w:rPr>
          <w:rFonts w:ascii="宋体" w:eastAsia="宋体" w:hAnsi="宋体" w:cs="宋体"/>
          <w:b/>
          <w:bCs/>
          <w:szCs w:val="21"/>
        </w:rPr>
      </w:pPr>
      <w:bookmarkStart w:id="163" w:name="_Toc989160"/>
      <w:r>
        <w:rPr>
          <w:rFonts w:ascii="宋体" w:eastAsia="宋体" w:hAnsi="宋体" w:cs="宋体"/>
          <w:b/>
          <w:bCs/>
          <w:szCs w:val="21"/>
        </w:rPr>
        <w:t>（2）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的递延所得税负债</w:t>
      </w:r>
      <w:bookmarkEnd w:id="16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EE2E4F">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32,894,257.20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8,223,564.30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32,894,257.20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8,223,564.30</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18,199,104.53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2,931,346.11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18,199,104.53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2,729,865.68</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固定资产加计扣除</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7,180,137.18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1,795,034.30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7,180,137.18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1,795,034.30</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已计提尚未收到的政府补助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58,129,225.86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8,719,383.88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43,943,257.97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6,591,488.70</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未实现内部交易损失</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14,378,316.66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3,594,579.17</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12,918,000.00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1,937,700.00</w:t>
            </w:r>
          </w:p>
        </w:tc>
      </w:tr>
      <w:tr w:rsidR="00E62F69" w:rsidTr="00EE2E4F">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116,402,724.77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21,669,328.59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129,513,073.54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bl>
    <w:p w:rsidR="00E62F69" w:rsidRDefault="00B54A20">
      <w:pPr>
        <w:keepNext/>
        <w:keepLines/>
        <w:spacing w:before="300" w:after="300" w:line="280" w:lineRule="exact"/>
        <w:outlineLvl w:val="3"/>
        <w:rPr>
          <w:rFonts w:ascii="宋体" w:eastAsia="宋体" w:hAnsi="宋体" w:cs="宋体"/>
          <w:b/>
          <w:bCs/>
          <w:szCs w:val="21"/>
        </w:rPr>
      </w:pPr>
      <w:bookmarkStart w:id="164" w:name="_Toc989161"/>
      <w:r>
        <w:rPr>
          <w:rFonts w:ascii="宋体" w:eastAsia="宋体" w:hAnsi="宋体" w:cs="宋体"/>
          <w:b/>
          <w:bCs/>
          <w:szCs w:val="21"/>
        </w:rPr>
        <w:t>（3） 以</w:t>
      </w:r>
      <w:proofErr w:type="gramStart"/>
      <w:r>
        <w:rPr>
          <w:rFonts w:ascii="宋体" w:eastAsia="宋体" w:hAnsi="宋体" w:cs="宋体"/>
          <w:b/>
          <w:bCs/>
          <w:szCs w:val="21"/>
        </w:rPr>
        <w:t>抵销</w:t>
      </w:r>
      <w:proofErr w:type="gramEnd"/>
      <w:r>
        <w:rPr>
          <w:rFonts w:ascii="宋体" w:eastAsia="宋体" w:hAnsi="宋体" w:cs="宋体"/>
          <w:b/>
          <w:bCs/>
          <w:szCs w:val="21"/>
        </w:rPr>
        <w:t>后净额列示的递延所得税资产或负债</w:t>
      </w:r>
      <w:bookmarkEnd w:id="16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183,765,862.59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202,245,661.31</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21,669,328.59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24,872,232.15</w:t>
            </w:r>
          </w:p>
        </w:tc>
      </w:tr>
    </w:tbl>
    <w:p w:rsidR="00E62F69" w:rsidRDefault="00B54A20">
      <w:pPr>
        <w:keepNext/>
        <w:keepLines/>
        <w:spacing w:before="300" w:after="300" w:line="280" w:lineRule="exact"/>
        <w:outlineLvl w:val="3"/>
        <w:rPr>
          <w:rFonts w:ascii="宋体" w:eastAsia="宋体" w:hAnsi="宋体" w:cs="宋体"/>
          <w:b/>
          <w:bCs/>
          <w:szCs w:val="21"/>
        </w:rPr>
      </w:pPr>
      <w:bookmarkStart w:id="165" w:name="_Toc989162"/>
      <w:r>
        <w:rPr>
          <w:rFonts w:ascii="宋体" w:eastAsia="宋体" w:hAnsi="宋体" w:cs="宋体"/>
          <w:b/>
          <w:bCs/>
          <w:szCs w:val="21"/>
        </w:rPr>
        <w:t>（4） 未确认递延所得税资产明细</w:t>
      </w:r>
      <w:bookmarkEnd w:id="16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1,013,578,552.94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888,637,113.32</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122,621,441.05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139,393,665.59</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存货跌价准备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9,810,170.96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173,396,667.13</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8,202,669.40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52,581,059.40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83,071.84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88,917.42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22,608,625.00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固定资产减值准备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27,287,286.32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16,824,869.47</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1,181,672,109.93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1,293,441,999.91</w:t>
            </w:r>
          </w:p>
        </w:tc>
      </w:tr>
    </w:tbl>
    <w:p w:rsidR="00E62F69" w:rsidRDefault="00B54A20">
      <w:pPr>
        <w:keepNext/>
        <w:keepLines/>
        <w:spacing w:before="300" w:after="300" w:line="280" w:lineRule="exact"/>
        <w:outlineLvl w:val="3"/>
        <w:rPr>
          <w:rFonts w:ascii="宋体" w:eastAsia="宋体" w:hAnsi="宋体" w:cs="宋体"/>
          <w:b/>
          <w:bCs/>
          <w:szCs w:val="21"/>
        </w:rPr>
      </w:pPr>
      <w:bookmarkStart w:id="166" w:name="_Toc989163"/>
      <w:r>
        <w:rPr>
          <w:rFonts w:ascii="宋体" w:eastAsia="宋体" w:hAnsi="宋体" w:cs="宋体"/>
          <w:b/>
          <w:bCs/>
          <w:szCs w:val="21"/>
        </w:rPr>
        <w:t>（5） 未确认递延所得税资产的可抵扣亏损将于以下年度到期</w:t>
      </w:r>
      <w:bookmarkEnd w:id="166"/>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67" w:name="_Toc989164"/>
      <w:r>
        <w:rPr>
          <w:rFonts w:ascii="宋体" w:hAnsi="宋体" w:cs="宋体"/>
          <w:b/>
          <w:bCs/>
        </w:rPr>
        <w:t>31、其他非流动资产</w:t>
      </w:r>
      <w:bookmarkEnd w:id="16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708"/>
        <w:gridCol w:w="1046"/>
        <w:gridCol w:w="1647"/>
        <w:gridCol w:w="1418"/>
        <w:gridCol w:w="992"/>
        <w:gridCol w:w="1451"/>
      </w:tblGrid>
      <w:tr w:rsidR="00E62F69" w:rsidTr="00EE2E4F">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40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6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0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4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64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rsidTr="00EE2E4F">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预付工程及设备款等</w:t>
            </w:r>
          </w:p>
        </w:tc>
        <w:tc>
          <w:tcPr>
            <w:tcW w:w="170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04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4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43,769,369.80</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r w:rsidR="00E62F69" w:rsidTr="00EE2E4F">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04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4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135,420,153.56</w:t>
            </w:r>
          </w:p>
        </w:tc>
        <w:tc>
          <w:tcPr>
            <w:tcW w:w="14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43,769,369.80</w:t>
            </w: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43,769,369.80</w:t>
            </w:r>
          </w:p>
        </w:tc>
      </w:tr>
    </w:tbl>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68" w:name="_Toc989165"/>
      <w:r>
        <w:rPr>
          <w:rFonts w:ascii="宋体" w:hAnsi="宋体" w:cs="宋体"/>
          <w:b/>
          <w:bCs/>
        </w:rPr>
        <w:t>32、短期借款</w:t>
      </w:r>
      <w:bookmarkEnd w:id="168"/>
    </w:p>
    <w:p w:rsidR="00E62F69" w:rsidRDefault="00B54A20">
      <w:pPr>
        <w:keepNext/>
        <w:keepLines/>
        <w:spacing w:before="300" w:after="300" w:line="280" w:lineRule="exact"/>
        <w:outlineLvl w:val="3"/>
        <w:rPr>
          <w:rFonts w:ascii="宋体" w:eastAsia="宋体" w:hAnsi="宋体" w:cs="宋体"/>
          <w:b/>
          <w:bCs/>
          <w:szCs w:val="21"/>
        </w:rPr>
      </w:pPr>
      <w:bookmarkStart w:id="169" w:name="_Toc989166"/>
      <w:r>
        <w:rPr>
          <w:rFonts w:ascii="宋体" w:eastAsia="宋体" w:hAnsi="宋体" w:cs="宋体"/>
          <w:b/>
          <w:bCs/>
          <w:szCs w:val="21"/>
        </w:rPr>
        <w:t>（1） 短期借款分类</w:t>
      </w:r>
      <w:bookmarkEnd w:id="169"/>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1,812,079,840.66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1,654,713,176.97</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488,828,839.80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658,829,156.88</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2,754,538,600.01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454,576,905.78</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1,315,557,119.42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3,077,050,000.00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727,226,585.00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保证、抵押、质押借款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1,074,834,646.23</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短期借款利息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1,720,809.73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2,027,395.48</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7,322,725,209.62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7,649,257,866.34</w:t>
            </w:r>
          </w:p>
        </w:tc>
      </w:tr>
    </w:tbl>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短期借款分类的说明：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170" w:name="_Toc989167"/>
      <w:r>
        <w:rPr>
          <w:rFonts w:ascii="宋体" w:eastAsia="宋体" w:hAnsi="宋体" w:cs="宋体"/>
          <w:b/>
          <w:bCs/>
          <w:szCs w:val="21"/>
        </w:rPr>
        <w:t>（2） 已逾期</w:t>
      </w:r>
      <w:proofErr w:type="gramStart"/>
      <w:r>
        <w:rPr>
          <w:rFonts w:ascii="宋体" w:eastAsia="宋体" w:hAnsi="宋体" w:cs="宋体"/>
          <w:b/>
          <w:bCs/>
          <w:szCs w:val="21"/>
        </w:rPr>
        <w:t>未偿</w:t>
      </w:r>
      <w:proofErr w:type="gramEnd"/>
      <w:r>
        <w:rPr>
          <w:rFonts w:ascii="宋体" w:eastAsia="宋体" w:hAnsi="宋体" w:cs="宋体"/>
          <w:b/>
          <w:bCs/>
          <w:szCs w:val="21"/>
        </w:rPr>
        <w:t>还的短期借款情况</w:t>
      </w:r>
      <w:bookmarkEnd w:id="170"/>
    </w:p>
    <w:p w:rsidR="00EE2E4F" w:rsidRDefault="00B54A20" w:rsidP="00EE2E4F">
      <w:pPr>
        <w:spacing w:before="40" w:after="40" w:line="240" w:lineRule="exact"/>
        <w:rPr>
          <w:rFonts w:ascii="宋体" w:eastAsia="宋体" w:hAnsi="宋体" w:cs="宋体"/>
          <w:sz w:val="18"/>
          <w:szCs w:val="18"/>
        </w:rPr>
      </w:pPr>
      <w:r>
        <w:rPr>
          <w:rFonts w:ascii="宋体" w:eastAsia="宋体" w:hAnsi="宋体" w:cs="宋体"/>
          <w:sz w:val="18"/>
          <w:szCs w:val="18"/>
        </w:rPr>
        <w:t>本</w:t>
      </w:r>
      <w:proofErr w:type="gramStart"/>
      <w:r>
        <w:rPr>
          <w:rFonts w:ascii="宋体" w:eastAsia="宋体" w:hAnsi="宋体" w:cs="宋体"/>
          <w:sz w:val="18"/>
          <w:szCs w:val="18"/>
        </w:rPr>
        <w:t>期末已</w:t>
      </w:r>
      <w:proofErr w:type="gramEnd"/>
      <w:r>
        <w:rPr>
          <w:rFonts w:ascii="宋体" w:eastAsia="宋体" w:hAnsi="宋体" w:cs="宋体"/>
          <w:sz w:val="18"/>
          <w:szCs w:val="18"/>
        </w:rPr>
        <w:t>逾期</w:t>
      </w:r>
      <w:proofErr w:type="gramStart"/>
      <w:r>
        <w:rPr>
          <w:rFonts w:ascii="宋体" w:eastAsia="宋体" w:hAnsi="宋体" w:cs="宋体"/>
          <w:sz w:val="18"/>
          <w:szCs w:val="18"/>
        </w:rPr>
        <w:t>未偿</w:t>
      </w:r>
      <w:proofErr w:type="gramEnd"/>
      <w:r>
        <w:rPr>
          <w:rFonts w:ascii="宋体" w:eastAsia="宋体" w:hAnsi="宋体" w:cs="宋体"/>
          <w:sz w:val="18"/>
          <w:szCs w:val="18"/>
        </w:rPr>
        <w:t>还的短期借款总额为0.00</w:t>
      </w:r>
      <w:r w:rsidR="00EE2E4F">
        <w:rPr>
          <w:rFonts w:ascii="宋体" w:eastAsia="宋体" w:hAnsi="宋体" w:cs="宋体"/>
          <w:sz w:val="18"/>
          <w:szCs w:val="18"/>
        </w:rPr>
        <w:t>元</w:t>
      </w:r>
      <w:r w:rsidR="00EE2E4F">
        <w:rPr>
          <w:rFonts w:ascii="宋体" w:eastAsia="宋体" w:hAnsi="宋体" w:cs="宋体" w:hint="eastAsia"/>
          <w:sz w:val="18"/>
          <w:szCs w:val="18"/>
        </w:rPr>
        <w:t>。</w:t>
      </w:r>
    </w:p>
    <w:p w:rsidR="00B54A20" w:rsidRPr="00EE2E4F" w:rsidRDefault="00B54A20" w:rsidP="00EE2E4F">
      <w:pPr>
        <w:spacing w:before="40" w:after="4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71" w:name="_Toc989168"/>
      <w:r>
        <w:rPr>
          <w:rFonts w:ascii="宋体" w:hAnsi="宋体" w:cs="宋体"/>
          <w:b/>
          <w:bCs/>
        </w:rPr>
        <w:t>33、交易性金融负债</w:t>
      </w:r>
      <w:bookmarkEnd w:id="17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487"/>
        <w:gridCol w:w="1576"/>
        <w:gridCol w:w="1576"/>
      </w:tblGrid>
      <w:tr w:rsidR="00E62F69" w:rsidTr="00EE2E4F">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EE2E4F">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指定为以公允价值计量且其变动计入当期损益的金融负债</w:t>
            </w:r>
          </w:p>
        </w:tc>
        <w:tc>
          <w:tcPr>
            <w:tcW w:w="15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383,600.00</w:t>
            </w:r>
          </w:p>
        </w:tc>
        <w:tc>
          <w:tcPr>
            <w:tcW w:w="15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1,902,600.00</w:t>
            </w:r>
          </w:p>
        </w:tc>
      </w:tr>
      <w:tr w:rsidR="00E62F69" w:rsidTr="00EE2E4F">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5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EE2E4F">
        <w:trPr>
          <w:trHeight w:val="240"/>
        </w:trPr>
        <w:tc>
          <w:tcPr>
            <w:tcW w:w="648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383,600.00</w:t>
            </w:r>
          </w:p>
        </w:tc>
        <w:tc>
          <w:tcPr>
            <w:tcW w:w="15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1,902,600.00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无</w:t>
      </w:r>
    </w:p>
    <w:p w:rsidR="00B54A20" w:rsidRDefault="00B54A20">
      <w:pPr>
        <w:divId w:val="2057267408"/>
        <w:rPr>
          <w:sz w:val="18"/>
          <w:szCs w:val="18"/>
        </w:rPr>
      </w:pPr>
    </w:p>
    <w:p w:rsidR="00E62F69" w:rsidRDefault="00B54A20">
      <w:pPr>
        <w:pStyle w:val="3"/>
        <w:spacing w:line="280" w:lineRule="exact"/>
        <w:jc w:val="left"/>
        <w:rPr>
          <w:rFonts w:ascii="宋体" w:hAnsi="宋体" w:cs="宋体"/>
          <w:b/>
          <w:bCs/>
        </w:rPr>
      </w:pPr>
      <w:bookmarkStart w:id="172" w:name="_Toc989169"/>
      <w:r>
        <w:rPr>
          <w:rFonts w:ascii="宋体" w:hAnsi="宋体" w:cs="宋体"/>
          <w:b/>
          <w:bCs/>
        </w:rPr>
        <w:t>34、衍生金融负债</w:t>
      </w:r>
      <w:bookmarkEnd w:id="172"/>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73" w:name="_Toc989170"/>
      <w:r>
        <w:rPr>
          <w:rFonts w:ascii="宋体" w:hAnsi="宋体" w:cs="宋体"/>
          <w:b/>
          <w:bCs/>
        </w:rPr>
        <w:t>35、应付票据</w:t>
      </w:r>
      <w:bookmarkEnd w:id="17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159,755,085.54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159,755,085.54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58,331,152.95</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w:t>
      </w:r>
      <w:proofErr w:type="gramStart"/>
      <w:r>
        <w:rPr>
          <w:rFonts w:ascii="宋体" w:eastAsia="宋体" w:hAnsi="宋体" w:cs="宋体"/>
          <w:sz w:val="18"/>
          <w:szCs w:val="18"/>
        </w:rPr>
        <w:t>期末已</w:t>
      </w:r>
      <w:proofErr w:type="gramEnd"/>
      <w:r>
        <w:rPr>
          <w:rFonts w:ascii="宋体" w:eastAsia="宋体" w:hAnsi="宋体" w:cs="宋体"/>
          <w:sz w:val="18"/>
          <w:szCs w:val="18"/>
        </w:rPr>
        <w:t>到期未支付的应付票据总额为0.00元。</w:t>
      </w:r>
    </w:p>
    <w:p w:rsidR="00E62F69" w:rsidRDefault="00B54A20">
      <w:pPr>
        <w:pStyle w:val="3"/>
        <w:spacing w:line="280" w:lineRule="exact"/>
        <w:jc w:val="left"/>
        <w:rPr>
          <w:rFonts w:ascii="宋体" w:hAnsi="宋体" w:cs="宋体"/>
          <w:b/>
          <w:bCs/>
        </w:rPr>
      </w:pPr>
      <w:bookmarkStart w:id="174" w:name="_Toc989171"/>
      <w:r>
        <w:rPr>
          <w:rFonts w:ascii="宋体" w:hAnsi="宋体" w:cs="宋体"/>
          <w:b/>
          <w:bCs/>
        </w:rPr>
        <w:t>36、应付账款</w:t>
      </w:r>
      <w:bookmarkEnd w:id="174"/>
    </w:p>
    <w:p w:rsidR="00E62F69" w:rsidRDefault="00B54A20">
      <w:pPr>
        <w:keepNext/>
        <w:keepLines/>
        <w:spacing w:before="300" w:after="300" w:line="280" w:lineRule="exact"/>
        <w:outlineLvl w:val="3"/>
        <w:rPr>
          <w:rFonts w:ascii="宋体" w:eastAsia="宋体" w:hAnsi="宋体" w:cs="宋体"/>
          <w:b/>
          <w:bCs/>
          <w:sz w:val="18"/>
          <w:szCs w:val="18"/>
        </w:rPr>
      </w:pPr>
      <w:bookmarkStart w:id="175" w:name="_Toc989172"/>
      <w:r>
        <w:rPr>
          <w:rFonts w:ascii="宋体" w:eastAsia="宋体" w:hAnsi="宋体" w:cs="宋体"/>
          <w:b/>
          <w:bCs/>
          <w:sz w:val="18"/>
          <w:szCs w:val="18"/>
        </w:rPr>
        <w:t>（1） 应付账款列示</w:t>
      </w:r>
      <w:bookmarkEnd w:id="17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应付货款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699,782,001.68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723,095,116.58</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应付工程款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76,163,558.99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84,395,335.24</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应付设备款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133,891,209.06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96,597,730.22</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32,154,776.30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43,169,534.17</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941,991,546.03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947,257,716.21</w:t>
            </w:r>
          </w:p>
        </w:tc>
      </w:tr>
    </w:tbl>
    <w:p w:rsidR="00E62F69" w:rsidRDefault="00B54A20">
      <w:pPr>
        <w:keepNext/>
        <w:keepLines/>
        <w:spacing w:before="300" w:after="300" w:line="280" w:lineRule="exact"/>
        <w:outlineLvl w:val="3"/>
        <w:rPr>
          <w:rFonts w:ascii="宋体" w:eastAsia="宋体" w:hAnsi="宋体" w:cs="宋体"/>
          <w:b/>
          <w:bCs/>
          <w:sz w:val="18"/>
          <w:szCs w:val="18"/>
        </w:rPr>
      </w:pPr>
      <w:bookmarkStart w:id="176" w:name="_Toc989173"/>
      <w:r>
        <w:rPr>
          <w:rFonts w:ascii="宋体" w:eastAsia="宋体" w:hAnsi="宋体" w:cs="宋体"/>
          <w:b/>
          <w:bCs/>
          <w:sz w:val="18"/>
          <w:szCs w:val="18"/>
        </w:rPr>
        <w:t>（2） 账龄超过1年的重要应付账款</w:t>
      </w:r>
      <w:bookmarkEnd w:id="17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中煤第三建设（集团）有限责任公司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27,107,123.28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浙江嘉志利</w:t>
            </w:r>
            <w:proofErr w:type="gramEnd"/>
            <w:r>
              <w:rPr>
                <w:rFonts w:ascii="宋体" w:eastAsia="宋体" w:hAnsi="宋体" w:cs="宋体"/>
                <w:sz w:val="18"/>
                <w:szCs w:val="18"/>
              </w:rPr>
              <w:t>智能科技有限公司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12,574,000.00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未达到结算条件</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39,681,123.28</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177" w:name="_Toc989174"/>
      <w:r>
        <w:rPr>
          <w:rFonts w:ascii="宋体" w:hAnsi="宋体" w:cs="宋体"/>
          <w:b/>
          <w:bCs/>
        </w:rPr>
        <w:t>37、预收款项</w:t>
      </w:r>
      <w:bookmarkEnd w:id="177"/>
    </w:p>
    <w:p w:rsidR="00E62F69" w:rsidRDefault="00B54A20">
      <w:pPr>
        <w:keepNext/>
        <w:keepLines/>
        <w:spacing w:before="300" w:after="300" w:line="280" w:lineRule="exact"/>
        <w:outlineLvl w:val="3"/>
        <w:rPr>
          <w:rFonts w:ascii="宋体" w:eastAsia="宋体" w:hAnsi="宋体" w:cs="宋体"/>
          <w:b/>
          <w:bCs/>
          <w:sz w:val="18"/>
          <w:szCs w:val="18"/>
        </w:rPr>
      </w:pPr>
      <w:bookmarkStart w:id="178" w:name="_Toc989175"/>
      <w:r>
        <w:rPr>
          <w:rFonts w:ascii="宋体" w:eastAsia="宋体" w:hAnsi="宋体" w:cs="宋体"/>
          <w:b/>
          <w:bCs/>
          <w:sz w:val="18"/>
          <w:szCs w:val="18"/>
        </w:rPr>
        <w:t>（1） 预收款项列示</w:t>
      </w:r>
      <w:bookmarkEnd w:id="17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预收租金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10,026,188.98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6,762,625.23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10,026,188.98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6,762,625.23</w:t>
            </w:r>
          </w:p>
        </w:tc>
      </w:tr>
    </w:tbl>
    <w:p w:rsidR="00E62F69" w:rsidRDefault="00B54A20">
      <w:pPr>
        <w:keepNext/>
        <w:keepLines/>
        <w:spacing w:before="300" w:after="300" w:line="280" w:lineRule="exact"/>
        <w:outlineLvl w:val="3"/>
        <w:rPr>
          <w:rFonts w:ascii="宋体" w:eastAsia="宋体" w:hAnsi="宋体" w:cs="宋体"/>
          <w:b/>
          <w:bCs/>
          <w:sz w:val="18"/>
          <w:szCs w:val="18"/>
        </w:rPr>
      </w:pPr>
      <w:bookmarkStart w:id="179" w:name="_Toc989176"/>
      <w:r>
        <w:rPr>
          <w:rFonts w:ascii="宋体" w:eastAsia="宋体" w:hAnsi="宋体" w:cs="宋体"/>
          <w:b/>
          <w:bCs/>
          <w:sz w:val="18"/>
          <w:szCs w:val="18"/>
        </w:rPr>
        <w:t>（2） 账龄超过1年的重要预收款项</w:t>
      </w:r>
      <w:bookmarkEnd w:id="179"/>
    </w:p>
    <w:p w:rsidR="00B54A20" w:rsidRPr="00FD211C" w:rsidRDefault="00B54A20" w:rsidP="00FD211C">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期末余额中无账龄超过一年的重要预付款项。</w:t>
      </w:r>
    </w:p>
    <w:p w:rsidR="00E62F69" w:rsidRDefault="00B54A20">
      <w:pPr>
        <w:pStyle w:val="3"/>
        <w:spacing w:line="280" w:lineRule="exact"/>
        <w:jc w:val="left"/>
        <w:rPr>
          <w:rFonts w:ascii="宋体" w:hAnsi="宋体" w:cs="宋体"/>
          <w:b/>
          <w:bCs/>
        </w:rPr>
      </w:pPr>
      <w:bookmarkStart w:id="180" w:name="_Toc989177"/>
      <w:r>
        <w:rPr>
          <w:rFonts w:ascii="宋体" w:hAnsi="宋体" w:cs="宋体"/>
          <w:b/>
          <w:bCs/>
        </w:rPr>
        <w:t>38、合同负债</w:t>
      </w:r>
      <w:bookmarkEnd w:id="18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预收货款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757,246,830.73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预收设备款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757,846,830.73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781,571,502.38</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报告期内账面价值发生重大变动的金额和原因</w:t>
      </w:r>
      <w:r w:rsidR="00EE2E4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181" w:name="_Toc989178"/>
      <w:r>
        <w:rPr>
          <w:rFonts w:ascii="宋体" w:hAnsi="宋体" w:cs="宋体"/>
          <w:b/>
          <w:bCs/>
        </w:rPr>
        <w:t>39、应付职工薪</w:t>
      </w:r>
      <w:proofErr w:type="gramStart"/>
      <w:r>
        <w:rPr>
          <w:rFonts w:ascii="宋体" w:hAnsi="宋体" w:cs="宋体"/>
          <w:b/>
          <w:bCs/>
        </w:rPr>
        <w:t>酬</w:t>
      </w:r>
      <w:bookmarkEnd w:id="181"/>
      <w:proofErr w:type="gramEnd"/>
    </w:p>
    <w:p w:rsidR="00E62F69" w:rsidRDefault="00B54A20">
      <w:pPr>
        <w:keepNext/>
        <w:keepLines/>
        <w:spacing w:before="300" w:after="300" w:line="280" w:lineRule="exact"/>
        <w:outlineLvl w:val="3"/>
        <w:rPr>
          <w:rFonts w:ascii="宋体" w:eastAsia="宋体" w:hAnsi="宋体" w:cs="宋体"/>
          <w:b/>
          <w:bCs/>
          <w:szCs w:val="21"/>
        </w:rPr>
      </w:pPr>
      <w:bookmarkStart w:id="182" w:name="_Toc989179"/>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18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235"/>
        <w:gridCol w:w="1851"/>
        <w:gridCol w:w="1851"/>
        <w:gridCol w:w="1851"/>
        <w:gridCol w:w="1851"/>
      </w:tblGrid>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71,137,199.18</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378,770,708.78</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379,103,262.21</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70,804,645.75</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4,281,732.30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25,204,915.65</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25,942,699.60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3,543,948.35</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三、辞退福利</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532,281.84</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532,281.84</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75,418,931.48</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404,507,906.27</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405,578,243.65</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74,348,594.10</w:t>
            </w:r>
          </w:p>
        </w:tc>
      </w:tr>
    </w:tbl>
    <w:p w:rsidR="00E62F69" w:rsidRDefault="00B54A20">
      <w:pPr>
        <w:keepNext/>
        <w:keepLines/>
        <w:spacing w:before="300" w:after="300" w:line="280" w:lineRule="exact"/>
        <w:outlineLvl w:val="3"/>
        <w:rPr>
          <w:rFonts w:ascii="宋体" w:eastAsia="宋体" w:hAnsi="宋体" w:cs="宋体"/>
          <w:b/>
          <w:bCs/>
          <w:szCs w:val="21"/>
        </w:rPr>
      </w:pPr>
      <w:bookmarkStart w:id="183" w:name="_Toc989180"/>
      <w:r>
        <w:rPr>
          <w:rFonts w:ascii="宋体" w:eastAsia="宋体" w:hAnsi="宋体" w:cs="宋体"/>
          <w:b/>
          <w:bCs/>
          <w:szCs w:val="21"/>
        </w:rPr>
        <w:t>（2） 短期薪酬列示</w:t>
      </w:r>
      <w:bookmarkEnd w:id="18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235"/>
        <w:gridCol w:w="1851"/>
        <w:gridCol w:w="1851"/>
        <w:gridCol w:w="1851"/>
        <w:gridCol w:w="1851"/>
      </w:tblGrid>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63,538,827.20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351,427,377.82</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352,751,710.31</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62,214,494.71</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451,446.44</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8,677,216.45</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8,471,756.80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656,906.09</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3,520,040.82</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15,295,789.86</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15,442,232.99</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3,373,597.69</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3,451,884.06</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13,984,141.25</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14,130,054.64</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3,305,970.67</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68,156.76</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1,283,854.81</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1,294,918.45</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57,093.12</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27,793.80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17,259.90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10,533.90</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136,513.00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1,523,381.60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1,552,795.60</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107,099.00</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3,490,371.72</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1,846,943.05</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884,766.51</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4,452,548.26</w:t>
            </w:r>
          </w:p>
        </w:tc>
      </w:tr>
      <w:tr w:rsidR="00E62F69" w:rsidTr="00EE2E4F">
        <w:trPr>
          <w:trHeight w:val="240"/>
        </w:trPr>
        <w:tc>
          <w:tcPr>
            <w:tcW w:w="223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71,137,199.18</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378,770,708.78</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379,103,262.21</w:t>
            </w:r>
          </w:p>
        </w:tc>
        <w:tc>
          <w:tcPr>
            <w:tcW w:w="185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70,804,645.75</w:t>
            </w:r>
          </w:p>
        </w:tc>
      </w:tr>
    </w:tbl>
    <w:p w:rsidR="00FD211C" w:rsidRDefault="00FD211C">
      <w:pPr>
        <w:keepNext/>
        <w:keepLines/>
        <w:spacing w:before="300" w:after="300" w:line="280" w:lineRule="exact"/>
        <w:outlineLvl w:val="3"/>
        <w:rPr>
          <w:rFonts w:ascii="宋体" w:eastAsia="宋体" w:hAnsi="宋体" w:cs="宋体"/>
          <w:b/>
          <w:bCs/>
          <w:szCs w:val="21"/>
        </w:rPr>
      </w:pPr>
      <w:bookmarkStart w:id="184" w:name="_Toc989181"/>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（3） 设定提存计划列示</w:t>
      </w:r>
      <w:bookmarkEnd w:id="18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4,010,377.40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24,490,529.82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25,226,484.62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3,274,422.60</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271,354.90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714,385.83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716,214.98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269,525.75</w:t>
            </w:r>
          </w:p>
        </w:tc>
      </w:tr>
      <w:tr w:rsidR="00E62F69" w:rsidTr="00FD211C">
        <w:trPr>
          <w:cantSplit/>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4,281,732.30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25,204,915.65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25,942,699.60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3,543,948.35</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185" w:name="_Toc989182"/>
      <w:r>
        <w:rPr>
          <w:rFonts w:ascii="宋体" w:hAnsi="宋体" w:cs="宋体"/>
          <w:b/>
          <w:bCs/>
        </w:rPr>
        <w:t>40、应交税费</w:t>
      </w:r>
      <w:bookmarkEnd w:id="18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45,408,250.53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48,217,944.84</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4,520,056.46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35,661,872.91</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1,547,081.59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1,767,094.78</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1,823,530.66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983,295.86</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4,780,534.14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1,831,806.18</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4,595,284.59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1,675,858.92</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1,345,848.75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773,214.24</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3,149,262.71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3,952,327.19</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67,169,849.43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94,863,414.92</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186" w:name="_Toc989183"/>
      <w:r>
        <w:rPr>
          <w:rFonts w:ascii="宋体" w:hAnsi="宋体" w:cs="宋体"/>
          <w:b/>
          <w:bCs/>
        </w:rPr>
        <w:t>41、其他应付款</w:t>
      </w:r>
      <w:bookmarkEnd w:id="18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bl>
    <w:p w:rsidR="00E62F69" w:rsidRDefault="00B54A20">
      <w:pPr>
        <w:keepNext/>
        <w:keepLines/>
        <w:spacing w:before="300" w:after="300" w:line="280" w:lineRule="exact"/>
        <w:outlineLvl w:val="3"/>
        <w:rPr>
          <w:rFonts w:ascii="宋体" w:eastAsia="宋体" w:hAnsi="宋体" w:cs="宋体"/>
          <w:b/>
          <w:bCs/>
          <w:sz w:val="18"/>
          <w:szCs w:val="18"/>
        </w:rPr>
      </w:pPr>
      <w:bookmarkStart w:id="187" w:name="_Toc989184"/>
      <w:r>
        <w:rPr>
          <w:rFonts w:ascii="宋体" w:eastAsia="宋体" w:hAnsi="宋体" w:cs="宋体"/>
          <w:b/>
          <w:bCs/>
          <w:sz w:val="18"/>
          <w:szCs w:val="18"/>
        </w:rPr>
        <w:t>（1） 应付利息</w:t>
      </w:r>
      <w:bookmarkEnd w:id="187"/>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188" w:name="_Toc989185"/>
      <w:r>
        <w:rPr>
          <w:rFonts w:ascii="宋体" w:eastAsia="宋体" w:hAnsi="宋体" w:cs="宋体"/>
          <w:b/>
          <w:bCs/>
          <w:sz w:val="18"/>
          <w:szCs w:val="18"/>
        </w:rPr>
        <w:t>（2） 应付股利</w:t>
      </w:r>
      <w:bookmarkEnd w:id="188"/>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其他说明，包括重要的超过1年未支付的应付股利，应披露未支付原因：</w:t>
      </w:r>
      <w:r>
        <w:rPr>
          <w:rFonts w:hint="eastAsia"/>
          <w:sz w:val="18"/>
          <w:szCs w:val="18"/>
        </w:rPr>
        <w:t>无。</w:t>
      </w:r>
    </w:p>
    <w:p w:rsidR="00E62F69" w:rsidRDefault="00B54A20" w:rsidP="00EE2E4F">
      <w:pPr>
        <w:keepNext/>
        <w:keepLines/>
        <w:spacing w:before="240" w:after="240" w:line="280" w:lineRule="exact"/>
        <w:outlineLvl w:val="3"/>
        <w:rPr>
          <w:rFonts w:ascii="宋体" w:eastAsia="宋体" w:hAnsi="宋体" w:cs="宋体"/>
          <w:b/>
          <w:bCs/>
          <w:sz w:val="18"/>
          <w:szCs w:val="18"/>
        </w:rPr>
      </w:pPr>
      <w:bookmarkStart w:id="189" w:name="_Toc989186"/>
      <w:r>
        <w:rPr>
          <w:rFonts w:ascii="宋体" w:eastAsia="宋体" w:hAnsi="宋体" w:cs="宋体"/>
          <w:b/>
          <w:bCs/>
          <w:sz w:val="18"/>
          <w:szCs w:val="18"/>
        </w:rPr>
        <w:t>（3） 其他应付款</w:t>
      </w:r>
      <w:bookmarkEnd w:id="189"/>
    </w:p>
    <w:p w:rsidR="00FD211C" w:rsidRDefault="00FD211C" w:rsidP="00EE2E4F">
      <w:pPr>
        <w:keepNext/>
        <w:keepLines/>
        <w:spacing w:before="240" w:after="240" w:line="280" w:lineRule="exact"/>
        <w:outlineLvl w:val="3"/>
        <w:rPr>
          <w:rFonts w:ascii="宋体" w:eastAsia="宋体" w:hAnsi="宋体" w:cs="宋体"/>
          <w:b/>
          <w:bCs/>
          <w:sz w:val="18"/>
          <w:szCs w:val="18"/>
        </w:rPr>
      </w:pPr>
    </w:p>
    <w:p w:rsidR="00E62F69" w:rsidRDefault="00B54A20">
      <w:pPr>
        <w:keepNext/>
        <w:keepLines/>
        <w:spacing w:before="300" w:after="300" w:line="280" w:lineRule="exact"/>
        <w:outlineLvl w:val="4"/>
        <w:rPr>
          <w:rFonts w:ascii="宋体" w:eastAsia="宋体" w:hAnsi="宋体" w:cs="宋体"/>
          <w:b/>
          <w:bCs/>
          <w:sz w:val="18"/>
          <w:szCs w:val="18"/>
        </w:rPr>
      </w:pPr>
      <w:bookmarkStart w:id="190" w:name="_Toc989187"/>
      <w:r>
        <w:rPr>
          <w:rFonts w:ascii="宋体" w:eastAsia="宋体" w:hAnsi="宋体" w:cs="宋体"/>
          <w:b/>
          <w:bCs/>
          <w:sz w:val="18"/>
          <w:szCs w:val="18"/>
        </w:rPr>
        <w:t>1） 按款项性质列示其他应付款</w:t>
      </w:r>
      <w:bookmarkEnd w:id="19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质保金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2,071,318.27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713,425.30</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72,317,004.30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92,582,244.38</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佣金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1,816,796.58</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29,413.00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955,200.30</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暂收款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25,893,925.83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34,370,211.50</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运费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17,216,001.08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31,154,999.09</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电费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6,951,914.01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7,243,388.90</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49,961,371.58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31,281,257.75</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股权款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61,850,000.00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土地费用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4,150,266.20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4,150,266.20</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关联方往来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12,581,381.77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12,525,073.89</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23,177,817.19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3,960,076.37</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276,200,413.23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220,752,940.26</w:t>
            </w:r>
          </w:p>
        </w:tc>
      </w:tr>
    </w:tbl>
    <w:p w:rsidR="00E62F69" w:rsidRDefault="00B54A20">
      <w:pPr>
        <w:keepNext/>
        <w:keepLines/>
        <w:spacing w:before="300" w:after="300" w:line="280" w:lineRule="exact"/>
        <w:outlineLvl w:val="4"/>
        <w:rPr>
          <w:rFonts w:ascii="宋体" w:eastAsia="宋体" w:hAnsi="宋体" w:cs="宋体"/>
          <w:b/>
          <w:bCs/>
          <w:sz w:val="18"/>
          <w:szCs w:val="18"/>
        </w:rPr>
      </w:pPr>
      <w:bookmarkStart w:id="191" w:name="_Toc989188"/>
      <w:r>
        <w:rPr>
          <w:rFonts w:ascii="宋体" w:eastAsia="宋体" w:hAnsi="宋体" w:cs="宋体"/>
          <w:b/>
          <w:bCs/>
          <w:sz w:val="18"/>
          <w:szCs w:val="18"/>
        </w:rPr>
        <w:t>2） 账龄超过1年的重要其他应付款</w:t>
      </w:r>
      <w:bookmarkEnd w:id="19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未偿</w:t>
            </w:r>
            <w:proofErr w:type="gramEnd"/>
            <w:r>
              <w:rPr>
                <w:rFonts w:ascii="宋体" w:eastAsia="宋体" w:hAnsi="宋体" w:cs="宋体"/>
                <w:sz w:val="18"/>
                <w:szCs w:val="18"/>
              </w:rPr>
              <w:t>还或结转的原因</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石河子开发区</w:t>
            </w:r>
            <w:proofErr w:type="gramStart"/>
            <w:r>
              <w:rPr>
                <w:rFonts w:ascii="宋体" w:eastAsia="宋体" w:hAnsi="宋体" w:cs="宋体"/>
                <w:sz w:val="18"/>
                <w:szCs w:val="18"/>
              </w:rPr>
              <w:t>九峰棉业</w:t>
            </w:r>
            <w:proofErr w:type="gramEnd"/>
            <w:r>
              <w:rPr>
                <w:rFonts w:ascii="宋体" w:eastAsia="宋体" w:hAnsi="宋体" w:cs="宋体"/>
                <w:sz w:val="18"/>
                <w:szCs w:val="18"/>
              </w:rPr>
              <w:t>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9,354,778.66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未支付</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许栩光</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5,844,320.96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未支付</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15,199,099.62</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92" w:name="_Toc989189"/>
      <w:r>
        <w:rPr>
          <w:rFonts w:ascii="宋体" w:hAnsi="宋体" w:cs="宋体"/>
          <w:b/>
          <w:bCs/>
        </w:rPr>
        <w:t>42、持有待售负债</w:t>
      </w:r>
      <w:bookmarkEnd w:id="192"/>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193" w:name="_Toc989190"/>
      <w:r>
        <w:rPr>
          <w:rFonts w:ascii="宋体" w:hAnsi="宋体" w:cs="宋体"/>
          <w:b/>
          <w:bCs/>
        </w:rPr>
        <w:t>43、一年内到期的非流动负债</w:t>
      </w:r>
      <w:bookmarkEnd w:id="19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170,200,000.00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132,000,000.00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8,615,780.84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8,589,298.01</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计提的长期借款利息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4,228,355.16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903,581.75</w:t>
            </w:r>
          </w:p>
        </w:tc>
      </w:tr>
      <w:tr w:rsidR="00E62F69" w:rsidTr="00EE2E4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203,044,136.00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161,492,879.76</w:t>
            </w:r>
          </w:p>
        </w:tc>
      </w:tr>
    </w:tbl>
    <w:p w:rsidR="00B54A20" w:rsidRPr="00FD211C" w:rsidRDefault="00B54A20" w:rsidP="00EE2E4F">
      <w:pPr>
        <w:spacing w:before="100" w:after="100" w:line="240" w:lineRule="exact"/>
        <w:rPr>
          <w:rFonts w:asciiTheme="minorEastAsia" w:hAnsiTheme="minorEastAsia" w:cs="宋体"/>
          <w:sz w:val="18"/>
          <w:szCs w:val="18"/>
        </w:rPr>
      </w:pPr>
      <w:r w:rsidRPr="00FD211C">
        <w:rPr>
          <w:rFonts w:asciiTheme="minorEastAsia" w:hAnsiTheme="minorEastAsia" w:cs="宋体"/>
          <w:sz w:val="18"/>
          <w:szCs w:val="18"/>
        </w:rPr>
        <w:t>其他说明：</w:t>
      </w:r>
      <w:r w:rsidRPr="00FD211C">
        <w:rPr>
          <w:rFonts w:asciiTheme="minorEastAsia" w:hAnsiTheme="minorEastAsia" w:hint="eastAsia"/>
          <w:sz w:val="18"/>
          <w:szCs w:val="18"/>
        </w:rPr>
        <w:t>2009年11月30日，新疆华孚纺织有限公司与石河子国有资产经营(集团)有限公司签订的股权转让合同，公司将以人民币4,000万元购买石河子国有资产经营(集团)有限公司及其子公司新疆石河子造纸厂共同持有的天宏新</w:t>
      </w:r>
      <w:proofErr w:type="gramStart"/>
      <w:r w:rsidRPr="00FD211C">
        <w:rPr>
          <w:rFonts w:asciiTheme="minorEastAsia" w:hAnsiTheme="minorEastAsia" w:hint="eastAsia"/>
          <w:sz w:val="18"/>
          <w:szCs w:val="18"/>
        </w:rPr>
        <w:t>八棉全部</w:t>
      </w:r>
      <w:proofErr w:type="gramEnd"/>
      <w:r w:rsidRPr="00FD211C">
        <w:rPr>
          <w:rFonts w:asciiTheme="minorEastAsia" w:hAnsiTheme="minorEastAsia" w:hint="eastAsia"/>
          <w:sz w:val="18"/>
          <w:szCs w:val="18"/>
        </w:rPr>
        <w:t>股份，全部转让款分两次付清，即第一次在本协议签字生效后一个月内支付人民币2,000万元，第二次在四至五年内全部付清。本公司已支付人民币2,000万元，剩余尚未支付款项人民币2,000万元已计入一年内到期的非流动负债。</w:t>
      </w:r>
    </w:p>
    <w:p w:rsidR="00E62F69" w:rsidRDefault="00B54A20">
      <w:pPr>
        <w:pStyle w:val="3"/>
        <w:spacing w:line="280" w:lineRule="exact"/>
        <w:jc w:val="left"/>
        <w:rPr>
          <w:rFonts w:ascii="宋体" w:hAnsi="宋体" w:cs="宋体"/>
          <w:b/>
          <w:bCs/>
        </w:rPr>
      </w:pPr>
      <w:bookmarkStart w:id="194" w:name="_Toc989191"/>
      <w:r>
        <w:rPr>
          <w:rFonts w:ascii="宋体" w:hAnsi="宋体" w:cs="宋体"/>
          <w:b/>
          <w:bCs/>
        </w:rPr>
        <w:t>44、其他流动负债</w:t>
      </w:r>
      <w:bookmarkEnd w:id="19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保付加签借款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15,188,220.80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23,120,206.97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预收货款的增值税额</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60,879,424.59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68,977,770.95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76,067,645.39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92,097,977.92</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EE2E4F">
        <w:rPr>
          <w:rFonts w:ascii="宋体" w:eastAsia="宋体" w:hAnsi="宋体" w:cs="宋体" w:hint="eastAsia"/>
          <w:sz w:val="18"/>
          <w:szCs w:val="18"/>
        </w:rPr>
        <w:t>无</w:t>
      </w:r>
    </w:p>
    <w:p w:rsidR="00E62F69" w:rsidRDefault="00B54A20" w:rsidP="00EE2E4F">
      <w:pPr>
        <w:pStyle w:val="3"/>
        <w:spacing w:before="0" w:after="0" w:line="280" w:lineRule="exact"/>
        <w:jc w:val="left"/>
        <w:rPr>
          <w:rFonts w:ascii="宋体" w:hAnsi="宋体" w:cs="宋体"/>
          <w:b/>
          <w:bCs/>
        </w:rPr>
      </w:pPr>
      <w:bookmarkStart w:id="195" w:name="_Toc989192"/>
      <w:r>
        <w:rPr>
          <w:rFonts w:ascii="宋体" w:hAnsi="宋体" w:cs="宋体"/>
          <w:b/>
          <w:bCs/>
        </w:rPr>
        <w:t>45、长期借款</w:t>
      </w:r>
      <w:bookmarkEnd w:id="195"/>
    </w:p>
    <w:p w:rsidR="00E62F69" w:rsidRDefault="00B54A20" w:rsidP="00EE2E4F">
      <w:pPr>
        <w:keepNext/>
        <w:keepLines/>
        <w:spacing w:line="280" w:lineRule="exact"/>
        <w:outlineLvl w:val="3"/>
        <w:rPr>
          <w:rFonts w:ascii="宋体" w:eastAsia="宋体" w:hAnsi="宋体" w:cs="宋体"/>
          <w:b/>
          <w:bCs/>
          <w:sz w:val="18"/>
          <w:szCs w:val="18"/>
        </w:rPr>
      </w:pPr>
      <w:bookmarkStart w:id="196" w:name="_Toc989193"/>
      <w:r>
        <w:rPr>
          <w:rFonts w:ascii="宋体" w:eastAsia="宋体" w:hAnsi="宋体" w:cs="宋体"/>
          <w:b/>
          <w:bCs/>
          <w:sz w:val="18"/>
          <w:szCs w:val="18"/>
        </w:rPr>
        <w:t>（1） 长期借款分类</w:t>
      </w:r>
      <w:bookmarkEnd w:id="19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343,591,848.88</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340,870,000.00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3,642,973.62</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保证、质押借款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91,710,000.00</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保证、抵押借款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622,806,000.00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613,678,748.42</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一年内到期的长期借款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-170,200,000.00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-132,582,748.42</w:t>
            </w:r>
          </w:p>
        </w:tc>
      </w:tr>
      <w:tr w:rsidR="00E62F69" w:rsidTr="00EE2E4F">
        <w:trPr>
          <w:cantSplit/>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1,093,476,000.00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920,040,822.50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长期借款分类的说明：</w:t>
      </w:r>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其他说明，包括利率区间：</w:t>
      </w:r>
      <w:r>
        <w:rPr>
          <w:rFonts w:hint="eastAsia"/>
          <w:sz w:val="18"/>
          <w:szCs w:val="18"/>
        </w:rPr>
        <w:t>无。</w:t>
      </w:r>
    </w:p>
    <w:p w:rsidR="00E62F69" w:rsidRDefault="00B54A20">
      <w:pPr>
        <w:pStyle w:val="3"/>
        <w:spacing w:line="280" w:lineRule="exact"/>
        <w:jc w:val="left"/>
        <w:rPr>
          <w:rFonts w:ascii="宋体" w:hAnsi="宋体" w:cs="宋体"/>
          <w:b/>
          <w:bCs/>
        </w:rPr>
      </w:pPr>
      <w:bookmarkStart w:id="197" w:name="_Toc989194"/>
      <w:r>
        <w:rPr>
          <w:rFonts w:ascii="宋体" w:hAnsi="宋体" w:cs="宋体"/>
          <w:b/>
          <w:bCs/>
        </w:rPr>
        <w:t>46、应付债券</w:t>
      </w:r>
      <w:bookmarkEnd w:id="197"/>
    </w:p>
    <w:p w:rsidR="00E62F69" w:rsidRDefault="00B54A20">
      <w:pPr>
        <w:keepNext/>
        <w:keepLines/>
        <w:spacing w:before="300" w:after="300" w:line="280" w:lineRule="exact"/>
        <w:outlineLvl w:val="3"/>
        <w:rPr>
          <w:rFonts w:ascii="宋体" w:eastAsia="宋体" w:hAnsi="宋体" w:cs="宋体"/>
          <w:b/>
          <w:bCs/>
          <w:szCs w:val="21"/>
        </w:rPr>
      </w:pPr>
      <w:bookmarkStart w:id="198" w:name="_Toc989195"/>
      <w:r>
        <w:rPr>
          <w:rFonts w:ascii="宋体" w:eastAsia="宋体" w:hAnsi="宋体" w:cs="宋体"/>
          <w:b/>
          <w:bCs/>
          <w:szCs w:val="21"/>
        </w:rPr>
        <w:t>（1） 应付债券</w:t>
      </w:r>
      <w:bookmarkEnd w:id="198"/>
    </w:p>
    <w:p w:rsidR="00EE2E4F" w:rsidRDefault="00EE2E4F">
      <w:pPr>
        <w:keepNext/>
        <w:keepLines/>
        <w:spacing w:before="300" w:after="300" w:line="280" w:lineRule="exact"/>
        <w:outlineLvl w:val="3"/>
        <w:rPr>
          <w:rFonts w:ascii="宋体" w:eastAsia="宋体" w:hAnsi="宋体" w:cs="宋体"/>
          <w:sz w:val="18"/>
          <w:szCs w:val="18"/>
        </w:rPr>
      </w:pPr>
      <w:bookmarkStart w:id="199" w:name="_Toc989196"/>
      <w:r>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 应付债券的增减变动（不包括划分为金融负债的优先股、永续债等其他金融工具）</w:t>
      </w:r>
      <w:bookmarkEnd w:id="199"/>
    </w:p>
    <w:p w:rsidR="00EE2E4F" w:rsidRDefault="00EE2E4F">
      <w:pPr>
        <w:keepNext/>
        <w:keepLines/>
        <w:spacing w:before="300" w:after="300" w:line="280" w:lineRule="exact"/>
        <w:outlineLvl w:val="3"/>
        <w:rPr>
          <w:rFonts w:ascii="宋体" w:eastAsia="宋体" w:hAnsi="宋体" w:cs="宋体"/>
          <w:sz w:val="18"/>
          <w:szCs w:val="18"/>
        </w:rPr>
      </w:pPr>
      <w:bookmarkStart w:id="200" w:name="_Toc989197"/>
      <w:r>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（3） 可转换公司债</w:t>
      </w:r>
      <w:proofErr w:type="gramStart"/>
      <w:r>
        <w:rPr>
          <w:rFonts w:ascii="宋体" w:eastAsia="宋体" w:hAnsi="宋体" w:cs="宋体"/>
          <w:b/>
          <w:bCs/>
          <w:szCs w:val="21"/>
        </w:rPr>
        <w:t>券</w:t>
      </w:r>
      <w:proofErr w:type="gramEnd"/>
      <w:r>
        <w:rPr>
          <w:rFonts w:ascii="宋体" w:eastAsia="宋体" w:hAnsi="宋体" w:cs="宋体"/>
          <w:b/>
          <w:bCs/>
          <w:szCs w:val="21"/>
        </w:rPr>
        <w:t>的转股条件、转</w:t>
      </w:r>
      <w:proofErr w:type="gramStart"/>
      <w:r>
        <w:rPr>
          <w:rFonts w:ascii="宋体" w:eastAsia="宋体" w:hAnsi="宋体" w:cs="宋体"/>
          <w:b/>
          <w:bCs/>
          <w:szCs w:val="21"/>
        </w:rPr>
        <w:t>股时间</w:t>
      </w:r>
      <w:proofErr w:type="gramEnd"/>
      <w:r>
        <w:rPr>
          <w:rFonts w:ascii="宋体" w:eastAsia="宋体" w:hAnsi="宋体" w:cs="宋体"/>
          <w:b/>
          <w:bCs/>
          <w:szCs w:val="21"/>
        </w:rPr>
        <w:t>说明</w:t>
      </w:r>
      <w:bookmarkEnd w:id="200"/>
    </w:p>
    <w:p w:rsidR="00B54A20" w:rsidRDefault="00B54A20">
      <w:pPr>
        <w:pStyle w:val="a3"/>
        <w:divId w:val="724331926"/>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01" w:name="_Toc989198"/>
      <w:r>
        <w:rPr>
          <w:rFonts w:ascii="宋体" w:eastAsia="宋体" w:hAnsi="宋体" w:cs="宋体"/>
          <w:b/>
          <w:bCs/>
          <w:szCs w:val="21"/>
        </w:rPr>
        <w:t>（4） 划分为金融负债的其他金融工具说明</w:t>
      </w:r>
      <w:bookmarkEnd w:id="201"/>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期末发行在外的优先股、永续债等其他金融工具基本情况</w:t>
      </w:r>
    </w:p>
    <w:p w:rsidR="00B54A20" w:rsidRDefault="00B54A20">
      <w:pPr>
        <w:pStyle w:val="a3"/>
        <w:divId w:val="930502844"/>
        <w:rPr>
          <w:sz w:val="18"/>
          <w:szCs w:val="18"/>
        </w:rPr>
      </w:pPr>
      <w:r>
        <w:rPr>
          <w:rFonts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其他金融工具划分为金融负债的依据说明</w:t>
      </w:r>
    </w:p>
    <w:p w:rsidR="00B54A20" w:rsidRDefault="00B54A20">
      <w:pPr>
        <w:pStyle w:val="a3"/>
        <w:divId w:val="1480416842"/>
        <w:rPr>
          <w:sz w:val="18"/>
          <w:szCs w:val="18"/>
        </w:rPr>
      </w:pPr>
      <w:r>
        <w:rPr>
          <w:rFonts w:hint="eastAsia"/>
          <w:sz w:val="18"/>
          <w:szCs w:val="18"/>
        </w:rPr>
        <w:t>无。</w:t>
      </w:r>
    </w:p>
    <w:p w:rsidR="00B54A20" w:rsidRPr="00FD211C" w:rsidRDefault="00B54A20" w:rsidP="00FD211C">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FD211C">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02" w:name="_Toc989199"/>
      <w:r>
        <w:rPr>
          <w:rFonts w:ascii="宋体" w:hAnsi="宋体" w:cs="宋体"/>
          <w:b/>
          <w:bCs/>
        </w:rPr>
        <w:t>47、租赁负债</w:t>
      </w:r>
      <w:bookmarkEnd w:id="20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租赁房屋建筑物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26,661,528.14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26,790,506.43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租赁设备</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612,094.29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减：未确认融资费用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-1,505,097.11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-2,141,957.13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减：一年内到期的租赁负债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-8,615,780.84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-8,589,298.01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16,540,650.19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16,671,345.58</w:t>
            </w:r>
          </w:p>
        </w:tc>
      </w:tr>
    </w:tbl>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03" w:name="_Toc989200"/>
      <w:r>
        <w:rPr>
          <w:rFonts w:ascii="宋体" w:hAnsi="宋体" w:cs="宋体"/>
          <w:b/>
          <w:bCs/>
        </w:rPr>
        <w:t>48、长期应付款</w:t>
      </w:r>
      <w:bookmarkEnd w:id="20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bl>
    <w:p w:rsidR="00E62F69" w:rsidRDefault="00B54A20">
      <w:pPr>
        <w:keepNext/>
        <w:keepLines/>
        <w:spacing w:before="300" w:after="300" w:line="280" w:lineRule="exact"/>
        <w:outlineLvl w:val="3"/>
        <w:rPr>
          <w:rFonts w:ascii="宋体" w:eastAsia="宋体" w:hAnsi="宋体" w:cs="宋体"/>
          <w:b/>
          <w:bCs/>
          <w:sz w:val="18"/>
          <w:szCs w:val="18"/>
        </w:rPr>
      </w:pPr>
      <w:bookmarkStart w:id="204" w:name="_Toc989201"/>
      <w:r>
        <w:rPr>
          <w:rFonts w:ascii="宋体" w:eastAsia="宋体" w:hAnsi="宋体" w:cs="宋体"/>
          <w:b/>
          <w:bCs/>
          <w:sz w:val="18"/>
          <w:szCs w:val="18"/>
        </w:rPr>
        <w:t>（1） 按款项性质列示长期应付款</w:t>
      </w:r>
      <w:bookmarkEnd w:id="20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担保损失备付金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4,367,138.45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w:t>
            </w:r>
            <w:proofErr w:type="gramStart"/>
            <w:r>
              <w:rPr>
                <w:rFonts w:ascii="宋体" w:eastAsia="宋体" w:hAnsi="宋体" w:cs="宋体"/>
                <w:sz w:val="18"/>
                <w:szCs w:val="18"/>
              </w:rPr>
              <w:t>附限制</w:t>
            </w:r>
            <w:proofErr w:type="gramEnd"/>
            <w:r>
              <w:rPr>
                <w:rFonts w:ascii="宋体" w:eastAsia="宋体" w:hAnsi="宋体" w:cs="宋体"/>
                <w:sz w:val="18"/>
                <w:szCs w:val="18"/>
              </w:rPr>
              <w:t>条件的投资款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220,000,000.00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股权款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减：一年内到期的长期应付款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224,367,138.45</w:t>
            </w:r>
          </w:p>
        </w:tc>
      </w:tr>
    </w:tbl>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05" w:name="_Toc989202"/>
      <w:r>
        <w:rPr>
          <w:rFonts w:ascii="宋体" w:eastAsia="宋体" w:hAnsi="宋体" w:cs="宋体"/>
          <w:b/>
          <w:bCs/>
          <w:sz w:val="18"/>
          <w:szCs w:val="18"/>
        </w:rPr>
        <w:t>（2） 专项应付款</w:t>
      </w:r>
      <w:bookmarkEnd w:id="205"/>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06" w:name="_Toc989203"/>
      <w:r>
        <w:rPr>
          <w:rFonts w:ascii="宋体" w:hAnsi="宋体" w:cs="宋体"/>
          <w:b/>
          <w:bCs/>
        </w:rPr>
        <w:t>49、长期应付职工薪</w:t>
      </w:r>
      <w:proofErr w:type="gramStart"/>
      <w:r>
        <w:rPr>
          <w:rFonts w:ascii="宋体" w:hAnsi="宋体" w:cs="宋体"/>
          <w:b/>
          <w:bCs/>
        </w:rPr>
        <w:t>酬</w:t>
      </w:r>
      <w:bookmarkEnd w:id="206"/>
      <w:proofErr w:type="gramEnd"/>
    </w:p>
    <w:p w:rsidR="00E62F69" w:rsidRDefault="00B54A20">
      <w:pPr>
        <w:keepNext/>
        <w:keepLines/>
        <w:spacing w:before="300" w:after="300" w:line="280" w:lineRule="exact"/>
        <w:outlineLvl w:val="3"/>
        <w:rPr>
          <w:rFonts w:ascii="宋体" w:eastAsia="宋体" w:hAnsi="宋体" w:cs="宋体"/>
          <w:b/>
          <w:bCs/>
          <w:sz w:val="18"/>
          <w:szCs w:val="18"/>
        </w:rPr>
      </w:pPr>
      <w:bookmarkStart w:id="207" w:name="_Toc989204"/>
      <w:r>
        <w:rPr>
          <w:rFonts w:ascii="宋体" w:eastAsia="宋体" w:hAnsi="宋体" w:cs="宋体"/>
          <w:b/>
          <w:bCs/>
          <w:sz w:val="18"/>
          <w:szCs w:val="18"/>
        </w:rPr>
        <w:t>（1） 长期应付职工薪酬表</w:t>
      </w:r>
      <w:bookmarkEnd w:id="207"/>
    </w:p>
    <w:p w:rsidR="00EE2E4F" w:rsidRDefault="00EE2E4F">
      <w:pPr>
        <w:keepNext/>
        <w:keepLines/>
        <w:spacing w:before="300" w:after="300" w:line="280" w:lineRule="exact"/>
        <w:outlineLvl w:val="3"/>
        <w:rPr>
          <w:rFonts w:ascii="宋体" w:eastAsia="宋体" w:hAnsi="宋体" w:cs="宋体"/>
          <w:sz w:val="18"/>
          <w:szCs w:val="18"/>
        </w:rPr>
      </w:pPr>
      <w:bookmarkStart w:id="208" w:name="_Toc989205"/>
      <w:r>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t>（2） 设定受益计划变动情况</w:t>
      </w:r>
      <w:bookmarkEnd w:id="208"/>
    </w:p>
    <w:p w:rsidR="00E62F69" w:rsidRDefault="00B54A20">
      <w:pPr>
        <w:spacing w:before="120" w:after="120" w:line="240" w:lineRule="exact"/>
        <w:rPr>
          <w:rFonts w:ascii="宋体" w:eastAsia="宋体" w:hAnsi="宋体" w:cs="宋体"/>
          <w:sz w:val="18"/>
          <w:szCs w:val="18"/>
        </w:rPr>
      </w:pPr>
      <w:r>
        <w:rPr>
          <w:rFonts w:ascii="宋体" w:eastAsia="宋体" w:hAnsi="宋体" w:cs="宋体"/>
          <w:sz w:val="18"/>
          <w:szCs w:val="18"/>
        </w:rPr>
        <w:t>设定受益计划义务现值：</w:t>
      </w:r>
      <w:r w:rsidR="00EE2E4F">
        <w:rPr>
          <w:rFonts w:ascii="宋体" w:eastAsia="宋体" w:hAnsi="宋体" w:cs="宋体"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计划资产：</w:t>
      </w:r>
      <w:r w:rsidR="00EE2E4F">
        <w:rPr>
          <w:rFonts w:ascii="宋体" w:eastAsia="宋体" w:hAnsi="宋体" w:cs="宋体"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设定受益计划净负债（净资产）</w:t>
      </w:r>
      <w:r w:rsidR="00EE2E4F">
        <w:rPr>
          <w:rFonts w:ascii="宋体" w:eastAsia="宋体" w:hAnsi="宋体" w:cs="宋体" w:hint="eastAsia"/>
          <w:sz w:val="18"/>
          <w:szCs w:val="18"/>
        </w:rPr>
        <w:t>：无</w:t>
      </w:r>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设定受益计划的内容及与之相关风险、对公司未来现金流量、时间和不确定性的影响说明：</w:t>
      </w:r>
      <w:r>
        <w:rPr>
          <w:rFonts w:hint="eastAsia"/>
          <w:sz w:val="18"/>
          <w:szCs w:val="18"/>
        </w:rPr>
        <w:t>无。</w:t>
      </w:r>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设定受益计划重大精算假设及敏感性分析结果说明：</w:t>
      </w:r>
      <w:r>
        <w:rPr>
          <w:rFonts w:hint="eastAsia"/>
          <w:sz w:val="18"/>
          <w:szCs w:val="18"/>
        </w:rPr>
        <w:t>无。</w:t>
      </w:r>
    </w:p>
    <w:p w:rsidR="00B54A20" w:rsidRPr="00EE2E4F" w:rsidRDefault="00B54A20" w:rsidP="00EE2E4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09" w:name="_Toc989206"/>
      <w:r>
        <w:rPr>
          <w:rFonts w:ascii="宋体" w:hAnsi="宋体" w:cs="宋体"/>
          <w:b/>
          <w:bCs/>
        </w:rPr>
        <w:t>50、预计负债</w:t>
      </w:r>
      <w:bookmarkEnd w:id="209"/>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产品质量保证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94,782.80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94,782.80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237,600.78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1C2C7D" w:rsidRDefault="00B54A20" w:rsidP="001C2C7D">
      <w:pPr>
        <w:spacing w:before="100" w:after="100" w:line="240" w:lineRule="exact"/>
        <w:rPr>
          <w:rFonts w:ascii="宋体" w:eastAsia="宋体" w:hAnsi="宋体" w:cs="宋体"/>
          <w:sz w:val="18"/>
          <w:szCs w:val="18"/>
        </w:rPr>
      </w:pPr>
      <w:r>
        <w:rPr>
          <w:rFonts w:ascii="宋体" w:eastAsia="宋体" w:hAnsi="宋体" w:cs="宋体"/>
          <w:sz w:val="18"/>
          <w:szCs w:val="18"/>
        </w:rPr>
        <w:t>其他说明，包括重要预计负债的相关重要假设、估计说明：</w:t>
      </w:r>
      <w:r>
        <w:rPr>
          <w:rFonts w:hint="eastAsia"/>
          <w:sz w:val="18"/>
          <w:szCs w:val="18"/>
        </w:rPr>
        <w:t>无。</w:t>
      </w:r>
    </w:p>
    <w:p w:rsidR="00E62F69" w:rsidRDefault="00B54A20">
      <w:pPr>
        <w:pStyle w:val="3"/>
        <w:spacing w:line="280" w:lineRule="exact"/>
        <w:jc w:val="left"/>
        <w:rPr>
          <w:rFonts w:ascii="宋体" w:hAnsi="宋体" w:cs="宋体"/>
          <w:b/>
          <w:bCs/>
        </w:rPr>
      </w:pPr>
      <w:bookmarkStart w:id="210" w:name="_Toc989207"/>
      <w:r>
        <w:rPr>
          <w:rFonts w:ascii="宋体" w:hAnsi="宋体" w:cs="宋体"/>
          <w:b/>
          <w:bCs/>
        </w:rPr>
        <w:t>51、递延收益</w:t>
      </w:r>
      <w:bookmarkEnd w:id="21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47,598,277.29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47,598,277.29</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涉及政府补助的项目：</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负债项目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本期新增补助金额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本期计入营业外收入金额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本期计入其他收益金额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本期冲减成本费用金额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与资产相关/与收益相关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平湖华孚拆迁补偿款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45,341,984.33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45,341,984.33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本公司节能设备补贴</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9,590,898.67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247,476.00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9,343,422.67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江苏华孚固定投资配套奖励款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六孚基础</w:t>
            </w:r>
            <w:proofErr w:type="gramEnd"/>
            <w:r>
              <w:rPr>
                <w:rFonts w:ascii="宋体" w:eastAsia="宋体" w:hAnsi="宋体" w:cs="宋体"/>
                <w:sz w:val="18"/>
                <w:szCs w:val="18"/>
              </w:rPr>
              <w:t>设施配套款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4,919,838.23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66,038.10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4,853,800.13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阿克苏华孚土地补贴款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5,148,092.37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66,713.94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九江华孚土地补贴款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阿克苏华孚产业技术改造资金</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8,303,388.73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280,000.02</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8,023,388.71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五家渠华孚色纱项目建设补助</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843,987.12</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114,051.12</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729,936.00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六孚土地</w:t>
            </w:r>
            <w:proofErr w:type="gramEnd"/>
            <w:r>
              <w:rPr>
                <w:rFonts w:ascii="宋体" w:eastAsia="宋体" w:hAnsi="宋体" w:cs="宋体"/>
                <w:sz w:val="18"/>
                <w:szCs w:val="18"/>
              </w:rPr>
              <w:t>补贴款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899,249.72</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10,900.02</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888,349.70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九江中</w:t>
            </w:r>
            <w:proofErr w:type="gramStart"/>
            <w:r>
              <w:rPr>
                <w:rFonts w:ascii="宋体" w:eastAsia="宋体" w:hAnsi="宋体" w:cs="宋体"/>
                <w:sz w:val="18"/>
                <w:szCs w:val="18"/>
              </w:rPr>
              <w:t>浩</w:t>
            </w:r>
            <w:proofErr w:type="gramEnd"/>
            <w:r>
              <w:rPr>
                <w:rFonts w:ascii="宋体" w:eastAsia="宋体" w:hAnsi="宋体" w:cs="宋体"/>
                <w:sz w:val="18"/>
                <w:szCs w:val="18"/>
              </w:rPr>
              <w:t>支持重点承接地厂房建设款</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576,000.00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18,000.00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558,000.00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新疆六孚技改</w:t>
            </w:r>
            <w:proofErr w:type="gramEnd"/>
            <w:r>
              <w:rPr>
                <w:rFonts w:ascii="宋体" w:eastAsia="宋体" w:hAnsi="宋体" w:cs="宋体"/>
                <w:sz w:val="18"/>
                <w:szCs w:val="18"/>
              </w:rPr>
              <w:t>专项补贴</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菁英创业</w:t>
            </w:r>
            <w:proofErr w:type="gramEnd"/>
            <w:r>
              <w:rPr>
                <w:rFonts w:ascii="宋体" w:eastAsia="宋体" w:hAnsi="宋体" w:cs="宋体"/>
                <w:sz w:val="18"/>
                <w:szCs w:val="18"/>
              </w:rPr>
              <w:t>厂房改造补贴</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浙江博忆数字化</w:t>
            </w:r>
            <w:proofErr w:type="gramEnd"/>
            <w:r>
              <w:rPr>
                <w:rFonts w:ascii="宋体" w:eastAsia="宋体" w:hAnsi="宋体" w:cs="宋体"/>
                <w:sz w:val="18"/>
                <w:szCs w:val="18"/>
              </w:rPr>
              <w:t>及设备专项补贴</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7,226,566.30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1,151,069.51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9,635,296.79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阿克苏小商品</w:t>
            </w:r>
            <w:proofErr w:type="gramStart"/>
            <w:r>
              <w:rPr>
                <w:rFonts w:ascii="宋体" w:eastAsia="宋体" w:hAnsi="宋体" w:cs="宋体"/>
                <w:sz w:val="18"/>
                <w:szCs w:val="18"/>
              </w:rPr>
              <w:t>城设备</w:t>
            </w:r>
            <w:proofErr w:type="gramEnd"/>
            <w:r>
              <w:rPr>
                <w:rFonts w:ascii="宋体" w:eastAsia="宋体" w:hAnsi="宋体" w:cs="宋体"/>
                <w:sz w:val="18"/>
                <w:szCs w:val="18"/>
              </w:rPr>
              <w:t>补贴</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6,587,894.97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302,044.25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6,587,894.97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89,437,900.44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47,048,757.04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549,520.25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45,399,423.15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与资产相关</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11" w:name="_Toc989208"/>
      <w:r>
        <w:rPr>
          <w:rFonts w:ascii="宋体" w:hAnsi="宋体" w:cs="宋体"/>
          <w:b/>
          <w:bCs/>
        </w:rPr>
        <w:t>52、其他非流动负债</w:t>
      </w:r>
      <w:bookmarkEnd w:id="211"/>
    </w:p>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12" w:name="_Toc989209"/>
      <w:r>
        <w:rPr>
          <w:rFonts w:ascii="宋体" w:hAnsi="宋体" w:cs="宋体"/>
          <w:b/>
          <w:bCs/>
        </w:rPr>
        <w:t>53、股本</w:t>
      </w:r>
      <w:bookmarkEnd w:id="21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739"/>
        <w:gridCol w:w="1276"/>
        <w:gridCol w:w="851"/>
        <w:gridCol w:w="1275"/>
        <w:gridCol w:w="884"/>
        <w:gridCol w:w="676"/>
        <w:gridCol w:w="1734"/>
      </w:tblGrid>
      <w:tr w:rsidR="00E62F69" w:rsidTr="00B72F50">
        <w:trPr>
          <w:trHeight w:val="240"/>
        </w:trPr>
        <w:tc>
          <w:tcPr>
            <w:tcW w:w="120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3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962"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7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rsidTr="00B72F50">
        <w:trPr>
          <w:trHeight w:val="240"/>
        </w:trPr>
        <w:tc>
          <w:tcPr>
            <w:tcW w:w="120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3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88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7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73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12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8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6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13" w:name="_Toc989210"/>
      <w:r>
        <w:rPr>
          <w:rFonts w:ascii="宋体" w:hAnsi="宋体" w:cs="宋体"/>
          <w:b/>
          <w:bCs/>
        </w:rPr>
        <w:t>54、其他权益工具</w:t>
      </w:r>
      <w:bookmarkEnd w:id="213"/>
    </w:p>
    <w:p w:rsidR="00E62F69" w:rsidRDefault="00B54A20">
      <w:pPr>
        <w:keepNext/>
        <w:keepLines/>
        <w:spacing w:before="300" w:after="300" w:line="280" w:lineRule="exact"/>
        <w:outlineLvl w:val="3"/>
        <w:rPr>
          <w:rFonts w:ascii="宋体" w:eastAsia="宋体" w:hAnsi="宋体" w:cs="宋体"/>
          <w:b/>
          <w:bCs/>
          <w:sz w:val="18"/>
          <w:szCs w:val="18"/>
        </w:rPr>
      </w:pPr>
      <w:bookmarkStart w:id="214" w:name="_Toc989211"/>
      <w:r>
        <w:rPr>
          <w:rFonts w:ascii="宋体" w:eastAsia="宋体" w:hAnsi="宋体" w:cs="宋体"/>
          <w:b/>
          <w:bCs/>
          <w:sz w:val="18"/>
          <w:szCs w:val="18"/>
        </w:rPr>
        <w:t>（1） 期末发行在外的优先股、永续债等其他金融工具基本情况</w:t>
      </w:r>
      <w:bookmarkEnd w:id="214"/>
    </w:p>
    <w:p w:rsidR="00B54A20" w:rsidRDefault="00B54A20">
      <w:pPr>
        <w:pStyle w:val="a3"/>
        <w:divId w:val="1361929731"/>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15" w:name="_Toc989212"/>
      <w:r>
        <w:rPr>
          <w:rFonts w:ascii="宋体" w:eastAsia="宋体" w:hAnsi="宋体" w:cs="宋体"/>
          <w:b/>
          <w:bCs/>
          <w:sz w:val="18"/>
          <w:szCs w:val="18"/>
        </w:rPr>
        <w:t>（2） 期末发行在外的优先股、永续债等金融工具变动情况表</w:t>
      </w:r>
      <w:bookmarkEnd w:id="215"/>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其他权益工具本期增减变动情况、变动原因说明，以及相关会计处理的依据：</w:t>
      </w:r>
      <w:r w:rsidR="00B72F50">
        <w:rPr>
          <w:rFonts w:ascii="宋体" w:eastAsia="宋体" w:hAnsi="宋体" w:cs="宋体"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216" w:name="_Toc989213"/>
      <w:r>
        <w:rPr>
          <w:rFonts w:ascii="宋体" w:hAnsi="宋体" w:cs="宋体"/>
          <w:b/>
          <w:bCs/>
        </w:rPr>
        <w:t>55、资本公积</w:t>
      </w:r>
      <w:bookmarkEnd w:id="21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2,737,043,736.03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2,715,927,668.87</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3,782,847.52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3,782,847.52</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2,740,826,583.55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21,116,067.16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2,719,710,516.39</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r>
        <w:rPr>
          <w:rFonts w:hint="eastAsia"/>
          <w:sz w:val="18"/>
          <w:szCs w:val="18"/>
        </w:rPr>
        <w:t>本期资本公积减少为收购子公司平湖华孚少数股权及转让子公司呼图壁宏盛股权形成。</w:t>
      </w:r>
    </w:p>
    <w:p w:rsidR="00E62F69" w:rsidRDefault="00B54A20">
      <w:pPr>
        <w:pStyle w:val="3"/>
        <w:spacing w:line="280" w:lineRule="exact"/>
        <w:jc w:val="left"/>
        <w:rPr>
          <w:rFonts w:ascii="宋体" w:hAnsi="宋体" w:cs="宋体"/>
          <w:b/>
          <w:bCs/>
        </w:rPr>
      </w:pPr>
      <w:bookmarkStart w:id="217" w:name="_Toc989214"/>
      <w:r>
        <w:rPr>
          <w:rFonts w:ascii="宋体" w:hAnsi="宋体" w:cs="宋体"/>
          <w:b/>
          <w:bCs/>
        </w:rPr>
        <w:t>56、库存股</w:t>
      </w:r>
      <w:bookmarkEnd w:id="21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库存股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200,071,093.36</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153,096,733.44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200,071,093.36</w:t>
            </w:r>
          </w:p>
        </w:tc>
      </w:tr>
    </w:tbl>
    <w:p w:rsidR="00E62F69" w:rsidRDefault="00B54A20" w:rsidP="00B72F50">
      <w:pPr>
        <w:spacing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B54A20" w:rsidRDefault="00B54A20" w:rsidP="00B72F50">
      <w:pPr>
        <w:pStyle w:val="a3"/>
        <w:spacing w:before="0" w:beforeAutospacing="0" w:after="0" w:afterAutospacing="0"/>
        <w:divId w:val="2013410603"/>
        <w:rPr>
          <w:sz w:val="18"/>
          <w:szCs w:val="18"/>
        </w:rPr>
      </w:pPr>
      <w:r>
        <w:rPr>
          <w:rFonts w:hint="eastAsia"/>
          <w:sz w:val="18"/>
          <w:szCs w:val="18"/>
        </w:rPr>
        <w:t>本公司2023年3月17日召开第八届董事会2023年第一次临时会议审议通过《关于2023年回购公司股份方案的议案》。本次回购的股份种类为公司发行的人民币普通股（A股），回购股份的资金总额不低于人民币10,000万元，不超过人民币20,000万元，回购股份的价格不超过4.60元/股。截止2023年6月30日，公司已累计通过股票回购专用证券账户以集中竞价交易方式回购股份61075314股，占公司总股本3.59%。</w:t>
      </w:r>
    </w:p>
    <w:p w:rsidR="00E62F69" w:rsidRDefault="00B54A20">
      <w:pPr>
        <w:pStyle w:val="3"/>
        <w:spacing w:line="280" w:lineRule="exact"/>
        <w:jc w:val="left"/>
        <w:rPr>
          <w:rFonts w:ascii="宋体" w:hAnsi="宋体" w:cs="宋体"/>
          <w:b/>
          <w:bCs/>
        </w:rPr>
      </w:pPr>
      <w:bookmarkStart w:id="218" w:name="_Toc989215"/>
      <w:r>
        <w:rPr>
          <w:rFonts w:ascii="宋体" w:hAnsi="宋体" w:cs="宋体"/>
          <w:b/>
          <w:bCs/>
        </w:rPr>
        <w:t>57、其他综合收益</w:t>
      </w:r>
      <w:bookmarkEnd w:id="21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E62F69">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16,610,961.28</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15,469,238.85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1,141,722.43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16,610,961.28</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-63,644,775.19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-42,422,581.94</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18,999,980.01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18,999,980.01</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-82,644,755.20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21,222,193.25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-61,422,561.95</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-48,175,536.34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22,363,915.68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-25,811,620.66</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其他说明，包括对现金流量套期损益的有效部分转为被套</w:t>
      </w:r>
      <w:proofErr w:type="gramStart"/>
      <w:r>
        <w:rPr>
          <w:rFonts w:ascii="宋体" w:eastAsia="宋体" w:hAnsi="宋体" w:cs="宋体"/>
          <w:sz w:val="18"/>
          <w:szCs w:val="18"/>
        </w:rPr>
        <w:t>期项目</w:t>
      </w:r>
      <w:proofErr w:type="gramEnd"/>
      <w:r>
        <w:rPr>
          <w:rFonts w:ascii="宋体" w:eastAsia="宋体" w:hAnsi="宋体" w:cs="宋体"/>
          <w:sz w:val="18"/>
          <w:szCs w:val="18"/>
        </w:rPr>
        <w:t>初始确认金额调整：</w:t>
      </w:r>
      <w:r>
        <w:rPr>
          <w:rFonts w:hint="eastAsia"/>
          <w:sz w:val="18"/>
          <w:szCs w:val="18"/>
        </w:rPr>
        <w:t>无。</w:t>
      </w:r>
    </w:p>
    <w:p w:rsidR="00E62F69" w:rsidRDefault="00B54A20">
      <w:pPr>
        <w:pStyle w:val="3"/>
        <w:spacing w:line="280" w:lineRule="exact"/>
        <w:jc w:val="left"/>
        <w:rPr>
          <w:rFonts w:ascii="宋体" w:hAnsi="宋体" w:cs="宋体"/>
          <w:b/>
          <w:bCs/>
        </w:rPr>
      </w:pPr>
      <w:bookmarkStart w:id="219" w:name="_Toc989216"/>
      <w:r>
        <w:rPr>
          <w:rFonts w:ascii="宋体" w:hAnsi="宋体" w:cs="宋体"/>
          <w:b/>
          <w:bCs/>
        </w:rPr>
        <w:t>58、专项储备</w:t>
      </w:r>
      <w:bookmarkEnd w:id="219"/>
    </w:p>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r>
        <w:rPr>
          <w:rFonts w:hint="eastAsia"/>
          <w:sz w:val="18"/>
          <w:szCs w:val="18"/>
        </w:rPr>
        <w:t>无。</w:t>
      </w:r>
    </w:p>
    <w:p w:rsidR="00E62F69" w:rsidRDefault="00B54A20">
      <w:pPr>
        <w:pStyle w:val="3"/>
        <w:spacing w:line="280" w:lineRule="exact"/>
        <w:jc w:val="left"/>
        <w:rPr>
          <w:rFonts w:ascii="宋体" w:hAnsi="宋体" w:cs="宋体"/>
          <w:b/>
          <w:bCs/>
        </w:rPr>
      </w:pPr>
      <w:bookmarkStart w:id="220" w:name="_Toc989217"/>
      <w:r>
        <w:rPr>
          <w:rFonts w:ascii="宋体" w:hAnsi="宋体" w:cs="宋体"/>
          <w:b/>
          <w:bCs/>
        </w:rPr>
        <w:t>59、盈余公积</w:t>
      </w:r>
      <w:bookmarkEnd w:id="22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300,959,133.88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300,959,133.88</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任意盈余公积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1,778,753.91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1,778,753.91</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302,737,887.79</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盈余公积说明，包括本期增减变动情况、变动原因说明：</w:t>
      </w:r>
      <w:r>
        <w:rPr>
          <w:rFonts w:hint="eastAsia"/>
          <w:sz w:val="18"/>
          <w:szCs w:val="18"/>
        </w:rPr>
        <w:t>无。</w:t>
      </w:r>
    </w:p>
    <w:p w:rsidR="00E62F69" w:rsidRDefault="00B54A20">
      <w:pPr>
        <w:pStyle w:val="3"/>
        <w:spacing w:line="280" w:lineRule="exact"/>
        <w:jc w:val="left"/>
        <w:rPr>
          <w:rFonts w:ascii="宋体" w:hAnsi="宋体" w:cs="宋体"/>
          <w:b/>
          <w:bCs/>
        </w:rPr>
      </w:pPr>
      <w:bookmarkStart w:id="221" w:name="_Toc989218"/>
      <w:r>
        <w:rPr>
          <w:rFonts w:ascii="宋体" w:hAnsi="宋体" w:cs="宋体"/>
          <w:b/>
          <w:bCs/>
        </w:rPr>
        <w:t>60、未分配利润</w:t>
      </w:r>
      <w:bookmarkEnd w:id="22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1,643,586,800.21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81,402,847.78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-350,966,956.53</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47,113,217.13</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303,778,215.90</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所有者权益其他内部结转</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11,071,875.76</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1,724,989,647.99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1,643,586,800.21</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1)、由于《企业会计准则》及其相关新规定进行追溯调整，影响期初未分配利润0.00元。</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3)、由于重大会计差错更正，影响期初未分配利润0.00元。</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4)、由于同</w:t>
      </w:r>
      <w:proofErr w:type="gramStart"/>
      <w:r>
        <w:rPr>
          <w:rFonts w:ascii="宋体" w:eastAsia="宋体" w:hAnsi="宋体" w:cs="宋体"/>
          <w:sz w:val="18"/>
          <w:szCs w:val="18"/>
        </w:rPr>
        <w:t>一控制</w:t>
      </w:r>
      <w:proofErr w:type="gramEnd"/>
      <w:r>
        <w:rPr>
          <w:rFonts w:ascii="宋体" w:eastAsia="宋体" w:hAnsi="宋体" w:cs="宋体"/>
          <w:sz w:val="18"/>
          <w:szCs w:val="18"/>
        </w:rPr>
        <w:t>导致的合并范围变更，影响期初未分配利润0.00元。</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rsidR="00E62F69" w:rsidRDefault="00B54A20">
      <w:pPr>
        <w:pStyle w:val="3"/>
        <w:spacing w:line="280" w:lineRule="exact"/>
        <w:jc w:val="left"/>
        <w:rPr>
          <w:rFonts w:ascii="宋体" w:hAnsi="宋体" w:cs="宋体"/>
          <w:b/>
          <w:bCs/>
        </w:rPr>
      </w:pPr>
      <w:bookmarkStart w:id="222" w:name="_Toc989219"/>
      <w:r>
        <w:rPr>
          <w:rFonts w:ascii="宋体" w:hAnsi="宋体" w:cs="宋体"/>
          <w:b/>
          <w:bCs/>
        </w:rPr>
        <w:t>61、营业收入和营业成本</w:t>
      </w:r>
      <w:bookmarkEnd w:id="22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7,700,845,560.41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7,303,717,392.34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8,477,748,464.62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7,731,549,048.63</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52,081,152.40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32,281,070.81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58,221,637.81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32,193,719.57</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7,752,926,712.81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7,335,998,463.15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8,535,970,102.43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7,763,742,768.20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纱线</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3,114,321,736.71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3,114,321,736.71</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原、色</w:t>
            </w:r>
            <w:proofErr w:type="gramStart"/>
            <w:r>
              <w:rPr>
                <w:rFonts w:ascii="宋体" w:eastAsia="宋体" w:hAnsi="宋体" w:cs="宋体"/>
                <w:sz w:val="18"/>
                <w:szCs w:val="18"/>
              </w:rPr>
              <w:t>纤</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4,358,353,338.59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4,358,353,338.59</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祙制品</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228,170,485.11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228,170,485.11</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其他收入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52,081,152.40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52,081,152.40</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境外销售</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772,292,493.26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772,292,493.26</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境内销售</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6,980,634,219.55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6,980,634,219.55</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7,734,226,218.29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7,734,226,218.29</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在某一时段内转让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18,700,494.52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18,700,494.52</w:t>
            </w: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r>
        <w:rPr>
          <w:rFonts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签订合同、但尚未履行或尚未履行完毕的履约义务所对应的收入金额为0.00元，其中，0.00元预计将于</w:t>
      </w:r>
      <w:proofErr w:type="gramStart"/>
      <w:r>
        <w:rPr>
          <w:rFonts w:ascii="宋体" w:eastAsia="宋体" w:hAnsi="宋体" w:cs="宋体"/>
          <w:sz w:val="18"/>
          <w:szCs w:val="18"/>
        </w:rPr>
        <w:t>0</w:t>
      </w:r>
      <w:proofErr w:type="gramEnd"/>
      <w:r>
        <w:rPr>
          <w:rFonts w:ascii="宋体" w:eastAsia="宋体" w:hAnsi="宋体" w:cs="宋体"/>
          <w:sz w:val="18"/>
          <w:szCs w:val="18"/>
        </w:rPr>
        <w:t>年度确认收入，0.00元预计将于</w:t>
      </w:r>
      <w:proofErr w:type="gramStart"/>
      <w:r>
        <w:rPr>
          <w:rFonts w:ascii="宋体" w:eastAsia="宋体" w:hAnsi="宋体" w:cs="宋体"/>
          <w:sz w:val="18"/>
          <w:szCs w:val="18"/>
        </w:rPr>
        <w:t>0</w:t>
      </w:r>
      <w:proofErr w:type="gramEnd"/>
      <w:r>
        <w:rPr>
          <w:rFonts w:ascii="宋体" w:eastAsia="宋体" w:hAnsi="宋体" w:cs="宋体"/>
          <w:sz w:val="18"/>
          <w:szCs w:val="18"/>
        </w:rPr>
        <w:t>年度确认收入，0.00元预计将于</w:t>
      </w:r>
      <w:proofErr w:type="gramStart"/>
      <w:r>
        <w:rPr>
          <w:rFonts w:ascii="宋体" w:eastAsia="宋体" w:hAnsi="宋体" w:cs="宋体"/>
          <w:sz w:val="18"/>
          <w:szCs w:val="18"/>
        </w:rPr>
        <w:t>0</w:t>
      </w:r>
      <w:proofErr w:type="gramEnd"/>
      <w:r>
        <w:rPr>
          <w:rFonts w:ascii="宋体" w:eastAsia="宋体" w:hAnsi="宋体" w:cs="宋体"/>
          <w:sz w:val="18"/>
          <w:szCs w:val="18"/>
        </w:rPr>
        <w:t>年度确认收入。</w:t>
      </w:r>
    </w:p>
    <w:p w:rsidR="00E62F69" w:rsidRDefault="00B54A20">
      <w:pPr>
        <w:pStyle w:val="3"/>
        <w:spacing w:line="280" w:lineRule="exact"/>
        <w:jc w:val="left"/>
        <w:rPr>
          <w:rFonts w:ascii="宋体" w:hAnsi="宋体" w:cs="宋体"/>
          <w:b/>
          <w:bCs/>
        </w:rPr>
      </w:pPr>
      <w:bookmarkStart w:id="223" w:name="_Toc989220"/>
      <w:r>
        <w:rPr>
          <w:rFonts w:ascii="宋体" w:hAnsi="宋体" w:cs="宋体"/>
          <w:b/>
          <w:bCs/>
        </w:rPr>
        <w:t>62、税金及附加</w:t>
      </w:r>
      <w:bookmarkEnd w:id="22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4,968,537.37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3,676,530.86</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3,615,683.90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2,639,795.39</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12,510,338.41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9,357,376.37</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11,202,822.22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7,763,144.54</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16,777.99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27,324.08</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9,034,332.21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5,428,620.75</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1,595,053.76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1,455,342.67</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42,943,545.86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30,348,134.66</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24" w:name="_Toc989221"/>
      <w:r>
        <w:rPr>
          <w:rFonts w:ascii="宋体" w:hAnsi="宋体" w:cs="宋体"/>
          <w:b/>
          <w:bCs/>
        </w:rPr>
        <w:t>63、销售费用</w:t>
      </w:r>
      <w:bookmarkEnd w:id="22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19,141,669.72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24,567,045.01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1,220,485.14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1,309,058.20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19,559,041.74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10,190,639.83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开发费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565,887.68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160,378.28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单证费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17,844,134.20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2,502,526.01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572,907.17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修理费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2,399,371.49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261,370.14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4,205,791.01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2,039,345.17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486,333.25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266,409.76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213,375.39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101,521.01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电商平台佣金及服务费</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17,622,341.70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9,678,271.37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1,780,377.39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980,580.87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69,697,200.52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67,971,661.01</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25" w:name="_Toc989222"/>
      <w:r>
        <w:rPr>
          <w:rFonts w:ascii="宋体" w:hAnsi="宋体" w:cs="宋体"/>
          <w:b/>
          <w:bCs/>
        </w:rPr>
        <w:t>64、管理费用</w:t>
      </w:r>
      <w:bookmarkEnd w:id="22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C64DF" w:rsidRDefault="001C64DF" w:rsidP="00764929">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C64DF" w:rsidRDefault="001C64DF" w:rsidP="00764929">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工资及相关费用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101,660,198.03</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102,060,256.30</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办公费用</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9,234,690.91</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8,288,311.87</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低值易耗品</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1,829,868.61</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2,505,111.17</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修理费</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772,274.93</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1,376,236.90</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折旧费</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45,781,921.46</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47,807,182.71</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2,984,167.49</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2,956,057.99</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差旅费</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1,735,418.59</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1,195,252.72</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1,881,352.27</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2,283,107.96</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租赁费</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1,368,930.79</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2,420,196.22</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保险费</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661,902.87</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779,196.21</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环保费用</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463,561.98</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592,710.31</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line="240" w:lineRule="exact"/>
              <w:rPr>
                <w:rFonts w:ascii="宋体" w:eastAsia="宋体" w:hAnsi="宋体" w:cs="宋体"/>
                <w:sz w:val="18"/>
                <w:szCs w:val="18"/>
              </w:rPr>
            </w:pPr>
            <w:r>
              <w:rPr>
                <w:rFonts w:ascii="宋体" w:eastAsia="宋体" w:hAnsi="宋体" w:cs="宋体"/>
                <w:sz w:val="18"/>
                <w:szCs w:val="18"/>
              </w:rPr>
              <w:t> 其他</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13,138,306.48</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9,104,658.52</w:t>
            </w:r>
          </w:p>
        </w:tc>
      </w:tr>
      <w:tr w:rsidR="001C64DF" w:rsidTr="001C64DF">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C64DF" w:rsidRDefault="001C64DF" w:rsidP="00764929">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181,512,594.41</w:t>
            </w:r>
          </w:p>
        </w:tc>
        <w:tc>
          <w:tcPr>
            <w:tcW w:w="3213" w:type="dxa"/>
            <w:tcBorders>
              <w:top w:val="single" w:sz="2" w:space="0" w:color="auto"/>
              <w:left w:val="single" w:sz="2" w:space="0" w:color="auto"/>
              <w:bottom w:val="single" w:sz="2" w:space="0" w:color="auto"/>
              <w:right w:val="single" w:sz="2" w:space="0" w:color="auto"/>
            </w:tcBorders>
            <w:vAlign w:val="center"/>
          </w:tcPr>
          <w:p w:rsidR="001C64DF" w:rsidRDefault="001C64DF" w:rsidP="00764929">
            <w:pPr>
              <w:spacing w:line="240" w:lineRule="exact"/>
              <w:jc w:val="right"/>
              <w:rPr>
                <w:rFonts w:ascii="宋体" w:eastAsia="宋体" w:hAnsi="宋体" w:cs="宋体"/>
                <w:sz w:val="18"/>
                <w:szCs w:val="18"/>
              </w:rPr>
            </w:pPr>
            <w:r>
              <w:rPr>
                <w:rFonts w:ascii="宋体" w:eastAsia="宋体" w:hAnsi="宋体" w:cs="宋体"/>
                <w:sz w:val="18"/>
                <w:szCs w:val="18"/>
              </w:rPr>
              <w:t>181,368,278.88</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26" w:name="_Toc989223"/>
      <w:r>
        <w:rPr>
          <w:rFonts w:ascii="宋体" w:hAnsi="宋体" w:cs="宋体"/>
          <w:b/>
          <w:bCs/>
        </w:rPr>
        <w:t>65、研发费用</w:t>
      </w:r>
      <w:bookmarkEnd w:id="22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工资及奖金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7,293,379.29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12,345,290.41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燃料及动力</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5,857,222.06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6,984,850.76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原材料</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36,887,003.03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33,316,070.51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折旧及摊销</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3,309,230.17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3,738,306.29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2,200,284.63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3,011,793.67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55,547,119.18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59,396,311.64</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27" w:name="_Toc989224"/>
      <w:r>
        <w:rPr>
          <w:rFonts w:ascii="宋体" w:hAnsi="宋体" w:cs="宋体"/>
          <w:b/>
          <w:bCs/>
        </w:rPr>
        <w:t>66、财务费用</w:t>
      </w:r>
      <w:bookmarkEnd w:id="22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113,313,442.25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131,509,705.78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13,105,439.74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15,842,714.37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汇兑损益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-61,327,794.71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-2,442,099.86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贴现</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2,638,086.04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17,074,713.30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7,077,359.07</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5,097,737.94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48,595,652.92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135,397,342.79</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28" w:name="_Toc989225"/>
      <w:r>
        <w:rPr>
          <w:rFonts w:ascii="宋体" w:hAnsi="宋体" w:cs="宋体"/>
          <w:b/>
          <w:bCs/>
        </w:rPr>
        <w:t>67、其他收益</w:t>
      </w:r>
      <w:bookmarkEnd w:id="22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73,566,623.46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24,267,340.56</w:t>
            </w:r>
          </w:p>
        </w:tc>
      </w:tr>
    </w:tbl>
    <w:p w:rsidR="00E62F69" w:rsidRDefault="00B54A20">
      <w:pPr>
        <w:pStyle w:val="3"/>
        <w:spacing w:line="280" w:lineRule="exact"/>
        <w:jc w:val="left"/>
        <w:rPr>
          <w:rFonts w:ascii="宋体" w:hAnsi="宋体" w:cs="宋体"/>
          <w:b/>
          <w:bCs/>
        </w:rPr>
      </w:pPr>
      <w:bookmarkStart w:id="229" w:name="_Toc989226"/>
      <w:r>
        <w:rPr>
          <w:rFonts w:ascii="宋体" w:hAnsi="宋体" w:cs="宋体"/>
          <w:b/>
          <w:bCs/>
        </w:rPr>
        <w:t>68、投资收益</w:t>
      </w:r>
      <w:bookmarkEnd w:id="229"/>
    </w:p>
    <w:p w:rsidR="00B72F50" w:rsidRDefault="00B72F50" w:rsidP="00B72F50"/>
    <w:p w:rsidR="00B72F50" w:rsidRPr="00B72F50" w:rsidRDefault="00B72F50" w:rsidP="00B72F50"/>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-12,852,401.20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8,185,186.13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-61,004,750.68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2,289,389.75</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8,000,000.00</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委托理财收益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3,193,523.93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8,386,086.71</w:t>
            </w:r>
          </w:p>
        </w:tc>
      </w:tr>
      <w:tr w:rsidR="00E62F69" w:rsidTr="00B72F5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18,675,476.46</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w:t>
      </w:r>
      <w:r>
        <w:rPr>
          <w:rFonts w:hint="eastAsia"/>
          <w:sz w:val="18"/>
          <w:szCs w:val="18"/>
        </w:rPr>
        <w:t>无。</w:t>
      </w:r>
    </w:p>
    <w:p w:rsidR="00B72F50" w:rsidRDefault="00B54A20" w:rsidP="00B72F50">
      <w:pPr>
        <w:pStyle w:val="3"/>
        <w:spacing w:line="280" w:lineRule="exact"/>
        <w:jc w:val="left"/>
        <w:rPr>
          <w:rFonts w:ascii="宋体" w:hAnsi="宋体" w:cs="宋体"/>
          <w:b/>
          <w:bCs/>
        </w:rPr>
      </w:pPr>
      <w:bookmarkStart w:id="230" w:name="_Toc989227"/>
      <w:r>
        <w:rPr>
          <w:rFonts w:ascii="宋体" w:hAnsi="宋体" w:cs="宋体"/>
          <w:b/>
          <w:bCs/>
        </w:rPr>
        <w:t>69、净敞口套期收益</w:t>
      </w:r>
      <w:bookmarkEnd w:id="230"/>
    </w:p>
    <w:p w:rsidR="00B54A20" w:rsidRPr="00B72F50" w:rsidRDefault="00B54A20" w:rsidP="00B72F50">
      <w:pPr>
        <w:pStyle w:val="3"/>
        <w:spacing w:line="280" w:lineRule="exact"/>
        <w:jc w:val="left"/>
        <w:rPr>
          <w:rFonts w:ascii="宋体" w:hAnsi="宋体" w:cs="宋体"/>
          <w:sz w:val="18"/>
          <w:szCs w:val="18"/>
        </w:rPr>
      </w:pPr>
      <w:r>
        <w:rPr>
          <w:rFonts w:ascii="宋体" w:hAnsi="宋体" w:cs="宋体"/>
          <w:sz w:val="18"/>
          <w:szCs w:val="18"/>
        </w:rPr>
        <w:t>其他说明</w:t>
      </w:r>
      <w:r w:rsidR="00B72F50">
        <w:rPr>
          <w:rFonts w:ascii="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31" w:name="_Toc989228"/>
      <w:r>
        <w:rPr>
          <w:rFonts w:ascii="宋体" w:hAnsi="宋体" w:cs="宋体"/>
          <w:b/>
          <w:bCs/>
        </w:rPr>
        <w:t>70、公允价值变动收益</w:t>
      </w:r>
      <w:bookmarkEnd w:id="23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其中：衍生金融工具产生的公允价值变动收益</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32" w:name="_Toc989229"/>
      <w:r>
        <w:rPr>
          <w:rFonts w:ascii="宋体" w:hAnsi="宋体" w:cs="宋体"/>
          <w:b/>
          <w:bCs/>
        </w:rPr>
        <w:t>71、信用减值损失</w:t>
      </w:r>
      <w:bookmarkEnd w:id="23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62,881.23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4,839,951.85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62,881.23</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4,839,951.85</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33" w:name="_Toc989230"/>
      <w:r>
        <w:rPr>
          <w:rFonts w:ascii="宋体" w:hAnsi="宋体" w:cs="宋体"/>
          <w:b/>
          <w:bCs/>
        </w:rPr>
        <w:t>72、资产减值损失</w:t>
      </w:r>
      <w:bookmarkEnd w:id="23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-5,262,481.92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23,531,629.26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-5,262,481.92</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34" w:name="_Toc989231"/>
      <w:r>
        <w:rPr>
          <w:rFonts w:ascii="宋体" w:hAnsi="宋体" w:cs="宋体"/>
          <w:b/>
          <w:bCs/>
        </w:rPr>
        <w:t>73、资产处置收益</w:t>
      </w:r>
      <w:bookmarkEnd w:id="23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固定资产处置利得或损失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-1,999,481.00</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无形资产处置利得或损失</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8,490,566.07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6,491,085.07</w:t>
            </w:r>
          </w:p>
        </w:tc>
      </w:tr>
    </w:tbl>
    <w:p w:rsidR="00E62F69" w:rsidRDefault="00B54A20">
      <w:pPr>
        <w:pStyle w:val="3"/>
        <w:spacing w:line="280" w:lineRule="exact"/>
        <w:jc w:val="left"/>
        <w:rPr>
          <w:rFonts w:ascii="宋体" w:hAnsi="宋体" w:cs="宋体"/>
          <w:b/>
          <w:bCs/>
        </w:rPr>
      </w:pPr>
      <w:bookmarkStart w:id="235" w:name="_Toc989232"/>
      <w:r>
        <w:rPr>
          <w:rFonts w:ascii="宋体" w:hAnsi="宋体" w:cs="宋体"/>
          <w:b/>
          <w:bCs/>
        </w:rPr>
        <w:t>74、营业外收入</w:t>
      </w:r>
      <w:bookmarkEnd w:id="23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确实无法支付的债务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1,349,120.17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14,532,493.80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1,349,120.17</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赔偿金</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1,518,000.00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1,876,057.37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1,518,000.00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671,579.37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1,173,411.17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671,579.37</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3,538,699.54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17,581,962.34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3,538,699.54</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236" w:name="_Toc989233"/>
      <w:r>
        <w:rPr>
          <w:rFonts w:ascii="宋体" w:hAnsi="宋体" w:cs="宋体"/>
          <w:b/>
          <w:bCs/>
        </w:rPr>
        <w:t>75、营业外支出</w:t>
      </w:r>
      <w:bookmarkEnd w:id="23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790,295.50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751,637.10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790,295.50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固定资产报废损失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19,759.79</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2,874.69</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19,759.79</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罚款及滞纳金支出</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131,564.46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97,534.52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131,564.46</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赔偿支出</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587,745.72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587,745.72</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734,116.15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546,513.49</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734,116.15</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2,263,481.62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1,398,559.80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37" w:name="_Toc989234"/>
      <w:r>
        <w:rPr>
          <w:rFonts w:ascii="宋体" w:hAnsi="宋体" w:cs="宋体"/>
          <w:b/>
          <w:bCs/>
        </w:rPr>
        <w:t>76、所得税费用</w:t>
      </w:r>
      <w:bookmarkEnd w:id="237"/>
    </w:p>
    <w:p w:rsidR="00E62F69" w:rsidRDefault="00B54A20">
      <w:pPr>
        <w:keepNext/>
        <w:keepLines/>
        <w:spacing w:before="300" w:after="300" w:line="280" w:lineRule="exact"/>
        <w:outlineLvl w:val="3"/>
        <w:rPr>
          <w:rFonts w:ascii="宋体" w:eastAsia="宋体" w:hAnsi="宋体" w:cs="宋体"/>
          <w:b/>
          <w:bCs/>
          <w:szCs w:val="21"/>
        </w:rPr>
      </w:pPr>
      <w:bookmarkStart w:id="238" w:name="_Toc989235"/>
      <w:r>
        <w:rPr>
          <w:rFonts w:ascii="宋体" w:eastAsia="宋体" w:hAnsi="宋体" w:cs="宋体"/>
          <w:b/>
          <w:bCs/>
          <w:szCs w:val="21"/>
        </w:rPr>
        <w:t>（1） 所得税费用表</w:t>
      </w:r>
      <w:bookmarkEnd w:id="23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2,662,744.50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15,175,900.76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-8,577,368.14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1,399,501.77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-5,914,623.64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16,575,402.53</w:t>
            </w:r>
          </w:p>
        </w:tc>
      </w:tr>
    </w:tbl>
    <w:p w:rsidR="00E62F69" w:rsidRDefault="00B54A20">
      <w:pPr>
        <w:keepNext/>
        <w:keepLines/>
        <w:spacing w:before="300" w:after="300" w:line="280" w:lineRule="exact"/>
        <w:outlineLvl w:val="3"/>
        <w:rPr>
          <w:rFonts w:ascii="宋体" w:eastAsia="宋体" w:hAnsi="宋体" w:cs="宋体"/>
          <w:b/>
          <w:bCs/>
          <w:szCs w:val="21"/>
        </w:rPr>
      </w:pPr>
      <w:bookmarkStart w:id="239" w:name="_Toc989236"/>
      <w:r>
        <w:rPr>
          <w:rFonts w:ascii="宋体" w:eastAsia="宋体" w:hAnsi="宋体" w:cs="宋体"/>
          <w:b/>
          <w:bCs/>
          <w:szCs w:val="21"/>
        </w:rPr>
        <w:t>（2） 会计利润与所得税费用调整过程</w:t>
      </w:r>
      <w:bookmarkEnd w:id="239"/>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621"/>
        <w:gridCol w:w="2018"/>
      </w:tblGrid>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01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66,375,570.51</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9,956,335.58</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1,767,995.97</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-2,249,170.21</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-13,456,142.28</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51,621.51</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使用前期未确认递延所得税资产的可抵扣亏损的影响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-5,181,389.46</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5,899,763.62</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税率变动对</w:t>
            </w:r>
            <w:proofErr w:type="gramStart"/>
            <w:r>
              <w:rPr>
                <w:rFonts w:ascii="宋体" w:eastAsia="宋体" w:hAnsi="宋体" w:cs="宋体"/>
                <w:sz w:val="18"/>
                <w:szCs w:val="18"/>
              </w:rPr>
              <w:t>期初递延</w:t>
            </w:r>
            <w:proofErr w:type="gramEnd"/>
            <w:r>
              <w:rPr>
                <w:rFonts w:ascii="宋体" w:eastAsia="宋体" w:hAnsi="宋体" w:cs="宋体"/>
                <w:sz w:val="18"/>
                <w:szCs w:val="18"/>
              </w:rPr>
              <w:t>所得税余额的影响</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-2,408,515.40</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 研发费用加计扣除</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-295,122.97</w:t>
            </w:r>
          </w:p>
        </w:tc>
      </w:tr>
      <w:tr w:rsidR="00E62F69" w:rsidTr="00B72F50">
        <w:trPr>
          <w:trHeight w:val="240"/>
        </w:trPr>
        <w:tc>
          <w:tcPr>
            <w:tcW w:w="762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201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-5,914,623.64</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240" w:name="_Toc989237"/>
      <w:r>
        <w:rPr>
          <w:rFonts w:ascii="宋体" w:hAnsi="宋体" w:cs="宋体"/>
          <w:b/>
          <w:bCs/>
        </w:rPr>
        <w:t>77、其他综合收益</w:t>
      </w:r>
      <w:bookmarkEnd w:id="240"/>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详见附注</w:t>
      </w:r>
    </w:p>
    <w:p w:rsidR="00E62F69" w:rsidRDefault="00B54A20">
      <w:pPr>
        <w:pStyle w:val="3"/>
        <w:spacing w:line="280" w:lineRule="exact"/>
        <w:jc w:val="left"/>
        <w:rPr>
          <w:rFonts w:ascii="宋体" w:hAnsi="宋体" w:cs="宋体"/>
          <w:b/>
          <w:bCs/>
        </w:rPr>
      </w:pPr>
      <w:bookmarkStart w:id="241" w:name="_Toc989238"/>
      <w:r>
        <w:rPr>
          <w:rFonts w:ascii="宋体" w:hAnsi="宋体" w:cs="宋体"/>
          <w:b/>
          <w:bCs/>
        </w:rPr>
        <w:t>78、现金流量表项目</w:t>
      </w:r>
      <w:bookmarkEnd w:id="241"/>
    </w:p>
    <w:p w:rsidR="00E62F69" w:rsidRDefault="00B54A20">
      <w:pPr>
        <w:keepNext/>
        <w:keepLines/>
        <w:spacing w:before="300" w:after="300" w:line="280" w:lineRule="exact"/>
        <w:outlineLvl w:val="3"/>
        <w:rPr>
          <w:rFonts w:ascii="宋体" w:eastAsia="宋体" w:hAnsi="宋体" w:cs="宋体"/>
          <w:b/>
          <w:bCs/>
          <w:szCs w:val="21"/>
        </w:rPr>
      </w:pPr>
      <w:bookmarkStart w:id="242" w:name="_Toc989239"/>
      <w:r>
        <w:rPr>
          <w:rFonts w:ascii="宋体" w:eastAsia="宋体" w:hAnsi="宋体" w:cs="宋体"/>
          <w:b/>
          <w:bCs/>
          <w:szCs w:val="21"/>
        </w:rPr>
        <w:t>（1） 收到的其他与经营活动有关的现金</w:t>
      </w:r>
      <w:bookmarkEnd w:id="24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11,643,416.01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15,842,714.37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143,274,729.68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200,817,309.64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376,979,934.10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302,218,102.27</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531,898,079.79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518,878,126.28</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43" w:name="_Toc989240"/>
      <w:r>
        <w:rPr>
          <w:rFonts w:ascii="宋体" w:eastAsia="宋体" w:hAnsi="宋体" w:cs="宋体"/>
          <w:b/>
          <w:bCs/>
          <w:szCs w:val="21"/>
        </w:rPr>
        <w:t>（2） 支付的其他与经营活动有关的现金</w:t>
      </w:r>
      <w:bookmarkEnd w:id="24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费用类支出</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36,885,888.56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140,154,341.64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往来款及其他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558,774,742.28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544,904,195.31</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595,660,630.84</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685,058,536.95</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支付的其他与经营活动有关的现金说明：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44" w:name="_Toc989241"/>
      <w:r>
        <w:rPr>
          <w:rFonts w:ascii="宋体" w:eastAsia="宋体" w:hAnsi="宋体" w:cs="宋体"/>
          <w:b/>
          <w:bCs/>
          <w:szCs w:val="21"/>
        </w:rPr>
        <w:t>（3） 收到的其他与投资活动有关的现金</w:t>
      </w:r>
      <w:bookmarkEnd w:id="24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722,075,949.89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455,965,201.09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期货及其他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105,908,364.32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263,579,076.56</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827,984,314.21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719,544,277.65</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收到的其他与投资活动有关的现金说明：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45" w:name="_Toc989242"/>
      <w:r>
        <w:rPr>
          <w:rFonts w:ascii="宋体" w:eastAsia="宋体" w:hAnsi="宋体" w:cs="宋体"/>
          <w:b/>
          <w:bCs/>
          <w:szCs w:val="21"/>
        </w:rPr>
        <w:t>（4） 支付的其他与投资活动有关的现金</w:t>
      </w:r>
      <w:bookmarkEnd w:id="24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446,509,000.00</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116,938,990.54</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期货及其他</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115,591,036.98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204,337,979.12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562,100,036.98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321,276,969.66</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支付的其他与投资活动有关的现金说明：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46" w:name="_Toc989243"/>
      <w:r>
        <w:rPr>
          <w:rFonts w:ascii="宋体" w:eastAsia="宋体" w:hAnsi="宋体" w:cs="宋体"/>
          <w:b/>
          <w:bCs/>
          <w:szCs w:val="21"/>
        </w:rPr>
        <w:t>（5） 收到的其他与筹资活动有关的现金</w:t>
      </w:r>
      <w:bookmarkEnd w:id="24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受限的其他货币资金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166,977,948.39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195,207,287.32</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166,977,948.39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195,207,287.32</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收到的其他与筹资活动有关的现金说明：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47" w:name="_Toc989244"/>
      <w:r>
        <w:rPr>
          <w:rFonts w:ascii="宋体" w:eastAsia="宋体" w:hAnsi="宋体" w:cs="宋体"/>
          <w:b/>
          <w:bCs/>
          <w:szCs w:val="21"/>
        </w:rPr>
        <w:t>（6） 支付的其他与筹资活动有关的现金</w:t>
      </w:r>
      <w:bookmarkEnd w:id="24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受限的其他货币资金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1,519,402,260.31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807,939,294.39</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1,519,402,260.31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807,939,294.39</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支付的其他与筹资活动有关的现金说明：</w:t>
      </w:r>
      <w:r>
        <w:rPr>
          <w:rFonts w:hint="eastAsia"/>
          <w:sz w:val="18"/>
          <w:szCs w:val="18"/>
        </w:rPr>
        <w:t>无。</w:t>
      </w:r>
    </w:p>
    <w:p w:rsidR="00E62F69" w:rsidRDefault="00B54A20">
      <w:pPr>
        <w:pStyle w:val="3"/>
        <w:spacing w:line="280" w:lineRule="exact"/>
        <w:jc w:val="left"/>
        <w:rPr>
          <w:rFonts w:ascii="宋体" w:hAnsi="宋体" w:cs="宋体"/>
          <w:b/>
          <w:bCs/>
        </w:rPr>
      </w:pPr>
      <w:bookmarkStart w:id="248" w:name="_Toc989245"/>
      <w:r>
        <w:rPr>
          <w:rFonts w:ascii="宋体" w:hAnsi="宋体" w:cs="宋体"/>
          <w:b/>
          <w:bCs/>
        </w:rPr>
        <w:t>79、现金流量表补充资料</w:t>
      </w:r>
      <w:bookmarkEnd w:id="248"/>
    </w:p>
    <w:p w:rsidR="00E62F69" w:rsidRDefault="00B54A20">
      <w:pPr>
        <w:keepNext/>
        <w:keepLines/>
        <w:spacing w:before="300" w:after="300" w:line="280" w:lineRule="exact"/>
        <w:outlineLvl w:val="3"/>
        <w:rPr>
          <w:rFonts w:ascii="宋体" w:eastAsia="宋体" w:hAnsi="宋体" w:cs="宋体"/>
          <w:b/>
          <w:bCs/>
          <w:szCs w:val="21"/>
        </w:rPr>
      </w:pPr>
      <w:bookmarkStart w:id="249" w:name="_Toc989246"/>
      <w:r>
        <w:rPr>
          <w:rFonts w:ascii="宋体" w:eastAsia="宋体" w:hAnsi="宋体" w:cs="宋体"/>
          <w:b/>
          <w:bCs/>
          <w:szCs w:val="21"/>
        </w:rPr>
        <w:t>（1） 现金流量表补充资料</w:t>
      </w:r>
      <w:bookmarkEnd w:id="249"/>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204"/>
        <w:gridCol w:w="1701"/>
        <w:gridCol w:w="1734"/>
      </w:tblGrid>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72,290,194.15</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301,255,164.66</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-23,594,510.49</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422,530.07</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254,205,647.15</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265,267,846.31</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4,119,683.93</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5,112,103.03</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11,289,669.09</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12,075,767.10</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10,871,938.18</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17,297,581.45</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-6,491,085.07</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19,759.79</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2,874.69</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-11,622,111.18</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45,109,812.62</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53,316,134.70</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145,450,720.26</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62,478,441.82</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-18,675,476.46</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18,479,798.72</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14,813,468.22</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-3,202,903.56</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-1,420,795.05</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2,145,391,825.55</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329,862,810.57</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-973,509,665.68</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-253,651,658.32</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-50,306,946.21</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-88,017,499.28</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其他</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-45,341,984.33</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-2,977,114.29</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1,524,721,559.12</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765,437,050.51</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3．现金及现金等价物净变动情况：</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1,645,991,954.95</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1,841,818,553.58</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2,395,731,098.44</w:t>
            </w: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72F50">
        <w:trPr>
          <w:cantSplit/>
          <w:trHeight w:val="240"/>
        </w:trPr>
        <w:tc>
          <w:tcPr>
            <w:tcW w:w="620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393,169,963.30</w:t>
            </w:r>
          </w:p>
        </w:tc>
        <w:tc>
          <w:tcPr>
            <w:tcW w:w="173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-749,739,143.49</w:t>
            </w:r>
          </w:p>
        </w:tc>
      </w:tr>
    </w:tbl>
    <w:p w:rsidR="00E62F69" w:rsidRDefault="00B54A20">
      <w:pPr>
        <w:keepNext/>
        <w:keepLines/>
        <w:spacing w:before="300" w:after="300" w:line="280" w:lineRule="exact"/>
        <w:outlineLvl w:val="3"/>
        <w:rPr>
          <w:rFonts w:ascii="宋体" w:eastAsia="宋体" w:hAnsi="宋体" w:cs="宋体"/>
          <w:b/>
          <w:bCs/>
          <w:szCs w:val="21"/>
        </w:rPr>
      </w:pPr>
      <w:bookmarkStart w:id="250" w:name="_Toc989247"/>
      <w:r>
        <w:rPr>
          <w:rFonts w:ascii="宋体" w:eastAsia="宋体" w:hAnsi="宋体" w:cs="宋体"/>
          <w:b/>
          <w:bCs/>
          <w:szCs w:val="21"/>
        </w:rPr>
        <w:t>（2） 本期支付的取得子公司的现金净额</w:t>
      </w:r>
      <w:bookmarkEnd w:id="250"/>
    </w:p>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51" w:name="_Toc989248"/>
      <w:r>
        <w:rPr>
          <w:rFonts w:ascii="宋体" w:eastAsia="宋体" w:hAnsi="宋体" w:cs="宋体"/>
          <w:b/>
          <w:bCs/>
          <w:szCs w:val="21"/>
        </w:rPr>
        <w:t>（3） 本期收到的处置子公司的现金净额</w:t>
      </w:r>
      <w:bookmarkEnd w:id="25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rsidTr="00B72F5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481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r>
      <w:tr w:rsidR="00E62F69" w:rsidTr="00B72F5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本期处置子公司于本期收到的现金或现金等价物</w:t>
            </w:r>
          </w:p>
        </w:tc>
        <w:tc>
          <w:tcPr>
            <w:tcW w:w="481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22,500,000.00</w:t>
            </w:r>
          </w:p>
        </w:tc>
      </w:tr>
      <w:tr w:rsidR="00E62F69" w:rsidTr="00B72F50">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处置子公司收到的现金净额</w:t>
            </w:r>
          </w:p>
        </w:tc>
        <w:tc>
          <w:tcPr>
            <w:tcW w:w="481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22,500,000.00</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72F50">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52" w:name="_Toc989249"/>
      <w:r>
        <w:rPr>
          <w:rFonts w:ascii="宋体" w:eastAsia="宋体" w:hAnsi="宋体" w:cs="宋体"/>
          <w:b/>
          <w:bCs/>
          <w:szCs w:val="21"/>
        </w:rPr>
        <w:t>（4） 现金和现金等价物的构成</w:t>
      </w:r>
      <w:bookmarkEnd w:id="25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936"/>
        <w:gridCol w:w="2976"/>
        <w:gridCol w:w="2727"/>
      </w:tblGrid>
      <w:tr w:rsidR="00E62F69" w:rsidTr="00B72F50">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9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7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rsidTr="00B72F50">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29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27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r w:rsidR="00E62F69" w:rsidTr="00B72F50">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29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190,184.64</w:t>
            </w:r>
          </w:p>
        </w:tc>
        <w:tc>
          <w:tcPr>
            <w:tcW w:w="27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392,943.07</w:t>
            </w:r>
          </w:p>
        </w:tc>
      </w:tr>
      <w:tr w:rsidR="00E62F69" w:rsidTr="00B72F50">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29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1,914,649,588.90</w:t>
            </w:r>
          </w:p>
        </w:tc>
        <w:tc>
          <w:tcPr>
            <w:tcW w:w="27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1,379,747,876.45</w:t>
            </w:r>
          </w:p>
        </w:tc>
      </w:tr>
      <w:tr w:rsidR="00E62F69" w:rsidTr="00B72F50">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29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320,148,743.34</w:t>
            </w:r>
          </w:p>
        </w:tc>
        <w:tc>
          <w:tcPr>
            <w:tcW w:w="27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265,851,135.43</w:t>
            </w:r>
          </w:p>
        </w:tc>
      </w:tr>
      <w:tr w:rsidR="00E62F69" w:rsidTr="00B72F50">
        <w:trPr>
          <w:trHeight w:val="240"/>
        </w:trPr>
        <w:tc>
          <w:tcPr>
            <w:tcW w:w="393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29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2,234,988,516.88</w:t>
            </w:r>
          </w:p>
        </w:tc>
        <w:tc>
          <w:tcPr>
            <w:tcW w:w="27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1,841,818,553.58</w:t>
            </w:r>
          </w:p>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53" w:name="_Toc989250"/>
      <w:r>
        <w:rPr>
          <w:rFonts w:ascii="宋体" w:hAnsi="宋体" w:cs="宋体"/>
          <w:b/>
          <w:bCs/>
        </w:rPr>
        <w:t>80、所有者权益变动</w:t>
      </w:r>
      <w:proofErr w:type="gramStart"/>
      <w:r>
        <w:rPr>
          <w:rFonts w:ascii="宋体" w:hAnsi="宋体" w:cs="宋体"/>
          <w:b/>
          <w:bCs/>
        </w:rPr>
        <w:t>表项目</w:t>
      </w:r>
      <w:proofErr w:type="gramEnd"/>
      <w:r>
        <w:rPr>
          <w:rFonts w:ascii="宋体" w:hAnsi="宋体" w:cs="宋体"/>
          <w:b/>
          <w:bCs/>
        </w:rPr>
        <w:t>注释</w:t>
      </w:r>
      <w:bookmarkEnd w:id="253"/>
    </w:p>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说明</w:t>
      </w:r>
      <w:proofErr w:type="gramStart"/>
      <w:r>
        <w:rPr>
          <w:rFonts w:ascii="宋体" w:eastAsia="宋体" w:hAnsi="宋体" w:cs="宋体"/>
          <w:sz w:val="18"/>
          <w:szCs w:val="18"/>
        </w:rPr>
        <w:t>对上年</w:t>
      </w:r>
      <w:proofErr w:type="gramEnd"/>
      <w:r>
        <w:rPr>
          <w:rFonts w:ascii="宋体" w:eastAsia="宋体" w:hAnsi="宋体" w:cs="宋体"/>
          <w:sz w:val="18"/>
          <w:szCs w:val="18"/>
        </w:rPr>
        <w:t>期末余额进行调整的“其他”项目名称及调整金额等事项：</w:t>
      </w:r>
      <w:r>
        <w:rPr>
          <w:rFonts w:hint="eastAsia"/>
          <w:sz w:val="18"/>
          <w:szCs w:val="18"/>
        </w:rPr>
        <w:t>无。</w:t>
      </w:r>
    </w:p>
    <w:p w:rsidR="00E62F69" w:rsidRDefault="00B54A20">
      <w:pPr>
        <w:pStyle w:val="3"/>
        <w:spacing w:line="280" w:lineRule="exact"/>
        <w:jc w:val="left"/>
        <w:rPr>
          <w:rFonts w:ascii="宋体" w:hAnsi="宋体" w:cs="宋体"/>
          <w:b/>
          <w:bCs/>
        </w:rPr>
      </w:pPr>
      <w:bookmarkStart w:id="254" w:name="_Toc989251"/>
      <w:r>
        <w:rPr>
          <w:rFonts w:ascii="宋体" w:hAnsi="宋体" w:cs="宋体"/>
          <w:b/>
          <w:bCs/>
        </w:rPr>
        <w:t>81、所有权或使用权受到限制的资产</w:t>
      </w:r>
      <w:bookmarkEnd w:id="25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605"/>
        <w:gridCol w:w="2606"/>
        <w:gridCol w:w="4428"/>
      </w:tblGrid>
      <w:tr w:rsidR="00E62F69" w:rsidTr="00B72F50">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44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E62F69" w:rsidTr="00B72F50">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2,068,052,845.75</w:t>
            </w:r>
          </w:p>
        </w:tc>
        <w:tc>
          <w:tcPr>
            <w:tcW w:w="44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借款的保证金及票据保证金、冻结资金</w:t>
            </w:r>
          </w:p>
        </w:tc>
      </w:tr>
      <w:tr w:rsidR="00E62F69" w:rsidTr="00B72F50">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2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50,631,456.32</w:t>
            </w:r>
          </w:p>
        </w:tc>
        <w:tc>
          <w:tcPr>
            <w:tcW w:w="44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应收票据质押借款</w:t>
            </w:r>
          </w:p>
        </w:tc>
      </w:tr>
      <w:tr w:rsidR="00E62F69" w:rsidTr="00B72F50">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2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2,165,907,941.35</w:t>
            </w:r>
          </w:p>
        </w:tc>
        <w:tc>
          <w:tcPr>
            <w:tcW w:w="44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抵押贷款</w:t>
            </w:r>
          </w:p>
        </w:tc>
      </w:tr>
      <w:tr w:rsidR="00E62F69" w:rsidTr="00B72F50">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2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360,380,768.19</w:t>
            </w:r>
          </w:p>
        </w:tc>
        <w:tc>
          <w:tcPr>
            <w:tcW w:w="44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抵押贷款</w:t>
            </w:r>
          </w:p>
        </w:tc>
      </w:tr>
      <w:tr w:rsidR="00E62F69" w:rsidTr="00B72F50">
        <w:trPr>
          <w:trHeight w:val="240"/>
        </w:trPr>
        <w:tc>
          <w:tcPr>
            <w:tcW w:w="2605"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4,644,973,011.61</w:t>
            </w:r>
          </w:p>
        </w:tc>
        <w:tc>
          <w:tcPr>
            <w:tcW w:w="44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B72F50" w:rsidRDefault="00B54A20" w:rsidP="00B72F5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55" w:name="_Toc989252"/>
      <w:r>
        <w:rPr>
          <w:rFonts w:ascii="宋体" w:hAnsi="宋体" w:cs="宋体"/>
          <w:b/>
          <w:bCs/>
        </w:rPr>
        <w:t>82、外币货币性项目</w:t>
      </w:r>
      <w:bookmarkEnd w:id="255"/>
    </w:p>
    <w:p w:rsidR="00E62F69" w:rsidRDefault="00B54A20">
      <w:pPr>
        <w:keepNext/>
        <w:keepLines/>
        <w:spacing w:before="300" w:after="300" w:line="280" w:lineRule="exact"/>
        <w:outlineLvl w:val="3"/>
        <w:rPr>
          <w:rFonts w:ascii="宋体" w:eastAsia="宋体" w:hAnsi="宋体" w:cs="宋体"/>
          <w:b/>
          <w:bCs/>
          <w:szCs w:val="21"/>
        </w:rPr>
      </w:pPr>
      <w:bookmarkStart w:id="256" w:name="_Toc989253"/>
      <w:r>
        <w:rPr>
          <w:rFonts w:ascii="宋体" w:eastAsia="宋体" w:hAnsi="宋体" w:cs="宋体"/>
          <w:b/>
          <w:bCs/>
          <w:szCs w:val="21"/>
        </w:rPr>
        <w:t>（1） 外币货币性项目</w:t>
      </w:r>
      <w:bookmarkEnd w:id="25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6,830.85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49,358.35</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7.88000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7.88</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3,218.00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2,966.93</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32,078,337.00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9,944.28</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韩元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140,970.00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0.00550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775.34</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泰铢</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87.50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0.20343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17.80</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印尼盾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0.00048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1.44</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埃及镑</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0.23380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11.69</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台币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0.23000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0.46</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新加坡元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24.35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5.34415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130.13</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36,126,498.66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261,042,822.66</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34,054,072.00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31,397,173.30</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line="240" w:lineRule="exact"/>
              <w:jc w:val="both"/>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1,162,358,194,000.00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360,330,878.17</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rsidP="00B54D79">
            <w:pPr>
              <w:spacing w:before="40" w:after="40" w:line="240" w:lineRule="exact"/>
              <w:jc w:val="both"/>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应收票据</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1,297,231.31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9,373,532.87</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13,935,083,293.00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4,319,873.88</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100,244,610.23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7.22580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724,347,417.58</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662,088,150.25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610,432,032.72</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961,114,125,397.00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297,945,244.95</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15,038,420.33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7.29762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109,744,719.19</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34,054,072.00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31,397,173.29</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229,892,634,586.00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71,266,716.72</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82,163,969.48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7.27024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597,351,462.41</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669,891,984.93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617,627,012.28</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85,938,722,066.00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0.00031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26,409,395.73</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短期借款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29,442,489.67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7.30717</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215,141,130.04</w:t>
            </w:r>
          </w:p>
        </w:tc>
      </w:tr>
      <w:tr w:rsidR="00E62F69" w:rsidTr="00B54D7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70,000,000.00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0.92198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64,538,600.01</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57" w:name="_Toc989254"/>
      <w:r>
        <w:rPr>
          <w:rFonts w:ascii="宋体" w:eastAsia="宋体" w:hAnsi="宋体" w:cs="宋体"/>
          <w:b/>
          <w:bCs/>
          <w:szCs w:val="21"/>
        </w:rPr>
        <w:t>（2）境外经营实体说明，包括对于重要的境外经营实体，应披露其境外主要经营地、记账本位币及选择依据，记账本位币发生变化的还应披露原因。</w:t>
      </w:r>
      <w:bookmarkEnd w:id="257"/>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258" w:name="_Toc989255"/>
      <w:r>
        <w:rPr>
          <w:rFonts w:ascii="宋体" w:hAnsi="宋体" w:cs="宋体"/>
          <w:b/>
          <w:bCs/>
        </w:rPr>
        <w:t>83、套期</w:t>
      </w:r>
      <w:bookmarkEnd w:id="258"/>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按照套期类别披露套</w:t>
      </w:r>
      <w:proofErr w:type="gramStart"/>
      <w:r>
        <w:rPr>
          <w:rFonts w:ascii="宋体" w:eastAsia="宋体" w:hAnsi="宋体" w:cs="宋体"/>
          <w:sz w:val="18"/>
          <w:szCs w:val="18"/>
        </w:rPr>
        <w:t>期项目</w:t>
      </w:r>
      <w:proofErr w:type="gramEnd"/>
      <w:r>
        <w:rPr>
          <w:rFonts w:ascii="宋体" w:eastAsia="宋体" w:hAnsi="宋体" w:cs="宋体"/>
          <w:sz w:val="18"/>
          <w:szCs w:val="18"/>
        </w:rPr>
        <w:t>及相关套期工具、被套期风险的定性和定量信息：</w:t>
      </w:r>
      <w:r>
        <w:rPr>
          <w:rFonts w:hint="eastAsia"/>
          <w:sz w:val="18"/>
          <w:szCs w:val="18"/>
        </w:rPr>
        <w:t>无。</w:t>
      </w:r>
    </w:p>
    <w:p w:rsidR="00E62F69" w:rsidRDefault="00B54A20">
      <w:pPr>
        <w:pStyle w:val="3"/>
        <w:spacing w:line="280" w:lineRule="exact"/>
        <w:jc w:val="left"/>
        <w:rPr>
          <w:rFonts w:ascii="宋体" w:hAnsi="宋体" w:cs="宋体"/>
          <w:b/>
          <w:bCs/>
        </w:rPr>
      </w:pPr>
      <w:bookmarkStart w:id="259" w:name="_Toc989256"/>
      <w:r>
        <w:rPr>
          <w:rFonts w:ascii="宋体" w:hAnsi="宋体" w:cs="宋体"/>
          <w:b/>
          <w:bCs/>
        </w:rPr>
        <w:t>84、政府补助</w:t>
      </w:r>
      <w:bookmarkEnd w:id="259"/>
    </w:p>
    <w:p w:rsidR="00E62F69" w:rsidRDefault="00B54A20">
      <w:pPr>
        <w:keepNext/>
        <w:keepLines/>
        <w:spacing w:before="300" w:after="300" w:line="280" w:lineRule="exact"/>
        <w:outlineLvl w:val="3"/>
        <w:rPr>
          <w:rFonts w:ascii="宋体" w:eastAsia="宋体" w:hAnsi="宋体" w:cs="宋体"/>
          <w:b/>
          <w:bCs/>
          <w:szCs w:val="21"/>
        </w:rPr>
      </w:pPr>
      <w:bookmarkStart w:id="260" w:name="_Toc989257"/>
      <w:r>
        <w:rPr>
          <w:rFonts w:ascii="宋体" w:eastAsia="宋体" w:hAnsi="宋体" w:cs="宋体"/>
          <w:b/>
          <w:bCs/>
          <w:szCs w:val="21"/>
        </w:rPr>
        <w:t>（1） 政府补助基本情况</w:t>
      </w:r>
      <w:bookmarkEnd w:id="26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列</w:t>
            </w:r>
            <w:proofErr w:type="gramStart"/>
            <w:r>
              <w:rPr>
                <w:rFonts w:ascii="宋体" w:eastAsia="宋体" w:hAnsi="宋体" w:cs="宋体"/>
                <w:sz w:val="18"/>
                <w:szCs w:val="18"/>
              </w:rPr>
              <w:t>报项目</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计入递延收益的政府补助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3,559,800.00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递延收益</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计入其他收益的政府补助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73,566,623.46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73,566,623.46</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冲减成本费用的政府补助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109,348,541.45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成本费用</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109,348,541.45</w:t>
            </w:r>
          </w:p>
        </w:tc>
      </w:tr>
    </w:tbl>
    <w:p w:rsidR="00E62F69" w:rsidRDefault="00B54A20">
      <w:pPr>
        <w:keepNext/>
        <w:keepLines/>
        <w:spacing w:before="300" w:after="300" w:line="280" w:lineRule="exact"/>
        <w:outlineLvl w:val="3"/>
        <w:rPr>
          <w:rFonts w:ascii="宋体" w:eastAsia="宋体" w:hAnsi="宋体" w:cs="宋体"/>
          <w:b/>
          <w:bCs/>
          <w:szCs w:val="21"/>
        </w:rPr>
      </w:pPr>
      <w:bookmarkStart w:id="261" w:name="_Toc989258"/>
      <w:r>
        <w:rPr>
          <w:rFonts w:ascii="宋体" w:eastAsia="宋体" w:hAnsi="宋体" w:cs="宋体"/>
          <w:b/>
          <w:bCs/>
          <w:szCs w:val="21"/>
        </w:rPr>
        <w:t>（2） 政府补助退回情况</w:t>
      </w:r>
      <w:bookmarkEnd w:id="261"/>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62" w:name="_Toc989259"/>
      <w:r>
        <w:rPr>
          <w:rFonts w:ascii="宋体" w:hAnsi="宋体" w:cs="宋体"/>
          <w:b/>
          <w:bCs/>
        </w:rPr>
        <w:t>85、其他</w:t>
      </w:r>
      <w:bookmarkEnd w:id="262"/>
    </w:p>
    <w:p w:rsidR="00B54A20" w:rsidRDefault="00B54A20">
      <w:pPr>
        <w:pStyle w:val="a3"/>
        <w:divId w:val="465468779"/>
        <w:rPr>
          <w:sz w:val="18"/>
          <w:szCs w:val="18"/>
        </w:rPr>
      </w:pPr>
      <w:r>
        <w:rPr>
          <w:rFonts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263" w:name="_Toc989260"/>
      <w:r>
        <w:rPr>
          <w:rFonts w:ascii="宋体" w:eastAsia="宋体" w:hAnsi="宋体" w:cs="宋体"/>
          <w:b/>
          <w:bCs/>
          <w:sz w:val="24"/>
          <w:szCs w:val="24"/>
        </w:rPr>
        <w:t>八、合并范围的变更</w:t>
      </w:r>
      <w:bookmarkEnd w:id="263"/>
    </w:p>
    <w:p w:rsidR="00E62F69" w:rsidRDefault="00B54A20">
      <w:pPr>
        <w:pStyle w:val="3"/>
        <w:spacing w:line="280" w:lineRule="exact"/>
        <w:jc w:val="left"/>
        <w:rPr>
          <w:rFonts w:ascii="宋体" w:hAnsi="宋体" w:cs="宋体"/>
          <w:b/>
          <w:bCs/>
        </w:rPr>
      </w:pPr>
      <w:bookmarkStart w:id="264" w:name="_Toc989261"/>
      <w:r>
        <w:rPr>
          <w:rFonts w:ascii="宋体" w:hAnsi="宋体" w:cs="宋体"/>
          <w:b/>
          <w:bCs/>
        </w:rPr>
        <w:t>1、非同</w:t>
      </w:r>
      <w:proofErr w:type="gramStart"/>
      <w:r>
        <w:rPr>
          <w:rFonts w:ascii="宋体" w:hAnsi="宋体" w:cs="宋体"/>
          <w:b/>
          <w:bCs/>
        </w:rPr>
        <w:t>一控制</w:t>
      </w:r>
      <w:proofErr w:type="gramEnd"/>
      <w:r>
        <w:rPr>
          <w:rFonts w:ascii="宋体" w:hAnsi="宋体" w:cs="宋体"/>
          <w:b/>
          <w:bCs/>
        </w:rPr>
        <w:t>下企业合并</w:t>
      </w:r>
      <w:bookmarkEnd w:id="264"/>
    </w:p>
    <w:p w:rsidR="00B54D79" w:rsidRDefault="00B54A20" w:rsidP="00B54D79">
      <w:pPr>
        <w:keepNext/>
        <w:keepLines/>
        <w:spacing w:before="300" w:after="300" w:line="280" w:lineRule="exact"/>
        <w:outlineLvl w:val="3"/>
        <w:rPr>
          <w:rFonts w:ascii="宋体" w:eastAsia="宋体" w:hAnsi="宋体" w:cs="宋体"/>
          <w:b/>
          <w:bCs/>
          <w:sz w:val="18"/>
          <w:szCs w:val="18"/>
        </w:rPr>
      </w:pPr>
      <w:bookmarkStart w:id="265" w:name="_Toc989262"/>
      <w:r>
        <w:rPr>
          <w:rFonts w:ascii="宋体" w:eastAsia="宋体" w:hAnsi="宋体" w:cs="宋体"/>
          <w:b/>
          <w:bCs/>
          <w:sz w:val="18"/>
          <w:szCs w:val="18"/>
        </w:rPr>
        <w:t>（1） 本期发生的非同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265"/>
    </w:p>
    <w:p w:rsidR="00B54A20" w:rsidRPr="00B54D79" w:rsidRDefault="00B54A20" w:rsidP="00B54D79">
      <w:pPr>
        <w:keepNext/>
        <w:keepLines/>
        <w:spacing w:before="300" w:after="300" w:line="280" w:lineRule="exact"/>
        <w:outlineLvl w:val="3"/>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66" w:name="_Toc989263"/>
      <w:r>
        <w:rPr>
          <w:rFonts w:ascii="宋体" w:eastAsia="宋体" w:hAnsi="宋体" w:cs="宋体"/>
          <w:b/>
          <w:bCs/>
          <w:sz w:val="18"/>
          <w:szCs w:val="18"/>
        </w:rPr>
        <w:t>（2） 合并成本及商誉</w:t>
      </w:r>
      <w:bookmarkEnd w:id="266"/>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合并成本公允价值的确定方法、或有对价及其变动的说明：</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大额商誉形成的主要原因：</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67" w:name="_Toc989264"/>
      <w:r>
        <w:rPr>
          <w:rFonts w:ascii="宋体" w:eastAsia="宋体" w:hAnsi="宋体" w:cs="宋体"/>
          <w:b/>
          <w:bCs/>
          <w:sz w:val="18"/>
          <w:szCs w:val="18"/>
        </w:rPr>
        <w:t>（3） 被购买方于购买日可辨认资产、负债</w:t>
      </w:r>
      <w:bookmarkEnd w:id="267"/>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可辨认资产、负债公允价值的确定方法：</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企业合并中承担的被购买方的或有负债：</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68" w:name="_Toc989265"/>
      <w:r>
        <w:rPr>
          <w:rFonts w:ascii="宋体" w:eastAsia="宋体" w:hAnsi="宋体" w:cs="宋体"/>
          <w:b/>
          <w:bCs/>
          <w:sz w:val="18"/>
          <w:szCs w:val="18"/>
        </w:rPr>
        <w:t>（4） 购买日之前持有的股权按照公允价值重新计量产生的利得或损失</w:t>
      </w:r>
      <w:bookmarkEnd w:id="268"/>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是否存在通过多次交易分步实现企业合并且在报告期内取得控制权的交易</w:t>
      </w:r>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E62F69" w:rsidRDefault="00B54A20">
      <w:pPr>
        <w:keepNext/>
        <w:keepLines/>
        <w:spacing w:before="300" w:after="300" w:line="280" w:lineRule="exact"/>
        <w:outlineLvl w:val="3"/>
        <w:rPr>
          <w:rFonts w:ascii="宋体" w:eastAsia="宋体" w:hAnsi="宋体" w:cs="宋体"/>
          <w:b/>
          <w:bCs/>
          <w:sz w:val="18"/>
          <w:szCs w:val="18"/>
        </w:rPr>
      </w:pPr>
      <w:bookmarkStart w:id="269" w:name="_Toc989266"/>
      <w:r>
        <w:rPr>
          <w:rFonts w:ascii="宋体" w:eastAsia="宋体" w:hAnsi="宋体" w:cs="宋体"/>
          <w:b/>
          <w:bCs/>
          <w:sz w:val="18"/>
          <w:szCs w:val="18"/>
        </w:rPr>
        <w:t>（5） 购买日或合并当期期末无法合理确定合并对价或被购买方可辨认资产、负债公允价值的相关说明</w:t>
      </w:r>
      <w:bookmarkEnd w:id="269"/>
    </w:p>
    <w:p w:rsidR="00B54A20" w:rsidRDefault="00B54A20">
      <w:pPr>
        <w:pStyle w:val="a3"/>
        <w:divId w:val="1891186349"/>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70" w:name="_Toc989267"/>
      <w:r>
        <w:rPr>
          <w:rFonts w:ascii="宋体" w:eastAsia="宋体" w:hAnsi="宋体" w:cs="宋体"/>
          <w:b/>
          <w:bCs/>
          <w:sz w:val="18"/>
          <w:szCs w:val="18"/>
        </w:rPr>
        <w:t>（6） 其他说明</w:t>
      </w:r>
      <w:bookmarkEnd w:id="270"/>
    </w:p>
    <w:p w:rsidR="00B54A20" w:rsidRDefault="00B54A20">
      <w:pPr>
        <w:pStyle w:val="a3"/>
        <w:divId w:val="785928851"/>
        <w:rPr>
          <w:sz w:val="18"/>
          <w:szCs w:val="18"/>
        </w:rPr>
      </w:pPr>
      <w:r>
        <w:rPr>
          <w:rFonts w:hint="eastAsia"/>
          <w:sz w:val="18"/>
          <w:szCs w:val="18"/>
        </w:rPr>
        <w:t>无。</w:t>
      </w:r>
    </w:p>
    <w:p w:rsidR="00E62F69" w:rsidRDefault="00B54A20">
      <w:pPr>
        <w:pStyle w:val="3"/>
        <w:spacing w:line="280" w:lineRule="exact"/>
        <w:jc w:val="left"/>
        <w:rPr>
          <w:rFonts w:ascii="宋体" w:hAnsi="宋体" w:cs="宋体"/>
          <w:b/>
          <w:bCs/>
        </w:rPr>
      </w:pPr>
      <w:bookmarkStart w:id="271" w:name="_Toc989268"/>
      <w:r>
        <w:rPr>
          <w:rFonts w:ascii="宋体" w:hAnsi="宋体" w:cs="宋体"/>
          <w:b/>
          <w:bCs/>
        </w:rPr>
        <w:t>2、同</w:t>
      </w:r>
      <w:proofErr w:type="gramStart"/>
      <w:r>
        <w:rPr>
          <w:rFonts w:ascii="宋体" w:hAnsi="宋体" w:cs="宋体"/>
          <w:b/>
          <w:bCs/>
        </w:rPr>
        <w:t>一控制</w:t>
      </w:r>
      <w:proofErr w:type="gramEnd"/>
      <w:r>
        <w:rPr>
          <w:rFonts w:ascii="宋体" w:hAnsi="宋体" w:cs="宋体"/>
          <w:b/>
          <w:bCs/>
        </w:rPr>
        <w:t>下企业合并</w:t>
      </w:r>
      <w:bookmarkEnd w:id="271"/>
    </w:p>
    <w:p w:rsidR="00E62F69" w:rsidRDefault="00B54A20">
      <w:pPr>
        <w:keepNext/>
        <w:keepLines/>
        <w:spacing w:before="300" w:after="300" w:line="280" w:lineRule="exact"/>
        <w:outlineLvl w:val="3"/>
        <w:rPr>
          <w:rFonts w:ascii="宋体" w:eastAsia="宋体" w:hAnsi="宋体" w:cs="宋体"/>
          <w:b/>
          <w:bCs/>
          <w:sz w:val="18"/>
          <w:szCs w:val="18"/>
        </w:rPr>
      </w:pPr>
      <w:bookmarkStart w:id="272" w:name="_Toc989269"/>
      <w:r>
        <w:rPr>
          <w:rFonts w:ascii="宋体" w:eastAsia="宋体" w:hAnsi="宋体" w:cs="宋体"/>
          <w:b/>
          <w:bCs/>
          <w:sz w:val="18"/>
          <w:szCs w:val="18"/>
        </w:rPr>
        <w:t>（1） 本期发生的同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272"/>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73" w:name="_Toc989270"/>
      <w:r>
        <w:rPr>
          <w:rFonts w:ascii="宋体" w:eastAsia="宋体" w:hAnsi="宋体" w:cs="宋体"/>
          <w:b/>
          <w:bCs/>
          <w:sz w:val="18"/>
          <w:szCs w:val="18"/>
        </w:rPr>
        <w:t>（2） 合并成本</w:t>
      </w:r>
      <w:bookmarkEnd w:id="273"/>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或有对价及其变动的说明：</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74" w:name="_Toc989271"/>
      <w:r>
        <w:rPr>
          <w:rFonts w:ascii="宋体" w:eastAsia="宋体" w:hAnsi="宋体" w:cs="宋体"/>
          <w:b/>
          <w:bCs/>
          <w:sz w:val="18"/>
          <w:szCs w:val="18"/>
        </w:rPr>
        <w:t xml:space="preserve">（3） </w:t>
      </w:r>
      <w:proofErr w:type="gramStart"/>
      <w:r>
        <w:rPr>
          <w:rFonts w:ascii="宋体" w:eastAsia="宋体" w:hAnsi="宋体" w:cs="宋体"/>
          <w:b/>
          <w:bCs/>
          <w:sz w:val="18"/>
          <w:szCs w:val="18"/>
        </w:rPr>
        <w:t>合并日</w:t>
      </w:r>
      <w:proofErr w:type="gramEnd"/>
      <w:r>
        <w:rPr>
          <w:rFonts w:ascii="宋体" w:eastAsia="宋体" w:hAnsi="宋体" w:cs="宋体"/>
          <w:b/>
          <w:bCs/>
          <w:sz w:val="18"/>
          <w:szCs w:val="18"/>
        </w:rPr>
        <w:t>被合并方资产、负债的账面价值</w:t>
      </w:r>
      <w:bookmarkEnd w:id="274"/>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企业合并中承担的被合并方的或有负债：</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275" w:name="_Toc989272"/>
      <w:r>
        <w:rPr>
          <w:rFonts w:ascii="宋体" w:hAnsi="宋体" w:cs="宋体"/>
          <w:b/>
          <w:bCs/>
        </w:rPr>
        <w:t>3、反向购买</w:t>
      </w:r>
      <w:bookmarkEnd w:id="275"/>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交易基本信息、交易构成反向购买的依据、上市公司保留的资产、负债是否构成业务及其依据、合并成本的确定、按照权益性交易处理时调整权益的金额及其计算：</w:t>
      </w:r>
      <w:r w:rsidR="00B54D79">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276" w:name="_Toc989273"/>
      <w:r>
        <w:rPr>
          <w:rFonts w:ascii="宋体" w:hAnsi="宋体" w:cs="宋体"/>
          <w:b/>
          <w:bCs/>
        </w:rPr>
        <w:t>4、处置子公司</w:t>
      </w:r>
      <w:bookmarkEnd w:id="276"/>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E62F69">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股权处置价款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股权处置比例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股权处置方式</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丧失控制权的时点</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丧失控制权时点的确定依据</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处置价款与处置投资对应的合并财务报表层面享有该子公司净资产份额的差额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丧失控制权之日剩余股权的比例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丧失控制权之日剩余股权的账面价值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丧失控制权之日剩余股权的公允价值</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按照公允价值重新计量剩余股权产生的利得或损失</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丧失控制权之日剩余股权公允价值的确定方法及主要假设</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与原子公司股权投资相关的其他综合收益转入投资损益的金额</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呼图壁县</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转让</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2023年05月10日</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合同约定交割日</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E62F69" w:rsidRDefault="00B54A20">
      <w:pPr>
        <w:pStyle w:val="3"/>
        <w:spacing w:line="280" w:lineRule="exact"/>
        <w:jc w:val="left"/>
        <w:rPr>
          <w:rFonts w:ascii="宋体" w:hAnsi="宋体" w:cs="宋体"/>
          <w:b/>
          <w:bCs/>
        </w:rPr>
      </w:pPr>
      <w:bookmarkStart w:id="277" w:name="_Toc989274"/>
      <w:r>
        <w:rPr>
          <w:rFonts w:ascii="宋体" w:hAnsi="宋体" w:cs="宋体"/>
          <w:b/>
          <w:bCs/>
        </w:rPr>
        <w:t>5、其他原因的合并范围变动</w:t>
      </w:r>
      <w:bookmarkEnd w:id="277"/>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tbl>
      <w:tblPr>
        <w:tblW w:w="9580" w:type="dxa"/>
        <w:tblCellMar>
          <w:left w:w="0" w:type="dxa"/>
          <w:right w:w="0" w:type="dxa"/>
        </w:tblCellMar>
        <w:tblLook w:val="04A0" w:firstRow="1" w:lastRow="0" w:firstColumn="1" w:lastColumn="0" w:noHBand="0" w:noVBand="1"/>
      </w:tblPr>
      <w:tblGrid>
        <w:gridCol w:w="4405"/>
        <w:gridCol w:w="5175"/>
      </w:tblGrid>
      <w:tr w:rsidR="00B54A20" w:rsidTr="00B54D79">
        <w:trPr>
          <w:divId w:val="1447576362"/>
          <w:trHeight w:val="695"/>
        </w:trPr>
        <w:tc>
          <w:tcPr>
            <w:tcW w:w="44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54A20" w:rsidRDefault="00B54A20">
            <w:pPr>
              <w:jc w:val="center"/>
              <w:rPr>
                <w:rFonts w:ascii="宋体" w:eastAsia="宋体" w:hAnsi="宋体" w:cs="宋体"/>
                <w:sz w:val="18"/>
                <w:szCs w:val="18"/>
              </w:rPr>
            </w:pPr>
            <w:r>
              <w:rPr>
                <w:rFonts w:hint="eastAsia"/>
                <w:sz w:val="18"/>
                <w:szCs w:val="18"/>
              </w:rPr>
              <w:t>公司名称</w:t>
            </w:r>
          </w:p>
        </w:tc>
        <w:tc>
          <w:tcPr>
            <w:tcW w:w="5175" w:type="dxa"/>
            <w:tcBorders>
              <w:top w:val="single" w:sz="8" w:space="0" w:color="auto"/>
              <w:left w:val="nil"/>
              <w:bottom w:val="single" w:sz="8" w:space="0" w:color="auto"/>
              <w:right w:val="single" w:sz="8" w:space="0" w:color="auto"/>
            </w:tcBorders>
            <w:shd w:val="clear" w:color="auto" w:fill="D3D3D3"/>
            <w:vAlign w:val="center"/>
            <w:hideMark/>
          </w:tcPr>
          <w:p w:rsidR="00B54A20" w:rsidRDefault="00B54A20">
            <w:pPr>
              <w:jc w:val="center"/>
              <w:rPr>
                <w:rFonts w:ascii="宋体" w:eastAsia="宋体" w:hAnsi="宋体" w:cs="宋体"/>
                <w:sz w:val="18"/>
                <w:szCs w:val="18"/>
              </w:rPr>
            </w:pPr>
            <w:r>
              <w:rPr>
                <w:rFonts w:hint="eastAsia"/>
                <w:sz w:val="18"/>
                <w:szCs w:val="18"/>
              </w:rPr>
              <w:t>其他原因导致子公司变动</w:t>
            </w:r>
          </w:p>
        </w:tc>
      </w:tr>
      <w:tr w:rsidR="00B54A20" w:rsidTr="00B54D79">
        <w:trPr>
          <w:divId w:val="1447576362"/>
          <w:trHeight w:val="287"/>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浙江果实设计有限公司</w:t>
            </w:r>
          </w:p>
        </w:tc>
        <w:tc>
          <w:tcPr>
            <w:tcW w:w="5175" w:type="dxa"/>
            <w:tcBorders>
              <w:top w:val="nil"/>
              <w:left w:val="nil"/>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新设</w:t>
            </w:r>
          </w:p>
        </w:tc>
      </w:tr>
      <w:tr w:rsidR="00B54A20" w:rsidTr="00B54D79">
        <w:trPr>
          <w:divId w:val="1447576362"/>
          <w:trHeight w:val="287"/>
        </w:trPr>
        <w:tc>
          <w:tcPr>
            <w:tcW w:w="4405" w:type="dxa"/>
            <w:tcBorders>
              <w:top w:val="nil"/>
              <w:left w:val="single" w:sz="8" w:space="0" w:color="auto"/>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浙江其实科技有限公司</w:t>
            </w:r>
          </w:p>
        </w:tc>
        <w:tc>
          <w:tcPr>
            <w:tcW w:w="5175" w:type="dxa"/>
            <w:tcBorders>
              <w:top w:val="nil"/>
              <w:left w:val="nil"/>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新设</w:t>
            </w:r>
          </w:p>
        </w:tc>
      </w:tr>
      <w:tr w:rsidR="00B54A20" w:rsidTr="00B54D79">
        <w:trPr>
          <w:divId w:val="1447576362"/>
          <w:trHeight w:val="287"/>
        </w:trPr>
        <w:tc>
          <w:tcPr>
            <w:tcW w:w="4405" w:type="dxa"/>
            <w:tcBorders>
              <w:top w:val="nil"/>
              <w:left w:val="single" w:sz="8" w:space="0" w:color="auto"/>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浙江艾思其品牌管理有限公司</w:t>
            </w:r>
          </w:p>
        </w:tc>
        <w:tc>
          <w:tcPr>
            <w:tcW w:w="5175" w:type="dxa"/>
            <w:tcBorders>
              <w:top w:val="nil"/>
              <w:left w:val="nil"/>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新设</w:t>
            </w:r>
          </w:p>
        </w:tc>
      </w:tr>
      <w:tr w:rsidR="00B54A20" w:rsidTr="00B54D79">
        <w:trPr>
          <w:divId w:val="1447576362"/>
          <w:trHeight w:val="287"/>
        </w:trPr>
        <w:tc>
          <w:tcPr>
            <w:tcW w:w="4405" w:type="dxa"/>
            <w:tcBorders>
              <w:top w:val="nil"/>
              <w:left w:val="single" w:sz="8" w:space="0" w:color="auto"/>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浙江达米安品牌管理有限公司</w:t>
            </w:r>
          </w:p>
        </w:tc>
        <w:tc>
          <w:tcPr>
            <w:tcW w:w="5175" w:type="dxa"/>
            <w:tcBorders>
              <w:top w:val="nil"/>
              <w:left w:val="nil"/>
              <w:bottom w:val="single" w:sz="8" w:space="0" w:color="auto"/>
              <w:right w:val="single" w:sz="8" w:space="0" w:color="auto"/>
            </w:tcBorders>
            <w:shd w:val="clear" w:color="auto" w:fill="FFFFFF"/>
            <w:vAlign w:val="center"/>
            <w:hideMark/>
          </w:tcPr>
          <w:p w:rsidR="00B54A20" w:rsidRDefault="00B54A20">
            <w:pPr>
              <w:rPr>
                <w:rFonts w:ascii="宋体" w:eastAsia="宋体" w:hAnsi="宋体" w:cs="宋体"/>
                <w:sz w:val="20"/>
                <w:szCs w:val="20"/>
              </w:rPr>
            </w:pPr>
            <w:r>
              <w:rPr>
                <w:rFonts w:hint="eastAsia"/>
                <w:sz w:val="20"/>
                <w:szCs w:val="20"/>
              </w:rPr>
              <w:t>新设</w:t>
            </w:r>
          </w:p>
        </w:tc>
      </w:tr>
    </w:tbl>
    <w:p w:rsidR="00E62F69" w:rsidRDefault="00B54A20">
      <w:pPr>
        <w:pStyle w:val="3"/>
        <w:spacing w:line="280" w:lineRule="exact"/>
        <w:jc w:val="left"/>
        <w:rPr>
          <w:rFonts w:ascii="宋体" w:hAnsi="宋体" w:cs="宋体"/>
          <w:b/>
          <w:bCs/>
        </w:rPr>
      </w:pPr>
      <w:bookmarkStart w:id="278" w:name="_Toc989275"/>
      <w:r>
        <w:rPr>
          <w:rFonts w:ascii="宋体" w:hAnsi="宋体" w:cs="宋体"/>
          <w:b/>
          <w:bCs/>
        </w:rPr>
        <w:t>6、其他</w:t>
      </w:r>
      <w:bookmarkEnd w:id="278"/>
    </w:p>
    <w:p w:rsidR="00B54A20" w:rsidRDefault="00B54A20">
      <w:pPr>
        <w:pStyle w:val="a3"/>
        <w:divId w:val="733360520"/>
        <w:rPr>
          <w:rFonts w:ascii="Times New Roman" w:hAnsi="Times New Roman" w:cs="Times New Roman"/>
        </w:rPr>
      </w:pPr>
      <w:r>
        <w:rPr>
          <w:rFonts w:cs="Times New Roman"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279" w:name="_Toc989276"/>
      <w:r>
        <w:rPr>
          <w:rFonts w:ascii="宋体" w:eastAsia="宋体" w:hAnsi="宋体" w:cs="宋体"/>
          <w:b/>
          <w:bCs/>
          <w:sz w:val="24"/>
          <w:szCs w:val="24"/>
        </w:rPr>
        <w:t>九、在其他主体中的权益</w:t>
      </w:r>
      <w:bookmarkEnd w:id="279"/>
    </w:p>
    <w:p w:rsidR="00E62F69" w:rsidRDefault="00B54A20">
      <w:pPr>
        <w:pStyle w:val="3"/>
        <w:spacing w:line="280" w:lineRule="exact"/>
        <w:jc w:val="left"/>
        <w:rPr>
          <w:rFonts w:ascii="宋体" w:hAnsi="宋体" w:cs="宋体"/>
          <w:b/>
          <w:bCs/>
        </w:rPr>
      </w:pPr>
      <w:bookmarkStart w:id="280" w:name="_Toc989277"/>
      <w:r>
        <w:rPr>
          <w:rFonts w:ascii="宋体" w:hAnsi="宋体" w:cs="宋体"/>
          <w:b/>
          <w:bCs/>
        </w:rPr>
        <w:t>1、在子公司中的权益</w:t>
      </w:r>
      <w:bookmarkEnd w:id="280"/>
    </w:p>
    <w:p w:rsidR="00E62F69" w:rsidRDefault="00B54A20">
      <w:pPr>
        <w:keepNext/>
        <w:keepLines/>
        <w:spacing w:before="300" w:after="300" w:line="280" w:lineRule="exact"/>
        <w:outlineLvl w:val="3"/>
        <w:rPr>
          <w:rFonts w:ascii="宋体" w:eastAsia="宋体" w:hAnsi="宋体" w:cs="宋体"/>
          <w:b/>
          <w:bCs/>
          <w:sz w:val="18"/>
          <w:szCs w:val="18"/>
        </w:rPr>
      </w:pPr>
      <w:bookmarkStart w:id="281" w:name="_Toc989278"/>
      <w:r>
        <w:rPr>
          <w:rFonts w:ascii="宋体" w:eastAsia="宋体" w:hAnsi="宋体" w:cs="宋体"/>
          <w:b/>
          <w:bCs/>
          <w:sz w:val="18"/>
          <w:szCs w:val="18"/>
        </w:rPr>
        <w:t>（1） 企业集团的构成</w:t>
      </w:r>
      <w:bookmarkEnd w:id="28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E62F6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香港华孚有限公司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顺道（越南）实业独资有限公司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越南隆安省</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越南隆安省</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香港天成贸易有限公司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新加坡耀佳国际贸易有限公司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新加坡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新加坡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香港华孚贸易有限公司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宁海华孚纺织有限公司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浙江省上虞市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浙江省上虞市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余姚华</w:t>
            </w:r>
            <w:proofErr w:type="gramStart"/>
            <w:r>
              <w:rPr>
                <w:rFonts w:ascii="宋体" w:eastAsia="宋体" w:hAnsi="宋体" w:cs="宋体"/>
                <w:sz w:val="18"/>
                <w:szCs w:val="18"/>
              </w:rPr>
              <w:t>孚</w:t>
            </w:r>
            <w:proofErr w:type="gramEnd"/>
            <w:r>
              <w:rPr>
                <w:rFonts w:ascii="宋体" w:eastAsia="宋体" w:hAnsi="宋体" w:cs="宋体"/>
                <w:sz w:val="18"/>
                <w:szCs w:val="18"/>
              </w:rPr>
              <w:t>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浙江省余姚市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浙江省余姚市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浙江社标纤维有限公司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绍</w:t>
            </w:r>
            <w:proofErr w:type="gramEnd"/>
            <w:r>
              <w:rPr>
                <w:rFonts w:ascii="宋体" w:eastAsia="宋体" w:hAnsi="宋体" w:cs="宋体"/>
                <w:sz w:val="18"/>
                <w:szCs w:val="18"/>
              </w:rPr>
              <w:t>省兴市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w:t>
            </w:r>
            <w:proofErr w:type="gramStart"/>
            <w:r>
              <w:rPr>
                <w:rFonts w:ascii="宋体" w:eastAsia="宋体" w:hAnsi="宋体" w:cs="宋体"/>
                <w:sz w:val="18"/>
                <w:szCs w:val="18"/>
              </w:rPr>
              <w:t>标信纤维</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石河子标配纤维</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浙江昇孚贸易有限公司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绍兴市上虞华孚物流有限公司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浙江省上虞</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物流业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宁波华孚东</w:t>
            </w:r>
            <w:proofErr w:type="gramStart"/>
            <w:r>
              <w:rPr>
                <w:rFonts w:ascii="宋体" w:eastAsia="宋体" w:hAnsi="宋体" w:cs="宋体"/>
                <w:sz w:val="18"/>
                <w:szCs w:val="18"/>
              </w:rPr>
              <w:t>浩</w:t>
            </w:r>
            <w:proofErr w:type="gramEnd"/>
            <w:r>
              <w:rPr>
                <w:rFonts w:ascii="宋体" w:eastAsia="宋体" w:hAnsi="宋体" w:cs="宋体"/>
                <w:sz w:val="18"/>
                <w:szCs w:val="18"/>
              </w:rPr>
              <w:t>实业有限公司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浙江宁波</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浙江宁波</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九江中</w:t>
            </w:r>
            <w:proofErr w:type="gramStart"/>
            <w:r>
              <w:rPr>
                <w:rFonts w:ascii="宋体" w:eastAsia="宋体" w:hAnsi="宋体" w:cs="宋体"/>
                <w:sz w:val="18"/>
                <w:szCs w:val="18"/>
              </w:rPr>
              <w:t>浩</w:t>
            </w:r>
            <w:proofErr w:type="gramEnd"/>
            <w:r>
              <w:rPr>
                <w:rFonts w:ascii="宋体" w:eastAsia="宋体" w:hAnsi="宋体" w:cs="宋体"/>
                <w:sz w:val="18"/>
                <w:szCs w:val="18"/>
              </w:rPr>
              <w:t>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江西省九江市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江西省九江市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浙江省丽水市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浙江省丽水市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浙江金华华孚纺织有限公司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平湖市华孚金瓶纺织有限公司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浙江省平湖市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上海华孚色纺贸易有限公司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阿克苏华孚色纺有限公司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新疆华孚色纺集团有限公司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新疆六孚纺织工业</w:t>
            </w:r>
            <w:proofErr w:type="gramEnd"/>
            <w:r>
              <w:rPr>
                <w:rFonts w:ascii="宋体" w:eastAsia="宋体" w:hAnsi="宋体" w:cs="宋体"/>
                <w:sz w:val="18"/>
                <w:szCs w:val="18"/>
              </w:rPr>
              <w:t>园有限公司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新疆五家渠市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新疆五家渠市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新疆天宏新</w:t>
            </w:r>
            <w:proofErr w:type="gramStart"/>
            <w:r>
              <w:rPr>
                <w:rFonts w:ascii="宋体" w:eastAsia="宋体" w:hAnsi="宋体" w:cs="宋体"/>
                <w:sz w:val="18"/>
                <w:szCs w:val="18"/>
              </w:rPr>
              <w:t>八棉产业</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阿克苏华孚新能源有限公司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光</w:t>
            </w:r>
            <w:proofErr w:type="gramStart"/>
            <w:r>
              <w:rPr>
                <w:rFonts w:ascii="宋体" w:eastAsia="宋体" w:hAnsi="宋体" w:cs="宋体"/>
                <w:sz w:val="18"/>
                <w:szCs w:val="18"/>
              </w:rPr>
              <w:t>伏销售</w:t>
            </w:r>
            <w:proofErr w:type="gramEnd"/>
            <w:r>
              <w:rPr>
                <w:rFonts w:ascii="宋体" w:eastAsia="宋体" w:hAnsi="宋体" w:cs="宋体"/>
                <w:sz w:val="18"/>
                <w:szCs w:val="18"/>
              </w:rPr>
              <w:t>及技术服务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阿瓦提华</w:t>
            </w:r>
            <w:proofErr w:type="gramStart"/>
            <w:r>
              <w:rPr>
                <w:rFonts w:ascii="宋体" w:eastAsia="宋体" w:hAnsi="宋体" w:cs="宋体"/>
                <w:sz w:val="18"/>
                <w:szCs w:val="18"/>
              </w:rPr>
              <w:t>孚</w:t>
            </w:r>
            <w:proofErr w:type="gramEnd"/>
            <w:r>
              <w:rPr>
                <w:rFonts w:ascii="宋体" w:eastAsia="宋体" w:hAnsi="宋体" w:cs="宋体"/>
                <w:sz w:val="18"/>
                <w:szCs w:val="18"/>
              </w:rPr>
              <w:t>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新疆阿瓦提县</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新疆阿瓦提县</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新疆华孚</w:t>
            </w:r>
            <w:proofErr w:type="gramStart"/>
            <w:r>
              <w:rPr>
                <w:rFonts w:ascii="宋体" w:eastAsia="宋体" w:hAnsi="宋体" w:cs="宋体"/>
                <w:sz w:val="18"/>
                <w:szCs w:val="18"/>
              </w:rPr>
              <w:t>恒丰棉业</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w:t>
            </w:r>
            <w:proofErr w:type="gramStart"/>
            <w:r>
              <w:rPr>
                <w:rFonts w:ascii="宋体" w:eastAsia="宋体" w:hAnsi="宋体" w:cs="宋体"/>
                <w:sz w:val="18"/>
                <w:szCs w:val="18"/>
              </w:rPr>
              <w:t>恒丰棉业</w:t>
            </w:r>
            <w:proofErr w:type="gramEnd"/>
            <w:r>
              <w:rPr>
                <w:rFonts w:ascii="宋体" w:eastAsia="宋体" w:hAnsi="宋体" w:cs="宋体"/>
                <w:sz w:val="18"/>
                <w:szCs w:val="18"/>
              </w:rPr>
              <w:t>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库车纵横棉业有限责任公司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沙雅银花棉业</w:t>
            </w:r>
            <w:proofErr w:type="gramEnd"/>
            <w:r>
              <w:rPr>
                <w:rFonts w:ascii="宋体" w:eastAsia="宋体" w:hAnsi="宋体" w:cs="宋体"/>
                <w:sz w:val="18"/>
                <w:szCs w:val="18"/>
              </w:rPr>
              <w:t>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胡杨河</w:t>
            </w:r>
            <w:proofErr w:type="gramEnd"/>
            <w:r>
              <w:rPr>
                <w:rFonts w:ascii="宋体" w:eastAsia="宋体" w:hAnsi="宋体" w:cs="宋体"/>
                <w:sz w:val="18"/>
                <w:szCs w:val="18"/>
              </w:rPr>
              <w:t>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胡杨河</w:t>
            </w:r>
            <w:proofErr w:type="gramEnd"/>
            <w:r>
              <w:rPr>
                <w:rFonts w:ascii="宋体" w:eastAsia="宋体" w:hAnsi="宋体" w:cs="宋体"/>
                <w:sz w:val="18"/>
                <w:szCs w:val="18"/>
              </w:rPr>
              <w:t>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胡杨河</w:t>
            </w:r>
            <w:proofErr w:type="gramEnd"/>
            <w:r>
              <w:rPr>
                <w:rFonts w:ascii="宋体" w:eastAsia="宋体" w:hAnsi="宋体" w:cs="宋体"/>
                <w:sz w:val="18"/>
                <w:szCs w:val="18"/>
              </w:rPr>
              <w:t>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浙江聚丰贸易有限公司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石河子华孚</w:t>
            </w:r>
            <w:proofErr w:type="gramStart"/>
            <w:r>
              <w:rPr>
                <w:rFonts w:ascii="宋体" w:eastAsia="宋体" w:hAnsi="宋体" w:cs="宋体"/>
                <w:sz w:val="18"/>
                <w:szCs w:val="18"/>
              </w:rPr>
              <w:t>宏盛棉业</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石河子市华孚</w:t>
            </w:r>
            <w:proofErr w:type="gramStart"/>
            <w:r>
              <w:rPr>
                <w:rFonts w:ascii="宋体" w:eastAsia="宋体" w:hAnsi="宋体" w:cs="宋体"/>
                <w:sz w:val="18"/>
                <w:szCs w:val="18"/>
              </w:rPr>
              <w:t>宏丰棉业</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新疆石河子市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浙江维新贸易有限公司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浙江省宁波市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浙江恒孚贸易有限公司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新疆乌鲁木齐</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70.40%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物流运输业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40.80%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深圳华孚网链投资有限公司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淮北华孚供应链管理有限公司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浙江服人网络科技有限公司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阿大纺织股份有限公司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浙江阿大贸易有限公司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上海清澄时尚生活用品有限公司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上海市上海市</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上海市上海市</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w:t>
            </w:r>
            <w:proofErr w:type="gramStart"/>
            <w:r>
              <w:rPr>
                <w:rFonts w:ascii="宋体" w:eastAsia="宋体" w:hAnsi="宋体" w:cs="宋体"/>
                <w:sz w:val="18"/>
                <w:szCs w:val="18"/>
              </w:rPr>
              <w:t>清澄家</w:t>
            </w:r>
            <w:proofErr w:type="gramEnd"/>
            <w:r>
              <w:rPr>
                <w:rFonts w:ascii="宋体" w:eastAsia="宋体" w:hAnsi="宋体" w:cs="宋体"/>
                <w:sz w:val="18"/>
                <w:szCs w:val="18"/>
              </w:rPr>
              <w:t>生活用品有限公司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江苏省无锡市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江苏省无锡市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66.70%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浙江鲲驰互联科技有限公司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科技推广和应用服务业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新疆阿大数字科技产业园有限公司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浙江昊载科技有限公司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科技推广和应用服务业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诸暨中</w:t>
            </w:r>
            <w:proofErr w:type="gramStart"/>
            <w:r>
              <w:rPr>
                <w:rFonts w:ascii="宋体" w:eastAsia="宋体" w:hAnsi="宋体" w:cs="宋体"/>
                <w:sz w:val="18"/>
                <w:szCs w:val="18"/>
              </w:rPr>
              <w:t>昊</w:t>
            </w:r>
            <w:proofErr w:type="gramEnd"/>
            <w:r>
              <w:rPr>
                <w:rFonts w:ascii="宋体" w:eastAsia="宋体" w:hAnsi="宋体" w:cs="宋体"/>
                <w:sz w:val="18"/>
                <w:szCs w:val="18"/>
              </w:rPr>
              <w:t>投资管理有限公司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诸暨市承影电子商务有限公司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w:t>
            </w:r>
            <w:proofErr w:type="gramStart"/>
            <w:r>
              <w:rPr>
                <w:rFonts w:ascii="宋体" w:eastAsia="宋体" w:hAnsi="宋体" w:cs="宋体"/>
                <w:sz w:val="18"/>
                <w:szCs w:val="18"/>
              </w:rPr>
              <w:t>市渊虹</w:t>
            </w:r>
            <w:proofErr w:type="gramEnd"/>
            <w:r>
              <w:rPr>
                <w:rFonts w:ascii="宋体" w:eastAsia="宋体" w:hAnsi="宋体" w:cs="宋体"/>
                <w:sz w:val="18"/>
                <w:szCs w:val="18"/>
              </w:rPr>
              <w:t>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杭州名</w:t>
            </w:r>
            <w:proofErr w:type="gramStart"/>
            <w:r>
              <w:rPr>
                <w:rFonts w:ascii="宋体" w:eastAsia="宋体" w:hAnsi="宋体" w:cs="宋体"/>
                <w:sz w:val="18"/>
                <w:szCs w:val="18"/>
              </w:rPr>
              <w:t>鲲</w:t>
            </w:r>
            <w:proofErr w:type="gramEnd"/>
            <w:r>
              <w:rPr>
                <w:rFonts w:ascii="宋体" w:eastAsia="宋体" w:hAnsi="宋体" w:cs="宋体"/>
                <w:sz w:val="18"/>
                <w:szCs w:val="18"/>
              </w:rPr>
              <w:t>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软件开发</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51.96%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诸暨市卡拉美拉科技有限公司</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诸暨市龙渊电子商务有限公司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诸暨市湛</w:t>
            </w:r>
            <w:proofErr w:type="gramStart"/>
            <w:r>
              <w:rPr>
                <w:rFonts w:ascii="宋体" w:eastAsia="宋体" w:hAnsi="宋体" w:cs="宋体"/>
                <w:sz w:val="18"/>
                <w:szCs w:val="18"/>
              </w:rPr>
              <w:t>泸</w:t>
            </w:r>
            <w:proofErr w:type="gramEnd"/>
            <w:r>
              <w:rPr>
                <w:rFonts w:ascii="宋体" w:eastAsia="宋体" w:hAnsi="宋体" w:cs="宋体"/>
                <w:sz w:val="18"/>
                <w:szCs w:val="18"/>
              </w:rPr>
              <w:t>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w:t>
            </w:r>
            <w:proofErr w:type="gramStart"/>
            <w:r>
              <w:rPr>
                <w:rFonts w:ascii="宋体" w:eastAsia="宋体" w:hAnsi="宋体" w:cs="宋体"/>
                <w:sz w:val="18"/>
                <w:szCs w:val="18"/>
              </w:rPr>
              <w:t>赤</w:t>
            </w:r>
            <w:proofErr w:type="gramEnd"/>
            <w:r>
              <w:rPr>
                <w:rFonts w:ascii="宋体" w:eastAsia="宋体" w:hAnsi="宋体" w:cs="宋体"/>
                <w:sz w:val="18"/>
                <w:szCs w:val="18"/>
              </w:rPr>
              <w:t>霄电子商务有限公司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诸暨市新亭电子商务有限公司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w:t>
            </w:r>
            <w:proofErr w:type="gramStart"/>
            <w:r>
              <w:rPr>
                <w:rFonts w:ascii="宋体" w:eastAsia="宋体" w:hAnsi="宋体" w:cs="宋体"/>
                <w:sz w:val="18"/>
                <w:szCs w:val="18"/>
              </w:rPr>
              <w:t>市纯钧</w:t>
            </w:r>
            <w:proofErr w:type="gramEnd"/>
            <w:r>
              <w:rPr>
                <w:rFonts w:ascii="宋体" w:eastAsia="宋体" w:hAnsi="宋体" w:cs="宋体"/>
                <w:sz w:val="18"/>
                <w:szCs w:val="18"/>
              </w:rPr>
              <w:t>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诸暨市雪霁电子商务有限公司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零售业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w:t>
            </w:r>
            <w:proofErr w:type="gramStart"/>
            <w:r>
              <w:rPr>
                <w:rFonts w:ascii="宋体" w:eastAsia="宋体" w:hAnsi="宋体" w:cs="宋体"/>
                <w:sz w:val="18"/>
                <w:szCs w:val="18"/>
              </w:rPr>
              <w:t>市胜跃纺织</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杭州</w:t>
            </w:r>
            <w:proofErr w:type="gramStart"/>
            <w:r>
              <w:rPr>
                <w:rFonts w:ascii="宋体" w:eastAsia="宋体" w:hAnsi="宋体" w:cs="宋体"/>
                <w:sz w:val="18"/>
                <w:szCs w:val="18"/>
              </w:rPr>
              <w:t>一</w:t>
            </w:r>
            <w:proofErr w:type="gramEnd"/>
            <w:r>
              <w:rPr>
                <w:rFonts w:ascii="宋体" w:eastAsia="宋体" w:hAnsi="宋体" w:cs="宋体"/>
                <w:sz w:val="18"/>
                <w:szCs w:val="18"/>
              </w:rPr>
              <w:t>酷服饰有限公司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浙江省杭州市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45.80%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浙江昊驰信息咨询有限公司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浙江昊创贸易有限公司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浙江广孚色纺有限公司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批发业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诸暨市</w:t>
            </w:r>
            <w:proofErr w:type="gramStart"/>
            <w:r>
              <w:rPr>
                <w:rFonts w:ascii="宋体" w:eastAsia="宋体" w:hAnsi="宋体" w:cs="宋体"/>
                <w:sz w:val="18"/>
                <w:szCs w:val="18"/>
              </w:rPr>
              <w:t>鲲驰投资</w:t>
            </w:r>
            <w:proofErr w:type="gramEnd"/>
            <w:r>
              <w:rPr>
                <w:rFonts w:ascii="宋体" w:eastAsia="宋体" w:hAnsi="宋体" w:cs="宋体"/>
                <w:sz w:val="18"/>
                <w:szCs w:val="18"/>
              </w:rPr>
              <w:t>管理合伙企业（有限合伙）</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投资管理</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64.89%</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非同控合并</w:t>
            </w:r>
            <w:proofErr w:type="gramEnd"/>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浙江易孚贸易有限公司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45.47%</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乌什县阿大纺织有限公司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新疆阿克苏乌什县</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新疆阿克苏乌什县</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安徽博忆纺织科技有限公司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浙江双琪进出口有限公司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浙江诸暨科宁投资有限公司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新疆科宁针纺科技有限公司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诸暨广</w:t>
            </w:r>
            <w:proofErr w:type="gramStart"/>
            <w:r>
              <w:rPr>
                <w:rFonts w:ascii="宋体" w:eastAsia="宋体" w:hAnsi="宋体" w:cs="宋体"/>
                <w:sz w:val="18"/>
                <w:szCs w:val="18"/>
              </w:rPr>
              <w:t>昊</w:t>
            </w:r>
            <w:proofErr w:type="gramEnd"/>
            <w:r>
              <w:rPr>
                <w:rFonts w:ascii="宋体" w:eastAsia="宋体" w:hAnsi="宋体" w:cs="宋体"/>
                <w:sz w:val="18"/>
                <w:szCs w:val="18"/>
              </w:rPr>
              <w:t>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33.13%</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新疆棉花产业（集团）叶城棉业有限责任公司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新疆棉花产业集团岳普湖棉业有限公司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新疆喀什地区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物资贸易业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w:t>
            </w:r>
            <w:proofErr w:type="gramEnd"/>
            <w:r>
              <w:rPr>
                <w:rFonts w:ascii="宋体" w:eastAsia="宋体" w:hAnsi="宋体" w:cs="宋体"/>
                <w:sz w:val="18"/>
                <w:szCs w:val="18"/>
              </w:rPr>
              <w:t>英职业技能培训学校有限公司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综合服务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w:t>
            </w:r>
            <w:proofErr w:type="gramEnd"/>
            <w:r>
              <w:rPr>
                <w:rFonts w:ascii="宋体" w:eastAsia="宋体" w:hAnsi="宋体" w:cs="宋体"/>
                <w:sz w:val="18"/>
                <w:szCs w:val="18"/>
              </w:rPr>
              <w:t>英物业发展有限公司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综合服务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35.70%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金华市</w:t>
            </w:r>
            <w:proofErr w:type="gramStart"/>
            <w:r>
              <w:rPr>
                <w:rFonts w:ascii="宋体" w:eastAsia="宋体" w:hAnsi="宋体" w:cs="宋体"/>
                <w:sz w:val="18"/>
                <w:szCs w:val="18"/>
              </w:rPr>
              <w:t>菁英网红</w:t>
            </w:r>
            <w:proofErr w:type="gramEnd"/>
            <w:r>
              <w:rPr>
                <w:rFonts w:ascii="宋体" w:eastAsia="宋体" w:hAnsi="宋体" w:cs="宋体"/>
                <w:sz w:val="18"/>
                <w:szCs w:val="18"/>
              </w:rPr>
              <w:t>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浙江省金华市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35.70%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浙江铭孚针纺有限公司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浙江省诸暨市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广东省深圳市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软件和信息技术服务业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淮北市华孚纺织有限公司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安徽省淮北市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高可续（上海）棉花有限公司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新疆天路智能制造有限公司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新疆阿克苏地区</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奎屯锦孚纺织</w:t>
            </w:r>
            <w:proofErr w:type="gramEnd"/>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新疆奎屯市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新疆奎屯市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纺织制造业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67.00%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浙江果实设计有限公司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专业技术服务业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浙江其实科技有限公司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研究和试验发展</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浙江艾思其品牌管理有限公司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浙江达米安品牌管理有限公司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浙江省绍兴市</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商务服务业</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投资设立</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在子公司的持股比例不同于表决权比例的说明：</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持有半数或以下表决权但仍控制被投资单位、以及持有半数以上表决权但不控制被投资单位的依据：</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对于纳入合并范围的重要的结构化主体，控制的依据：</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确定公司是代理人还是委托人的依据：</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82" w:name="_Toc989279"/>
      <w:r>
        <w:rPr>
          <w:rFonts w:ascii="宋体" w:eastAsia="宋体" w:hAnsi="宋体" w:cs="宋体"/>
          <w:b/>
          <w:bCs/>
          <w:sz w:val="18"/>
          <w:szCs w:val="18"/>
        </w:rPr>
        <w:t>（2） 重要的非全资子公司</w:t>
      </w:r>
      <w:bookmarkEnd w:id="28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1,430,669.33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10,017,376.86</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-1,242,328.47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2,695,221.17</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浙江易孚贸易有限公司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-4,617,892.94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320,024.28</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浙江博忆纺织科技有限公司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2,736,989.31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46,429,846.74</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29.60%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-9,717,847.83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94,714,663.40</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66,581.88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21,136,064.85</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1,217,203.12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40,776,780.60</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-1,397,170.67</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-5,666,839.26</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新疆棉花产业集团岳</w:t>
            </w:r>
            <w:proofErr w:type="gramStart"/>
            <w:r>
              <w:rPr>
                <w:rFonts w:ascii="宋体" w:eastAsia="宋体" w:hAnsi="宋体" w:cs="宋体"/>
                <w:sz w:val="18"/>
                <w:szCs w:val="18"/>
              </w:rPr>
              <w:t>普湖棉业</w:t>
            </w:r>
            <w:proofErr w:type="gramEnd"/>
            <w:r>
              <w:rPr>
                <w:rFonts w:ascii="宋体" w:eastAsia="宋体" w:hAnsi="宋体" w:cs="宋体"/>
                <w:sz w:val="18"/>
                <w:szCs w:val="18"/>
              </w:rPr>
              <w:t>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214,786.25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34,078,898.56</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59.20%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1,077,539.46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69,546,863.49</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-25,660.95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17,377,803.68</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418,028.56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5,282,979.42</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子公司少数股东的持股比例不同于表决权比例的说明：</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83" w:name="_Toc989280"/>
      <w:r>
        <w:rPr>
          <w:rFonts w:ascii="宋体" w:eastAsia="宋体" w:hAnsi="宋体" w:cs="宋体"/>
          <w:b/>
          <w:bCs/>
          <w:sz w:val="18"/>
          <w:szCs w:val="18"/>
        </w:rPr>
        <w:t>（3） 重要非全资子公司的主要财务信息</w:t>
      </w:r>
      <w:bookmarkEnd w:id="28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B969F3">
        <w:rPr>
          <w:rFonts w:ascii="宋体" w:eastAsia="宋体" w:hAnsi="宋体" w:cs="宋体" w:hint="eastAsia"/>
          <w:sz w:val="18"/>
          <w:szCs w:val="18"/>
        </w:rPr>
        <w:t>万</w:t>
      </w:r>
      <w:r>
        <w:rPr>
          <w:rFonts w:ascii="宋体" w:eastAsia="宋体" w:hAnsi="宋体" w:cs="宋体"/>
          <w:sz w:val="18"/>
          <w:szCs w:val="18"/>
        </w:rPr>
        <w:t>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1"/>
        <w:gridCol w:w="741"/>
        <w:gridCol w:w="744"/>
        <w:gridCol w:w="741"/>
        <w:gridCol w:w="741"/>
        <w:gridCol w:w="741"/>
        <w:gridCol w:w="741"/>
        <w:gridCol w:w="741"/>
        <w:gridCol w:w="744"/>
      </w:tblGrid>
      <w:tr w:rsidR="00E62F69">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1,658.29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1,487.97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3,146.26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1,101.89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1,101.89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2,016.43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1,553.87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3,570.30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817.91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817.91</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1,410.88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533.84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1,944.72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458.68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458.68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1,072.77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937.11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2,009.88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330.64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330.64</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18,059.47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27,997.21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46,056.68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26,727.16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26,727.16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14,014.32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27,997.46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42,011.78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20,699.02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20,699.02</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33,773.09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362.51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34,135.59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26,819.64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26,819.64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46,992.22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363.10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47,355.32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40,061.85</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40,061.85</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14,448.90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6,170.74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20,619.64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4,770.80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205.66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4,976.46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88,306.19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6,463.74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94,769.93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79,375.16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79,375.16</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4,265.82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2,933.05</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7,198.87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1,658.76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72.65</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1,731.41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16,495.42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2,919.14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19,414.56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13,661.97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13,661.97</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新疆棉花产业集团岳</w:t>
            </w:r>
            <w:proofErr w:type="gramStart"/>
            <w:r>
              <w:rPr>
                <w:rFonts w:ascii="宋体" w:eastAsia="宋体" w:hAnsi="宋体" w:cs="宋体"/>
                <w:sz w:val="18"/>
                <w:szCs w:val="18"/>
              </w:rPr>
              <w:t>普湖棉业</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11,389.63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7,507.06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18,896.69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3,637.38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3,637.38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50,808.28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7,656.31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58,464.59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43,249.10</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43,249.10</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5,599.47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8,008.42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13,607.89</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1,706.78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1,706.78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5,865.18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8,136.28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14,001.46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1,179.32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1,179.32</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2,557.35</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34,972.72</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37,530.07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28,463.97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28,463.97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2,560.11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30,793.16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33,353.27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24,693.36</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24,693.36</w:t>
            </w:r>
          </w:p>
        </w:tc>
      </w:tr>
      <w:tr w:rsidR="00E62F69">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1,276.14</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1,278.53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200.37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200.37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1,106.93</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1,109.31</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116.47</w:t>
            </w: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116.47</w:t>
            </w:r>
          </w:p>
        </w:tc>
      </w:tr>
    </w:tbl>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sidR="00B969F3">
        <w:rPr>
          <w:rFonts w:ascii="宋体" w:eastAsia="宋体" w:hAnsi="宋体" w:cs="宋体" w:hint="eastAsia"/>
          <w:sz w:val="18"/>
          <w:szCs w:val="18"/>
        </w:rPr>
        <w:t>万</w:t>
      </w:r>
      <w:r>
        <w:rPr>
          <w:rFonts w:ascii="宋体" w:eastAsia="宋体" w:hAnsi="宋体" w:cs="宋体"/>
          <w:sz w:val="18"/>
          <w:szCs w:val="18"/>
        </w:rPr>
        <w:t>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E62F69">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菁英电商管理</w:t>
            </w:r>
            <w:proofErr w:type="gramEnd"/>
            <w:r>
              <w:rPr>
                <w:rFonts w:ascii="宋体" w:eastAsia="宋体" w:hAnsi="宋体" w:cs="宋体"/>
                <w:sz w:val="18"/>
                <w:szCs w:val="18"/>
              </w:rPr>
              <w:t>服务有限公司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508.13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291.97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291.97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626.61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1,443.79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104.75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79.42</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w:t>
            </w:r>
            <w:proofErr w:type="gramStart"/>
            <w:r>
              <w:rPr>
                <w:rFonts w:ascii="宋体" w:eastAsia="宋体" w:hAnsi="宋体" w:cs="宋体"/>
                <w:sz w:val="18"/>
                <w:szCs w:val="18"/>
              </w:rPr>
              <w:t>菁英创业</w:t>
            </w:r>
            <w:proofErr w:type="gramEnd"/>
            <w:r>
              <w:rPr>
                <w:rFonts w:ascii="宋体" w:eastAsia="宋体" w:hAnsi="宋体" w:cs="宋体"/>
                <w:sz w:val="18"/>
                <w:szCs w:val="18"/>
              </w:rPr>
              <w:t>服务有限公司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285.13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-193.21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-193.21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283.94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295.78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-132.79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366.32</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新疆天孚棉花</w:t>
            </w:r>
            <w:proofErr w:type="gramEnd"/>
            <w:r>
              <w:rPr>
                <w:rFonts w:ascii="宋体" w:eastAsia="宋体" w:hAnsi="宋体" w:cs="宋体"/>
                <w:sz w:val="18"/>
                <w:szCs w:val="18"/>
              </w:rPr>
              <w:t>供应链股份有限公司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-744.01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-1,983.23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-1,983.23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5,500.24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1,790.24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-73.82</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-90.58</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新疆棉花交易市场有限责任公司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276,932.31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22.49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4,571.71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155,088.94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702.37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4,614.39</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新疆棉花产业集团伽师棉业有限公司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62,097.94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248.41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248.41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48,825.20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53,563.73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751.30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42,893.61</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新疆棉花产业集团泽普棉业有限公司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10,503.93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-285.14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-285.14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7,168.79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5,422.57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-353.11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7,473.50</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新疆棉花产业集团岳</w:t>
            </w:r>
            <w:proofErr w:type="gramStart"/>
            <w:r>
              <w:rPr>
                <w:rFonts w:ascii="宋体" w:eastAsia="宋体" w:hAnsi="宋体" w:cs="宋体"/>
                <w:sz w:val="18"/>
                <w:szCs w:val="18"/>
              </w:rPr>
              <w:t>普湖棉业</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32,500.58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43.83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43.83</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27,445.65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22,583.21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449.69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14,452.66</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阿克苏银星物流有限公司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1,299.36</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187.49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187.49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-2,198.10</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1,034.36</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799.05</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12.18</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越南隆安英鸿投资股份有限公司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-25.66</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430.01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-3,046.68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-23.29</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-122.06</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-9,301.87</w:t>
            </w:r>
          </w:p>
        </w:tc>
      </w:tr>
      <w:tr w:rsidR="00E62F6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深圳市天计数</w:t>
            </w:r>
            <w:proofErr w:type="gramStart"/>
            <w:r>
              <w:rPr>
                <w:rFonts w:ascii="宋体" w:eastAsia="宋体" w:hAnsi="宋体" w:cs="宋体"/>
                <w:sz w:val="18"/>
                <w:szCs w:val="18"/>
              </w:rPr>
              <w:t>智科技</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367.68</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85.31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85.31</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172.07</w:t>
            </w: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84" w:name="_Toc989281"/>
      <w:r>
        <w:rPr>
          <w:rFonts w:ascii="宋体" w:eastAsia="宋体" w:hAnsi="宋体" w:cs="宋体"/>
          <w:b/>
          <w:bCs/>
          <w:sz w:val="18"/>
          <w:szCs w:val="18"/>
        </w:rPr>
        <w:t>（4） 使用企业集团资产和清偿企业集团债务的重大限制</w:t>
      </w:r>
      <w:bookmarkEnd w:id="284"/>
    </w:p>
    <w:p w:rsidR="00B54A20" w:rsidRDefault="00B54A20">
      <w:pPr>
        <w:pStyle w:val="a3"/>
        <w:divId w:val="986209627"/>
        <w:rPr>
          <w:rFonts w:ascii="Times New Roman" w:hAnsi="Times New Roman" w:cs="Times New Roman"/>
        </w:rPr>
      </w:pP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85" w:name="_Toc989282"/>
      <w:r>
        <w:rPr>
          <w:rFonts w:ascii="宋体" w:eastAsia="宋体" w:hAnsi="宋体" w:cs="宋体"/>
          <w:b/>
          <w:bCs/>
          <w:sz w:val="18"/>
          <w:szCs w:val="18"/>
        </w:rPr>
        <w:t>（5） 向纳入合并财务报表范围的结构化主体提供的财务支持或其他支持</w:t>
      </w:r>
      <w:bookmarkEnd w:id="285"/>
    </w:p>
    <w:p w:rsidR="00B54A20" w:rsidRDefault="00B54A20">
      <w:pPr>
        <w:pStyle w:val="a3"/>
        <w:divId w:val="185950819"/>
        <w:rPr>
          <w:rFonts w:ascii="Times New Roman" w:hAnsi="Times New Roman" w:cs="Times New Roman"/>
        </w:rPr>
      </w:pPr>
      <w:r>
        <w:rPr>
          <w:rFonts w:cs="Times New Roman"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286" w:name="_Toc989283"/>
      <w:r>
        <w:rPr>
          <w:rFonts w:ascii="宋体" w:hAnsi="宋体" w:cs="宋体"/>
          <w:b/>
          <w:bCs/>
        </w:rPr>
        <w:t>2、在子公司的所有者权益份额发生变化且仍控制子公司的交易</w:t>
      </w:r>
      <w:bookmarkEnd w:id="286"/>
    </w:p>
    <w:p w:rsidR="00E62F69" w:rsidRDefault="00B54A20">
      <w:pPr>
        <w:keepNext/>
        <w:keepLines/>
        <w:spacing w:before="300" w:after="300" w:line="280" w:lineRule="exact"/>
        <w:outlineLvl w:val="3"/>
        <w:rPr>
          <w:rFonts w:ascii="宋体" w:eastAsia="宋体" w:hAnsi="宋体" w:cs="宋体"/>
          <w:b/>
          <w:bCs/>
          <w:sz w:val="18"/>
          <w:szCs w:val="18"/>
        </w:rPr>
      </w:pPr>
      <w:bookmarkStart w:id="287" w:name="_Toc989284"/>
      <w:r>
        <w:rPr>
          <w:rFonts w:ascii="宋体" w:eastAsia="宋体" w:hAnsi="宋体" w:cs="宋体"/>
          <w:b/>
          <w:bCs/>
          <w:sz w:val="18"/>
          <w:szCs w:val="18"/>
        </w:rPr>
        <w:t>（1） 在子公司所有者权益份额发生变化的情况说明</w:t>
      </w:r>
      <w:bookmarkEnd w:id="287"/>
    </w:p>
    <w:p w:rsidR="00B54A20" w:rsidRDefault="00B54A20">
      <w:pPr>
        <w:pStyle w:val="a3"/>
        <w:divId w:val="1082727079"/>
        <w:rPr>
          <w:rFonts w:ascii="Times New Roman" w:hAnsi="Times New Roman" w:cs="Times New Roman"/>
        </w:rPr>
      </w:pP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288" w:name="_Toc989285"/>
      <w:r>
        <w:rPr>
          <w:rFonts w:ascii="宋体" w:eastAsia="宋体" w:hAnsi="宋体" w:cs="宋体"/>
          <w:b/>
          <w:bCs/>
          <w:sz w:val="18"/>
          <w:szCs w:val="18"/>
        </w:rPr>
        <w:t>（2） 交易对于少数股东权益及归属于母公司所有者权益的影响</w:t>
      </w:r>
      <w:bookmarkEnd w:id="288"/>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w:t>
      </w: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289" w:name="_Toc989286"/>
      <w:r>
        <w:rPr>
          <w:rFonts w:ascii="宋体" w:hAnsi="宋体" w:cs="宋体"/>
          <w:b/>
          <w:bCs/>
        </w:rPr>
        <w:t>3、在合营安排或联营企业中的权益</w:t>
      </w:r>
      <w:bookmarkEnd w:id="289"/>
    </w:p>
    <w:p w:rsidR="00B54A20" w:rsidRPr="00B54D79" w:rsidRDefault="00B54A20" w:rsidP="00B54D79">
      <w:pPr>
        <w:keepNext/>
        <w:keepLines/>
        <w:spacing w:before="300" w:after="300" w:line="280" w:lineRule="exact"/>
        <w:outlineLvl w:val="3"/>
        <w:rPr>
          <w:rFonts w:ascii="宋体" w:eastAsia="宋体" w:hAnsi="宋体" w:cs="宋体"/>
          <w:sz w:val="18"/>
          <w:szCs w:val="18"/>
        </w:rPr>
      </w:pPr>
      <w:bookmarkStart w:id="290" w:name="_Toc989287"/>
      <w:r>
        <w:rPr>
          <w:rFonts w:ascii="宋体" w:eastAsia="宋体" w:hAnsi="宋体" w:cs="宋体"/>
          <w:b/>
          <w:bCs/>
          <w:szCs w:val="21"/>
        </w:rPr>
        <w:t>（1） 重要的合营企业或联营企业</w:t>
      </w:r>
      <w:bookmarkEnd w:id="290"/>
      <w:r>
        <w:rPr>
          <w:rFonts w:ascii="宋体" w:eastAsia="宋体" w:hAnsi="宋体" w:cs="宋体"/>
          <w:sz w:val="18"/>
          <w:szCs w:val="18"/>
        </w:rPr>
        <w:t>在合营企业或联营企业的持股比例不同于表决权比例的说明：</w:t>
      </w:r>
      <w:r>
        <w:rPr>
          <w:rFonts w:cs="Times New Roman"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持有20%以下表决权但具有重大影响，或者持有20%或以上表决权但不具有重大影响的依据：</w:t>
      </w: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1" w:name="_Toc989288"/>
      <w:r>
        <w:rPr>
          <w:rFonts w:ascii="宋体" w:eastAsia="宋体" w:hAnsi="宋体" w:cs="宋体"/>
          <w:b/>
          <w:bCs/>
          <w:szCs w:val="21"/>
        </w:rPr>
        <w:t>（2） 重要合营企业的主要财务信息</w:t>
      </w:r>
      <w:bookmarkEnd w:id="291"/>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2" w:name="_Toc989289"/>
      <w:r>
        <w:rPr>
          <w:rFonts w:ascii="宋体" w:eastAsia="宋体" w:hAnsi="宋体" w:cs="宋体"/>
          <w:b/>
          <w:bCs/>
          <w:szCs w:val="21"/>
        </w:rPr>
        <w:t>（3） 重要联营企业的主要财务信息</w:t>
      </w:r>
      <w:bookmarkEnd w:id="292"/>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3" w:name="_Toc989290"/>
      <w:r>
        <w:rPr>
          <w:rFonts w:ascii="宋体" w:eastAsia="宋体" w:hAnsi="宋体" w:cs="宋体"/>
          <w:b/>
          <w:bCs/>
          <w:szCs w:val="21"/>
        </w:rPr>
        <w:t>（4） 不重要的合营企业和联营企业的汇总财务信息</w:t>
      </w:r>
      <w:bookmarkEnd w:id="293"/>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w:t>
      </w: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4" w:name="_Toc989291"/>
      <w:r>
        <w:rPr>
          <w:rFonts w:ascii="宋体" w:eastAsia="宋体" w:hAnsi="宋体" w:cs="宋体"/>
          <w:b/>
          <w:bCs/>
          <w:szCs w:val="21"/>
        </w:rPr>
        <w:t>（5） 合营企业或联营企业向本公司转移资金的能力存在重大限制的说明</w:t>
      </w:r>
      <w:bookmarkEnd w:id="294"/>
    </w:p>
    <w:p w:rsidR="00B54A20" w:rsidRDefault="00B54A20">
      <w:pPr>
        <w:pStyle w:val="a3"/>
        <w:divId w:val="79377250"/>
        <w:rPr>
          <w:rFonts w:ascii="Times New Roman" w:hAnsi="Times New Roman" w:cs="Times New Roman"/>
        </w:rPr>
      </w:pP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5" w:name="_Toc989292"/>
      <w:r>
        <w:rPr>
          <w:rFonts w:ascii="宋体" w:eastAsia="宋体" w:hAnsi="宋体" w:cs="宋体"/>
          <w:b/>
          <w:bCs/>
          <w:szCs w:val="21"/>
        </w:rPr>
        <w:t>（6） 合营企业或联营企业发生的超额亏损</w:t>
      </w:r>
      <w:bookmarkEnd w:id="295"/>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w:t>
      </w: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6" w:name="_Toc989293"/>
      <w:r>
        <w:rPr>
          <w:rFonts w:ascii="宋体" w:eastAsia="宋体" w:hAnsi="宋体" w:cs="宋体"/>
          <w:b/>
          <w:bCs/>
          <w:szCs w:val="21"/>
        </w:rPr>
        <w:t>（7） 与合营企业投资相关的未确认承诺</w:t>
      </w:r>
      <w:bookmarkEnd w:id="296"/>
    </w:p>
    <w:p w:rsidR="00B54A20" w:rsidRDefault="00B54A20">
      <w:pPr>
        <w:pStyle w:val="a3"/>
        <w:divId w:val="1579829500"/>
        <w:rPr>
          <w:rFonts w:ascii="Times New Roman" w:hAnsi="Times New Roman" w:cs="Times New Roman"/>
        </w:rPr>
      </w:pP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297" w:name="_Toc989294"/>
      <w:r>
        <w:rPr>
          <w:rFonts w:ascii="宋体" w:eastAsia="宋体" w:hAnsi="宋体" w:cs="宋体"/>
          <w:b/>
          <w:bCs/>
          <w:szCs w:val="21"/>
        </w:rPr>
        <w:t>（8） 与合营企业或联营企业投资相关的或有负债</w:t>
      </w:r>
      <w:bookmarkEnd w:id="297"/>
    </w:p>
    <w:p w:rsidR="00B54A20" w:rsidRDefault="00B54A20">
      <w:pPr>
        <w:pStyle w:val="a3"/>
        <w:divId w:val="150490765"/>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298" w:name="_Toc989295"/>
      <w:r>
        <w:rPr>
          <w:rFonts w:ascii="宋体" w:hAnsi="宋体" w:cs="宋体"/>
          <w:b/>
          <w:bCs/>
        </w:rPr>
        <w:t>4、重要的共同经营</w:t>
      </w:r>
      <w:bookmarkEnd w:id="298"/>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在共同经营中的持股比例或享有的份额不同于表决权比例的说明：</w:t>
      </w:r>
      <w:r>
        <w:rPr>
          <w:rFonts w:cs="Times New Roman"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共同经营为单独主体的，分类为共同经营的依据：</w:t>
      </w:r>
      <w:r w:rsidR="00B54D79">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299" w:name="_Toc989296"/>
      <w:r>
        <w:rPr>
          <w:rFonts w:ascii="宋体" w:hAnsi="宋体" w:cs="宋体"/>
          <w:b/>
          <w:bCs/>
        </w:rPr>
        <w:t>5、在未纳入合并财务报表范围的结构化主体中的权益</w:t>
      </w:r>
      <w:bookmarkEnd w:id="299"/>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未纳入合并财务报表范围的结构化主体的相关说明：</w:t>
      </w: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00" w:name="_Toc989297"/>
      <w:r>
        <w:rPr>
          <w:rFonts w:ascii="宋体" w:hAnsi="宋体" w:cs="宋体"/>
          <w:b/>
          <w:bCs/>
        </w:rPr>
        <w:t>6、其他</w:t>
      </w:r>
      <w:bookmarkEnd w:id="300"/>
    </w:p>
    <w:p w:rsidR="00B54A20" w:rsidRDefault="00B54A20">
      <w:pPr>
        <w:pStyle w:val="a3"/>
        <w:divId w:val="1180122288"/>
        <w:rPr>
          <w:rFonts w:ascii="Times New Roman" w:hAnsi="Times New Roman" w:cs="Times New Roman"/>
        </w:rPr>
      </w:pPr>
      <w:r>
        <w:rPr>
          <w:rFonts w:cs="Times New Roman"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01" w:name="_Toc989298"/>
      <w:r>
        <w:rPr>
          <w:rFonts w:ascii="宋体" w:eastAsia="宋体" w:hAnsi="宋体" w:cs="宋体"/>
          <w:b/>
          <w:bCs/>
          <w:sz w:val="24"/>
          <w:szCs w:val="24"/>
        </w:rPr>
        <w:t>十、与金融工具相关的风险</w:t>
      </w:r>
      <w:bookmarkEnd w:id="301"/>
    </w:p>
    <w:p w:rsidR="00B54A20" w:rsidRDefault="00B54A20">
      <w:pPr>
        <w:pStyle w:val="a3"/>
        <w:divId w:val="945431056"/>
        <w:rPr>
          <w:rFonts w:ascii="Times New Roman" w:hAnsi="Times New Roman" w:cs="Times New Roman"/>
        </w:rPr>
      </w:pPr>
      <w:r>
        <w:rPr>
          <w:rFonts w:cs="Times New Roman"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02" w:name="_Toc989299"/>
      <w:r>
        <w:rPr>
          <w:rFonts w:ascii="宋体" w:eastAsia="宋体" w:hAnsi="宋体" w:cs="宋体"/>
          <w:b/>
          <w:bCs/>
          <w:sz w:val="24"/>
          <w:szCs w:val="24"/>
        </w:rPr>
        <w:t>十一、公允价值的披露</w:t>
      </w:r>
      <w:bookmarkEnd w:id="302"/>
    </w:p>
    <w:p w:rsidR="00E62F69" w:rsidRDefault="00B54A20">
      <w:pPr>
        <w:pStyle w:val="3"/>
        <w:spacing w:line="280" w:lineRule="exact"/>
        <w:jc w:val="left"/>
        <w:rPr>
          <w:rFonts w:ascii="宋体" w:hAnsi="宋体" w:cs="宋体"/>
          <w:b/>
          <w:bCs/>
        </w:rPr>
      </w:pPr>
      <w:bookmarkStart w:id="303" w:name="_Toc989300"/>
      <w:r>
        <w:rPr>
          <w:rFonts w:ascii="宋体" w:hAnsi="宋体" w:cs="宋体"/>
          <w:b/>
          <w:bCs/>
        </w:rPr>
        <w:t>1、以公允价值计量的资产和负债的期末公允价值</w:t>
      </w:r>
      <w:bookmarkEnd w:id="30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B54D7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E62F69" w:rsidTr="00B54D7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B54D7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E62F69" w:rsidTr="00B54D7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125,140,310.80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125,140,310.80</w:t>
            </w:r>
          </w:p>
        </w:tc>
      </w:tr>
      <w:tr w:rsidR="00E62F69" w:rsidTr="00B54D7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（3）衍生金融资产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50,719,140.14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50,719,140.14</w:t>
            </w:r>
          </w:p>
        </w:tc>
      </w:tr>
      <w:tr w:rsidR="00E62F69" w:rsidTr="00B54D7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理财产品</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74,421,170.66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74,421,170.66</w:t>
            </w:r>
          </w:p>
        </w:tc>
      </w:tr>
      <w:tr w:rsidR="00E62F69" w:rsidTr="00B54D7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E62F69" w:rsidRDefault="00B54A20">
      <w:pPr>
        <w:pStyle w:val="3"/>
        <w:spacing w:line="280" w:lineRule="exact"/>
        <w:jc w:val="left"/>
        <w:rPr>
          <w:rFonts w:ascii="宋体" w:hAnsi="宋体" w:cs="宋体"/>
          <w:b/>
          <w:bCs/>
        </w:rPr>
      </w:pPr>
      <w:bookmarkStart w:id="304" w:name="_Toc989301"/>
      <w:r>
        <w:rPr>
          <w:rFonts w:ascii="宋体" w:hAnsi="宋体" w:cs="宋体"/>
          <w:b/>
          <w:bCs/>
        </w:rPr>
        <w:t>2、持续和非持续第一层次公允价值计量项目市价的确定依据</w:t>
      </w:r>
      <w:bookmarkEnd w:id="304"/>
    </w:p>
    <w:p w:rsidR="00B54A20" w:rsidRDefault="00B54A20">
      <w:pPr>
        <w:pStyle w:val="-3"/>
        <w:snapToGrid w:val="0"/>
        <w:ind w:firstLine="360"/>
        <w:jc w:val="both"/>
        <w:divId w:val="1542747372"/>
        <w:rPr>
          <w:sz w:val="18"/>
          <w:szCs w:val="18"/>
        </w:rPr>
      </w:pPr>
      <w:r>
        <w:rPr>
          <w:rFonts w:hint="eastAsia"/>
          <w:sz w:val="18"/>
          <w:szCs w:val="18"/>
        </w:rPr>
        <w:t>本公司在资产负债</w:t>
      </w:r>
      <w:proofErr w:type="gramStart"/>
      <w:r>
        <w:rPr>
          <w:rFonts w:hint="eastAsia"/>
          <w:sz w:val="18"/>
          <w:szCs w:val="18"/>
        </w:rPr>
        <w:t>标日能购获得</w:t>
      </w:r>
      <w:proofErr w:type="gramEnd"/>
      <w:r>
        <w:rPr>
          <w:rFonts w:hint="eastAsia"/>
          <w:sz w:val="18"/>
          <w:szCs w:val="18"/>
        </w:rPr>
        <w:t>期货及理财产品在活跃市场上报价。</w:t>
      </w:r>
    </w:p>
    <w:p w:rsidR="00E62F69" w:rsidRDefault="00B54A20">
      <w:pPr>
        <w:pStyle w:val="3"/>
        <w:spacing w:line="280" w:lineRule="exact"/>
        <w:jc w:val="left"/>
        <w:rPr>
          <w:rFonts w:ascii="宋体" w:hAnsi="宋体" w:cs="宋体"/>
          <w:b/>
          <w:bCs/>
        </w:rPr>
      </w:pPr>
      <w:bookmarkStart w:id="305" w:name="_Toc989302"/>
      <w:r>
        <w:rPr>
          <w:rFonts w:ascii="宋体" w:hAnsi="宋体" w:cs="宋体"/>
          <w:b/>
          <w:bCs/>
        </w:rPr>
        <w:t>3、持续和非持续第二层次公允价值计量项目，采用的估值技术和重要参数的定性及定量信息</w:t>
      </w:r>
      <w:bookmarkEnd w:id="305"/>
    </w:p>
    <w:p w:rsidR="00B54A20" w:rsidRDefault="00B54A20">
      <w:pPr>
        <w:pStyle w:val="a3"/>
        <w:divId w:val="846746335"/>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06" w:name="_Toc989303"/>
      <w:r>
        <w:rPr>
          <w:rFonts w:ascii="宋体" w:hAnsi="宋体" w:cs="宋体"/>
          <w:b/>
          <w:bCs/>
        </w:rPr>
        <w:t>4、持续和非持续第三层次公允价值计量项目，采用的估值技术和重要参数的定性及定量信息</w:t>
      </w:r>
      <w:bookmarkEnd w:id="306"/>
    </w:p>
    <w:p w:rsidR="00B54A20" w:rsidRDefault="00B54A20">
      <w:pPr>
        <w:pStyle w:val="a3"/>
        <w:divId w:val="1129469538"/>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07" w:name="_Toc989304"/>
      <w:r>
        <w:rPr>
          <w:rFonts w:ascii="宋体" w:hAnsi="宋体" w:cs="宋体"/>
          <w:b/>
          <w:bCs/>
        </w:rPr>
        <w:t>5、持续的第三层次公允价值计量项目，期初与期末账面价值间的调节信息及不可观察参数敏感性分析</w:t>
      </w:r>
      <w:bookmarkEnd w:id="307"/>
    </w:p>
    <w:p w:rsidR="00B54A20" w:rsidRDefault="00B54A20">
      <w:pPr>
        <w:pStyle w:val="a3"/>
        <w:divId w:val="299848225"/>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08" w:name="_Toc989305"/>
      <w:r>
        <w:rPr>
          <w:rFonts w:ascii="宋体" w:hAnsi="宋体" w:cs="宋体"/>
          <w:b/>
          <w:bCs/>
        </w:rPr>
        <w:t>6、持续的公允价值计量项目，本期内发生各层级之间转换的，转换的原因及确定转换时点的政策</w:t>
      </w:r>
      <w:bookmarkEnd w:id="308"/>
    </w:p>
    <w:p w:rsidR="00B54A20" w:rsidRDefault="00B54A20">
      <w:pPr>
        <w:pStyle w:val="a3"/>
        <w:divId w:val="1615475396"/>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09" w:name="_Toc989306"/>
      <w:r>
        <w:rPr>
          <w:rFonts w:ascii="宋体" w:hAnsi="宋体" w:cs="宋体"/>
          <w:b/>
          <w:bCs/>
        </w:rPr>
        <w:t>7、本期内发生的估值技术变更及变更原因</w:t>
      </w:r>
      <w:bookmarkEnd w:id="309"/>
    </w:p>
    <w:p w:rsidR="00B54A20" w:rsidRDefault="00B54A20">
      <w:pPr>
        <w:pStyle w:val="a3"/>
        <w:divId w:val="675036016"/>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10" w:name="_Toc989307"/>
      <w:r>
        <w:rPr>
          <w:rFonts w:ascii="宋体" w:hAnsi="宋体" w:cs="宋体"/>
          <w:b/>
          <w:bCs/>
        </w:rPr>
        <w:t>8、不以公允价值计量的金融资产和金融负债的公允价值情况</w:t>
      </w:r>
      <w:bookmarkEnd w:id="310"/>
    </w:p>
    <w:p w:rsidR="00B54A20" w:rsidRDefault="00B54A20">
      <w:pPr>
        <w:pStyle w:val="a3"/>
        <w:spacing w:before="0" w:beforeAutospacing="0" w:after="0" w:afterAutospacing="0"/>
        <w:ind w:firstLine="360"/>
        <w:jc w:val="both"/>
        <w:divId w:val="1067873843"/>
      </w:pPr>
      <w:r>
        <w:rPr>
          <w:rFonts w:hint="eastAsia"/>
          <w:sz w:val="18"/>
          <w:szCs w:val="18"/>
        </w:rPr>
        <w:t>不以公允价值计量的金融资产和负债主要包括：应收款项、短期借款、应付款项、一年内到期的非流动负债和长期借款、在活跃市场中没有报价且其公允价值不能可靠计量的权益工具投资。</w:t>
      </w:r>
    </w:p>
    <w:p w:rsidR="00B54A20" w:rsidRDefault="00B54A20" w:rsidP="00B54D79">
      <w:pPr>
        <w:pStyle w:val="a3"/>
        <w:spacing w:before="0" w:beforeAutospacing="0" w:after="0" w:afterAutospacing="0"/>
        <w:ind w:firstLineChars="150" w:firstLine="270"/>
        <w:divId w:val="1067873843"/>
      </w:pPr>
      <w:r>
        <w:rPr>
          <w:rFonts w:hint="eastAsia"/>
          <w:sz w:val="18"/>
          <w:szCs w:val="18"/>
        </w:rPr>
        <w:t xml:space="preserve"> 上述不以公允价值计量的金融资产和负债的账面价值与公允价值相差很小。</w:t>
      </w:r>
    </w:p>
    <w:p w:rsidR="00E62F69" w:rsidRDefault="00B54A20">
      <w:pPr>
        <w:pStyle w:val="3"/>
        <w:spacing w:line="280" w:lineRule="exact"/>
        <w:jc w:val="left"/>
        <w:rPr>
          <w:rFonts w:ascii="宋体" w:hAnsi="宋体" w:cs="宋体"/>
          <w:b/>
          <w:bCs/>
        </w:rPr>
      </w:pPr>
      <w:bookmarkStart w:id="311" w:name="_Toc989308"/>
      <w:r>
        <w:rPr>
          <w:rFonts w:ascii="宋体" w:hAnsi="宋体" w:cs="宋体"/>
          <w:b/>
          <w:bCs/>
        </w:rPr>
        <w:t>9、其他</w:t>
      </w:r>
      <w:bookmarkEnd w:id="311"/>
    </w:p>
    <w:p w:rsidR="00B54A20" w:rsidRDefault="00B54A20">
      <w:pPr>
        <w:pStyle w:val="a3"/>
        <w:divId w:val="563296921"/>
        <w:rPr>
          <w:rFonts w:ascii="Times New Roman" w:hAnsi="Times New Roman" w:cs="Times New Roman"/>
        </w:rPr>
      </w:pPr>
      <w:r>
        <w:rPr>
          <w:rFonts w:cs="Times New Roman"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12" w:name="_Toc989309"/>
      <w:r>
        <w:rPr>
          <w:rFonts w:ascii="宋体" w:eastAsia="宋体" w:hAnsi="宋体" w:cs="宋体"/>
          <w:b/>
          <w:bCs/>
          <w:sz w:val="24"/>
          <w:szCs w:val="24"/>
        </w:rPr>
        <w:t>十二、关联方及关联交易</w:t>
      </w:r>
      <w:bookmarkEnd w:id="312"/>
    </w:p>
    <w:p w:rsidR="00E62F69" w:rsidRDefault="00B54A20">
      <w:pPr>
        <w:pStyle w:val="3"/>
        <w:spacing w:line="280" w:lineRule="exact"/>
        <w:jc w:val="left"/>
        <w:rPr>
          <w:rFonts w:ascii="宋体" w:hAnsi="宋体" w:cs="宋体"/>
          <w:b/>
          <w:bCs/>
        </w:rPr>
      </w:pPr>
      <w:bookmarkStart w:id="313" w:name="_Toc989310"/>
      <w:r>
        <w:rPr>
          <w:rFonts w:ascii="宋体" w:hAnsi="宋体" w:cs="宋体"/>
          <w:b/>
          <w:bCs/>
        </w:rPr>
        <w:t>1、本企业的母公司情况</w:t>
      </w:r>
      <w:bookmarkEnd w:id="31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42"/>
        <w:gridCol w:w="709"/>
        <w:gridCol w:w="3544"/>
        <w:gridCol w:w="1134"/>
        <w:gridCol w:w="1417"/>
        <w:gridCol w:w="1593"/>
      </w:tblGrid>
      <w:tr w:rsidR="00E62F69" w:rsidTr="00B25F21">
        <w:trPr>
          <w:trHeight w:val="240"/>
        </w:trPr>
        <w:tc>
          <w:tcPr>
            <w:tcW w:w="124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354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E62F69" w:rsidTr="00B25F21">
        <w:trPr>
          <w:trHeight w:val="240"/>
        </w:trPr>
        <w:tc>
          <w:tcPr>
            <w:tcW w:w="1242"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广东省</w:t>
            </w:r>
          </w:p>
        </w:tc>
        <w:tc>
          <w:tcPr>
            <w:tcW w:w="3544"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投资兴办实业(具体项目另行申报)；色纺纱、服装经营；纺织设备进出口业务；在合法取得的土地使用权范围内从事房地产开发、经营；计算机应用、软件开发。</w:t>
            </w:r>
          </w:p>
        </w:tc>
        <w:tc>
          <w:tcPr>
            <w:tcW w:w="1134" w:type="dxa"/>
            <w:tcBorders>
              <w:top w:val="single" w:sz="2" w:space="0" w:color="auto"/>
              <w:left w:val="single" w:sz="2" w:space="0" w:color="auto"/>
              <w:bottom w:val="single" w:sz="2" w:space="0" w:color="auto"/>
              <w:right w:val="single" w:sz="2" w:space="0" w:color="auto"/>
            </w:tcBorders>
            <w:vAlign w:val="center"/>
          </w:tcPr>
          <w:p w:rsidR="00E62F69" w:rsidRDefault="00B54A20" w:rsidP="00382605">
            <w:pPr>
              <w:spacing w:line="240" w:lineRule="exact"/>
              <w:jc w:val="right"/>
              <w:rPr>
                <w:rFonts w:ascii="宋体" w:eastAsia="宋体" w:hAnsi="宋体" w:cs="宋体"/>
                <w:sz w:val="18"/>
                <w:szCs w:val="18"/>
              </w:rPr>
            </w:pPr>
            <w:r>
              <w:rPr>
                <w:rFonts w:ascii="宋体" w:eastAsia="宋体" w:hAnsi="宋体" w:cs="宋体"/>
                <w:sz w:val="18"/>
                <w:szCs w:val="18"/>
              </w:rPr>
              <w:t>41,300万元</w:t>
            </w:r>
          </w:p>
        </w:tc>
        <w:tc>
          <w:tcPr>
            <w:tcW w:w="1417" w:type="dxa"/>
            <w:tcBorders>
              <w:top w:val="single" w:sz="2" w:space="0" w:color="auto"/>
              <w:left w:val="single" w:sz="2" w:space="0" w:color="auto"/>
              <w:bottom w:val="single" w:sz="2" w:space="0" w:color="auto"/>
              <w:right w:val="single" w:sz="2" w:space="0" w:color="auto"/>
            </w:tcBorders>
            <w:vAlign w:val="center"/>
          </w:tcPr>
          <w:p w:rsidR="00E62F69" w:rsidRDefault="00B54A20" w:rsidP="00382605">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593" w:type="dxa"/>
            <w:tcBorders>
              <w:top w:val="single" w:sz="2" w:space="0" w:color="auto"/>
              <w:left w:val="single" w:sz="2" w:space="0" w:color="auto"/>
              <w:bottom w:val="single" w:sz="2" w:space="0" w:color="auto"/>
              <w:right w:val="single" w:sz="2" w:space="0" w:color="auto"/>
            </w:tcBorders>
            <w:vAlign w:val="center"/>
          </w:tcPr>
          <w:p w:rsidR="00E62F69" w:rsidRDefault="00B54A20" w:rsidP="00382605">
            <w:pPr>
              <w:spacing w:line="240" w:lineRule="exact"/>
              <w:jc w:val="right"/>
              <w:rPr>
                <w:rFonts w:ascii="宋体" w:eastAsia="宋体" w:hAnsi="宋体" w:cs="宋体"/>
                <w:sz w:val="18"/>
                <w:szCs w:val="18"/>
              </w:rPr>
            </w:pPr>
            <w:r>
              <w:rPr>
                <w:rFonts w:ascii="宋体" w:eastAsia="宋体" w:hAnsi="宋体" w:cs="宋体"/>
                <w:sz w:val="18"/>
                <w:szCs w:val="18"/>
              </w:rPr>
              <w:t>30.62%</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r w:rsidR="00B54D79">
        <w:rPr>
          <w:rFonts w:ascii="宋体" w:eastAsia="宋体" w:hAnsi="宋体" w:cs="宋体" w:hint="eastAsia"/>
          <w:sz w:val="18"/>
          <w:szCs w:val="18"/>
        </w:rPr>
        <w:t>：</w:t>
      </w:r>
      <w:r>
        <w:rPr>
          <w:rFonts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本企业最终控制方是孙伟</w:t>
      </w:r>
      <w:proofErr w:type="gramStart"/>
      <w:r>
        <w:rPr>
          <w:rFonts w:ascii="宋体" w:eastAsia="宋体" w:hAnsi="宋体" w:cs="宋体"/>
          <w:sz w:val="18"/>
          <w:szCs w:val="18"/>
        </w:rPr>
        <w:t>挺</w:t>
      </w:r>
      <w:proofErr w:type="gramEnd"/>
      <w:r>
        <w:rPr>
          <w:rFonts w:ascii="宋体" w:eastAsia="宋体" w:hAnsi="宋体" w:cs="宋体"/>
          <w:sz w:val="18"/>
          <w:szCs w:val="18"/>
        </w:rPr>
        <w:t>和陈玲芬。</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314" w:name="_Toc989311"/>
      <w:r>
        <w:rPr>
          <w:rFonts w:ascii="宋体" w:hAnsi="宋体" w:cs="宋体"/>
          <w:b/>
          <w:bCs/>
        </w:rPr>
        <w:t>2、本企业的子公司情况</w:t>
      </w:r>
      <w:bookmarkEnd w:id="314"/>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本企业子公司的情况详见附注九、1、在子公司中的权益。</w:t>
      </w:r>
    </w:p>
    <w:p w:rsidR="00E62F69" w:rsidRDefault="00B54A20">
      <w:pPr>
        <w:pStyle w:val="3"/>
        <w:spacing w:line="280" w:lineRule="exact"/>
        <w:jc w:val="left"/>
        <w:rPr>
          <w:rFonts w:ascii="宋体" w:hAnsi="宋体" w:cs="宋体"/>
          <w:b/>
          <w:bCs/>
        </w:rPr>
      </w:pPr>
      <w:bookmarkStart w:id="315" w:name="_Toc989312"/>
      <w:r>
        <w:rPr>
          <w:rFonts w:ascii="宋体" w:hAnsi="宋体" w:cs="宋体"/>
          <w:b/>
          <w:bCs/>
        </w:rPr>
        <w:t>3、本企业合营和联营企业情况</w:t>
      </w:r>
      <w:bookmarkEnd w:id="315"/>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本企业重要的合营或联营企业详见附注七、注释17长期股权投资。</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本期与本公司发生关联方交易，或前期与本公司发生关联方交易形成余额的其他合营或联营企业情况如下：</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合营或联营企业名称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与本企业关系</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本公司子公司联营企业</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316" w:name="_Toc989313"/>
      <w:r>
        <w:rPr>
          <w:rFonts w:ascii="宋体" w:hAnsi="宋体" w:cs="宋体"/>
          <w:b/>
          <w:bCs/>
        </w:rPr>
        <w:t>4、其他关联方情况</w:t>
      </w:r>
      <w:bookmarkEnd w:id="31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宁海华联纺织有限公司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宁海县华兴纺织原料有限公司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实际控制人控制的公司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余姚华联纺织有限公司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浙江万孚投资集团有限公司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安徽新一棉纺织有限公司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本公司股东、实际控制人控制的公司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浙江万孚物业管理</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安徽飞亚纺织集团有限公司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本公司股东、与本公司为同一控股股东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石河子国民村镇银行有限责任公司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本公司持有5%的股权</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上虞市华孚房地产开发有限公司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新疆恒孚棉产业集团有限公司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控股子公司少数股东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孙伟挺，陈玲芬，陈翰，孔祥云，高卫东，黄亚英，程桂松，王国友，张正，盛永月，熊旭锋，</w:t>
            </w:r>
            <w:proofErr w:type="gramStart"/>
            <w:r>
              <w:rPr>
                <w:rFonts w:ascii="宋体" w:eastAsia="宋体" w:hAnsi="宋体" w:cs="宋体"/>
                <w:sz w:val="18"/>
                <w:szCs w:val="18"/>
              </w:rPr>
              <w:t>宣刚江</w:t>
            </w:r>
            <w:proofErr w:type="gramEnd"/>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本公司董事、监事及其他高级管理人员</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新疆纺织工业城有限公司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与本公司为同一控股股东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其他关联方-本年度转让的子公司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其他关联方</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淡安（江苏）健康产业有限公司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w:t>
            </w:r>
            <w:proofErr w:type="gramStart"/>
            <w:r>
              <w:rPr>
                <w:rFonts w:ascii="宋体" w:eastAsia="宋体" w:hAnsi="宋体" w:cs="宋体"/>
                <w:sz w:val="18"/>
                <w:szCs w:val="18"/>
              </w:rPr>
              <w:t>传澄文化</w:t>
            </w:r>
            <w:proofErr w:type="gramEnd"/>
            <w:r>
              <w:rPr>
                <w:rFonts w:ascii="宋体" w:eastAsia="宋体" w:hAnsi="宋体" w:cs="宋体"/>
                <w:sz w:val="18"/>
                <w:szCs w:val="18"/>
              </w:rPr>
              <w:t>传播有限公司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w:t>
            </w:r>
            <w:proofErr w:type="gramStart"/>
            <w:r>
              <w:rPr>
                <w:rFonts w:ascii="宋体" w:eastAsia="宋体" w:hAnsi="宋体" w:cs="宋体"/>
                <w:sz w:val="18"/>
                <w:szCs w:val="18"/>
              </w:rPr>
              <w:t>传澄供应</w:t>
            </w:r>
            <w:proofErr w:type="gramEnd"/>
            <w:r>
              <w:rPr>
                <w:rFonts w:ascii="宋体" w:eastAsia="宋体" w:hAnsi="宋体" w:cs="宋体"/>
                <w:sz w:val="18"/>
                <w:szCs w:val="18"/>
              </w:rPr>
              <w:t>链管理有限公司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市大澄企业管理</w:t>
            </w:r>
            <w:proofErr w:type="gramEnd"/>
            <w:r>
              <w:rPr>
                <w:rFonts w:ascii="宋体" w:eastAsia="宋体" w:hAnsi="宋体" w:cs="宋体"/>
                <w:sz w:val="18"/>
                <w:szCs w:val="18"/>
              </w:rPr>
              <w:t>合伙企业（有限合伙）</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子公司</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新疆锦晟胡杨资产管理有限公司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控股子公司</w:t>
            </w:r>
            <w:proofErr w:type="gramStart"/>
            <w:r>
              <w:rPr>
                <w:rFonts w:ascii="宋体" w:eastAsia="宋体" w:hAnsi="宋体" w:cs="宋体"/>
                <w:sz w:val="18"/>
                <w:szCs w:val="18"/>
              </w:rPr>
              <w:t>奎屯锦孚纺织</w:t>
            </w:r>
            <w:proofErr w:type="gramEnd"/>
            <w:r>
              <w:rPr>
                <w:rFonts w:ascii="宋体" w:eastAsia="宋体" w:hAnsi="宋体" w:cs="宋体"/>
                <w:sz w:val="18"/>
                <w:szCs w:val="18"/>
              </w:rPr>
              <w:t>持股33%的少数股东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控股子公司浙江博忆、</w:t>
            </w:r>
            <w:proofErr w:type="gramStart"/>
            <w:r>
              <w:rPr>
                <w:rFonts w:ascii="宋体" w:eastAsia="宋体" w:hAnsi="宋体" w:cs="宋体"/>
                <w:sz w:val="18"/>
                <w:szCs w:val="18"/>
              </w:rPr>
              <w:t>诸暨力旗持股</w:t>
            </w:r>
            <w:proofErr w:type="gramEnd"/>
            <w:r>
              <w:rPr>
                <w:rFonts w:ascii="宋体" w:eastAsia="宋体" w:hAnsi="宋体" w:cs="宋体"/>
                <w:sz w:val="18"/>
                <w:szCs w:val="18"/>
              </w:rPr>
              <w:t>49%的少数股东</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钟耀栋、蔡珊妮</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控股子公司浙江</w:t>
            </w:r>
            <w:proofErr w:type="gramStart"/>
            <w:r>
              <w:rPr>
                <w:rFonts w:ascii="宋体" w:eastAsia="宋体" w:hAnsi="宋体" w:cs="宋体"/>
                <w:sz w:val="18"/>
                <w:szCs w:val="18"/>
              </w:rPr>
              <w:t>鲲</w:t>
            </w:r>
            <w:proofErr w:type="gramEnd"/>
            <w:r>
              <w:rPr>
                <w:rFonts w:ascii="宋体" w:eastAsia="宋体" w:hAnsi="宋体" w:cs="宋体"/>
                <w:sz w:val="18"/>
                <w:szCs w:val="18"/>
              </w:rPr>
              <w:t>驰互联持股35.0485%的少数股东</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B54D79">
        <w:rPr>
          <w:rFonts w:ascii="宋体" w:eastAsia="宋体" w:hAnsi="宋体" w:cs="宋体" w:hint="eastAsia"/>
          <w:sz w:val="18"/>
          <w:szCs w:val="18"/>
        </w:rPr>
        <w:t>：</w:t>
      </w:r>
      <w:r>
        <w:rPr>
          <w:rFonts w:hint="eastAsia"/>
          <w:sz w:val="18"/>
          <w:szCs w:val="18"/>
        </w:rPr>
        <w:t>无。</w:t>
      </w:r>
    </w:p>
    <w:p w:rsidR="00E62F69" w:rsidRDefault="00B54A20">
      <w:pPr>
        <w:pStyle w:val="3"/>
        <w:spacing w:line="280" w:lineRule="exact"/>
        <w:jc w:val="left"/>
        <w:rPr>
          <w:rFonts w:ascii="宋体" w:hAnsi="宋体" w:cs="宋体"/>
          <w:b/>
          <w:bCs/>
        </w:rPr>
      </w:pPr>
      <w:bookmarkStart w:id="317" w:name="_Toc989314"/>
      <w:r>
        <w:rPr>
          <w:rFonts w:ascii="宋体" w:hAnsi="宋体" w:cs="宋体"/>
          <w:b/>
          <w:bCs/>
        </w:rPr>
        <w:t>5、关联交易情况</w:t>
      </w:r>
      <w:bookmarkEnd w:id="317"/>
    </w:p>
    <w:p w:rsidR="00E62F69" w:rsidRDefault="00B54A20">
      <w:pPr>
        <w:keepNext/>
        <w:keepLines/>
        <w:spacing w:before="300" w:after="300" w:line="280" w:lineRule="exact"/>
        <w:outlineLvl w:val="3"/>
        <w:rPr>
          <w:rFonts w:ascii="宋体" w:eastAsia="宋体" w:hAnsi="宋体" w:cs="宋体"/>
          <w:b/>
          <w:bCs/>
          <w:szCs w:val="21"/>
        </w:rPr>
      </w:pPr>
      <w:bookmarkStart w:id="318" w:name="_Toc989315"/>
      <w:r>
        <w:rPr>
          <w:rFonts w:ascii="宋体" w:eastAsia="宋体" w:hAnsi="宋体" w:cs="宋体"/>
          <w:b/>
          <w:bCs/>
          <w:szCs w:val="21"/>
        </w:rPr>
        <w:t>（1） 购销商品、提供和接受劳务的关联交易</w:t>
      </w:r>
      <w:bookmarkEnd w:id="318"/>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江苏科孚纺织品贸易有限公司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采购棉花</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21,163,993.80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21,163,993.80</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仓储物流服务</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73,889,791.53</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购销商品、提供和接受劳务的关联交易说明</w:t>
      </w:r>
      <w:r w:rsidR="00B54D79">
        <w:rPr>
          <w:rFonts w:ascii="宋体" w:eastAsia="宋体" w:hAnsi="宋体" w:cs="宋体" w:hint="eastAsia"/>
          <w:sz w:val="18"/>
          <w:szCs w:val="18"/>
        </w:rPr>
        <w:t>：</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19" w:name="_Toc989316"/>
      <w:r>
        <w:rPr>
          <w:rFonts w:ascii="宋体" w:eastAsia="宋体" w:hAnsi="宋体" w:cs="宋体"/>
          <w:b/>
          <w:bCs/>
          <w:szCs w:val="21"/>
        </w:rPr>
        <w:t>（2） 关联受托管理/承包及委托管理/出包情况</w:t>
      </w:r>
      <w:bookmarkEnd w:id="319"/>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关联托管/承包情况说明</w:t>
      </w:r>
      <w:r>
        <w:rPr>
          <w:rFonts w:hint="eastAsia"/>
          <w:sz w:val="18"/>
          <w:szCs w:val="18"/>
        </w:rPr>
        <w:t>无。</w:t>
      </w:r>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关联管理/出</w:t>
      </w:r>
      <w:proofErr w:type="gramStart"/>
      <w:r>
        <w:rPr>
          <w:rFonts w:ascii="宋体" w:eastAsia="宋体" w:hAnsi="宋体" w:cs="宋体"/>
          <w:sz w:val="18"/>
          <w:szCs w:val="18"/>
        </w:rPr>
        <w:t>包情况</w:t>
      </w:r>
      <w:proofErr w:type="gramEnd"/>
      <w:r>
        <w:rPr>
          <w:rFonts w:ascii="宋体" w:eastAsia="宋体" w:hAnsi="宋体" w:cs="宋体"/>
          <w:sz w:val="18"/>
          <w:szCs w:val="18"/>
        </w:rPr>
        <w:t>说明</w:t>
      </w:r>
      <w:r w:rsidR="00B54D79">
        <w:rPr>
          <w:rFonts w:ascii="宋体" w:eastAsia="宋体" w:hAnsi="宋体" w:cs="宋体" w:hint="eastAsia"/>
          <w:sz w:val="18"/>
          <w:szCs w:val="18"/>
        </w:rPr>
        <w:t>：</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20" w:name="_Toc989317"/>
      <w:r>
        <w:rPr>
          <w:rFonts w:ascii="宋体" w:eastAsia="宋体" w:hAnsi="宋体" w:cs="宋体"/>
          <w:b/>
          <w:bCs/>
          <w:szCs w:val="21"/>
        </w:rPr>
        <w:t>（3） 关联租赁情况</w:t>
      </w:r>
      <w:bookmarkEnd w:id="320"/>
    </w:p>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关联租赁情况说明</w:t>
      </w:r>
      <w:r w:rsidR="00B54D79">
        <w:rPr>
          <w:rFonts w:ascii="宋体" w:eastAsia="宋体" w:hAnsi="宋体" w:cs="宋体" w:hint="eastAsia"/>
          <w:sz w:val="18"/>
          <w:szCs w:val="18"/>
        </w:rPr>
        <w:t>：</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21" w:name="_Toc989318"/>
      <w:r>
        <w:rPr>
          <w:rFonts w:ascii="宋体" w:eastAsia="宋体" w:hAnsi="宋体" w:cs="宋体"/>
          <w:b/>
          <w:bCs/>
          <w:szCs w:val="21"/>
        </w:rPr>
        <w:t>（4） 关联担保情况</w:t>
      </w:r>
      <w:bookmarkEnd w:id="321"/>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r w:rsidR="00B54D79">
        <w:rPr>
          <w:rFonts w:ascii="宋体" w:eastAsia="宋体" w:hAnsi="宋体" w:cs="宋体" w:hint="eastAsia"/>
          <w:sz w:val="18"/>
          <w:szCs w:val="18"/>
        </w:rPr>
        <w:t>：无。</w:t>
      </w:r>
    </w:p>
    <w:p w:rsidR="00B54D79" w:rsidRDefault="00B54D79">
      <w:pPr>
        <w:spacing w:before="40" w:after="40" w:line="240" w:lineRule="exact"/>
        <w:rPr>
          <w:rFonts w:ascii="宋体" w:eastAsia="宋体" w:hAnsi="宋体" w:cs="宋体"/>
          <w:sz w:val="18"/>
          <w:szCs w:val="18"/>
        </w:rPr>
      </w:pPr>
    </w:p>
    <w:p w:rsidR="00E62F69" w:rsidRDefault="00B54A20">
      <w:pPr>
        <w:spacing w:before="100" w:after="40" w:line="240" w:lineRule="exact"/>
        <w:rPr>
          <w:rFonts w:ascii="宋体" w:eastAsia="宋体" w:hAnsi="宋体" w:cs="宋体"/>
          <w:sz w:val="18"/>
          <w:szCs w:val="18"/>
        </w:rPr>
      </w:pPr>
      <w:r>
        <w:rPr>
          <w:rFonts w:ascii="宋体" w:eastAsia="宋体" w:hAnsi="宋体" w:cs="宋体"/>
          <w:sz w:val="18"/>
          <w:szCs w:val="18"/>
        </w:rPr>
        <w:t>本公司作为被担保方</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2023年12月19日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2023年12月18日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2023年12月20日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2023年12月21日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2023年07月18日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2023年07月18日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2023年07月12日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2023年07月12日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2022年09月13日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2023年07月19日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2022年10月17日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2023年10月13日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2022年10月17日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2023年10月13日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2022年10月17日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2023年10月13日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2022年10月20日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2023年07月26日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2022年11月17日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2023年09月27日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华孚控股、华孚时尚、浙江色纺、九江中</w:t>
            </w:r>
            <w:proofErr w:type="gramStart"/>
            <w:r>
              <w:rPr>
                <w:rFonts w:ascii="宋体" w:eastAsia="宋体" w:hAnsi="宋体" w:cs="宋体"/>
                <w:sz w:val="18"/>
                <w:szCs w:val="18"/>
              </w:rPr>
              <w:t>浩</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2023年01月31日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2023年11月28日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2023年03月10日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2023年08月29日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2023年03月10日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2023年09月05日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2023年03月10日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2023年08月22日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115,000,000.00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2023年04月26日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2024年03月22日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2023年06月05日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2023年11月24日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2023年06月05日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2023年11月24日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127,000,000.00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2024年04月19日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2024年05月17日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华孚控股、华孚时尚、浙江色纺</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9,880,000.00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2023年06月29日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2024年06月21日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香港华孚、深圳进出口、孙伟挺、陈玲芬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52,184,068.00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2022年09月27日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2023年09月27日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香港华孚、深圳进出口、华孚控股、浙江色纺、孙伟挺、陈玲芬</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12,354,532.01</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2022年12月20日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2023年12月19日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张晚霞、许栩光</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5,557,119.42</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2023年01月18日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2024年01月13日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40,870,000.00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2020年05月19日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2029年05月18日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华孚控股、华孚时尚</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2023年06月16日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2024年06月16日</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否</w:t>
            </w:r>
          </w:p>
        </w:tc>
      </w:tr>
    </w:tbl>
    <w:p w:rsidR="00B54A20" w:rsidRPr="00B54D79" w:rsidRDefault="00B54A20" w:rsidP="00B54D79">
      <w:pPr>
        <w:spacing w:before="100" w:after="100" w:line="240" w:lineRule="exact"/>
        <w:rPr>
          <w:rFonts w:ascii="宋体" w:eastAsia="宋体" w:hAnsi="宋体" w:cs="宋体"/>
          <w:sz w:val="18"/>
          <w:szCs w:val="18"/>
        </w:rPr>
      </w:pPr>
      <w:r>
        <w:rPr>
          <w:rFonts w:ascii="宋体" w:eastAsia="宋体" w:hAnsi="宋体" w:cs="宋体"/>
          <w:sz w:val="18"/>
          <w:szCs w:val="18"/>
        </w:rPr>
        <w:t>关联担保情况说明</w:t>
      </w:r>
      <w:r w:rsidR="00B54D79">
        <w:rPr>
          <w:rFonts w:ascii="宋体" w:eastAsia="宋体" w:hAnsi="宋体" w:cs="宋体" w:hint="eastAsia"/>
          <w:sz w:val="18"/>
          <w:szCs w:val="18"/>
        </w:rPr>
        <w:t>：</w:t>
      </w:r>
      <w:r>
        <w:rPr>
          <w:rFonts w:cs="Times New Roman"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22" w:name="_Toc989319"/>
      <w:r>
        <w:rPr>
          <w:rFonts w:ascii="宋体" w:eastAsia="宋体" w:hAnsi="宋体" w:cs="宋体"/>
          <w:b/>
          <w:bCs/>
          <w:szCs w:val="21"/>
        </w:rPr>
        <w:t>（5） 关联方资金拆借</w:t>
      </w:r>
      <w:bookmarkEnd w:id="322"/>
    </w:p>
    <w:p w:rsidR="00762F0F" w:rsidRDefault="00762F0F">
      <w:pPr>
        <w:keepNext/>
        <w:keepLines/>
        <w:spacing w:before="300" w:after="300" w:line="280" w:lineRule="exact"/>
        <w:outlineLvl w:val="3"/>
        <w:rPr>
          <w:rFonts w:ascii="宋体" w:eastAsia="宋体" w:hAnsi="宋体" w:cs="宋体"/>
          <w:sz w:val="18"/>
          <w:szCs w:val="18"/>
        </w:rPr>
      </w:pPr>
      <w:bookmarkStart w:id="323" w:name="_Toc989320"/>
      <w:r>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（6） 关联方资产转让、债务重组情况</w:t>
      </w:r>
      <w:bookmarkEnd w:id="323"/>
    </w:p>
    <w:p w:rsidR="00762F0F" w:rsidRPr="00762F0F" w:rsidRDefault="00762F0F">
      <w:pPr>
        <w:keepNext/>
        <w:keepLines/>
        <w:spacing w:before="300" w:after="300" w:line="280" w:lineRule="exact"/>
        <w:outlineLvl w:val="3"/>
        <w:rPr>
          <w:rFonts w:ascii="宋体" w:eastAsia="宋体" w:hAnsi="宋体" w:cs="宋体"/>
          <w:sz w:val="18"/>
          <w:szCs w:val="18"/>
        </w:rPr>
      </w:pPr>
      <w:bookmarkStart w:id="324" w:name="_Toc989321"/>
      <w:r w:rsidRPr="00762F0F">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（7） 关键管理人员报酬</w:t>
      </w:r>
      <w:bookmarkEnd w:id="324"/>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25" w:name="_Toc989322"/>
      <w:r w:rsidRPr="00762F0F">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（8） 其他关联交易</w:t>
      </w:r>
      <w:bookmarkEnd w:id="325"/>
    </w:p>
    <w:p w:rsidR="00B54A20" w:rsidRDefault="00B54A20">
      <w:pPr>
        <w:pStyle w:val="a3"/>
        <w:divId w:val="2063676297"/>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26" w:name="_Toc989323"/>
      <w:r>
        <w:rPr>
          <w:rFonts w:ascii="宋体" w:hAnsi="宋体" w:cs="宋体"/>
          <w:b/>
          <w:bCs/>
        </w:rPr>
        <w:t>6、关联方应收应付款项</w:t>
      </w:r>
      <w:bookmarkEnd w:id="326"/>
    </w:p>
    <w:p w:rsidR="00E62F69" w:rsidRDefault="00B54A20">
      <w:pPr>
        <w:keepNext/>
        <w:keepLines/>
        <w:spacing w:before="300" w:after="300" w:line="280" w:lineRule="exact"/>
        <w:outlineLvl w:val="3"/>
        <w:rPr>
          <w:rFonts w:ascii="宋体" w:eastAsia="宋体" w:hAnsi="宋体" w:cs="宋体"/>
          <w:b/>
          <w:bCs/>
          <w:szCs w:val="21"/>
        </w:rPr>
      </w:pPr>
      <w:bookmarkStart w:id="327" w:name="_Toc989324"/>
      <w:r>
        <w:rPr>
          <w:rFonts w:ascii="宋体" w:eastAsia="宋体" w:hAnsi="宋体" w:cs="宋体"/>
          <w:b/>
          <w:bCs/>
          <w:szCs w:val="21"/>
        </w:rPr>
        <w:t>（1） 应收项目</w:t>
      </w:r>
      <w:bookmarkEnd w:id="32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607"/>
        <w:gridCol w:w="1606"/>
        <w:gridCol w:w="1607"/>
      </w:tblGrid>
      <w:tr w:rsidR="00E62F69">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124,453.11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12,445.31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124,453.11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6,222.66</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库车银花棉业有限责任公司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210,000.00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10,500.00</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新疆棉花产业集团有限公司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5,803,479.86</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5,782,783.89</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第七</w:t>
            </w:r>
            <w:proofErr w:type="gramStart"/>
            <w:r>
              <w:rPr>
                <w:rFonts w:ascii="宋体" w:eastAsia="宋体" w:hAnsi="宋体" w:cs="宋体"/>
                <w:sz w:val="18"/>
                <w:szCs w:val="18"/>
              </w:rPr>
              <w:t>师国有</w:t>
            </w:r>
            <w:proofErr w:type="gramEnd"/>
            <w:r>
              <w:rPr>
                <w:rFonts w:ascii="宋体" w:eastAsia="宋体" w:hAnsi="宋体" w:cs="宋体"/>
                <w:sz w:val="18"/>
                <w:szCs w:val="18"/>
              </w:rPr>
              <w:t>资产经营有限公司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371,904.51</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371,904.51</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市传澄</w:t>
            </w:r>
            <w:proofErr w:type="gramEnd"/>
            <w:r>
              <w:rPr>
                <w:rFonts w:ascii="宋体" w:eastAsia="宋体" w:hAnsi="宋体" w:cs="宋体"/>
                <w:sz w:val="18"/>
                <w:szCs w:val="18"/>
              </w:rPr>
              <w:t>电子商务有限公司及其子公司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21,963,897.78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6,065,361.78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21,963,897.78</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3,054,247.56</w:t>
            </w:r>
          </w:p>
        </w:tc>
      </w:tr>
      <w:tr w:rsidR="00E62F6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其他非流动资产</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浙江华孚网链投资管理有限公司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60,000,000.00</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E62F69" w:rsidRDefault="00B54A20">
      <w:pPr>
        <w:keepNext/>
        <w:keepLines/>
        <w:spacing w:before="300" w:after="300" w:line="280" w:lineRule="exact"/>
        <w:outlineLvl w:val="3"/>
        <w:rPr>
          <w:rFonts w:ascii="宋体" w:eastAsia="宋体" w:hAnsi="宋体" w:cs="宋体"/>
          <w:b/>
          <w:bCs/>
          <w:szCs w:val="21"/>
        </w:rPr>
      </w:pPr>
      <w:bookmarkStart w:id="328" w:name="_Toc989325"/>
      <w:r>
        <w:rPr>
          <w:rFonts w:ascii="宋体" w:eastAsia="宋体" w:hAnsi="宋体" w:cs="宋体"/>
          <w:b/>
          <w:bCs/>
          <w:szCs w:val="21"/>
        </w:rPr>
        <w:t>（2） 应付项目</w:t>
      </w:r>
      <w:bookmarkEnd w:id="32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合同负债</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上海</w:t>
            </w:r>
            <w:proofErr w:type="gramStart"/>
            <w:r>
              <w:rPr>
                <w:rFonts w:ascii="宋体" w:eastAsia="宋体" w:hAnsi="宋体" w:cs="宋体"/>
                <w:sz w:val="18"/>
                <w:szCs w:val="18"/>
              </w:rPr>
              <w:t>传澄供应</w:t>
            </w:r>
            <w:proofErr w:type="gramEnd"/>
            <w:r>
              <w:rPr>
                <w:rFonts w:ascii="宋体" w:eastAsia="宋体" w:hAnsi="宋体" w:cs="宋体"/>
                <w:sz w:val="18"/>
                <w:szCs w:val="18"/>
              </w:rPr>
              <w:t>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792.04</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w:t>
            </w:r>
            <w:proofErr w:type="gramStart"/>
            <w:r>
              <w:rPr>
                <w:rFonts w:ascii="宋体" w:eastAsia="宋体" w:hAnsi="宋体" w:cs="宋体"/>
                <w:sz w:val="18"/>
                <w:szCs w:val="18"/>
              </w:rPr>
              <w:t>新润气流纺</w:t>
            </w:r>
            <w:proofErr w:type="gramEnd"/>
            <w:r>
              <w:rPr>
                <w:rFonts w:ascii="宋体" w:eastAsia="宋体" w:hAnsi="宋体" w:cs="宋体"/>
                <w:sz w:val="18"/>
                <w:szCs w:val="18"/>
              </w:rPr>
              <w:t>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517,753.12</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517,753.12</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安徽环</w:t>
            </w:r>
            <w:proofErr w:type="gramStart"/>
            <w:r>
              <w:rPr>
                <w:rFonts w:ascii="宋体" w:eastAsia="宋体" w:hAnsi="宋体" w:cs="宋体"/>
                <w:sz w:val="18"/>
                <w:szCs w:val="18"/>
              </w:rPr>
              <w:t>捷供应</w:t>
            </w:r>
            <w:proofErr w:type="gramEnd"/>
            <w:r>
              <w:rPr>
                <w:rFonts w:ascii="宋体" w:eastAsia="宋体" w:hAnsi="宋体" w:cs="宋体"/>
                <w:sz w:val="18"/>
                <w:szCs w:val="18"/>
              </w:rPr>
              <w:t>链管理有限公司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9,549,153.71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3,135,743.29</w:t>
            </w:r>
          </w:p>
        </w:tc>
      </w:tr>
    </w:tbl>
    <w:p w:rsidR="00E62F69" w:rsidRDefault="00B54A20">
      <w:pPr>
        <w:pStyle w:val="3"/>
        <w:spacing w:line="280" w:lineRule="exact"/>
        <w:jc w:val="left"/>
        <w:rPr>
          <w:rFonts w:ascii="宋体" w:hAnsi="宋体" w:cs="宋体"/>
          <w:b/>
          <w:bCs/>
        </w:rPr>
      </w:pPr>
      <w:bookmarkStart w:id="329" w:name="_Toc989326"/>
      <w:r>
        <w:rPr>
          <w:rFonts w:ascii="宋体" w:hAnsi="宋体" w:cs="宋体"/>
          <w:b/>
          <w:bCs/>
        </w:rPr>
        <w:t>7、关联方承诺</w:t>
      </w:r>
      <w:bookmarkEnd w:id="329"/>
    </w:p>
    <w:p w:rsidR="00B54A20" w:rsidRDefault="00B54A20">
      <w:pPr>
        <w:pStyle w:val="a3"/>
        <w:divId w:val="334454570"/>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330" w:name="_Toc989327"/>
      <w:r>
        <w:rPr>
          <w:rFonts w:ascii="宋体" w:hAnsi="宋体" w:cs="宋体"/>
          <w:b/>
          <w:bCs/>
        </w:rPr>
        <w:t>8、其他</w:t>
      </w:r>
      <w:bookmarkEnd w:id="330"/>
    </w:p>
    <w:p w:rsidR="00B54A20" w:rsidRDefault="00B54A20">
      <w:pPr>
        <w:pStyle w:val="a3"/>
        <w:divId w:val="1645549402"/>
        <w:rPr>
          <w:rFonts w:ascii="Times New Roman" w:hAnsi="Times New Roman" w:cs="Times New Roman"/>
        </w:rPr>
      </w:pPr>
      <w:r>
        <w:rPr>
          <w:rFonts w:cs="Times New Roman"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31" w:name="_Toc989328"/>
      <w:r>
        <w:rPr>
          <w:rFonts w:ascii="宋体" w:eastAsia="宋体" w:hAnsi="宋体" w:cs="宋体"/>
          <w:b/>
          <w:bCs/>
          <w:sz w:val="24"/>
          <w:szCs w:val="24"/>
        </w:rPr>
        <w:t>十三、股份支付</w:t>
      </w:r>
      <w:bookmarkEnd w:id="331"/>
    </w:p>
    <w:p w:rsidR="00E62F69" w:rsidRDefault="00B54A20">
      <w:pPr>
        <w:pStyle w:val="3"/>
        <w:spacing w:line="280" w:lineRule="exact"/>
        <w:jc w:val="left"/>
        <w:rPr>
          <w:rFonts w:ascii="宋体" w:hAnsi="宋体" w:cs="宋体"/>
          <w:b/>
          <w:bCs/>
        </w:rPr>
      </w:pPr>
      <w:bookmarkStart w:id="332" w:name="_Toc989329"/>
      <w:r>
        <w:rPr>
          <w:rFonts w:ascii="宋体" w:hAnsi="宋体" w:cs="宋体"/>
          <w:b/>
          <w:bCs/>
        </w:rPr>
        <w:t>1、股份支付总体情况</w:t>
      </w:r>
      <w:bookmarkEnd w:id="332"/>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333" w:name="_Toc989330"/>
      <w:r>
        <w:rPr>
          <w:rFonts w:ascii="宋体" w:hAnsi="宋体" w:cs="宋体"/>
          <w:b/>
          <w:bCs/>
        </w:rPr>
        <w:t>2、以权益结算的股份支付情况</w:t>
      </w:r>
      <w:bookmarkEnd w:id="333"/>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334" w:name="_Toc989331"/>
      <w:r>
        <w:rPr>
          <w:rFonts w:ascii="宋体" w:hAnsi="宋体" w:cs="宋体"/>
          <w:b/>
          <w:bCs/>
        </w:rPr>
        <w:t>3、以现金结算的股份支付情况</w:t>
      </w:r>
      <w:bookmarkEnd w:id="334"/>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335" w:name="_Toc989332"/>
      <w:r>
        <w:rPr>
          <w:rFonts w:ascii="宋体" w:hAnsi="宋体" w:cs="宋体"/>
          <w:b/>
          <w:bCs/>
        </w:rPr>
        <w:t>4、股份支付的修改、终止情况</w:t>
      </w:r>
      <w:bookmarkEnd w:id="335"/>
    </w:p>
    <w:p w:rsidR="00B54A20" w:rsidRDefault="00B54A20">
      <w:pPr>
        <w:pStyle w:val="a3"/>
        <w:divId w:val="1747800940"/>
        <w:rPr>
          <w:sz w:val="18"/>
          <w:szCs w:val="18"/>
        </w:rPr>
      </w:pPr>
      <w:r>
        <w:rPr>
          <w:rFonts w:hint="eastAsia"/>
          <w:sz w:val="18"/>
          <w:szCs w:val="18"/>
        </w:rPr>
        <w:t>无。</w:t>
      </w:r>
    </w:p>
    <w:p w:rsidR="00E62F69" w:rsidRDefault="00B54A20">
      <w:pPr>
        <w:pStyle w:val="3"/>
        <w:spacing w:line="280" w:lineRule="exact"/>
        <w:jc w:val="left"/>
        <w:rPr>
          <w:rFonts w:ascii="宋体" w:hAnsi="宋体" w:cs="宋体"/>
          <w:b/>
          <w:bCs/>
        </w:rPr>
      </w:pPr>
      <w:bookmarkStart w:id="336" w:name="_Toc989333"/>
      <w:r>
        <w:rPr>
          <w:rFonts w:ascii="宋体" w:hAnsi="宋体" w:cs="宋体"/>
          <w:b/>
          <w:bCs/>
        </w:rPr>
        <w:t xml:space="preserve">5、其他 </w:t>
      </w:r>
      <w:bookmarkEnd w:id="336"/>
    </w:p>
    <w:p w:rsidR="00B54A20" w:rsidRDefault="00B54A20">
      <w:pPr>
        <w:pStyle w:val="a3"/>
        <w:divId w:val="14120778"/>
        <w:rPr>
          <w:sz w:val="18"/>
          <w:szCs w:val="18"/>
        </w:rPr>
      </w:pPr>
      <w:r>
        <w:rPr>
          <w:rFonts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37" w:name="_Toc989334"/>
      <w:r>
        <w:rPr>
          <w:rFonts w:ascii="宋体" w:eastAsia="宋体" w:hAnsi="宋体" w:cs="宋体"/>
          <w:b/>
          <w:bCs/>
          <w:sz w:val="24"/>
          <w:szCs w:val="24"/>
        </w:rPr>
        <w:t>十四、承诺及或有事项</w:t>
      </w:r>
      <w:bookmarkEnd w:id="337"/>
    </w:p>
    <w:p w:rsidR="00E62F69" w:rsidRDefault="00B54A20">
      <w:pPr>
        <w:pStyle w:val="3"/>
        <w:spacing w:line="280" w:lineRule="exact"/>
        <w:jc w:val="left"/>
        <w:rPr>
          <w:rFonts w:ascii="宋体" w:hAnsi="宋体" w:cs="宋体"/>
          <w:b/>
          <w:bCs/>
        </w:rPr>
      </w:pPr>
      <w:bookmarkStart w:id="338" w:name="_Toc989335"/>
      <w:r>
        <w:rPr>
          <w:rFonts w:ascii="宋体" w:hAnsi="宋体" w:cs="宋体"/>
          <w:b/>
          <w:bCs/>
        </w:rPr>
        <w:t>1、重要承诺事项</w:t>
      </w:r>
      <w:bookmarkEnd w:id="338"/>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rsidR="00E62F69" w:rsidRDefault="00B54A20">
      <w:pPr>
        <w:pStyle w:val="3"/>
        <w:spacing w:line="280" w:lineRule="exact"/>
        <w:jc w:val="left"/>
        <w:rPr>
          <w:rFonts w:ascii="宋体" w:hAnsi="宋体" w:cs="宋体"/>
          <w:b/>
          <w:bCs/>
        </w:rPr>
      </w:pPr>
      <w:bookmarkStart w:id="339" w:name="_Toc989336"/>
      <w:r>
        <w:rPr>
          <w:rFonts w:ascii="宋体" w:hAnsi="宋体" w:cs="宋体"/>
          <w:b/>
          <w:bCs/>
        </w:rPr>
        <w:t>2、或有事项</w:t>
      </w:r>
      <w:bookmarkEnd w:id="339"/>
    </w:p>
    <w:p w:rsidR="00E62F69" w:rsidRDefault="00B54A20">
      <w:pPr>
        <w:keepNext/>
        <w:keepLines/>
        <w:spacing w:before="300" w:after="300" w:line="280" w:lineRule="exact"/>
        <w:outlineLvl w:val="3"/>
        <w:rPr>
          <w:rFonts w:ascii="宋体" w:eastAsia="宋体" w:hAnsi="宋体" w:cs="宋体"/>
          <w:b/>
          <w:bCs/>
          <w:szCs w:val="21"/>
        </w:rPr>
      </w:pPr>
      <w:bookmarkStart w:id="340" w:name="_Toc989337"/>
      <w:r>
        <w:rPr>
          <w:rFonts w:ascii="宋体" w:eastAsia="宋体" w:hAnsi="宋体" w:cs="宋体"/>
          <w:b/>
          <w:bCs/>
          <w:szCs w:val="21"/>
        </w:rPr>
        <w:t>（1） 资产负债表</w:t>
      </w:r>
      <w:proofErr w:type="gramStart"/>
      <w:r>
        <w:rPr>
          <w:rFonts w:ascii="宋体" w:eastAsia="宋体" w:hAnsi="宋体" w:cs="宋体"/>
          <w:b/>
          <w:bCs/>
          <w:szCs w:val="21"/>
        </w:rPr>
        <w:t>日存在</w:t>
      </w:r>
      <w:proofErr w:type="gramEnd"/>
      <w:r>
        <w:rPr>
          <w:rFonts w:ascii="宋体" w:eastAsia="宋体" w:hAnsi="宋体" w:cs="宋体"/>
          <w:b/>
          <w:bCs/>
          <w:szCs w:val="21"/>
        </w:rPr>
        <w:t>的重要或有事项</w:t>
      </w:r>
      <w:bookmarkEnd w:id="340"/>
    </w:p>
    <w:p w:rsidR="00E62F69" w:rsidRDefault="00B54A20">
      <w:pPr>
        <w:keepNext/>
        <w:keepLines/>
        <w:spacing w:before="300" w:after="300" w:line="280" w:lineRule="exact"/>
        <w:outlineLvl w:val="3"/>
        <w:rPr>
          <w:rFonts w:ascii="宋体" w:eastAsia="宋体" w:hAnsi="宋体" w:cs="宋体"/>
          <w:b/>
          <w:bCs/>
          <w:szCs w:val="21"/>
        </w:rPr>
      </w:pPr>
      <w:bookmarkStart w:id="341" w:name="_Toc989338"/>
      <w:r>
        <w:rPr>
          <w:rFonts w:ascii="宋体" w:eastAsia="宋体" w:hAnsi="宋体" w:cs="宋体"/>
          <w:b/>
          <w:bCs/>
          <w:szCs w:val="21"/>
        </w:rPr>
        <w:t>（2） 公司没有需要披露的重要或有事项，也应予以说明</w:t>
      </w:r>
      <w:bookmarkEnd w:id="341"/>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E62F69" w:rsidRDefault="00B54A20">
      <w:pPr>
        <w:pStyle w:val="3"/>
        <w:spacing w:line="280" w:lineRule="exact"/>
        <w:jc w:val="left"/>
        <w:rPr>
          <w:rFonts w:ascii="宋体" w:hAnsi="宋体" w:cs="宋体"/>
          <w:b/>
          <w:bCs/>
        </w:rPr>
      </w:pPr>
      <w:bookmarkStart w:id="342" w:name="_Toc989339"/>
      <w:r>
        <w:rPr>
          <w:rFonts w:ascii="宋体" w:hAnsi="宋体" w:cs="宋体"/>
          <w:b/>
          <w:bCs/>
        </w:rPr>
        <w:t>3、其他</w:t>
      </w:r>
      <w:bookmarkEnd w:id="342"/>
    </w:p>
    <w:p w:rsidR="00E62F69" w:rsidRDefault="00B54A20">
      <w:pPr>
        <w:pStyle w:val="2"/>
        <w:spacing w:before="300" w:after="300" w:line="320" w:lineRule="exact"/>
        <w:rPr>
          <w:rFonts w:ascii="宋体" w:eastAsia="宋体" w:hAnsi="宋体" w:cs="宋体"/>
          <w:b/>
          <w:bCs/>
          <w:sz w:val="24"/>
          <w:szCs w:val="24"/>
        </w:rPr>
      </w:pPr>
      <w:bookmarkStart w:id="343" w:name="_Toc989340"/>
      <w:r>
        <w:rPr>
          <w:rFonts w:ascii="宋体" w:eastAsia="宋体" w:hAnsi="宋体" w:cs="宋体"/>
          <w:b/>
          <w:bCs/>
          <w:sz w:val="24"/>
          <w:szCs w:val="24"/>
        </w:rPr>
        <w:t>十五、资产负债表日后事项</w:t>
      </w:r>
      <w:bookmarkEnd w:id="343"/>
    </w:p>
    <w:p w:rsidR="00E62F69" w:rsidRDefault="00B54A20">
      <w:pPr>
        <w:pStyle w:val="3"/>
        <w:spacing w:line="280" w:lineRule="exact"/>
        <w:jc w:val="left"/>
        <w:rPr>
          <w:rFonts w:ascii="宋体" w:hAnsi="宋体" w:cs="宋体"/>
          <w:b/>
          <w:bCs/>
        </w:rPr>
      </w:pPr>
      <w:bookmarkStart w:id="344" w:name="_Toc989341"/>
      <w:r>
        <w:rPr>
          <w:rFonts w:ascii="宋体" w:hAnsi="宋体" w:cs="宋体"/>
          <w:b/>
          <w:bCs/>
        </w:rPr>
        <w:t>1、重要的非调整事项</w:t>
      </w:r>
      <w:bookmarkEnd w:id="344"/>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45" w:name="_Toc989342"/>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r>
        <w:rPr>
          <w:rFonts w:ascii="宋体" w:hAnsi="宋体" w:cs="宋体"/>
          <w:b/>
          <w:bCs/>
        </w:rPr>
        <w:t>2、利润分配情况</w:t>
      </w:r>
      <w:bookmarkEnd w:id="345"/>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46" w:name="_Toc989343"/>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r>
        <w:rPr>
          <w:rFonts w:ascii="宋体" w:hAnsi="宋体" w:cs="宋体"/>
          <w:b/>
          <w:bCs/>
        </w:rPr>
        <w:t>3、销售退回</w:t>
      </w:r>
      <w:bookmarkEnd w:id="346"/>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47" w:name="_Toc989344"/>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r>
        <w:rPr>
          <w:rFonts w:ascii="宋体" w:hAnsi="宋体" w:cs="宋体"/>
          <w:b/>
          <w:bCs/>
        </w:rPr>
        <w:t>4、其他资产负债表日后事项说明</w:t>
      </w:r>
      <w:bookmarkEnd w:id="347"/>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48" w:name="_Toc989345"/>
      <w:r w:rsidRPr="00762F0F">
        <w:rPr>
          <w:rFonts w:ascii="宋体" w:eastAsia="宋体" w:hAnsi="宋体" w:cs="宋体" w:hint="eastAsia"/>
          <w:sz w:val="18"/>
          <w:szCs w:val="18"/>
        </w:rPr>
        <w:t>无</w:t>
      </w:r>
    </w:p>
    <w:p w:rsidR="00E62F69" w:rsidRDefault="00B54A20">
      <w:pPr>
        <w:pStyle w:val="2"/>
        <w:spacing w:before="300" w:after="300" w:line="320" w:lineRule="exact"/>
        <w:rPr>
          <w:rFonts w:ascii="宋体" w:eastAsia="宋体" w:hAnsi="宋体" w:cs="宋体"/>
          <w:b/>
          <w:bCs/>
          <w:sz w:val="24"/>
          <w:szCs w:val="24"/>
        </w:rPr>
      </w:pPr>
      <w:r>
        <w:rPr>
          <w:rFonts w:ascii="宋体" w:eastAsia="宋体" w:hAnsi="宋体" w:cs="宋体"/>
          <w:b/>
          <w:bCs/>
          <w:sz w:val="24"/>
          <w:szCs w:val="24"/>
        </w:rPr>
        <w:t>十六、其他重要事项</w:t>
      </w:r>
      <w:bookmarkEnd w:id="348"/>
    </w:p>
    <w:p w:rsidR="00E62F69" w:rsidRDefault="00B54A20">
      <w:pPr>
        <w:pStyle w:val="3"/>
        <w:spacing w:line="280" w:lineRule="exact"/>
        <w:jc w:val="left"/>
        <w:rPr>
          <w:rFonts w:ascii="宋体" w:hAnsi="宋体" w:cs="宋体"/>
          <w:b/>
          <w:bCs/>
        </w:rPr>
      </w:pPr>
      <w:bookmarkStart w:id="349" w:name="_Toc989346"/>
      <w:r>
        <w:rPr>
          <w:rFonts w:ascii="宋体" w:hAnsi="宋体" w:cs="宋体"/>
          <w:b/>
          <w:bCs/>
        </w:rPr>
        <w:t>1、前期会计差错更正</w:t>
      </w:r>
      <w:bookmarkEnd w:id="349"/>
    </w:p>
    <w:p w:rsidR="00E62F69" w:rsidRDefault="00B54A20">
      <w:pPr>
        <w:keepNext/>
        <w:keepLines/>
        <w:spacing w:before="300" w:after="300" w:line="280" w:lineRule="exact"/>
        <w:outlineLvl w:val="3"/>
        <w:rPr>
          <w:rFonts w:ascii="宋体" w:eastAsia="宋体" w:hAnsi="宋体" w:cs="宋体"/>
          <w:b/>
          <w:bCs/>
          <w:szCs w:val="21"/>
        </w:rPr>
      </w:pPr>
      <w:bookmarkStart w:id="350" w:name="_Toc989347"/>
      <w:r>
        <w:rPr>
          <w:rFonts w:ascii="宋体" w:eastAsia="宋体" w:hAnsi="宋体" w:cs="宋体"/>
          <w:b/>
          <w:bCs/>
          <w:szCs w:val="21"/>
        </w:rPr>
        <w:t>（1） 追溯重述法</w:t>
      </w:r>
      <w:bookmarkEnd w:id="350"/>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51" w:name="_Toc989348"/>
      <w:r w:rsidRPr="00762F0F">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 未来适用法</w:t>
      </w:r>
      <w:bookmarkEnd w:id="351"/>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52" w:name="_Toc989349"/>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r>
        <w:rPr>
          <w:rFonts w:ascii="宋体" w:hAnsi="宋体" w:cs="宋体"/>
          <w:b/>
          <w:bCs/>
        </w:rPr>
        <w:t>2、债务重组</w:t>
      </w:r>
      <w:bookmarkEnd w:id="352"/>
    </w:p>
    <w:p w:rsidR="00762F0F" w:rsidRPr="00762F0F" w:rsidRDefault="00762F0F" w:rsidP="00762F0F">
      <w:pPr>
        <w:keepNext/>
        <w:keepLines/>
        <w:spacing w:before="300" w:after="300" w:line="280" w:lineRule="exact"/>
        <w:outlineLvl w:val="3"/>
        <w:rPr>
          <w:rFonts w:ascii="宋体" w:eastAsia="宋体" w:hAnsi="宋体" w:cs="宋体"/>
          <w:sz w:val="18"/>
          <w:szCs w:val="18"/>
        </w:rPr>
      </w:pPr>
      <w:bookmarkStart w:id="353" w:name="_Toc989350"/>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r>
        <w:rPr>
          <w:rFonts w:ascii="宋体" w:hAnsi="宋体" w:cs="宋体"/>
          <w:b/>
          <w:bCs/>
        </w:rPr>
        <w:t>3、资产置换</w:t>
      </w:r>
      <w:bookmarkEnd w:id="353"/>
    </w:p>
    <w:p w:rsidR="00E62F69" w:rsidRDefault="00B54A20">
      <w:pPr>
        <w:keepNext/>
        <w:keepLines/>
        <w:spacing w:before="300" w:after="300" w:line="280" w:lineRule="exact"/>
        <w:outlineLvl w:val="3"/>
        <w:rPr>
          <w:rFonts w:ascii="宋体" w:eastAsia="宋体" w:hAnsi="宋体" w:cs="宋体"/>
          <w:b/>
          <w:bCs/>
          <w:szCs w:val="21"/>
        </w:rPr>
      </w:pPr>
      <w:bookmarkStart w:id="354" w:name="_Toc989351"/>
      <w:r>
        <w:rPr>
          <w:rFonts w:ascii="宋体" w:eastAsia="宋体" w:hAnsi="宋体" w:cs="宋体"/>
          <w:b/>
          <w:bCs/>
          <w:szCs w:val="21"/>
        </w:rPr>
        <w:t>（1） 非货币性资产交换</w:t>
      </w:r>
      <w:bookmarkEnd w:id="354"/>
    </w:p>
    <w:p w:rsidR="00E62F69" w:rsidRDefault="00B54A20">
      <w:pPr>
        <w:keepNext/>
        <w:keepLines/>
        <w:spacing w:before="300" w:after="300" w:line="280" w:lineRule="exact"/>
        <w:outlineLvl w:val="3"/>
        <w:rPr>
          <w:rFonts w:ascii="宋体" w:eastAsia="宋体" w:hAnsi="宋体" w:cs="宋体"/>
          <w:b/>
          <w:bCs/>
          <w:szCs w:val="21"/>
        </w:rPr>
      </w:pPr>
      <w:bookmarkStart w:id="355" w:name="_Toc989352"/>
      <w:r>
        <w:rPr>
          <w:rFonts w:ascii="宋体" w:eastAsia="宋体" w:hAnsi="宋体" w:cs="宋体"/>
          <w:b/>
          <w:bCs/>
          <w:szCs w:val="21"/>
        </w:rPr>
        <w:t>（2） 其他资产置换</w:t>
      </w:r>
      <w:bookmarkEnd w:id="355"/>
    </w:p>
    <w:p w:rsidR="00E62F69" w:rsidRDefault="00B54A20">
      <w:pPr>
        <w:pStyle w:val="3"/>
        <w:spacing w:line="280" w:lineRule="exact"/>
        <w:jc w:val="left"/>
        <w:rPr>
          <w:rFonts w:ascii="宋体" w:hAnsi="宋体" w:cs="宋体"/>
          <w:b/>
          <w:bCs/>
        </w:rPr>
      </w:pPr>
      <w:bookmarkStart w:id="356" w:name="_Toc989353"/>
      <w:r>
        <w:rPr>
          <w:rFonts w:ascii="宋体" w:hAnsi="宋体" w:cs="宋体"/>
          <w:b/>
          <w:bCs/>
        </w:rPr>
        <w:t>4、年金计划</w:t>
      </w:r>
      <w:bookmarkEnd w:id="356"/>
    </w:p>
    <w:p w:rsidR="00E62F69" w:rsidRDefault="00B54A20">
      <w:pPr>
        <w:pStyle w:val="3"/>
        <w:spacing w:line="280" w:lineRule="exact"/>
        <w:jc w:val="left"/>
        <w:rPr>
          <w:rFonts w:ascii="宋体" w:hAnsi="宋体" w:cs="宋体"/>
          <w:b/>
          <w:bCs/>
        </w:rPr>
      </w:pPr>
      <w:bookmarkStart w:id="357" w:name="_Toc989354"/>
      <w:r>
        <w:rPr>
          <w:rFonts w:ascii="宋体" w:hAnsi="宋体" w:cs="宋体"/>
          <w:b/>
          <w:bCs/>
        </w:rPr>
        <w:t>5、终止经营</w:t>
      </w:r>
      <w:bookmarkEnd w:id="357"/>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358" w:name="_Toc989355"/>
      <w:r>
        <w:rPr>
          <w:rFonts w:ascii="宋体" w:hAnsi="宋体" w:cs="宋体"/>
          <w:b/>
          <w:bCs/>
        </w:rPr>
        <w:t>6、分部信息</w:t>
      </w:r>
      <w:bookmarkEnd w:id="358"/>
    </w:p>
    <w:p w:rsidR="00E62F69" w:rsidRDefault="00B54A20">
      <w:pPr>
        <w:keepNext/>
        <w:keepLines/>
        <w:spacing w:before="300" w:after="300" w:line="280" w:lineRule="exact"/>
        <w:outlineLvl w:val="3"/>
        <w:rPr>
          <w:rFonts w:ascii="宋体" w:eastAsia="宋体" w:hAnsi="宋体" w:cs="宋体"/>
          <w:b/>
          <w:bCs/>
          <w:szCs w:val="21"/>
        </w:rPr>
      </w:pPr>
      <w:bookmarkStart w:id="359" w:name="_Toc989356"/>
      <w:r>
        <w:rPr>
          <w:rFonts w:ascii="宋体" w:eastAsia="宋体" w:hAnsi="宋体" w:cs="宋体"/>
          <w:b/>
          <w:bCs/>
          <w:szCs w:val="21"/>
        </w:rPr>
        <w:t>（1） 报告分部的确定依据与会计政策</w:t>
      </w:r>
      <w:bookmarkEnd w:id="359"/>
    </w:p>
    <w:p w:rsidR="00762F0F" w:rsidRPr="00762F0F" w:rsidRDefault="00762F0F" w:rsidP="00762F0F">
      <w:pPr>
        <w:keepNext/>
        <w:keepLines/>
        <w:spacing w:before="300" w:after="300" w:line="280" w:lineRule="exact"/>
        <w:outlineLvl w:val="3"/>
        <w:rPr>
          <w:rFonts w:ascii="宋体" w:eastAsia="宋体" w:hAnsi="宋体" w:cs="宋体"/>
          <w:sz w:val="18"/>
          <w:szCs w:val="18"/>
        </w:rPr>
      </w:pPr>
      <w:r w:rsidRPr="00762F0F">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60" w:name="_Toc989357"/>
      <w:r>
        <w:rPr>
          <w:rFonts w:ascii="宋体" w:eastAsia="宋体" w:hAnsi="宋体" w:cs="宋体"/>
          <w:b/>
          <w:bCs/>
          <w:szCs w:val="21"/>
        </w:rPr>
        <w:t>（2） 报告分部的财务信息</w:t>
      </w:r>
      <w:bookmarkEnd w:id="360"/>
    </w:p>
    <w:p w:rsidR="00762F0F" w:rsidRPr="00762F0F" w:rsidRDefault="00762F0F" w:rsidP="00762F0F">
      <w:pPr>
        <w:keepNext/>
        <w:keepLines/>
        <w:spacing w:before="300" w:after="300" w:line="280" w:lineRule="exact"/>
        <w:outlineLvl w:val="3"/>
        <w:rPr>
          <w:rFonts w:ascii="宋体" w:eastAsia="宋体" w:hAnsi="宋体" w:cs="宋体"/>
          <w:sz w:val="18"/>
          <w:szCs w:val="18"/>
        </w:rPr>
      </w:pPr>
      <w:r w:rsidRPr="00762F0F">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61" w:name="_Toc989358"/>
      <w:r>
        <w:rPr>
          <w:rFonts w:ascii="宋体" w:eastAsia="宋体" w:hAnsi="宋体" w:cs="宋体"/>
          <w:b/>
          <w:bCs/>
          <w:szCs w:val="21"/>
        </w:rPr>
        <w:t>（3） 公司</w:t>
      </w:r>
      <w:proofErr w:type="gramStart"/>
      <w:r>
        <w:rPr>
          <w:rFonts w:ascii="宋体" w:eastAsia="宋体" w:hAnsi="宋体" w:cs="宋体"/>
          <w:b/>
          <w:bCs/>
          <w:szCs w:val="21"/>
        </w:rPr>
        <w:t>无报告</w:t>
      </w:r>
      <w:proofErr w:type="gramEnd"/>
      <w:r>
        <w:rPr>
          <w:rFonts w:ascii="宋体" w:eastAsia="宋体" w:hAnsi="宋体" w:cs="宋体"/>
          <w:b/>
          <w:bCs/>
          <w:szCs w:val="21"/>
        </w:rPr>
        <w:t>分部的，或者不能披露各报告分部的资产总额和负债总额的，应说明原因</w:t>
      </w:r>
      <w:bookmarkEnd w:id="361"/>
    </w:p>
    <w:p w:rsidR="00762F0F" w:rsidRPr="00762F0F" w:rsidRDefault="00762F0F" w:rsidP="00762F0F">
      <w:pPr>
        <w:keepNext/>
        <w:keepLines/>
        <w:spacing w:before="300" w:after="300" w:line="280" w:lineRule="exact"/>
        <w:outlineLvl w:val="3"/>
        <w:divId w:val="818309038"/>
        <w:rPr>
          <w:rFonts w:ascii="宋体" w:eastAsia="宋体" w:hAnsi="宋体" w:cs="宋体"/>
          <w:sz w:val="18"/>
          <w:szCs w:val="18"/>
        </w:rPr>
      </w:pPr>
      <w:r w:rsidRPr="00762F0F">
        <w:rPr>
          <w:rFonts w:ascii="宋体" w:eastAsia="宋体" w:hAnsi="宋体" w:cs="宋体"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62" w:name="_Toc989359"/>
      <w:r>
        <w:rPr>
          <w:rFonts w:ascii="宋体" w:eastAsia="宋体" w:hAnsi="宋体" w:cs="宋体"/>
          <w:b/>
          <w:bCs/>
          <w:szCs w:val="21"/>
        </w:rPr>
        <w:t>（4） 其他说明</w:t>
      </w:r>
      <w:bookmarkEnd w:id="362"/>
    </w:p>
    <w:p w:rsidR="00762F0F" w:rsidRPr="00762F0F" w:rsidRDefault="00762F0F" w:rsidP="00762F0F">
      <w:pPr>
        <w:keepNext/>
        <w:keepLines/>
        <w:spacing w:before="300" w:after="300" w:line="280" w:lineRule="exact"/>
        <w:outlineLvl w:val="3"/>
        <w:divId w:val="405344764"/>
        <w:rPr>
          <w:rFonts w:ascii="宋体" w:eastAsia="宋体" w:hAnsi="宋体" w:cs="宋体"/>
          <w:sz w:val="18"/>
          <w:szCs w:val="18"/>
        </w:rPr>
      </w:pPr>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363" w:name="_Toc989360"/>
      <w:r>
        <w:rPr>
          <w:rFonts w:ascii="宋体" w:hAnsi="宋体" w:cs="宋体"/>
          <w:b/>
          <w:bCs/>
        </w:rPr>
        <w:t>7、其他对投资者决策有影响的重要交易和事项</w:t>
      </w:r>
      <w:bookmarkEnd w:id="363"/>
    </w:p>
    <w:p w:rsidR="00762F0F" w:rsidRPr="00762F0F" w:rsidRDefault="00762F0F" w:rsidP="00762F0F">
      <w:pPr>
        <w:keepNext/>
        <w:keepLines/>
        <w:spacing w:before="300" w:after="300" w:line="280" w:lineRule="exact"/>
        <w:outlineLvl w:val="3"/>
        <w:divId w:val="63989343"/>
        <w:rPr>
          <w:rFonts w:ascii="宋体" w:eastAsia="宋体" w:hAnsi="宋体" w:cs="宋体"/>
          <w:sz w:val="18"/>
          <w:szCs w:val="18"/>
        </w:rPr>
      </w:pPr>
      <w:r w:rsidRPr="00762F0F">
        <w:rPr>
          <w:rFonts w:ascii="宋体" w:eastAsia="宋体" w:hAnsi="宋体" w:cs="宋体" w:hint="eastAsia"/>
          <w:sz w:val="18"/>
          <w:szCs w:val="18"/>
        </w:rPr>
        <w:t>无</w:t>
      </w:r>
    </w:p>
    <w:p w:rsidR="00E62F69" w:rsidRDefault="00B54A20">
      <w:pPr>
        <w:pStyle w:val="3"/>
        <w:spacing w:line="280" w:lineRule="exact"/>
        <w:jc w:val="left"/>
        <w:rPr>
          <w:rFonts w:ascii="宋体" w:hAnsi="宋体" w:cs="宋体"/>
          <w:b/>
          <w:bCs/>
        </w:rPr>
      </w:pPr>
      <w:bookmarkStart w:id="364" w:name="_Toc989361"/>
      <w:r>
        <w:rPr>
          <w:rFonts w:ascii="宋体" w:hAnsi="宋体" w:cs="宋体"/>
          <w:b/>
          <w:bCs/>
        </w:rPr>
        <w:t>8、其他</w:t>
      </w:r>
      <w:bookmarkEnd w:id="364"/>
    </w:p>
    <w:p w:rsidR="00B54A20" w:rsidRDefault="00762F0F">
      <w:pPr>
        <w:divId w:val="2027248239"/>
        <w:rPr>
          <w:sz w:val="18"/>
          <w:szCs w:val="18"/>
        </w:rPr>
      </w:pPr>
      <w:r>
        <w:rPr>
          <w:rFonts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65" w:name="_Toc989362"/>
      <w:r>
        <w:rPr>
          <w:rFonts w:ascii="宋体" w:eastAsia="宋体" w:hAnsi="宋体" w:cs="宋体"/>
          <w:b/>
          <w:bCs/>
          <w:sz w:val="24"/>
          <w:szCs w:val="24"/>
        </w:rPr>
        <w:t>十七、母公司财务报表主要项目注释</w:t>
      </w:r>
      <w:bookmarkEnd w:id="365"/>
    </w:p>
    <w:p w:rsidR="00E62F69" w:rsidRDefault="00B54A20">
      <w:pPr>
        <w:pStyle w:val="3"/>
        <w:spacing w:line="280" w:lineRule="exact"/>
        <w:jc w:val="left"/>
        <w:rPr>
          <w:rFonts w:ascii="宋体" w:hAnsi="宋体" w:cs="宋体"/>
          <w:b/>
          <w:bCs/>
        </w:rPr>
      </w:pPr>
      <w:bookmarkStart w:id="366" w:name="_Toc989363"/>
      <w:r>
        <w:rPr>
          <w:rFonts w:ascii="宋体" w:hAnsi="宋体" w:cs="宋体"/>
          <w:b/>
          <w:bCs/>
        </w:rPr>
        <w:t>1、应收账款</w:t>
      </w:r>
      <w:bookmarkEnd w:id="366"/>
    </w:p>
    <w:p w:rsidR="00E62F69" w:rsidRDefault="00B54A20">
      <w:pPr>
        <w:keepNext/>
        <w:keepLines/>
        <w:spacing w:before="300" w:after="300" w:line="280" w:lineRule="exact"/>
        <w:outlineLvl w:val="3"/>
        <w:rPr>
          <w:rFonts w:ascii="宋体" w:eastAsia="宋体" w:hAnsi="宋体" w:cs="宋体"/>
          <w:b/>
          <w:bCs/>
          <w:szCs w:val="21"/>
        </w:rPr>
      </w:pPr>
      <w:bookmarkStart w:id="367" w:name="_Toc989364"/>
      <w:r>
        <w:rPr>
          <w:rFonts w:ascii="宋体" w:eastAsia="宋体" w:hAnsi="宋体" w:cs="宋体"/>
          <w:b/>
          <w:bCs/>
          <w:szCs w:val="21"/>
        </w:rPr>
        <w:t>（1） 应收账款分类披露</w:t>
      </w:r>
      <w:bookmarkEnd w:id="36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E62F69">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762F0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148,572,874.26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148,484,296.90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762F0F">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1,682,969.88</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107,967.82</w:t>
            </w:r>
          </w:p>
        </w:tc>
      </w:tr>
      <w:tr w:rsidR="00E62F69">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性质组合</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146,801,327.02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99.00%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146,801,327.02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148,572,874.26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148,484,296.90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113,650.34</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c>
          <w:tcPr>
            <w:tcW w:w="87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107,967.82</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proofErr w:type="gramStart"/>
      <w:r>
        <w:rPr>
          <w:rFonts w:ascii="宋体" w:eastAsia="宋体" w:hAnsi="宋体" w:cs="宋体"/>
          <w:sz w:val="18"/>
          <w:szCs w:val="18"/>
        </w:rPr>
        <w:t>账</w:t>
      </w:r>
      <w:proofErr w:type="gramEnd"/>
      <w:r>
        <w:rPr>
          <w:rFonts w:ascii="宋体" w:eastAsia="宋体" w:hAnsi="宋体" w:cs="宋体"/>
          <w:sz w:val="18"/>
          <w:szCs w:val="18"/>
        </w:rPr>
        <w:t>龄组合</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B54A20" w:rsidRPr="00762F0F" w:rsidRDefault="00B54A20" w:rsidP="00762F0F">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r>
        <w:rPr>
          <w:rFonts w:hint="eastAsia"/>
          <w:sz w:val="18"/>
          <w:szCs w:val="18"/>
        </w:rPr>
        <w:t>无。</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148,572,874.26</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148,572,874.26</w:t>
            </w:r>
          </w:p>
        </w:tc>
      </w:tr>
    </w:tbl>
    <w:p w:rsidR="00E62F69" w:rsidRDefault="00B54A20">
      <w:pPr>
        <w:keepNext/>
        <w:keepLines/>
        <w:spacing w:before="300" w:after="300" w:line="280" w:lineRule="exact"/>
        <w:outlineLvl w:val="3"/>
        <w:rPr>
          <w:rFonts w:ascii="宋体" w:eastAsia="宋体" w:hAnsi="宋体" w:cs="宋体"/>
          <w:b/>
          <w:bCs/>
          <w:szCs w:val="21"/>
        </w:rPr>
      </w:pPr>
      <w:bookmarkStart w:id="368" w:name="_Toc989365"/>
      <w:r>
        <w:rPr>
          <w:rFonts w:ascii="宋体" w:eastAsia="宋体" w:hAnsi="宋体" w:cs="宋体"/>
          <w:b/>
          <w:bCs/>
          <w:szCs w:val="21"/>
        </w:rPr>
        <w:t>（2） 本期计提、收回或转回的坏账准备情况</w:t>
      </w:r>
      <w:bookmarkEnd w:id="368"/>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969F3">
            <w:pPr>
              <w:spacing w:line="240" w:lineRule="exact"/>
              <w:jc w:val="right"/>
              <w:rPr>
                <w:rFonts w:ascii="宋体" w:eastAsia="宋体" w:hAnsi="宋体" w:cs="宋体"/>
                <w:sz w:val="18"/>
                <w:szCs w:val="18"/>
              </w:rPr>
            </w:pPr>
            <w:r>
              <w:rPr>
                <w:rFonts w:ascii="宋体" w:eastAsia="宋体" w:hAnsi="宋体" w:cs="宋体" w:hint="eastAsia"/>
                <w:sz w:val="18"/>
                <w:szCs w:val="18"/>
              </w:rPr>
              <w:t>82,894.84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r>
      <w:tr w:rsidR="00B969F3">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969F3" w:rsidRDefault="00B969F3">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B969F3" w:rsidRDefault="00B969F3">
            <w:pPr>
              <w:spacing w:line="240" w:lineRule="exact"/>
              <w:jc w:val="right"/>
              <w:rPr>
                <w:rFonts w:ascii="宋体" w:eastAsia="宋体" w:hAnsi="宋体" w:cs="宋体"/>
                <w:sz w:val="18"/>
                <w:szCs w:val="18"/>
              </w:rPr>
            </w:pPr>
            <w:r>
              <w:rPr>
                <w:rFonts w:ascii="宋体" w:eastAsia="宋体" w:hAnsi="宋体" w:cs="宋体"/>
                <w:sz w:val="18"/>
                <w:szCs w:val="18"/>
              </w:rPr>
              <w:t>5,682.52</w:t>
            </w:r>
          </w:p>
        </w:tc>
        <w:tc>
          <w:tcPr>
            <w:tcW w:w="1377" w:type="dxa"/>
            <w:tcBorders>
              <w:top w:val="single" w:sz="2" w:space="0" w:color="auto"/>
              <w:left w:val="single" w:sz="2" w:space="0" w:color="auto"/>
              <w:bottom w:val="single" w:sz="2" w:space="0" w:color="auto"/>
              <w:right w:val="single" w:sz="2" w:space="0" w:color="auto"/>
            </w:tcBorders>
            <w:vAlign w:val="center"/>
          </w:tcPr>
          <w:p w:rsidR="00B969F3" w:rsidRDefault="00B969F3" w:rsidP="00587D85">
            <w:pPr>
              <w:spacing w:line="240" w:lineRule="exact"/>
              <w:jc w:val="right"/>
              <w:rPr>
                <w:rFonts w:ascii="宋体" w:eastAsia="宋体" w:hAnsi="宋体" w:cs="宋体"/>
                <w:sz w:val="18"/>
                <w:szCs w:val="18"/>
              </w:rPr>
            </w:pPr>
            <w:r>
              <w:rPr>
                <w:rFonts w:ascii="宋体" w:eastAsia="宋体" w:hAnsi="宋体" w:cs="宋体" w:hint="eastAsia"/>
                <w:sz w:val="18"/>
                <w:szCs w:val="18"/>
              </w:rPr>
              <w:t>82,894.84</w:t>
            </w:r>
          </w:p>
        </w:tc>
        <w:tc>
          <w:tcPr>
            <w:tcW w:w="1377" w:type="dxa"/>
            <w:tcBorders>
              <w:top w:val="single" w:sz="2" w:space="0" w:color="auto"/>
              <w:left w:val="single" w:sz="2" w:space="0" w:color="auto"/>
              <w:bottom w:val="single" w:sz="2" w:space="0" w:color="auto"/>
              <w:right w:val="single" w:sz="2" w:space="0" w:color="auto"/>
            </w:tcBorders>
            <w:vAlign w:val="center"/>
          </w:tcPr>
          <w:p w:rsidR="00B969F3" w:rsidRDefault="00B969F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969F3" w:rsidRDefault="00B969F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969F3" w:rsidRDefault="00B969F3">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969F3" w:rsidRDefault="00B969F3">
            <w:pPr>
              <w:spacing w:line="240" w:lineRule="exact"/>
              <w:jc w:val="right"/>
              <w:rPr>
                <w:rFonts w:ascii="宋体" w:eastAsia="宋体" w:hAnsi="宋体" w:cs="宋体"/>
                <w:sz w:val="18"/>
                <w:szCs w:val="18"/>
              </w:rPr>
            </w:pPr>
            <w:r>
              <w:rPr>
                <w:rFonts w:ascii="宋体" w:eastAsia="宋体" w:hAnsi="宋体" w:cs="宋体"/>
                <w:sz w:val="18"/>
                <w:szCs w:val="18"/>
              </w:rPr>
              <w:t>88,577.36</w:t>
            </w:r>
          </w:p>
        </w:tc>
      </w:tr>
    </w:tbl>
    <w:p w:rsidR="00E62F69" w:rsidRDefault="00B54A20">
      <w:pPr>
        <w:keepNext/>
        <w:keepLines/>
        <w:spacing w:before="300" w:after="300" w:line="280" w:lineRule="exact"/>
        <w:outlineLvl w:val="3"/>
        <w:rPr>
          <w:rFonts w:ascii="宋体" w:eastAsia="宋体" w:hAnsi="宋体" w:cs="宋体"/>
          <w:b/>
          <w:bCs/>
          <w:szCs w:val="21"/>
        </w:rPr>
      </w:pPr>
      <w:bookmarkStart w:id="369" w:name="_Toc989366"/>
      <w:r>
        <w:rPr>
          <w:rFonts w:ascii="宋体" w:eastAsia="宋体" w:hAnsi="宋体" w:cs="宋体"/>
          <w:b/>
          <w:bCs/>
          <w:szCs w:val="21"/>
        </w:rPr>
        <w:t>（3） 本期实际核销的应收账款情</w:t>
      </w:r>
      <w:bookmarkStart w:id="370" w:name="_GoBack"/>
      <w:bookmarkEnd w:id="370"/>
      <w:r>
        <w:rPr>
          <w:rFonts w:ascii="宋体" w:eastAsia="宋体" w:hAnsi="宋体" w:cs="宋体"/>
          <w:b/>
          <w:bCs/>
          <w:szCs w:val="21"/>
        </w:rPr>
        <w:t>况</w:t>
      </w:r>
      <w:bookmarkEnd w:id="369"/>
    </w:p>
    <w:p w:rsidR="00B54A20" w:rsidRPr="00762F0F" w:rsidRDefault="00B54A20" w:rsidP="00762F0F">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71" w:name="_Toc989367"/>
      <w:r>
        <w:rPr>
          <w:rFonts w:ascii="宋体" w:eastAsia="宋体" w:hAnsi="宋体" w:cs="宋体"/>
          <w:b/>
          <w:bCs/>
          <w:szCs w:val="21"/>
        </w:rPr>
        <w:t>（4） 按欠款方归集的期末余额前五名的应收账款情况</w:t>
      </w:r>
      <w:bookmarkEnd w:id="37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第一名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86,774,451.73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58.00%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第二名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57,696,051.21</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第三名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2,330,824.08</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第四名</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1,771,547.24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88,577.36</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148,572,874.26</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bl>
    <w:p w:rsidR="00E62F69" w:rsidRDefault="00B54A20">
      <w:pPr>
        <w:keepNext/>
        <w:keepLines/>
        <w:spacing w:before="300" w:after="300" w:line="280" w:lineRule="exact"/>
        <w:outlineLvl w:val="3"/>
        <w:rPr>
          <w:rFonts w:ascii="宋体" w:eastAsia="宋体" w:hAnsi="宋体" w:cs="宋体"/>
          <w:b/>
          <w:bCs/>
          <w:szCs w:val="21"/>
        </w:rPr>
      </w:pPr>
      <w:bookmarkStart w:id="372" w:name="_Toc989368"/>
      <w:r>
        <w:rPr>
          <w:rFonts w:ascii="宋体" w:eastAsia="宋体" w:hAnsi="宋体" w:cs="宋体"/>
          <w:b/>
          <w:bCs/>
          <w:szCs w:val="21"/>
        </w:rPr>
        <w:t>（5） 因金融资产转移而终止确认的应收账款</w:t>
      </w:r>
      <w:bookmarkEnd w:id="372"/>
    </w:p>
    <w:p w:rsidR="00B54A20" w:rsidRDefault="00B54A20">
      <w:pPr>
        <w:pStyle w:val="a3"/>
        <w:divId w:val="628709742"/>
        <w:rPr>
          <w:sz w:val="18"/>
          <w:szCs w:val="18"/>
        </w:rPr>
      </w:pP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bookmarkStart w:id="373" w:name="_Toc989369"/>
      <w:r>
        <w:rPr>
          <w:rFonts w:ascii="宋体" w:eastAsia="宋体" w:hAnsi="宋体" w:cs="宋体"/>
          <w:b/>
          <w:bCs/>
          <w:szCs w:val="21"/>
        </w:rPr>
        <w:t>（6） 转移应收</w:t>
      </w:r>
      <w:proofErr w:type="gramStart"/>
      <w:r>
        <w:rPr>
          <w:rFonts w:ascii="宋体" w:eastAsia="宋体" w:hAnsi="宋体" w:cs="宋体"/>
          <w:b/>
          <w:bCs/>
          <w:szCs w:val="21"/>
        </w:rPr>
        <w:t>账款且</w:t>
      </w:r>
      <w:proofErr w:type="gramEnd"/>
      <w:r>
        <w:rPr>
          <w:rFonts w:ascii="宋体" w:eastAsia="宋体" w:hAnsi="宋体" w:cs="宋体"/>
          <w:b/>
          <w:bCs/>
          <w:szCs w:val="21"/>
        </w:rPr>
        <w:t>继续涉</w:t>
      </w:r>
      <w:proofErr w:type="gramStart"/>
      <w:r>
        <w:rPr>
          <w:rFonts w:ascii="宋体" w:eastAsia="宋体" w:hAnsi="宋体" w:cs="宋体"/>
          <w:b/>
          <w:bCs/>
          <w:szCs w:val="21"/>
        </w:rPr>
        <w:t>入形成</w:t>
      </w:r>
      <w:proofErr w:type="gramEnd"/>
      <w:r>
        <w:rPr>
          <w:rFonts w:ascii="宋体" w:eastAsia="宋体" w:hAnsi="宋体" w:cs="宋体"/>
          <w:b/>
          <w:bCs/>
          <w:szCs w:val="21"/>
        </w:rPr>
        <w:t>的资产、负债金额</w:t>
      </w:r>
      <w:bookmarkEnd w:id="373"/>
    </w:p>
    <w:p w:rsidR="00B54A20" w:rsidRDefault="00B54A20">
      <w:pPr>
        <w:pStyle w:val="a3"/>
        <w:divId w:val="1965041536"/>
        <w:rPr>
          <w:sz w:val="18"/>
          <w:szCs w:val="18"/>
        </w:rPr>
      </w:pPr>
      <w:r>
        <w:rPr>
          <w:rFonts w:hint="eastAsia"/>
          <w:sz w:val="18"/>
          <w:szCs w:val="18"/>
        </w:rPr>
        <w:t>无。</w:t>
      </w:r>
    </w:p>
    <w:p w:rsidR="00B54A20" w:rsidRPr="00762F0F" w:rsidRDefault="00B54A20" w:rsidP="00762F0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374" w:name="_Toc989370"/>
      <w:r>
        <w:rPr>
          <w:rFonts w:ascii="宋体" w:hAnsi="宋体" w:cs="宋体"/>
          <w:b/>
          <w:bCs/>
        </w:rPr>
        <w:t>2、其他应收款</w:t>
      </w:r>
      <w:bookmarkEnd w:id="37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20,581,720.51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186,936,582.08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207,518,302.59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163,704,476.95</w:t>
            </w:r>
          </w:p>
        </w:tc>
      </w:tr>
    </w:tbl>
    <w:p w:rsidR="00E62F69" w:rsidRDefault="00B54A20">
      <w:pPr>
        <w:keepNext/>
        <w:keepLines/>
        <w:spacing w:before="300" w:after="300" w:line="280" w:lineRule="exact"/>
        <w:outlineLvl w:val="3"/>
        <w:rPr>
          <w:rFonts w:ascii="宋体" w:eastAsia="宋体" w:hAnsi="宋体" w:cs="宋体"/>
          <w:b/>
          <w:bCs/>
          <w:sz w:val="18"/>
          <w:szCs w:val="18"/>
        </w:rPr>
      </w:pPr>
      <w:bookmarkStart w:id="375" w:name="_Toc989371"/>
      <w:r>
        <w:rPr>
          <w:rFonts w:ascii="宋体" w:eastAsia="宋体" w:hAnsi="宋体" w:cs="宋体"/>
          <w:b/>
          <w:bCs/>
          <w:sz w:val="18"/>
          <w:szCs w:val="18"/>
        </w:rPr>
        <w:t>（1） 应收利息</w:t>
      </w:r>
      <w:bookmarkEnd w:id="375"/>
    </w:p>
    <w:p w:rsidR="00E62F69" w:rsidRDefault="00B54A20">
      <w:pPr>
        <w:keepNext/>
        <w:keepLines/>
        <w:spacing w:before="300" w:after="300" w:line="280" w:lineRule="exact"/>
        <w:outlineLvl w:val="4"/>
        <w:rPr>
          <w:rFonts w:ascii="宋体" w:eastAsia="宋体" w:hAnsi="宋体" w:cs="宋体"/>
          <w:b/>
          <w:bCs/>
          <w:sz w:val="18"/>
          <w:szCs w:val="18"/>
        </w:rPr>
      </w:pPr>
      <w:bookmarkStart w:id="376" w:name="_Toc989372"/>
      <w:r>
        <w:rPr>
          <w:rFonts w:ascii="宋体" w:eastAsia="宋体" w:hAnsi="宋体" w:cs="宋体"/>
          <w:b/>
          <w:bCs/>
          <w:sz w:val="18"/>
          <w:szCs w:val="18"/>
        </w:rPr>
        <w:t>1） 应收利息分类</w:t>
      </w:r>
      <w:bookmarkEnd w:id="376"/>
    </w:p>
    <w:p w:rsidR="00762F0F" w:rsidRDefault="00762F0F">
      <w:pPr>
        <w:keepNext/>
        <w:keepLines/>
        <w:spacing w:before="300" w:after="300" w:line="280" w:lineRule="exact"/>
        <w:outlineLvl w:val="4"/>
        <w:rPr>
          <w:rFonts w:ascii="宋体" w:eastAsia="宋体" w:hAnsi="宋体" w:cs="宋体"/>
          <w:sz w:val="18"/>
          <w:szCs w:val="18"/>
        </w:rPr>
      </w:pPr>
      <w:bookmarkStart w:id="377" w:name="_Toc989373"/>
      <w:r>
        <w:rPr>
          <w:rFonts w:ascii="宋体" w:eastAsia="宋体" w:hAnsi="宋体" w:cs="宋体" w:hint="eastAsia"/>
          <w:sz w:val="18"/>
          <w:szCs w:val="18"/>
        </w:rPr>
        <w:t>无。</w:t>
      </w:r>
    </w:p>
    <w:p w:rsidR="00E62F69" w:rsidRDefault="00B54A20">
      <w:pPr>
        <w:keepNext/>
        <w:keepLines/>
        <w:spacing w:before="300" w:after="300" w:line="280" w:lineRule="exact"/>
        <w:outlineLvl w:val="4"/>
        <w:rPr>
          <w:rFonts w:ascii="宋体" w:eastAsia="宋体" w:hAnsi="宋体" w:cs="宋体"/>
          <w:b/>
          <w:bCs/>
          <w:sz w:val="18"/>
          <w:szCs w:val="18"/>
        </w:rPr>
      </w:pPr>
      <w:r>
        <w:rPr>
          <w:rFonts w:ascii="宋体" w:eastAsia="宋体" w:hAnsi="宋体" w:cs="宋体"/>
          <w:b/>
          <w:bCs/>
          <w:sz w:val="18"/>
          <w:szCs w:val="18"/>
        </w:rPr>
        <w:t>2） 重要逾期利息</w:t>
      </w:r>
      <w:bookmarkEnd w:id="377"/>
    </w:p>
    <w:p w:rsidR="00B54A20" w:rsidRPr="00762F0F" w:rsidRDefault="00B54A20" w:rsidP="00762F0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 w:val="18"/>
          <w:szCs w:val="18"/>
        </w:rPr>
      </w:pPr>
      <w:bookmarkStart w:id="378" w:name="_Toc989374"/>
      <w:r>
        <w:rPr>
          <w:rFonts w:ascii="宋体" w:eastAsia="宋体" w:hAnsi="宋体" w:cs="宋体"/>
          <w:b/>
          <w:bCs/>
          <w:sz w:val="18"/>
          <w:szCs w:val="18"/>
        </w:rPr>
        <w:t>3） 坏账准备计提情况</w:t>
      </w:r>
      <w:bookmarkEnd w:id="378"/>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 w:val="18"/>
          <w:szCs w:val="18"/>
        </w:rPr>
      </w:pPr>
      <w:bookmarkStart w:id="379" w:name="_Toc989375"/>
      <w:r>
        <w:rPr>
          <w:rFonts w:ascii="宋体" w:eastAsia="宋体" w:hAnsi="宋体" w:cs="宋体"/>
          <w:b/>
          <w:bCs/>
          <w:sz w:val="18"/>
          <w:szCs w:val="18"/>
        </w:rPr>
        <w:t>（2） 应收股利</w:t>
      </w:r>
      <w:bookmarkEnd w:id="379"/>
    </w:p>
    <w:p w:rsidR="00E62F69" w:rsidRDefault="00B54A20">
      <w:pPr>
        <w:keepNext/>
        <w:keepLines/>
        <w:spacing w:before="300" w:after="300" w:line="280" w:lineRule="exact"/>
        <w:outlineLvl w:val="4"/>
        <w:rPr>
          <w:rFonts w:ascii="宋体" w:eastAsia="宋体" w:hAnsi="宋体" w:cs="宋体"/>
          <w:b/>
          <w:bCs/>
          <w:sz w:val="18"/>
          <w:szCs w:val="18"/>
        </w:rPr>
      </w:pPr>
      <w:bookmarkStart w:id="380" w:name="_Toc989376"/>
      <w:r>
        <w:rPr>
          <w:rFonts w:ascii="宋体" w:eastAsia="宋体" w:hAnsi="宋体" w:cs="宋体"/>
          <w:b/>
          <w:bCs/>
          <w:sz w:val="18"/>
          <w:szCs w:val="18"/>
        </w:rPr>
        <w:t>1） 应收股利分类</w:t>
      </w:r>
      <w:bookmarkEnd w:id="380"/>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789,895.16</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19,791,825.35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20,581,720.51</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E62F69" w:rsidRDefault="00B54A20">
      <w:pPr>
        <w:keepNext/>
        <w:keepLines/>
        <w:spacing w:before="300" w:after="300" w:line="280" w:lineRule="exact"/>
        <w:outlineLvl w:val="4"/>
        <w:rPr>
          <w:rFonts w:ascii="宋体" w:eastAsia="宋体" w:hAnsi="宋体" w:cs="宋体"/>
          <w:b/>
          <w:bCs/>
          <w:sz w:val="18"/>
          <w:szCs w:val="18"/>
        </w:rPr>
      </w:pPr>
      <w:bookmarkStart w:id="381" w:name="_Toc989377"/>
      <w:r>
        <w:rPr>
          <w:rFonts w:ascii="宋体" w:eastAsia="宋体" w:hAnsi="宋体" w:cs="宋体"/>
          <w:b/>
          <w:bCs/>
          <w:sz w:val="18"/>
          <w:szCs w:val="18"/>
        </w:rPr>
        <w:t>2） 重要的账龄超过1年的应收股利</w:t>
      </w:r>
      <w:bookmarkEnd w:id="381"/>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未收回的原因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rsidR="00E62F69" w:rsidRDefault="00B54A20">
      <w:pPr>
        <w:keepNext/>
        <w:keepLines/>
        <w:spacing w:before="300" w:after="300" w:line="280" w:lineRule="exact"/>
        <w:outlineLvl w:val="4"/>
        <w:rPr>
          <w:rFonts w:ascii="宋体" w:eastAsia="宋体" w:hAnsi="宋体" w:cs="宋体"/>
          <w:b/>
          <w:bCs/>
          <w:sz w:val="18"/>
          <w:szCs w:val="18"/>
        </w:rPr>
      </w:pPr>
      <w:bookmarkStart w:id="382" w:name="_Toc989378"/>
      <w:r>
        <w:rPr>
          <w:rFonts w:ascii="宋体" w:eastAsia="宋体" w:hAnsi="宋体" w:cs="宋体"/>
          <w:b/>
          <w:bCs/>
          <w:sz w:val="18"/>
          <w:szCs w:val="18"/>
        </w:rPr>
        <w:t>3） 坏账准备计提情况</w:t>
      </w:r>
      <w:bookmarkEnd w:id="382"/>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54A20" w:rsidRPr="00762F0F" w:rsidRDefault="00B54A20" w:rsidP="00762F0F">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 w:val="18"/>
          <w:szCs w:val="18"/>
        </w:rPr>
      </w:pPr>
      <w:bookmarkStart w:id="383" w:name="_Toc989379"/>
      <w:r>
        <w:rPr>
          <w:rFonts w:ascii="宋体" w:eastAsia="宋体" w:hAnsi="宋体" w:cs="宋体"/>
          <w:b/>
          <w:bCs/>
          <w:sz w:val="18"/>
          <w:szCs w:val="18"/>
        </w:rPr>
        <w:t>（3） 其他应收款</w:t>
      </w:r>
      <w:bookmarkEnd w:id="383"/>
    </w:p>
    <w:p w:rsidR="00E62F69" w:rsidRDefault="00B54A20">
      <w:pPr>
        <w:keepNext/>
        <w:keepLines/>
        <w:spacing w:before="300" w:after="300" w:line="280" w:lineRule="exact"/>
        <w:outlineLvl w:val="4"/>
        <w:rPr>
          <w:rFonts w:ascii="宋体" w:eastAsia="宋体" w:hAnsi="宋体" w:cs="宋体"/>
          <w:b/>
          <w:bCs/>
          <w:sz w:val="18"/>
          <w:szCs w:val="18"/>
        </w:rPr>
      </w:pPr>
      <w:bookmarkStart w:id="384" w:name="_Toc989380"/>
      <w:r>
        <w:rPr>
          <w:rFonts w:ascii="宋体" w:eastAsia="宋体" w:hAnsi="宋体" w:cs="宋体"/>
          <w:b/>
          <w:bCs/>
          <w:sz w:val="18"/>
          <w:szCs w:val="18"/>
        </w:rPr>
        <w:t>1） 其他应收款按款项性质分类情况</w:t>
      </w:r>
      <w:bookmarkEnd w:id="384"/>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暂借款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19,629,916.68</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21,369,916.68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员工借款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64,532.69</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132,580.03</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单位往来款</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172,513,726.95</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147,088,668.08</w:t>
            </w:r>
          </w:p>
        </w:tc>
      </w:tr>
      <w:tr w:rsidR="00E62F69">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192,208,176.32</w:t>
            </w:r>
          </w:p>
        </w:tc>
        <w:tc>
          <w:tcPr>
            <w:tcW w:w="321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168,591,164.79</w:t>
            </w:r>
          </w:p>
        </w:tc>
      </w:tr>
    </w:tbl>
    <w:p w:rsidR="00E62F69" w:rsidRDefault="00B54A20">
      <w:pPr>
        <w:keepNext/>
        <w:keepLines/>
        <w:spacing w:before="300" w:after="300" w:line="280" w:lineRule="exact"/>
        <w:outlineLvl w:val="4"/>
        <w:rPr>
          <w:rFonts w:ascii="宋体" w:eastAsia="宋体" w:hAnsi="宋体" w:cs="宋体"/>
          <w:b/>
          <w:bCs/>
          <w:sz w:val="18"/>
          <w:szCs w:val="18"/>
        </w:rPr>
      </w:pPr>
      <w:bookmarkStart w:id="385" w:name="_Toc989381"/>
      <w:r>
        <w:rPr>
          <w:rFonts w:ascii="宋体" w:eastAsia="宋体" w:hAnsi="宋体" w:cs="宋体"/>
          <w:b/>
          <w:bCs/>
          <w:sz w:val="18"/>
          <w:szCs w:val="18"/>
        </w:rPr>
        <w:t>2） 坏账准备计提情况</w:t>
      </w:r>
      <w:bookmarkEnd w:id="385"/>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4,886,687.84</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384,906.40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384,906.40</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2023年6月30日余额</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5,271,594.24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5,271,594.24</w:t>
            </w:r>
          </w:p>
        </w:tc>
      </w:tr>
    </w:tbl>
    <w:p w:rsidR="00E62F69" w:rsidRDefault="00B54A20">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4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155,478,028.45</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25,629,916.67</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10,031,541.20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1,068,690.00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rsidP="00762F0F">
            <w:pPr>
              <w:spacing w:before="40" w:after="40" w:line="240" w:lineRule="exact"/>
              <w:rPr>
                <w:rFonts w:ascii="宋体" w:eastAsia="宋体" w:hAnsi="宋体" w:cs="宋体"/>
                <w:sz w:val="18"/>
                <w:szCs w:val="18"/>
              </w:rPr>
            </w:pPr>
            <w:r>
              <w:rPr>
                <w:rFonts w:ascii="宋体" w:eastAsia="宋体" w:hAnsi="宋体" w:cs="宋体"/>
                <w:sz w:val="18"/>
                <w:szCs w:val="18"/>
              </w:rPr>
              <w:t>3至4年</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1,068,690.00</w:t>
            </w:r>
          </w:p>
        </w:tc>
      </w:tr>
      <w:tr w:rsidR="00E62F69">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192,208,176.32</w:t>
            </w:r>
          </w:p>
        </w:tc>
      </w:tr>
    </w:tbl>
    <w:p w:rsidR="00E62F69" w:rsidRDefault="00B54A20">
      <w:pPr>
        <w:keepNext/>
        <w:keepLines/>
        <w:spacing w:before="300" w:after="300" w:line="280" w:lineRule="exact"/>
        <w:outlineLvl w:val="4"/>
        <w:rPr>
          <w:rFonts w:ascii="宋体" w:eastAsia="宋体" w:hAnsi="宋体" w:cs="宋体"/>
          <w:b/>
          <w:bCs/>
          <w:sz w:val="18"/>
          <w:szCs w:val="18"/>
        </w:rPr>
      </w:pPr>
      <w:bookmarkStart w:id="386" w:name="_Toc989382"/>
      <w:r>
        <w:rPr>
          <w:rFonts w:ascii="宋体" w:eastAsia="宋体" w:hAnsi="宋体" w:cs="宋体"/>
          <w:b/>
          <w:bCs/>
          <w:sz w:val="18"/>
          <w:szCs w:val="18"/>
        </w:rPr>
        <w:t>3） 本期计提、收回或转回的坏账准备情况</w:t>
      </w:r>
      <w:bookmarkEnd w:id="386"/>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E62F6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预期信用风险组合</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384,906.40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5,271,594.24</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4,886,687.84</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384,906.40</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5,271,594.24</w:t>
            </w:r>
          </w:p>
        </w:tc>
      </w:tr>
    </w:tbl>
    <w:p w:rsidR="00B54A20" w:rsidRDefault="00B54A20">
      <w:pPr>
        <w:divId w:val="1440680685"/>
        <w:rPr>
          <w:sz w:val="18"/>
          <w:szCs w:val="18"/>
        </w:rPr>
      </w:pPr>
    </w:p>
    <w:p w:rsidR="00E62F69" w:rsidRDefault="00B54A20">
      <w:pPr>
        <w:spacing w:before="100" w:after="4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r w:rsidR="00762F0F">
        <w:rPr>
          <w:rFonts w:ascii="宋体" w:eastAsia="宋体" w:hAnsi="宋体" w:cs="宋体" w:hint="eastAsia"/>
          <w:sz w:val="18"/>
          <w:szCs w:val="18"/>
        </w:rPr>
        <w:t>无</w:t>
      </w:r>
    </w:p>
    <w:p w:rsidR="00E62F69" w:rsidRDefault="00B54A20">
      <w:pPr>
        <w:keepNext/>
        <w:keepLines/>
        <w:spacing w:before="300" w:after="300" w:line="280" w:lineRule="exact"/>
        <w:outlineLvl w:val="4"/>
        <w:rPr>
          <w:rFonts w:ascii="宋体" w:eastAsia="宋体" w:hAnsi="宋体" w:cs="宋体"/>
          <w:b/>
          <w:bCs/>
          <w:sz w:val="18"/>
          <w:szCs w:val="18"/>
        </w:rPr>
      </w:pPr>
      <w:bookmarkStart w:id="387" w:name="_Toc989383"/>
      <w:r>
        <w:rPr>
          <w:rFonts w:ascii="宋体" w:eastAsia="宋体" w:hAnsi="宋体" w:cs="宋体"/>
          <w:b/>
          <w:bCs/>
          <w:sz w:val="18"/>
          <w:szCs w:val="18"/>
        </w:rPr>
        <w:t>4） 本期实际核销的其他应收款情况</w:t>
      </w:r>
      <w:bookmarkEnd w:id="387"/>
    </w:p>
    <w:p w:rsidR="00B54A20" w:rsidRPr="00762F0F" w:rsidRDefault="00B54A20" w:rsidP="00762F0F">
      <w:pPr>
        <w:spacing w:before="100" w:after="100" w:line="240" w:lineRule="exact"/>
        <w:rPr>
          <w:rFonts w:ascii="宋体" w:eastAsia="宋体" w:hAnsi="宋体" w:cs="宋体"/>
          <w:sz w:val="18"/>
          <w:szCs w:val="18"/>
        </w:rPr>
      </w:pPr>
      <w:r>
        <w:rPr>
          <w:rFonts w:ascii="宋体" w:eastAsia="宋体" w:hAnsi="宋体" w:cs="宋体"/>
          <w:sz w:val="18"/>
          <w:szCs w:val="18"/>
        </w:rPr>
        <w:t>其他应收款核销说明：</w:t>
      </w: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 w:val="18"/>
          <w:szCs w:val="18"/>
        </w:rPr>
      </w:pPr>
      <w:bookmarkStart w:id="388" w:name="_Toc989384"/>
      <w:r>
        <w:rPr>
          <w:rFonts w:ascii="宋体" w:eastAsia="宋体" w:hAnsi="宋体" w:cs="宋体"/>
          <w:b/>
          <w:bCs/>
          <w:sz w:val="18"/>
          <w:szCs w:val="18"/>
        </w:rPr>
        <w:t>5） 按欠款方归集的期末余额前五名的其他应收款情况</w:t>
      </w:r>
      <w:bookmarkEnd w:id="388"/>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E62F69" w:rsidTr="00762F0F">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E62F69" w:rsidTr="00762F0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第一名</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81,723,246.56</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1-2年</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42.52%</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762F0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第二名</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 暂借款</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19,629,916.67</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1-2年</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10.21%</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1,962,991.67</w:t>
            </w:r>
          </w:p>
        </w:tc>
      </w:tr>
      <w:tr w:rsidR="00762F0F" w:rsidTr="00762F0F">
        <w:trPr>
          <w:trHeight w:val="240"/>
        </w:trPr>
        <w:tc>
          <w:tcPr>
            <w:tcW w:w="1606" w:type="dxa"/>
            <w:vMerge w:val="restart"/>
            <w:tcBorders>
              <w:top w:val="single" w:sz="2" w:space="0" w:color="auto"/>
              <w:left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第三名</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1,129,444.45</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6.16%</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2,098,138.89</w:t>
            </w:r>
          </w:p>
        </w:tc>
      </w:tr>
      <w:tr w:rsidR="00762F0F" w:rsidTr="00762F0F">
        <w:trPr>
          <w:trHeight w:val="240"/>
        </w:trPr>
        <w:tc>
          <w:tcPr>
            <w:tcW w:w="1606" w:type="dxa"/>
            <w:vMerge/>
            <w:tcBorders>
              <w:left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1,016,666.66</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1-2年</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p>
        </w:tc>
      </w:tr>
      <w:tr w:rsidR="00762F0F" w:rsidTr="00762F0F">
        <w:trPr>
          <w:trHeight w:val="240"/>
        </w:trPr>
        <w:tc>
          <w:tcPr>
            <w:tcW w:w="1606" w:type="dxa"/>
            <w:vMerge/>
            <w:tcBorders>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9,700,000.00</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2-3年</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p>
        </w:tc>
      </w:tr>
      <w:tr w:rsidR="00E62F69" w:rsidTr="00762F0F">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第四名</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合并范围内关联方往来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10,425,229.39</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5.42%</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762F0F" w:rsidTr="00762F0F">
        <w:trPr>
          <w:trHeight w:val="240"/>
        </w:trPr>
        <w:tc>
          <w:tcPr>
            <w:tcW w:w="1606" w:type="dxa"/>
            <w:vMerge w:val="restart"/>
            <w:tcBorders>
              <w:top w:val="single" w:sz="2" w:space="0" w:color="auto"/>
              <w:left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第五名</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 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1,269,666.67</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1年以内</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0.66%</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63,483.33</w:t>
            </w:r>
          </w:p>
        </w:tc>
      </w:tr>
      <w:tr w:rsidR="00762F0F" w:rsidTr="00762F0F">
        <w:trPr>
          <w:trHeight w:val="240"/>
        </w:trPr>
        <w:tc>
          <w:tcPr>
            <w:tcW w:w="1606" w:type="dxa"/>
            <w:vMerge/>
            <w:tcBorders>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 合并范围外关联方往来</w:t>
            </w:r>
          </w:p>
        </w:tc>
        <w:tc>
          <w:tcPr>
            <w:tcW w:w="1606"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6,000,000.00</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rPr>
                <w:rFonts w:ascii="宋体" w:eastAsia="宋体" w:hAnsi="宋体" w:cs="宋体"/>
                <w:sz w:val="18"/>
                <w:szCs w:val="18"/>
              </w:rPr>
            </w:pPr>
            <w:r>
              <w:rPr>
                <w:rFonts w:ascii="宋体" w:eastAsia="宋体" w:hAnsi="宋体" w:cs="宋体"/>
                <w:sz w:val="18"/>
                <w:szCs w:val="18"/>
              </w:rPr>
              <w:t>1-2年</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3.12%</w:t>
            </w:r>
          </w:p>
        </w:tc>
        <w:tc>
          <w:tcPr>
            <w:tcW w:w="1607" w:type="dxa"/>
            <w:tcBorders>
              <w:top w:val="single" w:sz="2" w:space="0" w:color="auto"/>
              <w:left w:val="single" w:sz="2" w:space="0" w:color="auto"/>
              <w:bottom w:val="single" w:sz="2" w:space="0" w:color="auto"/>
              <w:right w:val="single" w:sz="2" w:space="0" w:color="auto"/>
            </w:tcBorders>
            <w:vAlign w:val="center"/>
          </w:tcPr>
          <w:p w:rsidR="00762F0F" w:rsidRDefault="00762F0F">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E62F69" w:rsidTr="00762F0F">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606"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130,894,170.40</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68.09%</w:t>
            </w:r>
          </w:p>
        </w:tc>
        <w:tc>
          <w:tcPr>
            <w:tcW w:w="160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4,724,613.89</w:t>
            </w:r>
          </w:p>
        </w:tc>
      </w:tr>
    </w:tbl>
    <w:p w:rsidR="00E62F69" w:rsidRDefault="00B54A20">
      <w:pPr>
        <w:keepNext/>
        <w:keepLines/>
        <w:spacing w:before="300" w:after="300" w:line="280" w:lineRule="exact"/>
        <w:outlineLvl w:val="4"/>
        <w:rPr>
          <w:rFonts w:ascii="宋体" w:eastAsia="宋体" w:hAnsi="宋体" w:cs="宋体"/>
          <w:b/>
          <w:bCs/>
          <w:sz w:val="18"/>
          <w:szCs w:val="18"/>
        </w:rPr>
      </w:pPr>
      <w:bookmarkStart w:id="389" w:name="_Toc989385"/>
      <w:r>
        <w:rPr>
          <w:rFonts w:ascii="宋体" w:eastAsia="宋体" w:hAnsi="宋体" w:cs="宋体"/>
          <w:b/>
          <w:bCs/>
          <w:sz w:val="18"/>
          <w:szCs w:val="18"/>
        </w:rPr>
        <w:t>6） 涉及政府补助的应收款项</w:t>
      </w:r>
      <w:bookmarkEnd w:id="389"/>
    </w:p>
    <w:p w:rsidR="00B54A20" w:rsidRDefault="00B54A20">
      <w:pPr>
        <w:pStyle w:val="a3"/>
        <w:divId w:val="1863323511"/>
        <w:rPr>
          <w:sz w:val="18"/>
          <w:szCs w:val="18"/>
        </w:rPr>
      </w:pP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 w:val="18"/>
          <w:szCs w:val="18"/>
        </w:rPr>
      </w:pPr>
      <w:bookmarkStart w:id="390" w:name="_Toc989386"/>
      <w:r>
        <w:rPr>
          <w:rFonts w:ascii="宋体" w:eastAsia="宋体" w:hAnsi="宋体" w:cs="宋体"/>
          <w:b/>
          <w:bCs/>
          <w:sz w:val="18"/>
          <w:szCs w:val="18"/>
        </w:rPr>
        <w:t>7） 因金融资产转移而终止确认的其他应收款</w:t>
      </w:r>
      <w:bookmarkEnd w:id="390"/>
    </w:p>
    <w:p w:rsidR="00762F0F" w:rsidRDefault="00762F0F" w:rsidP="00762F0F">
      <w:pPr>
        <w:pStyle w:val="a3"/>
        <w:divId w:val="1379040248"/>
        <w:rPr>
          <w:sz w:val="18"/>
          <w:szCs w:val="18"/>
        </w:rPr>
      </w:pPr>
      <w:r>
        <w:rPr>
          <w:rFonts w:hint="eastAsia"/>
          <w:sz w:val="18"/>
          <w:szCs w:val="18"/>
        </w:rPr>
        <w:t>无。</w:t>
      </w:r>
    </w:p>
    <w:p w:rsidR="00E62F69" w:rsidRDefault="00B54A20">
      <w:pPr>
        <w:keepNext/>
        <w:keepLines/>
        <w:spacing w:before="300" w:after="300" w:line="280" w:lineRule="exact"/>
        <w:outlineLvl w:val="4"/>
        <w:rPr>
          <w:rFonts w:ascii="宋体" w:eastAsia="宋体" w:hAnsi="宋体" w:cs="宋体"/>
          <w:b/>
          <w:bCs/>
          <w:sz w:val="18"/>
          <w:szCs w:val="18"/>
        </w:rPr>
      </w:pPr>
      <w:bookmarkStart w:id="391" w:name="_Toc989387"/>
      <w:r>
        <w:rPr>
          <w:rFonts w:ascii="宋体" w:eastAsia="宋体" w:hAnsi="宋体" w:cs="宋体"/>
          <w:b/>
          <w:bCs/>
          <w:sz w:val="18"/>
          <w:szCs w:val="18"/>
        </w:rPr>
        <w:t>8） 转移其他</w:t>
      </w:r>
      <w:proofErr w:type="gramStart"/>
      <w:r>
        <w:rPr>
          <w:rFonts w:ascii="宋体" w:eastAsia="宋体" w:hAnsi="宋体" w:cs="宋体"/>
          <w:b/>
          <w:bCs/>
          <w:sz w:val="18"/>
          <w:szCs w:val="18"/>
        </w:rPr>
        <w:t>应收款且继续</w:t>
      </w:r>
      <w:proofErr w:type="gramEnd"/>
      <w:r>
        <w:rPr>
          <w:rFonts w:ascii="宋体" w:eastAsia="宋体" w:hAnsi="宋体" w:cs="宋体"/>
          <w:b/>
          <w:bCs/>
          <w:sz w:val="18"/>
          <w:szCs w:val="18"/>
        </w:rPr>
        <w:t>涉</w:t>
      </w:r>
      <w:proofErr w:type="gramStart"/>
      <w:r>
        <w:rPr>
          <w:rFonts w:ascii="宋体" w:eastAsia="宋体" w:hAnsi="宋体" w:cs="宋体"/>
          <w:b/>
          <w:bCs/>
          <w:sz w:val="18"/>
          <w:szCs w:val="18"/>
        </w:rPr>
        <w:t>入形成</w:t>
      </w:r>
      <w:proofErr w:type="gramEnd"/>
      <w:r>
        <w:rPr>
          <w:rFonts w:ascii="宋体" w:eastAsia="宋体" w:hAnsi="宋体" w:cs="宋体"/>
          <w:b/>
          <w:bCs/>
          <w:sz w:val="18"/>
          <w:szCs w:val="18"/>
        </w:rPr>
        <w:t>的资产、负债金额</w:t>
      </w:r>
      <w:bookmarkEnd w:id="391"/>
    </w:p>
    <w:p w:rsidR="00762F0F" w:rsidRDefault="00B54A20" w:rsidP="00762F0F">
      <w:pPr>
        <w:pStyle w:val="a3"/>
        <w:rPr>
          <w:sz w:val="18"/>
          <w:szCs w:val="18"/>
        </w:rPr>
      </w:pPr>
      <w:r>
        <w:rPr>
          <w:sz w:val="18"/>
          <w:szCs w:val="18"/>
        </w:rPr>
        <w:t>其他说明：</w:t>
      </w:r>
      <w:r w:rsidR="00762F0F">
        <w:rPr>
          <w:rFonts w:hint="eastAsia"/>
          <w:sz w:val="18"/>
          <w:szCs w:val="18"/>
        </w:rPr>
        <w:t>无。</w:t>
      </w:r>
    </w:p>
    <w:p w:rsidR="00E62F69" w:rsidRDefault="00B54A20">
      <w:pPr>
        <w:pStyle w:val="3"/>
        <w:spacing w:line="280" w:lineRule="exact"/>
        <w:jc w:val="left"/>
        <w:rPr>
          <w:rFonts w:ascii="宋体" w:hAnsi="宋体" w:cs="宋体"/>
          <w:b/>
          <w:bCs/>
        </w:rPr>
      </w:pPr>
      <w:bookmarkStart w:id="392" w:name="_Toc989388"/>
      <w:r>
        <w:rPr>
          <w:rFonts w:ascii="宋体" w:hAnsi="宋体" w:cs="宋体"/>
          <w:b/>
          <w:bCs/>
        </w:rPr>
        <w:t>3、长期股权投资</w:t>
      </w:r>
      <w:bookmarkEnd w:id="392"/>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E62F6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E62F6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r w:rsidR="00E62F69">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r>
    </w:tbl>
    <w:p w:rsidR="00E62F69" w:rsidRDefault="00B54A20">
      <w:pPr>
        <w:keepNext/>
        <w:keepLines/>
        <w:spacing w:before="300" w:after="300" w:line="280" w:lineRule="exact"/>
        <w:outlineLvl w:val="3"/>
        <w:rPr>
          <w:rFonts w:ascii="宋体" w:eastAsia="宋体" w:hAnsi="宋体" w:cs="宋体"/>
          <w:b/>
          <w:bCs/>
          <w:szCs w:val="21"/>
        </w:rPr>
      </w:pPr>
      <w:bookmarkStart w:id="393" w:name="_Toc989389"/>
      <w:r>
        <w:rPr>
          <w:rFonts w:ascii="宋体" w:eastAsia="宋体" w:hAnsi="宋体" w:cs="宋体"/>
          <w:b/>
          <w:bCs/>
          <w:szCs w:val="21"/>
        </w:rPr>
        <w:t>（1） 对子公司投资</w:t>
      </w:r>
      <w:bookmarkEnd w:id="393"/>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809"/>
        <w:gridCol w:w="1701"/>
        <w:gridCol w:w="709"/>
        <w:gridCol w:w="709"/>
        <w:gridCol w:w="992"/>
        <w:gridCol w:w="709"/>
        <w:gridCol w:w="1805"/>
        <w:gridCol w:w="1205"/>
      </w:tblGrid>
      <w:tr w:rsidR="00E62F69" w:rsidTr="009C1951">
        <w:trPr>
          <w:trHeight w:val="240"/>
        </w:trPr>
        <w:tc>
          <w:tcPr>
            <w:tcW w:w="180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70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311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8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E62F69" w:rsidTr="009C1951">
        <w:trPr>
          <w:trHeight w:val="240"/>
        </w:trPr>
        <w:tc>
          <w:tcPr>
            <w:tcW w:w="180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70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0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8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深圳市华孚进出口有限公司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2,126,565,336.11</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2,126,565,336.11</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浙江金华华孚纺织有限公司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44,257,636.45</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44,257,636.45</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浙江缙云华孚纺织有限公司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29,754,027.50</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29,754,027.50</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浙江华孚色纺有限公司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360,000,000.00</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360,000,000.00</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淮北市华孚纺织有限公司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200,000,000.00</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proofErr w:type="gramStart"/>
            <w:r>
              <w:rPr>
                <w:rFonts w:ascii="宋体" w:eastAsia="宋体" w:hAnsi="宋体" w:cs="宋体"/>
                <w:sz w:val="18"/>
                <w:szCs w:val="18"/>
              </w:rPr>
              <w:t>奎屯锦孚纺织</w:t>
            </w:r>
            <w:proofErr w:type="gramEnd"/>
            <w:r>
              <w:rPr>
                <w:rFonts w:ascii="宋体" w:eastAsia="宋体" w:hAnsi="宋体" w:cs="宋体"/>
                <w:sz w:val="18"/>
                <w:szCs w:val="18"/>
              </w:rPr>
              <w:t>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154,330,400.00</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154,330,400.00</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深圳华孚网链投资有限公司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500,000,000.00</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新疆华孚棉业集团有限公司</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1,000,000,000.00</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805"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4,414,907,400.06</w:t>
            </w:r>
          </w:p>
        </w:tc>
        <w:tc>
          <w:tcPr>
            <w:tcW w:w="1205"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bl>
    <w:p w:rsidR="00E62F69" w:rsidRDefault="00B54A20">
      <w:pPr>
        <w:keepNext/>
        <w:keepLines/>
        <w:spacing w:before="300" w:after="300" w:line="280" w:lineRule="exact"/>
        <w:outlineLvl w:val="3"/>
        <w:rPr>
          <w:rFonts w:ascii="宋体" w:eastAsia="宋体" w:hAnsi="宋体" w:cs="宋体"/>
          <w:b/>
          <w:bCs/>
          <w:szCs w:val="21"/>
        </w:rPr>
      </w:pPr>
      <w:bookmarkStart w:id="394" w:name="_Toc989390"/>
      <w:r>
        <w:rPr>
          <w:rFonts w:ascii="宋体" w:eastAsia="宋体" w:hAnsi="宋体" w:cs="宋体"/>
          <w:b/>
          <w:bCs/>
          <w:szCs w:val="21"/>
        </w:rPr>
        <w:t>（2） 对联营、合营企业投资</w:t>
      </w:r>
      <w:bookmarkEnd w:id="394"/>
    </w:p>
    <w:p w:rsidR="009C1951" w:rsidRDefault="009C1951" w:rsidP="009C1951">
      <w:pPr>
        <w:pStyle w:val="a3"/>
        <w:rPr>
          <w:sz w:val="18"/>
          <w:szCs w:val="18"/>
        </w:rPr>
      </w:pPr>
      <w:bookmarkStart w:id="395" w:name="_Toc989391"/>
      <w:r>
        <w:rPr>
          <w:rFonts w:hint="eastAsia"/>
          <w:sz w:val="18"/>
          <w:szCs w:val="18"/>
        </w:rPr>
        <w:t>无。</w:t>
      </w:r>
    </w:p>
    <w:p w:rsidR="00E62F69" w:rsidRDefault="00B54A2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（3） 其他说明</w:t>
      </w:r>
      <w:bookmarkEnd w:id="395"/>
    </w:p>
    <w:p w:rsidR="00B54A20" w:rsidRDefault="00B54A20">
      <w:pPr>
        <w:pStyle w:val="a3"/>
        <w:divId w:val="1603948701"/>
        <w:rPr>
          <w:sz w:val="18"/>
          <w:szCs w:val="18"/>
        </w:rPr>
      </w:pPr>
      <w:r>
        <w:rPr>
          <w:rFonts w:hint="eastAsia"/>
          <w:sz w:val="18"/>
          <w:szCs w:val="18"/>
        </w:rPr>
        <w:t>无。</w:t>
      </w:r>
    </w:p>
    <w:p w:rsidR="00E62F69" w:rsidRDefault="00B54A20">
      <w:pPr>
        <w:pStyle w:val="3"/>
        <w:spacing w:line="280" w:lineRule="exact"/>
        <w:jc w:val="left"/>
        <w:rPr>
          <w:rFonts w:ascii="宋体" w:hAnsi="宋体" w:cs="宋体"/>
          <w:b/>
          <w:bCs/>
        </w:rPr>
      </w:pPr>
      <w:bookmarkStart w:id="396" w:name="_Toc989392"/>
      <w:r>
        <w:rPr>
          <w:rFonts w:ascii="宋体" w:hAnsi="宋体" w:cs="宋体"/>
          <w:b/>
          <w:bCs/>
        </w:rPr>
        <w:t>4、营业收入和营业成本</w:t>
      </w:r>
      <w:bookmarkEnd w:id="396"/>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594,814,765.58</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472,328,498.50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389,643,002.40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358,628,194.01</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16,138,216.96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8,094,240.45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2,954,743.09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32,460.43</w:t>
            </w:r>
          </w:p>
        </w:tc>
      </w:tr>
      <w:tr w:rsidR="00E62F6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480,422,738.95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392,597,745.49</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358,660,654.44</w:t>
            </w:r>
          </w:p>
        </w:tc>
      </w:tr>
    </w:tbl>
    <w:p w:rsidR="00E62F69" w:rsidRDefault="00B54A20">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纱线</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547,174,951.05</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547,174,951.05</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原、色</w:t>
            </w:r>
            <w:proofErr w:type="gramStart"/>
            <w:r>
              <w:rPr>
                <w:rFonts w:ascii="宋体" w:eastAsia="宋体" w:hAnsi="宋体" w:cs="宋体"/>
                <w:sz w:val="18"/>
                <w:szCs w:val="18"/>
              </w:rPr>
              <w:t>纤</w:t>
            </w:r>
            <w:proofErr w:type="gramEnd"/>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47,639,814.53</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47,639,814.53</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其他</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16,138,216.96</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16,138,216.96</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境外销售</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境内销售</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610,952,982.54</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在某一时点转让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609,769,208.40</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609,769,208.40</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在某一时段内转让</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1,183,774.14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1,183,774.14</w:t>
            </w: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r>
      <w:tr w:rsidR="00E62F69" w:rsidTr="009C1951">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610,952,982.54</w:t>
            </w:r>
          </w:p>
        </w:tc>
        <w:tc>
          <w:tcPr>
            <w:tcW w:w="1928"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610,952,982.54</w:t>
            </w:r>
          </w:p>
        </w:tc>
      </w:tr>
    </w:tbl>
    <w:p w:rsidR="00B54A20" w:rsidRPr="009C1951" w:rsidRDefault="00B54A20" w:rsidP="009C1951">
      <w:pPr>
        <w:spacing w:line="240" w:lineRule="exact"/>
        <w:rPr>
          <w:rFonts w:ascii="宋体" w:eastAsia="宋体" w:hAnsi="宋体" w:cs="宋体"/>
          <w:sz w:val="18"/>
          <w:szCs w:val="18"/>
        </w:rPr>
      </w:pPr>
      <w:r>
        <w:rPr>
          <w:rFonts w:ascii="宋体" w:eastAsia="宋体" w:hAnsi="宋体" w:cs="宋体"/>
          <w:sz w:val="18"/>
          <w:szCs w:val="18"/>
        </w:rPr>
        <w:t>与履约义务相关的信息：</w:t>
      </w:r>
      <w:r>
        <w:rPr>
          <w:rFonts w:hint="eastAsia"/>
          <w:sz w:val="18"/>
          <w:szCs w:val="18"/>
        </w:rPr>
        <w:t>无。</w:t>
      </w:r>
    </w:p>
    <w:p w:rsidR="00E62F69" w:rsidRDefault="00B54A20" w:rsidP="009C1951">
      <w:pPr>
        <w:spacing w:line="240" w:lineRule="exact"/>
        <w:rPr>
          <w:rFonts w:ascii="宋体" w:eastAsia="宋体" w:hAnsi="宋体" w:cs="宋体"/>
          <w:sz w:val="18"/>
          <w:szCs w:val="18"/>
        </w:rPr>
      </w:pPr>
      <w:r>
        <w:rPr>
          <w:rFonts w:ascii="宋体" w:eastAsia="宋体" w:hAnsi="宋体" w:cs="宋体"/>
          <w:sz w:val="18"/>
          <w:szCs w:val="18"/>
        </w:rPr>
        <w:t>与分摊至剩余履约义务的交易价格相关的信息：</w:t>
      </w:r>
    </w:p>
    <w:p w:rsidR="00E62F69" w:rsidRDefault="00B54A20" w:rsidP="009C1951">
      <w:pPr>
        <w:spacing w:line="240" w:lineRule="exact"/>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期末已</w:t>
      </w:r>
      <w:proofErr w:type="gramEnd"/>
      <w:r>
        <w:rPr>
          <w:rFonts w:ascii="宋体" w:eastAsia="宋体" w:hAnsi="宋体" w:cs="宋体"/>
          <w:sz w:val="18"/>
          <w:szCs w:val="18"/>
        </w:rPr>
        <w:t>签订合同、但尚未履行或尚未履行完毕的履约义务所对应的收入金额为0.00元，其中，0.00元预计将于</w:t>
      </w:r>
      <w:proofErr w:type="gramStart"/>
      <w:r>
        <w:rPr>
          <w:rFonts w:ascii="宋体" w:eastAsia="宋体" w:hAnsi="宋体" w:cs="宋体"/>
          <w:sz w:val="18"/>
          <w:szCs w:val="18"/>
        </w:rPr>
        <w:t>0</w:t>
      </w:r>
      <w:proofErr w:type="gramEnd"/>
      <w:r>
        <w:rPr>
          <w:rFonts w:ascii="宋体" w:eastAsia="宋体" w:hAnsi="宋体" w:cs="宋体"/>
          <w:sz w:val="18"/>
          <w:szCs w:val="18"/>
        </w:rPr>
        <w:t>年度确认收入，0.00元预计将于</w:t>
      </w:r>
      <w:proofErr w:type="gramStart"/>
      <w:r>
        <w:rPr>
          <w:rFonts w:ascii="宋体" w:eastAsia="宋体" w:hAnsi="宋体" w:cs="宋体"/>
          <w:sz w:val="18"/>
          <w:szCs w:val="18"/>
        </w:rPr>
        <w:t>0</w:t>
      </w:r>
      <w:proofErr w:type="gramEnd"/>
      <w:r>
        <w:rPr>
          <w:rFonts w:ascii="宋体" w:eastAsia="宋体" w:hAnsi="宋体" w:cs="宋体"/>
          <w:sz w:val="18"/>
          <w:szCs w:val="18"/>
        </w:rPr>
        <w:t>年度确认收入，0.00元预计将于</w:t>
      </w:r>
      <w:proofErr w:type="gramStart"/>
      <w:r>
        <w:rPr>
          <w:rFonts w:ascii="宋体" w:eastAsia="宋体" w:hAnsi="宋体" w:cs="宋体"/>
          <w:sz w:val="18"/>
          <w:szCs w:val="18"/>
        </w:rPr>
        <w:t>0</w:t>
      </w:r>
      <w:proofErr w:type="gramEnd"/>
      <w:r>
        <w:rPr>
          <w:rFonts w:ascii="宋体" w:eastAsia="宋体" w:hAnsi="宋体" w:cs="宋体"/>
          <w:sz w:val="18"/>
          <w:szCs w:val="18"/>
        </w:rPr>
        <w:t>年度确认收入。</w:t>
      </w:r>
    </w:p>
    <w:p w:rsidR="00B54A20" w:rsidRPr="009C1951" w:rsidRDefault="00B54A20" w:rsidP="009C1951">
      <w:pPr>
        <w:spacing w:line="240" w:lineRule="exact"/>
        <w:rPr>
          <w:rFonts w:ascii="宋体" w:eastAsia="宋体" w:hAnsi="宋体" w:cs="宋体"/>
          <w:sz w:val="18"/>
          <w:szCs w:val="18"/>
        </w:rPr>
      </w:pPr>
      <w:r>
        <w:rPr>
          <w:rFonts w:ascii="宋体" w:eastAsia="宋体" w:hAnsi="宋体" w:cs="宋体"/>
          <w:sz w:val="18"/>
          <w:szCs w:val="18"/>
        </w:rPr>
        <w:t>其他说明：</w:t>
      </w:r>
      <w:r>
        <w:rPr>
          <w:rFonts w:hint="eastAsia"/>
          <w:sz w:val="18"/>
          <w:szCs w:val="18"/>
        </w:rPr>
        <w:t>无。</w:t>
      </w:r>
    </w:p>
    <w:p w:rsidR="00E62F69" w:rsidRDefault="00B54A20">
      <w:pPr>
        <w:pStyle w:val="3"/>
        <w:spacing w:line="280" w:lineRule="exact"/>
        <w:jc w:val="left"/>
        <w:rPr>
          <w:rFonts w:ascii="宋体" w:hAnsi="宋体" w:cs="宋体"/>
          <w:b/>
          <w:bCs/>
        </w:rPr>
      </w:pPr>
      <w:bookmarkStart w:id="397" w:name="_Toc989393"/>
      <w:r>
        <w:rPr>
          <w:rFonts w:ascii="宋体" w:hAnsi="宋体" w:cs="宋体"/>
          <w:b/>
          <w:bCs/>
        </w:rPr>
        <w:t>5、投资收益</w:t>
      </w:r>
      <w:bookmarkEnd w:id="397"/>
    </w:p>
    <w:p w:rsidR="00E62F69" w:rsidRDefault="00B54A20">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353"/>
        <w:gridCol w:w="2143"/>
        <w:gridCol w:w="2143"/>
      </w:tblGrid>
      <w:tr w:rsidR="00E62F69" w:rsidTr="009C1951">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4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143"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E62F69" w:rsidTr="009C1951">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-3,787,930.42</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r>
      <w:tr w:rsidR="00E62F69" w:rsidTr="009C1951">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8,000,000.00</w:t>
            </w:r>
          </w:p>
        </w:tc>
      </w:tr>
      <w:tr w:rsidR="00E62F69" w:rsidTr="009C1951">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子公司分红取得的投资收益</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138,581,720.51</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307,295,981.12</w:t>
            </w:r>
          </w:p>
        </w:tc>
      </w:tr>
      <w:tr w:rsidR="00E62F69" w:rsidTr="009C1951">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line="240" w:lineRule="exact"/>
              <w:rPr>
                <w:rFonts w:ascii="宋体" w:eastAsia="宋体" w:hAnsi="宋体" w:cs="宋体"/>
                <w:sz w:val="18"/>
                <w:szCs w:val="18"/>
              </w:rPr>
            </w:pPr>
            <w:r>
              <w:rPr>
                <w:rFonts w:ascii="宋体" w:eastAsia="宋体" w:hAnsi="宋体" w:cs="宋体"/>
                <w:sz w:val="18"/>
                <w:szCs w:val="18"/>
              </w:rPr>
              <w:t>理财产品收益</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jc w:val="right"/>
              <w:rPr>
                <w:rFonts w:ascii="宋体" w:eastAsia="宋体" w:hAnsi="宋体" w:cs="宋体"/>
                <w:sz w:val="18"/>
                <w:szCs w:val="18"/>
              </w:rPr>
            </w:pP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359,379.85</w:t>
            </w:r>
          </w:p>
        </w:tc>
      </w:tr>
      <w:tr w:rsidR="00E62F69" w:rsidTr="009C1951">
        <w:trPr>
          <w:trHeight w:val="240"/>
        </w:trPr>
        <w:tc>
          <w:tcPr>
            <w:tcW w:w="53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134,793,790.09</w:t>
            </w:r>
          </w:p>
        </w:tc>
        <w:tc>
          <w:tcPr>
            <w:tcW w:w="2143"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315,655,360.97</w:t>
            </w:r>
          </w:p>
        </w:tc>
      </w:tr>
    </w:tbl>
    <w:p w:rsidR="00E62F69" w:rsidRDefault="00B54A20">
      <w:pPr>
        <w:pStyle w:val="3"/>
        <w:spacing w:line="280" w:lineRule="exact"/>
        <w:jc w:val="left"/>
        <w:rPr>
          <w:rFonts w:ascii="宋体" w:hAnsi="宋体" w:cs="宋体"/>
          <w:b/>
          <w:bCs/>
        </w:rPr>
      </w:pPr>
      <w:bookmarkStart w:id="398" w:name="_Toc989394"/>
      <w:r>
        <w:rPr>
          <w:rFonts w:ascii="宋体" w:hAnsi="宋体" w:cs="宋体"/>
          <w:b/>
          <w:bCs/>
        </w:rPr>
        <w:t>6、其他</w:t>
      </w:r>
      <w:bookmarkEnd w:id="398"/>
    </w:p>
    <w:p w:rsidR="00B54A20" w:rsidRDefault="00B54A20">
      <w:pPr>
        <w:pStyle w:val="a3"/>
        <w:divId w:val="686643530"/>
        <w:rPr>
          <w:sz w:val="18"/>
          <w:szCs w:val="18"/>
        </w:rPr>
      </w:pPr>
      <w:r>
        <w:rPr>
          <w:rFonts w:hint="eastAsia"/>
          <w:sz w:val="18"/>
          <w:szCs w:val="18"/>
        </w:rPr>
        <w:t>无。</w:t>
      </w:r>
    </w:p>
    <w:p w:rsidR="00E62F69" w:rsidRDefault="00B54A20">
      <w:pPr>
        <w:pStyle w:val="2"/>
        <w:spacing w:before="300" w:after="300" w:line="320" w:lineRule="exact"/>
        <w:rPr>
          <w:rFonts w:ascii="宋体" w:eastAsia="宋体" w:hAnsi="宋体" w:cs="宋体"/>
          <w:b/>
          <w:bCs/>
          <w:sz w:val="24"/>
          <w:szCs w:val="24"/>
        </w:rPr>
      </w:pPr>
      <w:bookmarkStart w:id="399" w:name="_Toc989395"/>
      <w:r>
        <w:rPr>
          <w:rFonts w:ascii="宋体" w:eastAsia="宋体" w:hAnsi="宋体" w:cs="宋体"/>
          <w:b/>
          <w:bCs/>
          <w:sz w:val="24"/>
          <w:szCs w:val="24"/>
        </w:rPr>
        <w:t>十八、补充资料</w:t>
      </w:r>
      <w:bookmarkEnd w:id="399"/>
    </w:p>
    <w:p w:rsidR="00E62F69" w:rsidRDefault="00B54A20">
      <w:pPr>
        <w:pStyle w:val="3"/>
        <w:spacing w:line="280" w:lineRule="exact"/>
        <w:jc w:val="left"/>
        <w:rPr>
          <w:rFonts w:ascii="宋体" w:hAnsi="宋体" w:cs="宋体"/>
          <w:b/>
          <w:bCs/>
        </w:rPr>
      </w:pPr>
      <w:bookmarkStart w:id="400" w:name="_Toc989396"/>
      <w:r>
        <w:rPr>
          <w:rFonts w:ascii="宋体" w:hAnsi="宋体" w:cs="宋体"/>
          <w:b/>
          <w:bCs/>
        </w:rPr>
        <w:t>1、当期非经常性损益明细表</w:t>
      </w:r>
      <w:bookmarkEnd w:id="400"/>
    </w:p>
    <w:p w:rsidR="00E62F69" w:rsidRDefault="00B54A20">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E62F69" w:rsidRDefault="00B54A20">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338"/>
        <w:gridCol w:w="1559"/>
        <w:gridCol w:w="742"/>
      </w:tblGrid>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163,412.51</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67,978,288.42</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3,887,184.09</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-54,747,230.19</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3,415,740.80</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-419,684.08</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4,380,700.47</w:t>
            </w:r>
          </w:p>
        </w:tc>
        <w:tc>
          <w:tcPr>
            <w:tcW w:w="742" w:type="dxa"/>
            <w:tcBorders>
              <w:top w:val="single" w:sz="2" w:space="0" w:color="auto"/>
              <w:left w:val="single" w:sz="2" w:space="0" w:color="auto"/>
              <w:bottom w:val="single" w:sz="2" w:space="0" w:color="auto"/>
              <w:right w:val="single" w:sz="2" w:space="0" w:color="auto"/>
            </w:tcBorders>
            <w:vAlign w:val="center"/>
          </w:tcPr>
          <w:p w:rsidR="00E62F69" w:rsidRDefault="00E62F69">
            <w:pPr>
              <w:spacing w:line="240" w:lineRule="exact"/>
              <w:rPr>
                <w:rFonts w:ascii="宋体" w:eastAsia="宋体" w:hAnsi="宋体" w:cs="宋体"/>
                <w:sz w:val="18"/>
                <w:szCs w:val="18"/>
              </w:rPr>
            </w:pPr>
          </w:p>
        </w:tc>
      </w:tr>
      <w:tr w:rsidR="00E62F69" w:rsidTr="009C195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16,736,379.24</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pStyle w:val="3"/>
        <w:spacing w:line="280" w:lineRule="exact"/>
        <w:jc w:val="left"/>
        <w:rPr>
          <w:rFonts w:ascii="宋体" w:hAnsi="宋体" w:cs="宋体"/>
          <w:b/>
          <w:bCs/>
        </w:rPr>
      </w:pPr>
      <w:bookmarkStart w:id="401" w:name="_Toc989397"/>
      <w:r>
        <w:rPr>
          <w:rFonts w:ascii="宋体" w:hAnsi="宋体" w:cs="宋体"/>
          <w:b/>
          <w:bCs/>
        </w:rPr>
        <w:t>2、净资产收益率及每股收益</w:t>
      </w:r>
      <w:bookmarkEnd w:id="40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E62F69">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E62F69">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E62F69"/>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1.29%</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0.05</w:t>
            </w:r>
          </w:p>
        </w:tc>
      </w:tr>
      <w:tr w:rsidR="00E62F69">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E62F69" w:rsidRDefault="00B54A20">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1.03%</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2410" w:type="dxa"/>
            <w:tcBorders>
              <w:top w:val="single" w:sz="2" w:space="0" w:color="auto"/>
              <w:left w:val="single" w:sz="2" w:space="0" w:color="auto"/>
              <w:bottom w:val="single" w:sz="2" w:space="0" w:color="auto"/>
              <w:right w:val="single" w:sz="2" w:space="0" w:color="auto"/>
            </w:tcBorders>
            <w:vAlign w:val="center"/>
          </w:tcPr>
          <w:p w:rsidR="00E62F69" w:rsidRDefault="00B54A20">
            <w:pPr>
              <w:spacing w:line="240" w:lineRule="exact"/>
              <w:jc w:val="right"/>
              <w:rPr>
                <w:rFonts w:ascii="宋体" w:eastAsia="宋体" w:hAnsi="宋体" w:cs="宋体"/>
                <w:sz w:val="18"/>
                <w:szCs w:val="18"/>
              </w:rPr>
            </w:pPr>
            <w:r>
              <w:rPr>
                <w:rFonts w:ascii="宋体" w:eastAsia="宋体" w:hAnsi="宋体" w:cs="宋体"/>
                <w:sz w:val="18"/>
                <w:szCs w:val="18"/>
              </w:rPr>
              <w:t>0.04</w:t>
            </w:r>
          </w:p>
        </w:tc>
      </w:tr>
    </w:tbl>
    <w:p w:rsidR="00E62F69" w:rsidRDefault="00B54A20">
      <w:pPr>
        <w:pStyle w:val="3"/>
        <w:spacing w:line="280" w:lineRule="exact"/>
        <w:jc w:val="left"/>
        <w:rPr>
          <w:rFonts w:ascii="宋体" w:hAnsi="宋体" w:cs="宋体"/>
          <w:b/>
          <w:bCs/>
        </w:rPr>
      </w:pPr>
      <w:bookmarkStart w:id="402" w:name="_Toc989398"/>
      <w:r>
        <w:rPr>
          <w:rFonts w:ascii="宋体" w:hAnsi="宋体" w:cs="宋体"/>
          <w:b/>
          <w:bCs/>
        </w:rPr>
        <w:t>3、境内外会计准则下会计数据差异</w:t>
      </w:r>
      <w:bookmarkEnd w:id="402"/>
    </w:p>
    <w:p w:rsidR="00E62F69" w:rsidRDefault="00B54A20">
      <w:pPr>
        <w:keepNext/>
        <w:keepLines/>
        <w:spacing w:before="300" w:after="300" w:line="280" w:lineRule="exact"/>
        <w:outlineLvl w:val="3"/>
        <w:rPr>
          <w:rFonts w:ascii="宋体" w:eastAsia="宋体" w:hAnsi="宋体" w:cs="宋体"/>
          <w:b/>
          <w:bCs/>
          <w:szCs w:val="21"/>
        </w:rPr>
      </w:pPr>
      <w:bookmarkStart w:id="403" w:name="_Toc989399"/>
      <w:r>
        <w:rPr>
          <w:rFonts w:ascii="宋体" w:eastAsia="宋体" w:hAnsi="宋体" w:cs="宋体"/>
          <w:b/>
          <w:bCs/>
          <w:szCs w:val="21"/>
        </w:rPr>
        <w:t>（1） 同时按照国际会计准则与按中国会计准则披露的财务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403"/>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404" w:name="_Toc989400"/>
      <w:r>
        <w:rPr>
          <w:rFonts w:ascii="宋体" w:eastAsia="宋体" w:hAnsi="宋体" w:cs="宋体"/>
          <w:b/>
          <w:bCs/>
          <w:szCs w:val="21"/>
        </w:rPr>
        <w:t>（2） 同时按照境外会计准则与按中国会计准则披露的财务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404"/>
    </w:p>
    <w:p w:rsidR="00E62F69" w:rsidRDefault="00B54A20">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E62F69" w:rsidRDefault="00B54A20">
      <w:pPr>
        <w:keepNext/>
        <w:keepLines/>
        <w:spacing w:before="300" w:after="300" w:line="280" w:lineRule="exact"/>
        <w:outlineLvl w:val="3"/>
        <w:rPr>
          <w:rFonts w:ascii="宋体" w:eastAsia="宋体" w:hAnsi="宋体" w:cs="宋体"/>
          <w:b/>
          <w:bCs/>
          <w:szCs w:val="21"/>
        </w:rPr>
      </w:pPr>
      <w:bookmarkStart w:id="405" w:name="_Toc989401"/>
      <w:r>
        <w:rPr>
          <w:rFonts w:ascii="宋体" w:eastAsia="宋体" w:hAnsi="宋体" w:cs="宋体"/>
          <w:b/>
          <w:bCs/>
          <w:szCs w:val="21"/>
        </w:rPr>
        <w:t>（3） 境内外会计准则下会计数据差异原因说明，对已经境外审计机构审计的数据进行差异调节的，应注明该境外机构的名称</w:t>
      </w:r>
      <w:bookmarkEnd w:id="405"/>
    </w:p>
    <w:p w:rsidR="00B54A20" w:rsidRDefault="00B54A20">
      <w:pPr>
        <w:pStyle w:val="a3"/>
        <w:divId w:val="358507505"/>
        <w:rPr>
          <w:rFonts w:ascii="Times New Roman" w:hAnsi="Times New Roman" w:cs="Times New Roman"/>
        </w:rPr>
      </w:pPr>
      <w:r>
        <w:rPr>
          <w:rFonts w:cs="Times New Roman" w:hint="eastAsia"/>
          <w:sz w:val="18"/>
          <w:szCs w:val="18"/>
        </w:rPr>
        <w:t>无。</w:t>
      </w:r>
    </w:p>
    <w:p w:rsidR="00E62F69" w:rsidRDefault="00B54A20">
      <w:pPr>
        <w:pStyle w:val="3"/>
        <w:spacing w:line="280" w:lineRule="exact"/>
        <w:jc w:val="left"/>
        <w:rPr>
          <w:rFonts w:ascii="宋体" w:hAnsi="宋体" w:cs="宋体"/>
          <w:b/>
          <w:bCs/>
        </w:rPr>
      </w:pPr>
      <w:bookmarkStart w:id="406" w:name="_Toc989402"/>
      <w:r>
        <w:rPr>
          <w:rFonts w:ascii="宋体" w:hAnsi="宋体" w:cs="宋体"/>
          <w:b/>
          <w:bCs/>
        </w:rPr>
        <w:t>4、其他</w:t>
      </w:r>
      <w:bookmarkEnd w:id="406"/>
    </w:p>
    <w:p w:rsidR="00B54A20" w:rsidRDefault="00B54A20">
      <w:pPr>
        <w:pStyle w:val="a3"/>
        <w:divId w:val="1288927804"/>
        <w:rPr>
          <w:rFonts w:cs="Times New Roman"/>
          <w:sz w:val="18"/>
          <w:szCs w:val="18"/>
        </w:rPr>
      </w:pPr>
      <w:r>
        <w:rPr>
          <w:rFonts w:cs="Times New Roman" w:hint="eastAsia"/>
          <w:sz w:val="18"/>
          <w:szCs w:val="18"/>
        </w:rPr>
        <w:t>无。</w:t>
      </w:r>
    </w:p>
    <w:p w:rsidR="009C1951" w:rsidRDefault="009C1951" w:rsidP="009C1951">
      <w:pPr>
        <w:pStyle w:val="a3"/>
        <w:jc w:val="right"/>
        <w:divId w:val="1288927804"/>
        <w:rPr>
          <w:rFonts w:cs="Times New Roman"/>
          <w:sz w:val="18"/>
          <w:szCs w:val="18"/>
        </w:rPr>
      </w:pPr>
      <w:r>
        <w:rPr>
          <w:rFonts w:cs="Times New Roman" w:hint="eastAsia"/>
          <w:sz w:val="18"/>
          <w:szCs w:val="18"/>
        </w:rPr>
        <w:t>华孚时尚股份有限公司</w:t>
      </w:r>
      <w:r w:rsidR="00085E62">
        <w:rPr>
          <w:rFonts w:cs="Times New Roman" w:hint="eastAsia"/>
          <w:sz w:val="18"/>
          <w:szCs w:val="18"/>
        </w:rPr>
        <w:t>董事会</w:t>
      </w:r>
    </w:p>
    <w:p w:rsidR="009C1951" w:rsidRDefault="009C1951" w:rsidP="009C1951">
      <w:pPr>
        <w:pStyle w:val="a3"/>
        <w:jc w:val="right"/>
        <w:divId w:val="1288927804"/>
        <w:rPr>
          <w:rFonts w:ascii="Times New Roman" w:hAnsi="Times New Roman" w:cs="Times New Roman"/>
        </w:rPr>
      </w:pPr>
      <w:r>
        <w:rPr>
          <w:rFonts w:cs="Times New Roman" w:hint="eastAsia"/>
          <w:sz w:val="18"/>
          <w:szCs w:val="18"/>
        </w:rPr>
        <w:t>2023年8月30日</w:t>
      </w:r>
    </w:p>
    <w:sectPr w:rsidR="009C1951">
      <w:headerReference w:type="default" r:id="rId9"/>
      <w:footerReference w:type="default" r:id="rId10"/>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B1" w:rsidRDefault="00D51BB1">
      <w:r>
        <w:separator/>
      </w:r>
    </w:p>
  </w:endnote>
  <w:endnote w:type="continuationSeparator" w:id="0">
    <w:p w:rsidR="00D51BB1" w:rsidRDefault="00D5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0F" w:rsidRDefault="00762F0F">
    <w:pPr>
      <w:pStyle w:val="fotter1"/>
    </w:pPr>
    <w:r>
      <w:fldChar w:fldCharType="begin"/>
    </w:r>
    <w:r>
      <w:instrText>PAGE   \* MERGEFORMAT</w:instrText>
    </w:r>
    <w:r>
      <w:fldChar w:fldCharType="separate"/>
    </w:r>
    <w:r w:rsidR="00B969F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B1" w:rsidRDefault="00D51BB1">
      <w:r>
        <w:separator/>
      </w:r>
    </w:p>
  </w:footnote>
  <w:footnote w:type="continuationSeparator" w:id="0">
    <w:p w:rsidR="00D51BB1" w:rsidRDefault="00D5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0F" w:rsidRDefault="00762F0F">
    <w:pPr>
      <w:pStyle w:val="Header1"/>
      <w:pBdr>
        <w:bottom w:val="single" w:sz="6" w:space="1" w:color="auto"/>
      </w:pBdr>
    </w:pPr>
    <w:r>
      <w:t>华孚时尚股份有限公司2023</w:t>
    </w:r>
    <w:r w:rsidR="00085E62">
      <w:t>年半年度</w:t>
    </w:r>
    <w:r w:rsidR="00085E62">
      <w:rPr>
        <w:rFonts w:hint="eastAsia"/>
      </w:rPr>
      <w:t>财务报告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35F"/>
    <w:multiLevelType w:val="multilevel"/>
    <w:tmpl w:val="99D4E99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267961"/>
    <w:multiLevelType w:val="multilevel"/>
    <w:tmpl w:val="BD6A2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96F52"/>
    <w:multiLevelType w:val="multilevel"/>
    <w:tmpl w:val="BB52D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77E57"/>
    <w:multiLevelType w:val="multilevel"/>
    <w:tmpl w:val="5EB47B6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F582E"/>
    <w:multiLevelType w:val="multilevel"/>
    <w:tmpl w:val="42C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F26008"/>
    <w:multiLevelType w:val="multilevel"/>
    <w:tmpl w:val="C632E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8E1106"/>
    <w:multiLevelType w:val="multilevel"/>
    <w:tmpl w:val="8056C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B7286"/>
    <w:multiLevelType w:val="multilevel"/>
    <w:tmpl w:val="9B8E0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760CA"/>
    <w:multiLevelType w:val="multilevel"/>
    <w:tmpl w:val="CE12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E1CCA"/>
    <w:multiLevelType w:val="multilevel"/>
    <w:tmpl w:val="38F4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C311A"/>
    <w:multiLevelType w:val="multilevel"/>
    <w:tmpl w:val="FBC42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FB00D7"/>
    <w:multiLevelType w:val="multilevel"/>
    <w:tmpl w:val="D0421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271DC9"/>
    <w:multiLevelType w:val="multilevel"/>
    <w:tmpl w:val="C478A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7091C"/>
    <w:multiLevelType w:val="multilevel"/>
    <w:tmpl w:val="6B34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5163D"/>
    <w:multiLevelType w:val="multilevel"/>
    <w:tmpl w:val="CFF46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B1929"/>
    <w:multiLevelType w:val="multilevel"/>
    <w:tmpl w:val="FA345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A3B9E"/>
    <w:multiLevelType w:val="multilevel"/>
    <w:tmpl w:val="BCDE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E61B4"/>
    <w:multiLevelType w:val="multilevel"/>
    <w:tmpl w:val="E47A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07483D"/>
    <w:multiLevelType w:val="multilevel"/>
    <w:tmpl w:val="254C4BA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7236A0"/>
    <w:multiLevelType w:val="multilevel"/>
    <w:tmpl w:val="878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A5643D"/>
    <w:multiLevelType w:val="multilevel"/>
    <w:tmpl w:val="9662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B53CE6"/>
    <w:multiLevelType w:val="multilevel"/>
    <w:tmpl w:val="1052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0049F"/>
    <w:multiLevelType w:val="multilevel"/>
    <w:tmpl w:val="EB1643D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D00D2F"/>
    <w:multiLevelType w:val="multilevel"/>
    <w:tmpl w:val="EB50E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2A4B42"/>
    <w:multiLevelType w:val="multilevel"/>
    <w:tmpl w:val="F0302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552BB9"/>
    <w:multiLevelType w:val="multilevel"/>
    <w:tmpl w:val="2FE4A7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E20AA"/>
    <w:multiLevelType w:val="multilevel"/>
    <w:tmpl w:val="A7B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78779F"/>
    <w:multiLevelType w:val="multilevel"/>
    <w:tmpl w:val="A6E8BB3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34774D"/>
    <w:multiLevelType w:val="multilevel"/>
    <w:tmpl w:val="204C4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66440F"/>
    <w:multiLevelType w:val="multilevel"/>
    <w:tmpl w:val="4F085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BC5C6E"/>
    <w:multiLevelType w:val="multilevel"/>
    <w:tmpl w:val="7F649E7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A283E"/>
    <w:multiLevelType w:val="multilevel"/>
    <w:tmpl w:val="115EC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FE6EE5"/>
    <w:multiLevelType w:val="multilevel"/>
    <w:tmpl w:val="2088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2D6792"/>
    <w:multiLevelType w:val="multilevel"/>
    <w:tmpl w:val="4A5C2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6675FF"/>
    <w:multiLevelType w:val="multilevel"/>
    <w:tmpl w:val="190EA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8545C0"/>
    <w:multiLevelType w:val="multilevel"/>
    <w:tmpl w:val="1004B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C449C4"/>
    <w:multiLevelType w:val="multilevel"/>
    <w:tmpl w:val="3E36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F306A2"/>
    <w:multiLevelType w:val="multilevel"/>
    <w:tmpl w:val="3F840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CE5A75"/>
    <w:multiLevelType w:val="multilevel"/>
    <w:tmpl w:val="F72A8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BE4C59"/>
    <w:multiLevelType w:val="multilevel"/>
    <w:tmpl w:val="5862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1A56B6"/>
    <w:multiLevelType w:val="multilevel"/>
    <w:tmpl w:val="89BA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2B3A32"/>
    <w:multiLevelType w:val="multilevel"/>
    <w:tmpl w:val="8A1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E93035"/>
    <w:multiLevelType w:val="multilevel"/>
    <w:tmpl w:val="418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94B27D9"/>
    <w:multiLevelType w:val="multilevel"/>
    <w:tmpl w:val="E8827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02719E"/>
    <w:multiLevelType w:val="multilevel"/>
    <w:tmpl w:val="10E80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3D7115"/>
    <w:multiLevelType w:val="multilevel"/>
    <w:tmpl w:val="E2E061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E04525"/>
    <w:multiLevelType w:val="multilevel"/>
    <w:tmpl w:val="E346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8020F1"/>
    <w:multiLevelType w:val="multilevel"/>
    <w:tmpl w:val="0626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28A6BE1"/>
    <w:multiLevelType w:val="multilevel"/>
    <w:tmpl w:val="BCD23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8A69A6"/>
    <w:multiLevelType w:val="multilevel"/>
    <w:tmpl w:val="A7922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871D0B"/>
    <w:multiLevelType w:val="multilevel"/>
    <w:tmpl w:val="C04EF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7835A7"/>
    <w:multiLevelType w:val="multilevel"/>
    <w:tmpl w:val="F1CA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AD48CE"/>
    <w:multiLevelType w:val="multilevel"/>
    <w:tmpl w:val="B946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857A2D"/>
    <w:multiLevelType w:val="multilevel"/>
    <w:tmpl w:val="D55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1"/>
  </w:num>
  <w:num w:numId="2">
    <w:abstractNumId w:val="46"/>
  </w:num>
  <w:num w:numId="3">
    <w:abstractNumId w:val="27"/>
  </w:num>
  <w:num w:numId="4">
    <w:abstractNumId w:val="53"/>
  </w:num>
  <w:num w:numId="5">
    <w:abstractNumId w:val="44"/>
  </w:num>
  <w:num w:numId="6">
    <w:abstractNumId w:val="30"/>
  </w:num>
  <w:num w:numId="7">
    <w:abstractNumId w:val="18"/>
  </w:num>
  <w:num w:numId="8">
    <w:abstractNumId w:val="22"/>
  </w:num>
  <w:num w:numId="9">
    <w:abstractNumId w:val="21"/>
  </w:num>
  <w:num w:numId="10">
    <w:abstractNumId w:val="17"/>
  </w:num>
  <w:num w:numId="11">
    <w:abstractNumId w:val="14"/>
  </w:num>
  <w:num w:numId="12">
    <w:abstractNumId w:val="0"/>
  </w:num>
  <w:num w:numId="13">
    <w:abstractNumId w:val="52"/>
  </w:num>
  <w:num w:numId="14">
    <w:abstractNumId w:val="12"/>
  </w:num>
  <w:num w:numId="15">
    <w:abstractNumId w:val="26"/>
  </w:num>
  <w:num w:numId="16">
    <w:abstractNumId w:val="10"/>
  </w:num>
  <w:num w:numId="17">
    <w:abstractNumId w:val="49"/>
  </w:num>
  <w:num w:numId="18">
    <w:abstractNumId w:val="23"/>
  </w:num>
  <w:num w:numId="19">
    <w:abstractNumId w:val="24"/>
  </w:num>
  <w:num w:numId="20">
    <w:abstractNumId w:val="34"/>
  </w:num>
  <w:num w:numId="21">
    <w:abstractNumId w:val="45"/>
  </w:num>
  <w:num w:numId="22">
    <w:abstractNumId w:val="19"/>
  </w:num>
  <w:num w:numId="23">
    <w:abstractNumId w:val="42"/>
  </w:num>
  <w:num w:numId="24">
    <w:abstractNumId w:val="15"/>
  </w:num>
  <w:num w:numId="25">
    <w:abstractNumId w:val="3"/>
  </w:num>
  <w:num w:numId="26">
    <w:abstractNumId w:val="32"/>
  </w:num>
  <w:num w:numId="27">
    <w:abstractNumId w:val="20"/>
  </w:num>
  <w:num w:numId="28">
    <w:abstractNumId w:val="50"/>
  </w:num>
  <w:num w:numId="29">
    <w:abstractNumId w:val="33"/>
  </w:num>
  <w:num w:numId="30">
    <w:abstractNumId w:val="25"/>
  </w:num>
  <w:num w:numId="31">
    <w:abstractNumId w:val="16"/>
  </w:num>
  <w:num w:numId="32">
    <w:abstractNumId w:val="1"/>
  </w:num>
  <w:num w:numId="33">
    <w:abstractNumId w:val="35"/>
  </w:num>
  <w:num w:numId="34">
    <w:abstractNumId w:val="28"/>
  </w:num>
  <w:num w:numId="35">
    <w:abstractNumId w:val="13"/>
  </w:num>
  <w:num w:numId="36">
    <w:abstractNumId w:val="31"/>
  </w:num>
  <w:num w:numId="37">
    <w:abstractNumId w:val="7"/>
  </w:num>
  <w:num w:numId="38">
    <w:abstractNumId w:val="9"/>
  </w:num>
  <w:num w:numId="39">
    <w:abstractNumId w:val="8"/>
  </w:num>
  <w:num w:numId="40">
    <w:abstractNumId w:val="38"/>
  </w:num>
  <w:num w:numId="41">
    <w:abstractNumId w:val="2"/>
  </w:num>
  <w:num w:numId="42">
    <w:abstractNumId w:val="47"/>
  </w:num>
  <w:num w:numId="43">
    <w:abstractNumId w:val="43"/>
  </w:num>
  <w:num w:numId="44">
    <w:abstractNumId w:val="6"/>
  </w:num>
  <w:num w:numId="45">
    <w:abstractNumId w:val="39"/>
  </w:num>
  <w:num w:numId="46">
    <w:abstractNumId w:val="36"/>
  </w:num>
  <w:num w:numId="47">
    <w:abstractNumId w:val="40"/>
  </w:num>
  <w:num w:numId="48">
    <w:abstractNumId w:val="48"/>
  </w:num>
  <w:num w:numId="49">
    <w:abstractNumId w:val="29"/>
  </w:num>
  <w:num w:numId="50">
    <w:abstractNumId w:val="11"/>
  </w:num>
  <w:num w:numId="51">
    <w:abstractNumId w:val="41"/>
  </w:num>
  <w:num w:numId="52">
    <w:abstractNumId w:val="4"/>
  </w:num>
  <w:num w:numId="53">
    <w:abstractNumId w:val="37"/>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E62F69"/>
    <w:rsid w:val="00085E62"/>
    <w:rsid w:val="00124AEF"/>
    <w:rsid w:val="001854BC"/>
    <w:rsid w:val="001A3F40"/>
    <w:rsid w:val="001B5053"/>
    <w:rsid w:val="001C2C7D"/>
    <w:rsid w:val="001C64DF"/>
    <w:rsid w:val="002039AC"/>
    <w:rsid w:val="002B0AEE"/>
    <w:rsid w:val="002B463E"/>
    <w:rsid w:val="002C1B91"/>
    <w:rsid w:val="00304B40"/>
    <w:rsid w:val="00346D0D"/>
    <w:rsid w:val="00382605"/>
    <w:rsid w:val="004C1599"/>
    <w:rsid w:val="00605C6C"/>
    <w:rsid w:val="00726C93"/>
    <w:rsid w:val="00762F0F"/>
    <w:rsid w:val="00846B8B"/>
    <w:rsid w:val="009867B5"/>
    <w:rsid w:val="009C1951"/>
    <w:rsid w:val="00A105F1"/>
    <w:rsid w:val="00B25F21"/>
    <w:rsid w:val="00B54A20"/>
    <w:rsid w:val="00B54D79"/>
    <w:rsid w:val="00B72F50"/>
    <w:rsid w:val="00B969F3"/>
    <w:rsid w:val="00D51BB1"/>
    <w:rsid w:val="00DD4091"/>
    <w:rsid w:val="00E62F69"/>
    <w:rsid w:val="00EB1CF8"/>
    <w:rsid w:val="00EE2E4F"/>
    <w:rsid w:val="00EE66B1"/>
    <w:rsid w:val="00FD2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character" w:styleId="a5">
    <w:name w:val="Hyperlink"/>
    <w:basedOn w:val="a0"/>
    <w:uiPriority w:val="99"/>
    <w:unhideWhenUsed/>
    <w:rPr>
      <w:color w:val="0000FF"/>
      <w:u w:val="single"/>
    </w:rPr>
  </w:style>
  <w:style w:type="paragraph" w:customStyle="1" w:styleId="-3">
    <w:name w:val="-3"/>
    <w:basedOn w:val="a"/>
    <w:pPr>
      <w:widowControl/>
      <w:spacing w:before="100" w:beforeAutospacing="1" w:after="100" w:afterAutospacing="1"/>
    </w:pPr>
    <w:rPr>
      <w:rFonts w:ascii="宋体" w:eastAsia="宋体" w:hAnsi="宋体" w:cs="宋体"/>
      <w:kern w:val="0"/>
      <w:sz w:val="24"/>
      <w:szCs w:val="24"/>
    </w:rPr>
  </w:style>
  <w:style w:type="paragraph" w:styleId="a6">
    <w:name w:val="header"/>
    <w:basedOn w:val="a"/>
    <w:link w:val="Char"/>
    <w:uiPriority w:val="99"/>
    <w:unhideWhenUsed/>
    <w:rsid w:val="00B54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54A20"/>
    <w:rPr>
      <w:sz w:val="18"/>
      <w:szCs w:val="18"/>
    </w:rPr>
  </w:style>
  <w:style w:type="paragraph" w:styleId="a7">
    <w:name w:val="footer"/>
    <w:basedOn w:val="a"/>
    <w:link w:val="Char0"/>
    <w:uiPriority w:val="99"/>
    <w:unhideWhenUsed/>
    <w:rsid w:val="00B54A20"/>
    <w:pPr>
      <w:tabs>
        <w:tab w:val="center" w:pos="4153"/>
        <w:tab w:val="right" w:pos="8306"/>
      </w:tabs>
      <w:snapToGrid w:val="0"/>
    </w:pPr>
    <w:rPr>
      <w:sz w:val="18"/>
      <w:szCs w:val="18"/>
    </w:rPr>
  </w:style>
  <w:style w:type="character" w:customStyle="1" w:styleId="Char0">
    <w:name w:val="页脚 Char"/>
    <w:basedOn w:val="a0"/>
    <w:link w:val="a7"/>
    <w:uiPriority w:val="99"/>
    <w:rsid w:val="00B54A20"/>
    <w:rPr>
      <w:sz w:val="18"/>
      <w:szCs w:val="18"/>
    </w:rPr>
  </w:style>
  <w:style w:type="paragraph" w:styleId="a8">
    <w:name w:val="Balloon Text"/>
    <w:basedOn w:val="a"/>
    <w:link w:val="Char1"/>
    <w:uiPriority w:val="99"/>
    <w:semiHidden/>
    <w:unhideWhenUsed/>
    <w:rsid w:val="00B54A20"/>
    <w:rPr>
      <w:sz w:val="18"/>
      <w:szCs w:val="18"/>
    </w:rPr>
  </w:style>
  <w:style w:type="character" w:customStyle="1" w:styleId="Char1">
    <w:name w:val="批注框文本 Char"/>
    <w:basedOn w:val="a0"/>
    <w:link w:val="a8"/>
    <w:uiPriority w:val="99"/>
    <w:semiHidden/>
    <w:rsid w:val="00B54A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15">
    <w:name w:val="15"/>
    <w:basedOn w:val="a"/>
    <w:pPr>
      <w:widowControl/>
      <w:spacing w:before="100" w:beforeAutospacing="1" w:after="100" w:afterAutospacing="1"/>
    </w:pPr>
    <w:rPr>
      <w:rFonts w:ascii="宋体" w:eastAsia="宋体" w:hAnsi="宋体" w:cs="宋体"/>
      <w:kern w:val="0"/>
      <w:sz w:val="24"/>
      <w:szCs w:val="24"/>
    </w:rPr>
  </w:style>
  <w:style w:type="character" w:styleId="a5">
    <w:name w:val="Hyperlink"/>
    <w:basedOn w:val="a0"/>
    <w:uiPriority w:val="99"/>
    <w:unhideWhenUsed/>
    <w:rPr>
      <w:color w:val="0000FF"/>
      <w:u w:val="single"/>
    </w:rPr>
  </w:style>
  <w:style w:type="paragraph" w:customStyle="1" w:styleId="-3">
    <w:name w:val="-3"/>
    <w:basedOn w:val="a"/>
    <w:pPr>
      <w:widowControl/>
      <w:spacing w:before="100" w:beforeAutospacing="1" w:after="100" w:afterAutospacing="1"/>
    </w:pPr>
    <w:rPr>
      <w:rFonts w:ascii="宋体" w:eastAsia="宋体" w:hAnsi="宋体" w:cs="宋体"/>
      <w:kern w:val="0"/>
      <w:sz w:val="24"/>
      <w:szCs w:val="24"/>
    </w:rPr>
  </w:style>
  <w:style w:type="paragraph" w:styleId="a6">
    <w:name w:val="header"/>
    <w:basedOn w:val="a"/>
    <w:link w:val="Char"/>
    <w:uiPriority w:val="99"/>
    <w:unhideWhenUsed/>
    <w:rsid w:val="00B54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54A20"/>
    <w:rPr>
      <w:sz w:val="18"/>
      <w:szCs w:val="18"/>
    </w:rPr>
  </w:style>
  <w:style w:type="paragraph" w:styleId="a7">
    <w:name w:val="footer"/>
    <w:basedOn w:val="a"/>
    <w:link w:val="Char0"/>
    <w:uiPriority w:val="99"/>
    <w:unhideWhenUsed/>
    <w:rsid w:val="00B54A20"/>
    <w:pPr>
      <w:tabs>
        <w:tab w:val="center" w:pos="4153"/>
        <w:tab w:val="right" w:pos="8306"/>
      </w:tabs>
      <w:snapToGrid w:val="0"/>
    </w:pPr>
    <w:rPr>
      <w:sz w:val="18"/>
      <w:szCs w:val="18"/>
    </w:rPr>
  </w:style>
  <w:style w:type="character" w:customStyle="1" w:styleId="Char0">
    <w:name w:val="页脚 Char"/>
    <w:basedOn w:val="a0"/>
    <w:link w:val="a7"/>
    <w:uiPriority w:val="99"/>
    <w:rsid w:val="00B54A20"/>
    <w:rPr>
      <w:sz w:val="18"/>
      <w:szCs w:val="18"/>
    </w:rPr>
  </w:style>
  <w:style w:type="paragraph" w:styleId="a8">
    <w:name w:val="Balloon Text"/>
    <w:basedOn w:val="a"/>
    <w:link w:val="Char1"/>
    <w:uiPriority w:val="99"/>
    <w:semiHidden/>
    <w:unhideWhenUsed/>
    <w:rsid w:val="00B54A20"/>
    <w:rPr>
      <w:sz w:val="18"/>
      <w:szCs w:val="18"/>
    </w:rPr>
  </w:style>
  <w:style w:type="character" w:customStyle="1" w:styleId="Char1">
    <w:name w:val="批注框文本 Char"/>
    <w:basedOn w:val="a0"/>
    <w:link w:val="a8"/>
    <w:uiPriority w:val="99"/>
    <w:semiHidden/>
    <w:rsid w:val="00B54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212">
      <w:bodyDiv w:val="1"/>
      <w:marLeft w:val="0"/>
      <w:marRight w:val="0"/>
      <w:marTop w:val="0"/>
      <w:marBottom w:val="0"/>
      <w:divBdr>
        <w:top w:val="none" w:sz="0" w:space="0" w:color="auto"/>
        <w:left w:val="none" w:sz="0" w:space="0" w:color="auto"/>
        <w:bottom w:val="none" w:sz="0" w:space="0" w:color="auto"/>
        <w:right w:val="none" w:sz="0" w:space="0" w:color="auto"/>
      </w:divBdr>
    </w:div>
    <w:div w:id="14120778">
      <w:bodyDiv w:val="1"/>
      <w:marLeft w:val="0"/>
      <w:marRight w:val="0"/>
      <w:marTop w:val="0"/>
      <w:marBottom w:val="0"/>
      <w:divBdr>
        <w:top w:val="none" w:sz="0" w:space="0" w:color="auto"/>
        <w:left w:val="none" w:sz="0" w:space="0" w:color="auto"/>
        <w:bottom w:val="none" w:sz="0" w:space="0" w:color="auto"/>
        <w:right w:val="none" w:sz="0" w:space="0" w:color="auto"/>
      </w:divBdr>
    </w:div>
    <w:div w:id="21983231">
      <w:bodyDiv w:val="1"/>
      <w:marLeft w:val="0"/>
      <w:marRight w:val="0"/>
      <w:marTop w:val="0"/>
      <w:marBottom w:val="0"/>
      <w:divBdr>
        <w:top w:val="none" w:sz="0" w:space="0" w:color="auto"/>
        <w:left w:val="none" w:sz="0" w:space="0" w:color="auto"/>
        <w:bottom w:val="none" w:sz="0" w:space="0" w:color="auto"/>
        <w:right w:val="none" w:sz="0" w:space="0" w:color="auto"/>
      </w:divBdr>
    </w:div>
    <w:div w:id="35198225">
      <w:bodyDiv w:val="1"/>
      <w:marLeft w:val="0"/>
      <w:marRight w:val="0"/>
      <w:marTop w:val="0"/>
      <w:marBottom w:val="0"/>
      <w:divBdr>
        <w:top w:val="none" w:sz="0" w:space="0" w:color="auto"/>
        <w:left w:val="none" w:sz="0" w:space="0" w:color="auto"/>
        <w:bottom w:val="none" w:sz="0" w:space="0" w:color="auto"/>
        <w:right w:val="none" w:sz="0" w:space="0" w:color="auto"/>
      </w:divBdr>
    </w:div>
    <w:div w:id="38013992">
      <w:bodyDiv w:val="1"/>
      <w:marLeft w:val="0"/>
      <w:marRight w:val="0"/>
      <w:marTop w:val="0"/>
      <w:marBottom w:val="0"/>
      <w:divBdr>
        <w:top w:val="none" w:sz="0" w:space="0" w:color="auto"/>
        <w:left w:val="none" w:sz="0" w:space="0" w:color="auto"/>
        <w:bottom w:val="none" w:sz="0" w:space="0" w:color="auto"/>
        <w:right w:val="none" w:sz="0" w:space="0" w:color="auto"/>
      </w:divBdr>
    </w:div>
    <w:div w:id="41368463">
      <w:bodyDiv w:val="1"/>
      <w:marLeft w:val="0"/>
      <w:marRight w:val="0"/>
      <w:marTop w:val="0"/>
      <w:marBottom w:val="0"/>
      <w:divBdr>
        <w:top w:val="none" w:sz="0" w:space="0" w:color="auto"/>
        <w:left w:val="none" w:sz="0" w:space="0" w:color="auto"/>
        <w:bottom w:val="none" w:sz="0" w:space="0" w:color="auto"/>
        <w:right w:val="none" w:sz="0" w:space="0" w:color="auto"/>
      </w:divBdr>
    </w:div>
    <w:div w:id="58863967">
      <w:bodyDiv w:val="1"/>
      <w:marLeft w:val="0"/>
      <w:marRight w:val="0"/>
      <w:marTop w:val="0"/>
      <w:marBottom w:val="0"/>
      <w:divBdr>
        <w:top w:val="none" w:sz="0" w:space="0" w:color="auto"/>
        <w:left w:val="none" w:sz="0" w:space="0" w:color="auto"/>
        <w:bottom w:val="none" w:sz="0" w:space="0" w:color="auto"/>
        <w:right w:val="none" w:sz="0" w:space="0" w:color="auto"/>
      </w:divBdr>
    </w:div>
    <w:div w:id="60032671">
      <w:bodyDiv w:val="1"/>
      <w:marLeft w:val="0"/>
      <w:marRight w:val="0"/>
      <w:marTop w:val="0"/>
      <w:marBottom w:val="0"/>
      <w:divBdr>
        <w:top w:val="none" w:sz="0" w:space="0" w:color="auto"/>
        <w:left w:val="none" w:sz="0" w:space="0" w:color="auto"/>
        <w:bottom w:val="none" w:sz="0" w:space="0" w:color="auto"/>
        <w:right w:val="none" w:sz="0" w:space="0" w:color="auto"/>
      </w:divBdr>
    </w:div>
    <w:div w:id="63989343">
      <w:bodyDiv w:val="1"/>
      <w:marLeft w:val="0"/>
      <w:marRight w:val="0"/>
      <w:marTop w:val="0"/>
      <w:marBottom w:val="0"/>
      <w:divBdr>
        <w:top w:val="none" w:sz="0" w:space="0" w:color="auto"/>
        <w:left w:val="none" w:sz="0" w:space="0" w:color="auto"/>
        <w:bottom w:val="none" w:sz="0" w:space="0" w:color="auto"/>
        <w:right w:val="none" w:sz="0" w:space="0" w:color="auto"/>
      </w:divBdr>
    </w:div>
    <w:div w:id="70936068">
      <w:bodyDiv w:val="1"/>
      <w:marLeft w:val="0"/>
      <w:marRight w:val="0"/>
      <w:marTop w:val="0"/>
      <w:marBottom w:val="0"/>
      <w:divBdr>
        <w:top w:val="none" w:sz="0" w:space="0" w:color="auto"/>
        <w:left w:val="none" w:sz="0" w:space="0" w:color="auto"/>
        <w:bottom w:val="none" w:sz="0" w:space="0" w:color="auto"/>
        <w:right w:val="none" w:sz="0" w:space="0" w:color="auto"/>
      </w:divBdr>
    </w:div>
    <w:div w:id="72363175">
      <w:bodyDiv w:val="1"/>
      <w:marLeft w:val="0"/>
      <w:marRight w:val="0"/>
      <w:marTop w:val="0"/>
      <w:marBottom w:val="0"/>
      <w:divBdr>
        <w:top w:val="none" w:sz="0" w:space="0" w:color="auto"/>
        <w:left w:val="none" w:sz="0" w:space="0" w:color="auto"/>
        <w:bottom w:val="none" w:sz="0" w:space="0" w:color="auto"/>
        <w:right w:val="none" w:sz="0" w:space="0" w:color="auto"/>
      </w:divBdr>
    </w:div>
    <w:div w:id="72819906">
      <w:bodyDiv w:val="1"/>
      <w:marLeft w:val="0"/>
      <w:marRight w:val="0"/>
      <w:marTop w:val="0"/>
      <w:marBottom w:val="0"/>
      <w:divBdr>
        <w:top w:val="none" w:sz="0" w:space="0" w:color="auto"/>
        <w:left w:val="none" w:sz="0" w:space="0" w:color="auto"/>
        <w:bottom w:val="none" w:sz="0" w:space="0" w:color="auto"/>
        <w:right w:val="none" w:sz="0" w:space="0" w:color="auto"/>
      </w:divBdr>
    </w:div>
    <w:div w:id="79377250">
      <w:bodyDiv w:val="1"/>
      <w:marLeft w:val="0"/>
      <w:marRight w:val="0"/>
      <w:marTop w:val="0"/>
      <w:marBottom w:val="0"/>
      <w:divBdr>
        <w:top w:val="none" w:sz="0" w:space="0" w:color="auto"/>
        <w:left w:val="none" w:sz="0" w:space="0" w:color="auto"/>
        <w:bottom w:val="none" w:sz="0" w:space="0" w:color="auto"/>
        <w:right w:val="none" w:sz="0" w:space="0" w:color="auto"/>
      </w:divBdr>
    </w:div>
    <w:div w:id="86121762">
      <w:bodyDiv w:val="1"/>
      <w:marLeft w:val="0"/>
      <w:marRight w:val="0"/>
      <w:marTop w:val="0"/>
      <w:marBottom w:val="0"/>
      <w:divBdr>
        <w:top w:val="none" w:sz="0" w:space="0" w:color="auto"/>
        <w:left w:val="none" w:sz="0" w:space="0" w:color="auto"/>
        <w:bottom w:val="none" w:sz="0" w:space="0" w:color="auto"/>
        <w:right w:val="none" w:sz="0" w:space="0" w:color="auto"/>
      </w:divBdr>
    </w:div>
    <w:div w:id="96407211">
      <w:bodyDiv w:val="1"/>
      <w:marLeft w:val="0"/>
      <w:marRight w:val="0"/>
      <w:marTop w:val="0"/>
      <w:marBottom w:val="0"/>
      <w:divBdr>
        <w:top w:val="none" w:sz="0" w:space="0" w:color="auto"/>
        <w:left w:val="none" w:sz="0" w:space="0" w:color="auto"/>
        <w:bottom w:val="none" w:sz="0" w:space="0" w:color="auto"/>
        <w:right w:val="none" w:sz="0" w:space="0" w:color="auto"/>
      </w:divBdr>
    </w:div>
    <w:div w:id="110318345">
      <w:bodyDiv w:val="1"/>
      <w:marLeft w:val="0"/>
      <w:marRight w:val="0"/>
      <w:marTop w:val="0"/>
      <w:marBottom w:val="0"/>
      <w:divBdr>
        <w:top w:val="none" w:sz="0" w:space="0" w:color="auto"/>
        <w:left w:val="none" w:sz="0" w:space="0" w:color="auto"/>
        <w:bottom w:val="none" w:sz="0" w:space="0" w:color="auto"/>
        <w:right w:val="none" w:sz="0" w:space="0" w:color="auto"/>
      </w:divBdr>
    </w:div>
    <w:div w:id="112678384">
      <w:bodyDiv w:val="1"/>
      <w:marLeft w:val="0"/>
      <w:marRight w:val="0"/>
      <w:marTop w:val="0"/>
      <w:marBottom w:val="0"/>
      <w:divBdr>
        <w:top w:val="none" w:sz="0" w:space="0" w:color="auto"/>
        <w:left w:val="none" w:sz="0" w:space="0" w:color="auto"/>
        <w:bottom w:val="none" w:sz="0" w:space="0" w:color="auto"/>
        <w:right w:val="none" w:sz="0" w:space="0" w:color="auto"/>
      </w:divBdr>
    </w:div>
    <w:div w:id="125704891">
      <w:bodyDiv w:val="1"/>
      <w:marLeft w:val="0"/>
      <w:marRight w:val="0"/>
      <w:marTop w:val="0"/>
      <w:marBottom w:val="0"/>
      <w:divBdr>
        <w:top w:val="none" w:sz="0" w:space="0" w:color="auto"/>
        <w:left w:val="none" w:sz="0" w:space="0" w:color="auto"/>
        <w:bottom w:val="none" w:sz="0" w:space="0" w:color="auto"/>
        <w:right w:val="none" w:sz="0" w:space="0" w:color="auto"/>
      </w:divBdr>
    </w:div>
    <w:div w:id="131141556">
      <w:bodyDiv w:val="1"/>
      <w:marLeft w:val="0"/>
      <w:marRight w:val="0"/>
      <w:marTop w:val="0"/>
      <w:marBottom w:val="0"/>
      <w:divBdr>
        <w:top w:val="none" w:sz="0" w:space="0" w:color="auto"/>
        <w:left w:val="none" w:sz="0" w:space="0" w:color="auto"/>
        <w:bottom w:val="none" w:sz="0" w:space="0" w:color="auto"/>
        <w:right w:val="none" w:sz="0" w:space="0" w:color="auto"/>
      </w:divBdr>
    </w:div>
    <w:div w:id="132069805">
      <w:bodyDiv w:val="1"/>
      <w:marLeft w:val="0"/>
      <w:marRight w:val="0"/>
      <w:marTop w:val="0"/>
      <w:marBottom w:val="0"/>
      <w:divBdr>
        <w:top w:val="none" w:sz="0" w:space="0" w:color="auto"/>
        <w:left w:val="none" w:sz="0" w:space="0" w:color="auto"/>
        <w:bottom w:val="none" w:sz="0" w:space="0" w:color="auto"/>
        <w:right w:val="none" w:sz="0" w:space="0" w:color="auto"/>
      </w:divBdr>
    </w:div>
    <w:div w:id="134874547">
      <w:bodyDiv w:val="1"/>
      <w:marLeft w:val="0"/>
      <w:marRight w:val="0"/>
      <w:marTop w:val="0"/>
      <w:marBottom w:val="0"/>
      <w:divBdr>
        <w:top w:val="none" w:sz="0" w:space="0" w:color="auto"/>
        <w:left w:val="none" w:sz="0" w:space="0" w:color="auto"/>
        <w:bottom w:val="none" w:sz="0" w:space="0" w:color="auto"/>
        <w:right w:val="none" w:sz="0" w:space="0" w:color="auto"/>
      </w:divBdr>
    </w:div>
    <w:div w:id="135798992">
      <w:bodyDiv w:val="1"/>
      <w:marLeft w:val="0"/>
      <w:marRight w:val="0"/>
      <w:marTop w:val="0"/>
      <w:marBottom w:val="0"/>
      <w:divBdr>
        <w:top w:val="none" w:sz="0" w:space="0" w:color="auto"/>
        <w:left w:val="none" w:sz="0" w:space="0" w:color="auto"/>
        <w:bottom w:val="none" w:sz="0" w:space="0" w:color="auto"/>
        <w:right w:val="none" w:sz="0" w:space="0" w:color="auto"/>
      </w:divBdr>
    </w:div>
    <w:div w:id="150490765">
      <w:bodyDiv w:val="1"/>
      <w:marLeft w:val="0"/>
      <w:marRight w:val="0"/>
      <w:marTop w:val="0"/>
      <w:marBottom w:val="0"/>
      <w:divBdr>
        <w:top w:val="none" w:sz="0" w:space="0" w:color="auto"/>
        <w:left w:val="none" w:sz="0" w:space="0" w:color="auto"/>
        <w:bottom w:val="none" w:sz="0" w:space="0" w:color="auto"/>
        <w:right w:val="none" w:sz="0" w:space="0" w:color="auto"/>
      </w:divBdr>
    </w:div>
    <w:div w:id="171145948">
      <w:bodyDiv w:val="1"/>
      <w:marLeft w:val="0"/>
      <w:marRight w:val="0"/>
      <w:marTop w:val="0"/>
      <w:marBottom w:val="0"/>
      <w:divBdr>
        <w:top w:val="none" w:sz="0" w:space="0" w:color="auto"/>
        <w:left w:val="none" w:sz="0" w:space="0" w:color="auto"/>
        <w:bottom w:val="none" w:sz="0" w:space="0" w:color="auto"/>
        <w:right w:val="none" w:sz="0" w:space="0" w:color="auto"/>
      </w:divBdr>
    </w:div>
    <w:div w:id="171182967">
      <w:bodyDiv w:val="1"/>
      <w:marLeft w:val="0"/>
      <w:marRight w:val="0"/>
      <w:marTop w:val="0"/>
      <w:marBottom w:val="0"/>
      <w:divBdr>
        <w:top w:val="none" w:sz="0" w:space="0" w:color="auto"/>
        <w:left w:val="none" w:sz="0" w:space="0" w:color="auto"/>
        <w:bottom w:val="none" w:sz="0" w:space="0" w:color="auto"/>
        <w:right w:val="none" w:sz="0" w:space="0" w:color="auto"/>
      </w:divBdr>
    </w:div>
    <w:div w:id="171187632">
      <w:bodyDiv w:val="1"/>
      <w:marLeft w:val="0"/>
      <w:marRight w:val="0"/>
      <w:marTop w:val="0"/>
      <w:marBottom w:val="0"/>
      <w:divBdr>
        <w:top w:val="none" w:sz="0" w:space="0" w:color="auto"/>
        <w:left w:val="none" w:sz="0" w:space="0" w:color="auto"/>
        <w:bottom w:val="none" w:sz="0" w:space="0" w:color="auto"/>
        <w:right w:val="none" w:sz="0" w:space="0" w:color="auto"/>
      </w:divBdr>
    </w:div>
    <w:div w:id="173691422">
      <w:bodyDiv w:val="1"/>
      <w:marLeft w:val="0"/>
      <w:marRight w:val="0"/>
      <w:marTop w:val="0"/>
      <w:marBottom w:val="0"/>
      <w:divBdr>
        <w:top w:val="none" w:sz="0" w:space="0" w:color="auto"/>
        <w:left w:val="none" w:sz="0" w:space="0" w:color="auto"/>
        <w:bottom w:val="none" w:sz="0" w:space="0" w:color="auto"/>
        <w:right w:val="none" w:sz="0" w:space="0" w:color="auto"/>
      </w:divBdr>
    </w:div>
    <w:div w:id="176894477">
      <w:bodyDiv w:val="1"/>
      <w:marLeft w:val="0"/>
      <w:marRight w:val="0"/>
      <w:marTop w:val="0"/>
      <w:marBottom w:val="0"/>
      <w:divBdr>
        <w:top w:val="none" w:sz="0" w:space="0" w:color="auto"/>
        <w:left w:val="none" w:sz="0" w:space="0" w:color="auto"/>
        <w:bottom w:val="none" w:sz="0" w:space="0" w:color="auto"/>
        <w:right w:val="none" w:sz="0" w:space="0" w:color="auto"/>
      </w:divBdr>
    </w:div>
    <w:div w:id="185950819">
      <w:bodyDiv w:val="1"/>
      <w:marLeft w:val="0"/>
      <w:marRight w:val="0"/>
      <w:marTop w:val="0"/>
      <w:marBottom w:val="0"/>
      <w:divBdr>
        <w:top w:val="none" w:sz="0" w:space="0" w:color="auto"/>
        <w:left w:val="none" w:sz="0" w:space="0" w:color="auto"/>
        <w:bottom w:val="none" w:sz="0" w:space="0" w:color="auto"/>
        <w:right w:val="none" w:sz="0" w:space="0" w:color="auto"/>
      </w:divBdr>
    </w:div>
    <w:div w:id="215967778">
      <w:bodyDiv w:val="1"/>
      <w:marLeft w:val="0"/>
      <w:marRight w:val="0"/>
      <w:marTop w:val="0"/>
      <w:marBottom w:val="0"/>
      <w:divBdr>
        <w:top w:val="none" w:sz="0" w:space="0" w:color="auto"/>
        <w:left w:val="none" w:sz="0" w:space="0" w:color="auto"/>
        <w:bottom w:val="none" w:sz="0" w:space="0" w:color="auto"/>
        <w:right w:val="none" w:sz="0" w:space="0" w:color="auto"/>
      </w:divBdr>
    </w:div>
    <w:div w:id="218825527">
      <w:bodyDiv w:val="1"/>
      <w:marLeft w:val="0"/>
      <w:marRight w:val="0"/>
      <w:marTop w:val="0"/>
      <w:marBottom w:val="0"/>
      <w:divBdr>
        <w:top w:val="none" w:sz="0" w:space="0" w:color="auto"/>
        <w:left w:val="none" w:sz="0" w:space="0" w:color="auto"/>
        <w:bottom w:val="none" w:sz="0" w:space="0" w:color="auto"/>
        <w:right w:val="none" w:sz="0" w:space="0" w:color="auto"/>
      </w:divBdr>
    </w:div>
    <w:div w:id="230700566">
      <w:bodyDiv w:val="1"/>
      <w:marLeft w:val="0"/>
      <w:marRight w:val="0"/>
      <w:marTop w:val="0"/>
      <w:marBottom w:val="0"/>
      <w:divBdr>
        <w:top w:val="none" w:sz="0" w:space="0" w:color="auto"/>
        <w:left w:val="none" w:sz="0" w:space="0" w:color="auto"/>
        <w:bottom w:val="none" w:sz="0" w:space="0" w:color="auto"/>
        <w:right w:val="none" w:sz="0" w:space="0" w:color="auto"/>
      </w:divBdr>
    </w:div>
    <w:div w:id="246698136">
      <w:bodyDiv w:val="1"/>
      <w:marLeft w:val="0"/>
      <w:marRight w:val="0"/>
      <w:marTop w:val="0"/>
      <w:marBottom w:val="0"/>
      <w:divBdr>
        <w:top w:val="none" w:sz="0" w:space="0" w:color="auto"/>
        <w:left w:val="none" w:sz="0" w:space="0" w:color="auto"/>
        <w:bottom w:val="none" w:sz="0" w:space="0" w:color="auto"/>
        <w:right w:val="none" w:sz="0" w:space="0" w:color="auto"/>
      </w:divBdr>
    </w:div>
    <w:div w:id="258374607">
      <w:bodyDiv w:val="1"/>
      <w:marLeft w:val="0"/>
      <w:marRight w:val="0"/>
      <w:marTop w:val="0"/>
      <w:marBottom w:val="0"/>
      <w:divBdr>
        <w:top w:val="none" w:sz="0" w:space="0" w:color="auto"/>
        <w:left w:val="none" w:sz="0" w:space="0" w:color="auto"/>
        <w:bottom w:val="none" w:sz="0" w:space="0" w:color="auto"/>
        <w:right w:val="none" w:sz="0" w:space="0" w:color="auto"/>
      </w:divBdr>
    </w:div>
    <w:div w:id="274141828">
      <w:bodyDiv w:val="1"/>
      <w:marLeft w:val="0"/>
      <w:marRight w:val="0"/>
      <w:marTop w:val="0"/>
      <w:marBottom w:val="0"/>
      <w:divBdr>
        <w:top w:val="none" w:sz="0" w:space="0" w:color="auto"/>
        <w:left w:val="none" w:sz="0" w:space="0" w:color="auto"/>
        <w:bottom w:val="none" w:sz="0" w:space="0" w:color="auto"/>
        <w:right w:val="none" w:sz="0" w:space="0" w:color="auto"/>
      </w:divBdr>
    </w:div>
    <w:div w:id="275528742">
      <w:bodyDiv w:val="1"/>
      <w:marLeft w:val="0"/>
      <w:marRight w:val="0"/>
      <w:marTop w:val="0"/>
      <w:marBottom w:val="0"/>
      <w:divBdr>
        <w:top w:val="none" w:sz="0" w:space="0" w:color="auto"/>
        <w:left w:val="none" w:sz="0" w:space="0" w:color="auto"/>
        <w:bottom w:val="none" w:sz="0" w:space="0" w:color="auto"/>
        <w:right w:val="none" w:sz="0" w:space="0" w:color="auto"/>
      </w:divBdr>
    </w:div>
    <w:div w:id="278881033">
      <w:bodyDiv w:val="1"/>
      <w:marLeft w:val="0"/>
      <w:marRight w:val="0"/>
      <w:marTop w:val="0"/>
      <w:marBottom w:val="0"/>
      <w:divBdr>
        <w:top w:val="none" w:sz="0" w:space="0" w:color="auto"/>
        <w:left w:val="none" w:sz="0" w:space="0" w:color="auto"/>
        <w:bottom w:val="none" w:sz="0" w:space="0" w:color="auto"/>
        <w:right w:val="none" w:sz="0" w:space="0" w:color="auto"/>
      </w:divBdr>
    </w:div>
    <w:div w:id="278992981">
      <w:bodyDiv w:val="1"/>
      <w:marLeft w:val="0"/>
      <w:marRight w:val="0"/>
      <w:marTop w:val="0"/>
      <w:marBottom w:val="0"/>
      <w:divBdr>
        <w:top w:val="none" w:sz="0" w:space="0" w:color="auto"/>
        <w:left w:val="none" w:sz="0" w:space="0" w:color="auto"/>
        <w:bottom w:val="none" w:sz="0" w:space="0" w:color="auto"/>
        <w:right w:val="none" w:sz="0" w:space="0" w:color="auto"/>
      </w:divBdr>
    </w:div>
    <w:div w:id="283847309">
      <w:bodyDiv w:val="1"/>
      <w:marLeft w:val="0"/>
      <w:marRight w:val="0"/>
      <w:marTop w:val="0"/>
      <w:marBottom w:val="0"/>
      <w:divBdr>
        <w:top w:val="none" w:sz="0" w:space="0" w:color="auto"/>
        <w:left w:val="none" w:sz="0" w:space="0" w:color="auto"/>
        <w:bottom w:val="none" w:sz="0" w:space="0" w:color="auto"/>
        <w:right w:val="none" w:sz="0" w:space="0" w:color="auto"/>
      </w:divBdr>
    </w:div>
    <w:div w:id="291644161">
      <w:bodyDiv w:val="1"/>
      <w:marLeft w:val="0"/>
      <w:marRight w:val="0"/>
      <w:marTop w:val="0"/>
      <w:marBottom w:val="0"/>
      <w:divBdr>
        <w:top w:val="none" w:sz="0" w:space="0" w:color="auto"/>
        <w:left w:val="none" w:sz="0" w:space="0" w:color="auto"/>
        <w:bottom w:val="none" w:sz="0" w:space="0" w:color="auto"/>
        <w:right w:val="none" w:sz="0" w:space="0" w:color="auto"/>
      </w:divBdr>
    </w:div>
    <w:div w:id="292447937">
      <w:bodyDiv w:val="1"/>
      <w:marLeft w:val="0"/>
      <w:marRight w:val="0"/>
      <w:marTop w:val="0"/>
      <w:marBottom w:val="0"/>
      <w:divBdr>
        <w:top w:val="none" w:sz="0" w:space="0" w:color="auto"/>
        <w:left w:val="none" w:sz="0" w:space="0" w:color="auto"/>
        <w:bottom w:val="none" w:sz="0" w:space="0" w:color="auto"/>
        <w:right w:val="none" w:sz="0" w:space="0" w:color="auto"/>
      </w:divBdr>
    </w:div>
    <w:div w:id="299580931">
      <w:bodyDiv w:val="1"/>
      <w:marLeft w:val="0"/>
      <w:marRight w:val="0"/>
      <w:marTop w:val="0"/>
      <w:marBottom w:val="0"/>
      <w:divBdr>
        <w:top w:val="none" w:sz="0" w:space="0" w:color="auto"/>
        <w:left w:val="none" w:sz="0" w:space="0" w:color="auto"/>
        <w:bottom w:val="none" w:sz="0" w:space="0" w:color="auto"/>
        <w:right w:val="none" w:sz="0" w:space="0" w:color="auto"/>
      </w:divBdr>
    </w:div>
    <w:div w:id="299848225">
      <w:bodyDiv w:val="1"/>
      <w:marLeft w:val="0"/>
      <w:marRight w:val="0"/>
      <w:marTop w:val="0"/>
      <w:marBottom w:val="0"/>
      <w:divBdr>
        <w:top w:val="none" w:sz="0" w:space="0" w:color="auto"/>
        <w:left w:val="none" w:sz="0" w:space="0" w:color="auto"/>
        <w:bottom w:val="none" w:sz="0" w:space="0" w:color="auto"/>
        <w:right w:val="none" w:sz="0" w:space="0" w:color="auto"/>
      </w:divBdr>
    </w:div>
    <w:div w:id="301427605">
      <w:bodyDiv w:val="1"/>
      <w:marLeft w:val="0"/>
      <w:marRight w:val="0"/>
      <w:marTop w:val="0"/>
      <w:marBottom w:val="0"/>
      <w:divBdr>
        <w:top w:val="none" w:sz="0" w:space="0" w:color="auto"/>
        <w:left w:val="none" w:sz="0" w:space="0" w:color="auto"/>
        <w:bottom w:val="none" w:sz="0" w:space="0" w:color="auto"/>
        <w:right w:val="none" w:sz="0" w:space="0" w:color="auto"/>
      </w:divBdr>
    </w:div>
    <w:div w:id="302850595">
      <w:bodyDiv w:val="1"/>
      <w:marLeft w:val="0"/>
      <w:marRight w:val="0"/>
      <w:marTop w:val="0"/>
      <w:marBottom w:val="0"/>
      <w:divBdr>
        <w:top w:val="none" w:sz="0" w:space="0" w:color="auto"/>
        <w:left w:val="none" w:sz="0" w:space="0" w:color="auto"/>
        <w:bottom w:val="none" w:sz="0" w:space="0" w:color="auto"/>
        <w:right w:val="none" w:sz="0" w:space="0" w:color="auto"/>
      </w:divBdr>
    </w:div>
    <w:div w:id="306587972">
      <w:bodyDiv w:val="1"/>
      <w:marLeft w:val="0"/>
      <w:marRight w:val="0"/>
      <w:marTop w:val="0"/>
      <w:marBottom w:val="0"/>
      <w:divBdr>
        <w:top w:val="none" w:sz="0" w:space="0" w:color="auto"/>
        <w:left w:val="none" w:sz="0" w:space="0" w:color="auto"/>
        <w:bottom w:val="none" w:sz="0" w:space="0" w:color="auto"/>
        <w:right w:val="none" w:sz="0" w:space="0" w:color="auto"/>
      </w:divBdr>
    </w:div>
    <w:div w:id="312296935">
      <w:bodyDiv w:val="1"/>
      <w:marLeft w:val="0"/>
      <w:marRight w:val="0"/>
      <w:marTop w:val="0"/>
      <w:marBottom w:val="0"/>
      <w:divBdr>
        <w:top w:val="none" w:sz="0" w:space="0" w:color="auto"/>
        <w:left w:val="none" w:sz="0" w:space="0" w:color="auto"/>
        <w:bottom w:val="none" w:sz="0" w:space="0" w:color="auto"/>
        <w:right w:val="none" w:sz="0" w:space="0" w:color="auto"/>
      </w:divBdr>
    </w:div>
    <w:div w:id="325134147">
      <w:bodyDiv w:val="1"/>
      <w:marLeft w:val="0"/>
      <w:marRight w:val="0"/>
      <w:marTop w:val="0"/>
      <w:marBottom w:val="0"/>
      <w:divBdr>
        <w:top w:val="none" w:sz="0" w:space="0" w:color="auto"/>
        <w:left w:val="none" w:sz="0" w:space="0" w:color="auto"/>
        <w:bottom w:val="none" w:sz="0" w:space="0" w:color="auto"/>
        <w:right w:val="none" w:sz="0" w:space="0" w:color="auto"/>
      </w:divBdr>
    </w:div>
    <w:div w:id="333071997">
      <w:bodyDiv w:val="1"/>
      <w:marLeft w:val="0"/>
      <w:marRight w:val="0"/>
      <w:marTop w:val="0"/>
      <w:marBottom w:val="0"/>
      <w:divBdr>
        <w:top w:val="none" w:sz="0" w:space="0" w:color="auto"/>
        <w:left w:val="none" w:sz="0" w:space="0" w:color="auto"/>
        <w:bottom w:val="none" w:sz="0" w:space="0" w:color="auto"/>
        <w:right w:val="none" w:sz="0" w:space="0" w:color="auto"/>
      </w:divBdr>
    </w:div>
    <w:div w:id="334454570">
      <w:bodyDiv w:val="1"/>
      <w:marLeft w:val="0"/>
      <w:marRight w:val="0"/>
      <w:marTop w:val="0"/>
      <w:marBottom w:val="0"/>
      <w:divBdr>
        <w:top w:val="none" w:sz="0" w:space="0" w:color="auto"/>
        <w:left w:val="none" w:sz="0" w:space="0" w:color="auto"/>
        <w:bottom w:val="none" w:sz="0" w:space="0" w:color="auto"/>
        <w:right w:val="none" w:sz="0" w:space="0" w:color="auto"/>
      </w:divBdr>
    </w:div>
    <w:div w:id="341512086">
      <w:bodyDiv w:val="1"/>
      <w:marLeft w:val="0"/>
      <w:marRight w:val="0"/>
      <w:marTop w:val="0"/>
      <w:marBottom w:val="0"/>
      <w:divBdr>
        <w:top w:val="none" w:sz="0" w:space="0" w:color="auto"/>
        <w:left w:val="none" w:sz="0" w:space="0" w:color="auto"/>
        <w:bottom w:val="none" w:sz="0" w:space="0" w:color="auto"/>
        <w:right w:val="none" w:sz="0" w:space="0" w:color="auto"/>
      </w:divBdr>
    </w:div>
    <w:div w:id="341665024">
      <w:bodyDiv w:val="1"/>
      <w:marLeft w:val="0"/>
      <w:marRight w:val="0"/>
      <w:marTop w:val="0"/>
      <w:marBottom w:val="0"/>
      <w:divBdr>
        <w:top w:val="none" w:sz="0" w:space="0" w:color="auto"/>
        <w:left w:val="none" w:sz="0" w:space="0" w:color="auto"/>
        <w:bottom w:val="none" w:sz="0" w:space="0" w:color="auto"/>
        <w:right w:val="none" w:sz="0" w:space="0" w:color="auto"/>
      </w:divBdr>
    </w:div>
    <w:div w:id="342127720">
      <w:bodyDiv w:val="1"/>
      <w:marLeft w:val="0"/>
      <w:marRight w:val="0"/>
      <w:marTop w:val="0"/>
      <w:marBottom w:val="0"/>
      <w:divBdr>
        <w:top w:val="none" w:sz="0" w:space="0" w:color="auto"/>
        <w:left w:val="none" w:sz="0" w:space="0" w:color="auto"/>
        <w:bottom w:val="none" w:sz="0" w:space="0" w:color="auto"/>
        <w:right w:val="none" w:sz="0" w:space="0" w:color="auto"/>
      </w:divBdr>
    </w:div>
    <w:div w:id="343287415">
      <w:bodyDiv w:val="1"/>
      <w:marLeft w:val="0"/>
      <w:marRight w:val="0"/>
      <w:marTop w:val="0"/>
      <w:marBottom w:val="0"/>
      <w:divBdr>
        <w:top w:val="none" w:sz="0" w:space="0" w:color="auto"/>
        <w:left w:val="none" w:sz="0" w:space="0" w:color="auto"/>
        <w:bottom w:val="none" w:sz="0" w:space="0" w:color="auto"/>
        <w:right w:val="none" w:sz="0" w:space="0" w:color="auto"/>
      </w:divBdr>
    </w:div>
    <w:div w:id="353115259">
      <w:bodyDiv w:val="1"/>
      <w:marLeft w:val="0"/>
      <w:marRight w:val="0"/>
      <w:marTop w:val="0"/>
      <w:marBottom w:val="0"/>
      <w:divBdr>
        <w:top w:val="none" w:sz="0" w:space="0" w:color="auto"/>
        <w:left w:val="none" w:sz="0" w:space="0" w:color="auto"/>
        <w:bottom w:val="none" w:sz="0" w:space="0" w:color="auto"/>
        <w:right w:val="none" w:sz="0" w:space="0" w:color="auto"/>
      </w:divBdr>
    </w:div>
    <w:div w:id="357236934">
      <w:bodyDiv w:val="1"/>
      <w:marLeft w:val="0"/>
      <w:marRight w:val="0"/>
      <w:marTop w:val="0"/>
      <w:marBottom w:val="0"/>
      <w:divBdr>
        <w:top w:val="none" w:sz="0" w:space="0" w:color="auto"/>
        <w:left w:val="none" w:sz="0" w:space="0" w:color="auto"/>
        <w:bottom w:val="none" w:sz="0" w:space="0" w:color="auto"/>
        <w:right w:val="none" w:sz="0" w:space="0" w:color="auto"/>
      </w:divBdr>
    </w:div>
    <w:div w:id="358045886">
      <w:bodyDiv w:val="1"/>
      <w:marLeft w:val="0"/>
      <w:marRight w:val="0"/>
      <w:marTop w:val="0"/>
      <w:marBottom w:val="0"/>
      <w:divBdr>
        <w:top w:val="none" w:sz="0" w:space="0" w:color="auto"/>
        <w:left w:val="none" w:sz="0" w:space="0" w:color="auto"/>
        <w:bottom w:val="none" w:sz="0" w:space="0" w:color="auto"/>
        <w:right w:val="none" w:sz="0" w:space="0" w:color="auto"/>
      </w:divBdr>
    </w:div>
    <w:div w:id="358507505">
      <w:bodyDiv w:val="1"/>
      <w:marLeft w:val="0"/>
      <w:marRight w:val="0"/>
      <w:marTop w:val="0"/>
      <w:marBottom w:val="0"/>
      <w:divBdr>
        <w:top w:val="none" w:sz="0" w:space="0" w:color="auto"/>
        <w:left w:val="none" w:sz="0" w:space="0" w:color="auto"/>
        <w:bottom w:val="none" w:sz="0" w:space="0" w:color="auto"/>
        <w:right w:val="none" w:sz="0" w:space="0" w:color="auto"/>
      </w:divBdr>
    </w:div>
    <w:div w:id="359401980">
      <w:bodyDiv w:val="1"/>
      <w:marLeft w:val="0"/>
      <w:marRight w:val="0"/>
      <w:marTop w:val="0"/>
      <w:marBottom w:val="0"/>
      <w:divBdr>
        <w:top w:val="none" w:sz="0" w:space="0" w:color="auto"/>
        <w:left w:val="none" w:sz="0" w:space="0" w:color="auto"/>
        <w:bottom w:val="none" w:sz="0" w:space="0" w:color="auto"/>
        <w:right w:val="none" w:sz="0" w:space="0" w:color="auto"/>
      </w:divBdr>
    </w:div>
    <w:div w:id="364789716">
      <w:bodyDiv w:val="1"/>
      <w:marLeft w:val="0"/>
      <w:marRight w:val="0"/>
      <w:marTop w:val="0"/>
      <w:marBottom w:val="0"/>
      <w:divBdr>
        <w:top w:val="none" w:sz="0" w:space="0" w:color="auto"/>
        <w:left w:val="none" w:sz="0" w:space="0" w:color="auto"/>
        <w:bottom w:val="none" w:sz="0" w:space="0" w:color="auto"/>
        <w:right w:val="none" w:sz="0" w:space="0" w:color="auto"/>
      </w:divBdr>
    </w:div>
    <w:div w:id="368191810">
      <w:bodyDiv w:val="1"/>
      <w:marLeft w:val="0"/>
      <w:marRight w:val="0"/>
      <w:marTop w:val="0"/>
      <w:marBottom w:val="0"/>
      <w:divBdr>
        <w:top w:val="none" w:sz="0" w:space="0" w:color="auto"/>
        <w:left w:val="none" w:sz="0" w:space="0" w:color="auto"/>
        <w:bottom w:val="none" w:sz="0" w:space="0" w:color="auto"/>
        <w:right w:val="none" w:sz="0" w:space="0" w:color="auto"/>
      </w:divBdr>
    </w:div>
    <w:div w:id="374623444">
      <w:bodyDiv w:val="1"/>
      <w:marLeft w:val="0"/>
      <w:marRight w:val="0"/>
      <w:marTop w:val="0"/>
      <w:marBottom w:val="0"/>
      <w:divBdr>
        <w:top w:val="none" w:sz="0" w:space="0" w:color="auto"/>
        <w:left w:val="none" w:sz="0" w:space="0" w:color="auto"/>
        <w:bottom w:val="none" w:sz="0" w:space="0" w:color="auto"/>
        <w:right w:val="none" w:sz="0" w:space="0" w:color="auto"/>
      </w:divBdr>
    </w:div>
    <w:div w:id="384304187">
      <w:bodyDiv w:val="1"/>
      <w:marLeft w:val="0"/>
      <w:marRight w:val="0"/>
      <w:marTop w:val="0"/>
      <w:marBottom w:val="0"/>
      <w:divBdr>
        <w:top w:val="none" w:sz="0" w:space="0" w:color="auto"/>
        <w:left w:val="none" w:sz="0" w:space="0" w:color="auto"/>
        <w:bottom w:val="none" w:sz="0" w:space="0" w:color="auto"/>
        <w:right w:val="none" w:sz="0" w:space="0" w:color="auto"/>
      </w:divBdr>
    </w:div>
    <w:div w:id="384766851">
      <w:bodyDiv w:val="1"/>
      <w:marLeft w:val="0"/>
      <w:marRight w:val="0"/>
      <w:marTop w:val="0"/>
      <w:marBottom w:val="0"/>
      <w:divBdr>
        <w:top w:val="none" w:sz="0" w:space="0" w:color="auto"/>
        <w:left w:val="none" w:sz="0" w:space="0" w:color="auto"/>
        <w:bottom w:val="none" w:sz="0" w:space="0" w:color="auto"/>
        <w:right w:val="none" w:sz="0" w:space="0" w:color="auto"/>
      </w:divBdr>
    </w:div>
    <w:div w:id="388581092">
      <w:bodyDiv w:val="1"/>
      <w:marLeft w:val="0"/>
      <w:marRight w:val="0"/>
      <w:marTop w:val="0"/>
      <w:marBottom w:val="0"/>
      <w:divBdr>
        <w:top w:val="none" w:sz="0" w:space="0" w:color="auto"/>
        <w:left w:val="none" w:sz="0" w:space="0" w:color="auto"/>
        <w:bottom w:val="none" w:sz="0" w:space="0" w:color="auto"/>
        <w:right w:val="none" w:sz="0" w:space="0" w:color="auto"/>
      </w:divBdr>
    </w:div>
    <w:div w:id="400716886">
      <w:bodyDiv w:val="1"/>
      <w:marLeft w:val="0"/>
      <w:marRight w:val="0"/>
      <w:marTop w:val="0"/>
      <w:marBottom w:val="0"/>
      <w:divBdr>
        <w:top w:val="none" w:sz="0" w:space="0" w:color="auto"/>
        <w:left w:val="none" w:sz="0" w:space="0" w:color="auto"/>
        <w:bottom w:val="none" w:sz="0" w:space="0" w:color="auto"/>
        <w:right w:val="none" w:sz="0" w:space="0" w:color="auto"/>
      </w:divBdr>
    </w:div>
    <w:div w:id="401294093">
      <w:bodyDiv w:val="1"/>
      <w:marLeft w:val="0"/>
      <w:marRight w:val="0"/>
      <w:marTop w:val="0"/>
      <w:marBottom w:val="0"/>
      <w:divBdr>
        <w:top w:val="none" w:sz="0" w:space="0" w:color="auto"/>
        <w:left w:val="none" w:sz="0" w:space="0" w:color="auto"/>
        <w:bottom w:val="none" w:sz="0" w:space="0" w:color="auto"/>
        <w:right w:val="none" w:sz="0" w:space="0" w:color="auto"/>
      </w:divBdr>
    </w:div>
    <w:div w:id="403064088">
      <w:bodyDiv w:val="1"/>
      <w:marLeft w:val="0"/>
      <w:marRight w:val="0"/>
      <w:marTop w:val="0"/>
      <w:marBottom w:val="0"/>
      <w:divBdr>
        <w:top w:val="none" w:sz="0" w:space="0" w:color="auto"/>
        <w:left w:val="none" w:sz="0" w:space="0" w:color="auto"/>
        <w:bottom w:val="none" w:sz="0" w:space="0" w:color="auto"/>
        <w:right w:val="none" w:sz="0" w:space="0" w:color="auto"/>
      </w:divBdr>
    </w:div>
    <w:div w:id="405344764">
      <w:bodyDiv w:val="1"/>
      <w:marLeft w:val="0"/>
      <w:marRight w:val="0"/>
      <w:marTop w:val="0"/>
      <w:marBottom w:val="0"/>
      <w:divBdr>
        <w:top w:val="none" w:sz="0" w:space="0" w:color="auto"/>
        <w:left w:val="none" w:sz="0" w:space="0" w:color="auto"/>
        <w:bottom w:val="none" w:sz="0" w:space="0" w:color="auto"/>
        <w:right w:val="none" w:sz="0" w:space="0" w:color="auto"/>
      </w:divBdr>
    </w:div>
    <w:div w:id="411783940">
      <w:bodyDiv w:val="1"/>
      <w:marLeft w:val="0"/>
      <w:marRight w:val="0"/>
      <w:marTop w:val="0"/>
      <w:marBottom w:val="0"/>
      <w:divBdr>
        <w:top w:val="none" w:sz="0" w:space="0" w:color="auto"/>
        <w:left w:val="none" w:sz="0" w:space="0" w:color="auto"/>
        <w:bottom w:val="none" w:sz="0" w:space="0" w:color="auto"/>
        <w:right w:val="none" w:sz="0" w:space="0" w:color="auto"/>
      </w:divBdr>
    </w:div>
    <w:div w:id="421754605">
      <w:bodyDiv w:val="1"/>
      <w:marLeft w:val="0"/>
      <w:marRight w:val="0"/>
      <w:marTop w:val="0"/>
      <w:marBottom w:val="0"/>
      <w:divBdr>
        <w:top w:val="none" w:sz="0" w:space="0" w:color="auto"/>
        <w:left w:val="none" w:sz="0" w:space="0" w:color="auto"/>
        <w:bottom w:val="none" w:sz="0" w:space="0" w:color="auto"/>
        <w:right w:val="none" w:sz="0" w:space="0" w:color="auto"/>
      </w:divBdr>
    </w:div>
    <w:div w:id="428702049">
      <w:bodyDiv w:val="1"/>
      <w:marLeft w:val="0"/>
      <w:marRight w:val="0"/>
      <w:marTop w:val="0"/>
      <w:marBottom w:val="0"/>
      <w:divBdr>
        <w:top w:val="none" w:sz="0" w:space="0" w:color="auto"/>
        <w:left w:val="none" w:sz="0" w:space="0" w:color="auto"/>
        <w:bottom w:val="none" w:sz="0" w:space="0" w:color="auto"/>
        <w:right w:val="none" w:sz="0" w:space="0" w:color="auto"/>
      </w:divBdr>
    </w:div>
    <w:div w:id="443815497">
      <w:bodyDiv w:val="1"/>
      <w:marLeft w:val="0"/>
      <w:marRight w:val="0"/>
      <w:marTop w:val="0"/>
      <w:marBottom w:val="0"/>
      <w:divBdr>
        <w:top w:val="none" w:sz="0" w:space="0" w:color="auto"/>
        <w:left w:val="none" w:sz="0" w:space="0" w:color="auto"/>
        <w:bottom w:val="none" w:sz="0" w:space="0" w:color="auto"/>
        <w:right w:val="none" w:sz="0" w:space="0" w:color="auto"/>
      </w:divBdr>
    </w:div>
    <w:div w:id="446706840">
      <w:bodyDiv w:val="1"/>
      <w:marLeft w:val="0"/>
      <w:marRight w:val="0"/>
      <w:marTop w:val="0"/>
      <w:marBottom w:val="0"/>
      <w:divBdr>
        <w:top w:val="none" w:sz="0" w:space="0" w:color="auto"/>
        <w:left w:val="none" w:sz="0" w:space="0" w:color="auto"/>
        <w:bottom w:val="none" w:sz="0" w:space="0" w:color="auto"/>
        <w:right w:val="none" w:sz="0" w:space="0" w:color="auto"/>
      </w:divBdr>
    </w:div>
    <w:div w:id="455607119">
      <w:bodyDiv w:val="1"/>
      <w:marLeft w:val="0"/>
      <w:marRight w:val="0"/>
      <w:marTop w:val="0"/>
      <w:marBottom w:val="0"/>
      <w:divBdr>
        <w:top w:val="none" w:sz="0" w:space="0" w:color="auto"/>
        <w:left w:val="none" w:sz="0" w:space="0" w:color="auto"/>
        <w:bottom w:val="none" w:sz="0" w:space="0" w:color="auto"/>
        <w:right w:val="none" w:sz="0" w:space="0" w:color="auto"/>
      </w:divBdr>
    </w:div>
    <w:div w:id="456917631">
      <w:bodyDiv w:val="1"/>
      <w:marLeft w:val="0"/>
      <w:marRight w:val="0"/>
      <w:marTop w:val="0"/>
      <w:marBottom w:val="0"/>
      <w:divBdr>
        <w:top w:val="none" w:sz="0" w:space="0" w:color="auto"/>
        <w:left w:val="none" w:sz="0" w:space="0" w:color="auto"/>
        <w:bottom w:val="none" w:sz="0" w:space="0" w:color="auto"/>
        <w:right w:val="none" w:sz="0" w:space="0" w:color="auto"/>
      </w:divBdr>
    </w:div>
    <w:div w:id="457191154">
      <w:bodyDiv w:val="1"/>
      <w:marLeft w:val="0"/>
      <w:marRight w:val="0"/>
      <w:marTop w:val="0"/>
      <w:marBottom w:val="0"/>
      <w:divBdr>
        <w:top w:val="none" w:sz="0" w:space="0" w:color="auto"/>
        <w:left w:val="none" w:sz="0" w:space="0" w:color="auto"/>
        <w:bottom w:val="none" w:sz="0" w:space="0" w:color="auto"/>
        <w:right w:val="none" w:sz="0" w:space="0" w:color="auto"/>
      </w:divBdr>
    </w:div>
    <w:div w:id="462623329">
      <w:bodyDiv w:val="1"/>
      <w:marLeft w:val="0"/>
      <w:marRight w:val="0"/>
      <w:marTop w:val="0"/>
      <w:marBottom w:val="0"/>
      <w:divBdr>
        <w:top w:val="none" w:sz="0" w:space="0" w:color="auto"/>
        <w:left w:val="none" w:sz="0" w:space="0" w:color="auto"/>
        <w:bottom w:val="none" w:sz="0" w:space="0" w:color="auto"/>
        <w:right w:val="none" w:sz="0" w:space="0" w:color="auto"/>
      </w:divBdr>
    </w:div>
    <w:div w:id="465468779">
      <w:bodyDiv w:val="1"/>
      <w:marLeft w:val="0"/>
      <w:marRight w:val="0"/>
      <w:marTop w:val="0"/>
      <w:marBottom w:val="0"/>
      <w:divBdr>
        <w:top w:val="none" w:sz="0" w:space="0" w:color="auto"/>
        <w:left w:val="none" w:sz="0" w:space="0" w:color="auto"/>
        <w:bottom w:val="none" w:sz="0" w:space="0" w:color="auto"/>
        <w:right w:val="none" w:sz="0" w:space="0" w:color="auto"/>
      </w:divBdr>
    </w:div>
    <w:div w:id="474638232">
      <w:bodyDiv w:val="1"/>
      <w:marLeft w:val="0"/>
      <w:marRight w:val="0"/>
      <w:marTop w:val="0"/>
      <w:marBottom w:val="0"/>
      <w:divBdr>
        <w:top w:val="none" w:sz="0" w:space="0" w:color="auto"/>
        <w:left w:val="none" w:sz="0" w:space="0" w:color="auto"/>
        <w:bottom w:val="none" w:sz="0" w:space="0" w:color="auto"/>
        <w:right w:val="none" w:sz="0" w:space="0" w:color="auto"/>
      </w:divBdr>
    </w:div>
    <w:div w:id="482427674">
      <w:bodyDiv w:val="1"/>
      <w:marLeft w:val="0"/>
      <w:marRight w:val="0"/>
      <w:marTop w:val="0"/>
      <w:marBottom w:val="0"/>
      <w:divBdr>
        <w:top w:val="none" w:sz="0" w:space="0" w:color="auto"/>
        <w:left w:val="none" w:sz="0" w:space="0" w:color="auto"/>
        <w:bottom w:val="none" w:sz="0" w:space="0" w:color="auto"/>
        <w:right w:val="none" w:sz="0" w:space="0" w:color="auto"/>
      </w:divBdr>
    </w:div>
    <w:div w:id="494035339">
      <w:bodyDiv w:val="1"/>
      <w:marLeft w:val="0"/>
      <w:marRight w:val="0"/>
      <w:marTop w:val="0"/>
      <w:marBottom w:val="0"/>
      <w:divBdr>
        <w:top w:val="none" w:sz="0" w:space="0" w:color="auto"/>
        <w:left w:val="none" w:sz="0" w:space="0" w:color="auto"/>
        <w:bottom w:val="none" w:sz="0" w:space="0" w:color="auto"/>
        <w:right w:val="none" w:sz="0" w:space="0" w:color="auto"/>
      </w:divBdr>
    </w:div>
    <w:div w:id="494612174">
      <w:bodyDiv w:val="1"/>
      <w:marLeft w:val="0"/>
      <w:marRight w:val="0"/>
      <w:marTop w:val="0"/>
      <w:marBottom w:val="0"/>
      <w:divBdr>
        <w:top w:val="none" w:sz="0" w:space="0" w:color="auto"/>
        <w:left w:val="none" w:sz="0" w:space="0" w:color="auto"/>
        <w:bottom w:val="none" w:sz="0" w:space="0" w:color="auto"/>
        <w:right w:val="none" w:sz="0" w:space="0" w:color="auto"/>
      </w:divBdr>
    </w:div>
    <w:div w:id="503320416">
      <w:bodyDiv w:val="1"/>
      <w:marLeft w:val="0"/>
      <w:marRight w:val="0"/>
      <w:marTop w:val="0"/>
      <w:marBottom w:val="0"/>
      <w:divBdr>
        <w:top w:val="none" w:sz="0" w:space="0" w:color="auto"/>
        <w:left w:val="none" w:sz="0" w:space="0" w:color="auto"/>
        <w:bottom w:val="none" w:sz="0" w:space="0" w:color="auto"/>
        <w:right w:val="none" w:sz="0" w:space="0" w:color="auto"/>
      </w:divBdr>
    </w:div>
    <w:div w:id="505365328">
      <w:bodyDiv w:val="1"/>
      <w:marLeft w:val="0"/>
      <w:marRight w:val="0"/>
      <w:marTop w:val="0"/>
      <w:marBottom w:val="0"/>
      <w:divBdr>
        <w:top w:val="none" w:sz="0" w:space="0" w:color="auto"/>
        <w:left w:val="none" w:sz="0" w:space="0" w:color="auto"/>
        <w:bottom w:val="none" w:sz="0" w:space="0" w:color="auto"/>
        <w:right w:val="none" w:sz="0" w:space="0" w:color="auto"/>
      </w:divBdr>
    </w:div>
    <w:div w:id="521944922">
      <w:bodyDiv w:val="1"/>
      <w:marLeft w:val="0"/>
      <w:marRight w:val="0"/>
      <w:marTop w:val="0"/>
      <w:marBottom w:val="0"/>
      <w:divBdr>
        <w:top w:val="none" w:sz="0" w:space="0" w:color="auto"/>
        <w:left w:val="none" w:sz="0" w:space="0" w:color="auto"/>
        <w:bottom w:val="none" w:sz="0" w:space="0" w:color="auto"/>
        <w:right w:val="none" w:sz="0" w:space="0" w:color="auto"/>
      </w:divBdr>
    </w:div>
    <w:div w:id="536818655">
      <w:bodyDiv w:val="1"/>
      <w:marLeft w:val="0"/>
      <w:marRight w:val="0"/>
      <w:marTop w:val="0"/>
      <w:marBottom w:val="0"/>
      <w:divBdr>
        <w:top w:val="none" w:sz="0" w:space="0" w:color="auto"/>
        <w:left w:val="none" w:sz="0" w:space="0" w:color="auto"/>
        <w:bottom w:val="none" w:sz="0" w:space="0" w:color="auto"/>
        <w:right w:val="none" w:sz="0" w:space="0" w:color="auto"/>
      </w:divBdr>
    </w:div>
    <w:div w:id="541136203">
      <w:bodyDiv w:val="1"/>
      <w:marLeft w:val="0"/>
      <w:marRight w:val="0"/>
      <w:marTop w:val="0"/>
      <w:marBottom w:val="0"/>
      <w:divBdr>
        <w:top w:val="none" w:sz="0" w:space="0" w:color="auto"/>
        <w:left w:val="none" w:sz="0" w:space="0" w:color="auto"/>
        <w:bottom w:val="none" w:sz="0" w:space="0" w:color="auto"/>
        <w:right w:val="none" w:sz="0" w:space="0" w:color="auto"/>
      </w:divBdr>
    </w:div>
    <w:div w:id="548765370">
      <w:bodyDiv w:val="1"/>
      <w:marLeft w:val="0"/>
      <w:marRight w:val="0"/>
      <w:marTop w:val="0"/>
      <w:marBottom w:val="0"/>
      <w:divBdr>
        <w:top w:val="none" w:sz="0" w:space="0" w:color="auto"/>
        <w:left w:val="none" w:sz="0" w:space="0" w:color="auto"/>
        <w:bottom w:val="none" w:sz="0" w:space="0" w:color="auto"/>
        <w:right w:val="none" w:sz="0" w:space="0" w:color="auto"/>
      </w:divBdr>
    </w:div>
    <w:div w:id="563296921">
      <w:bodyDiv w:val="1"/>
      <w:marLeft w:val="0"/>
      <w:marRight w:val="0"/>
      <w:marTop w:val="0"/>
      <w:marBottom w:val="0"/>
      <w:divBdr>
        <w:top w:val="none" w:sz="0" w:space="0" w:color="auto"/>
        <w:left w:val="none" w:sz="0" w:space="0" w:color="auto"/>
        <w:bottom w:val="none" w:sz="0" w:space="0" w:color="auto"/>
        <w:right w:val="none" w:sz="0" w:space="0" w:color="auto"/>
      </w:divBdr>
    </w:div>
    <w:div w:id="564996199">
      <w:bodyDiv w:val="1"/>
      <w:marLeft w:val="0"/>
      <w:marRight w:val="0"/>
      <w:marTop w:val="0"/>
      <w:marBottom w:val="0"/>
      <w:divBdr>
        <w:top w:val="none" w:sz="0" w:space="0" w:color="auto"/>
        <w:left w:val="none" w:sz="0" w:space="0" w:color="auto"/>
        <w:bottom w:val="none" w:sz="0" w:space="0" w:color="auto"/>
        <w:right w:val="none" w:sz="0" w:space="0" w:color="auto"/>
      </w:divBdr>
    </w:div>
    <w:div w:id="576090258">
      <w:bodyDiv w:val="1"/>
      <w:marLeft w:val="0"/>
      <w:marRight w:val="0"/>
      <w:marTop w:val="0"/>
      <w:marBottom w:val="0"/>
      <w:divBdr>
        <w:top w:val="none" w:sz="0" w:space="0" w:color="auto"/>
        <w:left w:val="none" w:sz="0" w:space="0" w:color="auto"/>
        <w:bottom w:val="none" w:sz="0" w:space="0" w:color="auto"/>
        <w:right w:val="none" w:sz="0" w:space="0" w:color="auto"/>
      </w:divBdr>
    </w:div>
    <w:div w:id="623851989">
      <w:bodyDiv w:val="1"/>
      <w:marLeft w:val="0"/>
      <w:marRight w:val="0"/>
      <w:marTop w:val="0"/>
      <w:marBottom w:val="0"/>
      <w:divBdr>
        <w:top w:val="none" w:sz="0" w:space="0" w:color="auto"/>
        <w:left w:val="none" w:sz="0" w:space="0" w:color="auto"/>
        <w:bottom w:val="none" w:sz="0" w:space="0" w:color="auto"/>
        <w:right w:val="none" w:sz="0" w:space="0" w:color="auto"/>
      </w:divBdr>
    </w:div>
    <w:div w:id="628709742">
      <w:bodyDiv w:val="1"/>
      <w:marLeft w:val="0"/>
      <w:marRight w:val="0"/>
      <w:marTop w:val="0"/>
      <w:marBottom w:val="0"/>
      <w:divBdr>
        <w:top w:val="none" w:sz="0" w:space="0" w:color="auto"/>
        <w:left w:val="none" w:sz="0" w:space="0" w:color="auto"/>
        <w:bottom w:val="none" w:sz="0" w:space="0" w:color="auto"/>
        <w:right w:val="none" w:sz="0" w:space="0" w:color="auto"/>
      </w:divBdr>
    </w:div>
    <w:div w:id="632489742">
      <w:bodyDiv w:val="1"/>
      <w:marLeft w:val="0"/>
      <w:marRight w:val="0"/>
      <w:marTop w:val="0"/>
      <w:marBottom w:val="0"/>
      <w:divBdr>
        <w:top w:val="none" w:sz="0" w:space="0" w:color="auto"/>
        <w:left w:val="none" w:sz="0" w:space="0" w:color="auto"/>
        <w:bottom w:val="none" w:sz="0" w:space="0" w:color="auto"/>
        <w:right w:val="none" w:sz="0" w:space="0" w:color="auto"/>
      </w:divBdr>
    </w:div>
    <w:div w:id="675036016">
      <w:bodyDiv w:val="1"/>
      <w:marLeft w:val="0"/>
      <w:marRight w:val="0"/>
      <w:marTop w:val="0"/>
      <w:marBottom w:val="0"/>
      <w:divBdr>
        <w:top w:val="none" w:sz="0" w:space="0" w:color="auto"/>
        <w:left w:val="none" w:sz="0" w:space="0" w:color="auto"/>
        <w:bottom w:val="none" w:sz="0" w:space="0" w:color="auto"/>
        <w:right w:val="none" w:sz="0" w:space="0" w:color="auto"/>
      </w:divBdr>
    </w:div>
    <w:div w:id="680164737">
      <w:bodyDiv w:val="1"/>
      <w:marLeft w:val="0"/>
      <w:marRight w:val="0"/>
      <w:marTop w:val="0"/>
      <w:marBottom w:val="0"/>
      <w:divBdr>
        <w:top w:val="none" w:sz="0" w:space="0" w:color="auto"/>
        <w:left w:val="none" w:sz="0" w:space="0" w:color="auto"/>
        <w:bottom w:val="none" w:sz="0" w:space="0" w:color="auto"/>
        <w:right w:val="none" w:sz="0" w:space="0" w:color="auto"/>
      </w:divBdr>
    </w:div>
    <w:div w:id="686643530">
      <w:bodyDiv w:val="1"/>
      <w:marLeft w:val="0"/>
      <w:marRight w:val="0"/>
      <w:marTop w:val="0"/>
      <w:marBottom w:val="0"/>
      <w:divBdr>
        <w:top w:val="none" w:sz="0" w:space="0" w:color="auto"/>
        <w:left w:val="none" w:sz="0" w:space="0" w:color="auto"/>
        <w:bottom w:val="none" w:sz="0" w:space="0" w:color="auto"/>
        <w:right w:val="none" w:sz="0" w:space="0" w:color="auto"/>
      </w:divBdr>
    </w:div>
    <w:div w:id="696736957">
      <w:bodyDiv w:val="1"/>
      <w:marLeft w:val="0"/>
      <w:marRight w:val="0"/>
      <w:marTop w:val="0"/>
      <w:marBottom w:val="0"/>
      <w:divBdr>
        <w:top w:val="none" w:sz="0" w:space="0" w:color="auto"/>
        <w:left w:val="none" w:sz="0" w:space="0" w:color="auto"/>
        <w:bottom w:val="none" w:sz="0" w:space="0" w:color="auto"/>
        <w:right w:val="none" w:sz="0" w:space="0" w:color="auto"/>
      </w:divBdr>
    </w:div>
    <w:div w:id="700084684">
      <w:bodyDiv w:val="1"/>
      <w:marLeft w:val="0"/>
      <w:marRight w:val="0"/>
      <w:marTop w:val="0"/>
      <w:marBottom w:val="0"/>
      <w:divBdr>
        <w:top w:val="none" w:sz="0" w:space="0" w:color="auto"/>
        <w:left w:val="none" w:sz="0" w:space="0" w:color="auto"/>
        <w:bottom w:val="none" w:sz="0" w:space="0" w:color="auto"/>
        <w:right w:val="none" w:sz="0" w:space="0" w:color="auto"/>
      </w:divBdr>
    </w:div>
    <w:div w:id="701976172">
      <w:bodyDiv w:val="1"/>
      <w:marLeft w:val="0"/>
      <w:marRight w:val="0"/>
      <w:marTop w:val="0"/>
      <w:marBottom w:val="0"/>
      <w:divBdr>
        <w:top w:val="none" w:sz="0" w:space="0" w:color="auto"/>
        <w:left w:val="none" w:sz="0" w:space="0" w:color="auto"/>
        <w:bottom w:val="none" w:sz="0" w:space="0" w:color="auto"/>
        <w:right w:val="none" w:sz="0" w:space="0" w:color="auto"/>
      </w:divBdr>
    </w:div>
    <w:div w:id="709185647">
      <w:bodyDiv w:val="1"/>
      <w:marLeft w:val="0"/>
      <w:marRight w:val="0"/>
      <w:marTop w:val="0"/>
      <w:marBottom w:val="0"/>
      <w:divBdr>
        <w:top w:val="none" w:sz="0" w:space="0" w:color="auto"/>
        <w:left w:val="none" w:sz="0" w:space="0" w:color="auto"/>
        <w:bottom w:val="none" w:sz="0" w:space="0" w:color="auto"/>
        <w:right w:val="none" w:sz="0" w:space="0" w:color="auto"/>
      </w:divBdr>
    </w:div>
    <w:div w:id="724331926">
      <w:bodyDiv w:val="1"/>
      <w:marLeft w:val="0"/>
      <w:marRight w:val="0"/>
      <w:marTop w:val="0"/>
      <w:marBottom w:val="0"/>
      <w:divBdr>
        <w:top w:val="none" w:sz="0" w:space="0" w:color="auto"/>
        <w:left w:val="none" w:sz="0" w:space="0" w:color="auto"/>
        <w:bottom w:val="none" w:sz="0" w:space="0" w:color="auto"/>
        <w:right w:val="none" w:sz="0" w:space="0" w:color="auto"/>
      </w:divBdr>
    </w:div>
    <w:div w:id="731971756">
      <w:bodyDiv w:val="1"/>
      <w:marLeft w:val="0"/>
      <w:marRight w:val="0"/>
      <w:marTop w:val="0"/>
      <w:marBottom w:val="0"/>
      <w:divBdr>
        <w:top w:val="none" w:sz="0" w:space="0" w:color="auto"/>
        <w:left w:val="none" w:sz="0" w:space="0" w:color="auto"/>
        <w:bottom w:val="none" w:sz="0" w:space="0" w:color="auto"/>
        <w:right w:val="none" w:sz="0" w:space="0" w:color="auto"/>
      </w:divBdr>
    </w:div>
    <w:div w:id="733360520">
      <w:bodyDiv w:val="1"/>
      <w:marLeft w:val="0"/>
      <w:marRight w:val="0"/>
      <w:marTop w:val="0"/>
      <w:marBottom w:val="0"/>
      <w:divBdr>
        <w:top w:val="none" w:sz="0" w:space="0" w:color="auto"/>
        <w:left w:val="none" w:sz="0" w:space="0" w:color="auto"/>
        <w:bottom w:val="none" w:sz="0" w:space="0" w:color="auto"/>
        <w:right w:val="none" w:sz="0" w:space="0" w:color="auto"/>
      </w:divBdr>
    </w:div>
    <w:div w:id="740759837">
      <w:bodyDiv w:val="1"/>
      <w:marLeft w:val="0"/>
      <w:marRight w:val="0"/>
      <w:marTop w:val="0"/>
      <w:marBottom w:val="0"/>
      <w:divBdr>
        <w:top w:val="none" w:sz="0" w:space="0" w:color="auto"/>
        <w:left w:val="none" w:sz="0" w:space="0" w:color="auto"/>
        <w:bottom w:val="none" w:sz="0" w:space="0" w:color="auto"/>
        <w:right w:val="none" w:sz="0" w:space="0" w:color="auto"/>
      </w:divBdr>
    </w:div>
    <w:div w:id="746683755">
      <w:bodyDiv w:val="1"/>
      <w:marLeft w:val="0"/>
      <w:marRight w:val="0"/>
      <w:marTop w:val="0"/>
      <w:marBottom w:val="0"/>
      <w:divBdr>
        <w:top w:val="none" w:sz="0" w:space="0" w:color="auto"/>
        <w:left w:val="none" w:sz="0" w:space="0" w:color="auto"/>
        <w:bottom w:val="none" w:sz="0" w:space="0" w:color="auto"/>
        <w:right w:val="none" w:sz="0" w:space="0" w:color="auto"/>
      </w:divBdr>
    </w:div>
    <w:div w:id="748504823">
      <w:bodyDiv w:val="1"/>
      <w:marLeft w:val="0"/>
      <w:marRight w:val="0"/>
      <w:marTop w:val="0"/>
      <w:marBottom w:val="0"/>
      <w:divBdr>
        <w:top w:val="none" w:sz="0" w:space="0" w:color="auto"/>
        <w:left w:val="none" w:sz="0" w:space="0" w:color="auto"/>
        <w:bottom w:val="none" w:sz="0" w:space="0" w:color="auto"/>
        <w:right w:val="none" w:sz="0" w:space="0" w:color="auto"/>
      </w:divBdr>
    </w:div>
    <w:div w:id="756750631">
      <w:bodyDiv w:val="1"/>
      <w:marLeft w:val="0"/>
      <w:marRight w:val="0"/>
      <w:marTop w:val="0"/>
      <w:marBottom w:val="0"/>
      <w:divBdr>
        <w:top w:val="none" w:sz="0" w:space="0" w:color="auto"/>
        <w:left w:val="none" w:sz="0" w:space="0" w:color="auto"/>
        <w:bottom w:val="none" w:sz="0" w:space="0" w:color="auto"/>
        <w:right w:val="none" w:sz="0" w:space="0" w:color="auto"/>
      </w:divBdr>
    </w:div>
    <w:div w:id="757218126">
      <w:bodyDiv w:val="1"/>
      <w:marLeft w:val="0"/>
      <w:marRight w:val="0"/>
      <w:marTop w:val="0"/>
      <w:marBottom w:val="0"/>
      <w:divBdr>
        <w:top w:val="none" w:sz="0" w:space="0" w:color="auto"/>
        <w:left w:val="none" w:sz="0" w:space="0" w:color="auto"/>
        <w:bottom w:val="none" w:sz="0" w:space="0" w:color="auto"/>
        <w:right w:val="none" w:sz="0" w:space="0" w:color="auto"/>
      </w:divBdr>
    </w:div>
    <w:div w:id="762727411">
      <w:bodyDiv w:val="1"/>
      <w:marLeft w:val="0"/>
      <w:marRight w:val="0"/>
      <w:marTop w:val="0"/>
      <w:marBottom w:val="0"/>
      <w:divBdr>
        <w:top w:val="none" w:sz="0" w:space="0" w:color="auto"/>
        <w:left w:val="none" w:sz="0" w:space="0" w:color="auto"/>
        <w:bottom w:val="none" w:sz="0" w:space="0" w:color="auto"/>
        <w:right w:val="none" w:sz="0" w:space="0" w:color="auto"/>
      </w:divBdr>
    </w:div>
    <w:div w:id="765231079">
      <w:bodyDiv w:val="1"/>
      <w:marLeft w:val="0"/>
      <w:marRight w:val="0"/>
      <w:marTop w:val="0"/>
      <w:marBottom w:val="0"/>
      <w:divBdr>
        <w:top w:val="none" w:sz="0" w:space="0" w:color="auto"/>
        <w:left w:val="none" w:sz="0" w:space="0" w:color="auto"/>
        <w:bottom w:val="none" w:sz="0" w:space="0" w:color="auto"/>
        <w:right w:val="none" w:sz="0" w:space="0" w:color="auto"/>
      </w:divBdr>
    </w:div>
    <w:div w:id="776950827">
      <w:bodyDiv w:val="1"/>
      <w:marLeft w:val="0"/>
      <w:marRight w:val="0"/>
      <w:marTop w:val="0"/>
      <w:marBottom w:val="0"/>
      <w:divBdr>
        <w:top w:val="none" w:sz="0" w:space="0" w:color="auto"/>
        <w:left w:val="none" w:sz="0" w:space="0" w:color="auto"/>
        <w:bottom w:val="none" w:sz="0" w:space="0" w:color="auto"/>
        <w:right w:val="none" w:sz="0" w:space="0" w:color="auto"/>
      </w:divBdr>
    </w:div>
    <w:div w:id="780031371">
      <w:bodyDiv w:val="1"/>
      <w:marLeft w:val="0"/>
      <w:marRight w:val="0"/>
      <w:marTop w:val="0"/>
      <w:marBottom w:val="0"/>
      <w:divBdr>
        <w:top w:val="none" w:sz="0" w:space="0" w:color="auto"/>
        <w:left w:val="none" w:sz="0" w:space="0" w:color="auto"/>
        <w:bottom w:val="none" w:sz="0" w:space="0" w:color="auto"/>
        <w:right w:val="none" w:sz="0" w:space="0" w:color="auto"/>
      </w:divBdr>
    </w:div>
    <w:div w:id="785928851">
      <w:bodyDiv w:val="1"/>
      <w:marLeft w:val="0"/>
      <w:marRight w:val="0"/>
      <w:marTop w:val="0"/>
      <w:marBottom w:val="0"/>
      <w:divBdr>
        <w:top w:val="none" w:sz="0" w:space="0" w:color="auto"/>
        <w:left w:val="none" w:sz="0" w:space="0" w:color="auto"/>
        <w:bottom w:val="none" w:sz="0" w:space="0" w:color="auto"/>
        <w:right w:val="none" w:sz="0" w:space="0" w:color="auto"/>
      </w:divBdr>
    </w:div>
    <w:div w:id="795835485">
      <w:bodyDiv w:val="1"/>
      <w:marLeft w:val="0"/>
      <w:marRight w:val="0"/>
      <w:marTop w:val="0"/>
      <w:marBottom w:val="0"/>
      <w:divBdr>
        <w:top w:val="none" w:sz="0" w:space="0" w:color="auto"/>
        <w:left w:val="none" w:sz="0" w:space="0" w:color="auto"/>
        <w:bottom w:val="none" w:sz="0" w:space="0" w:color="auto"/>
        <w:right w:val="none" w:sz="0" w:space="0" w:color="auto"/>
      </w:divBdr>
    </w:div>
    <w:div w:id="796223554">
      <w:bodyDiv w:val="1"/>
      <w:marLeft w:val="0"/>
      <w:marRight w:val="0"/>
      <w:marTop w:val="0"/>
      <w:marBottom w:val="0"/>
      <w:divBdr>
        <w:top w:val="none" w:sz="0" w:space="0" w:color="auto"/>
        <w:left w:val="none" w:sz="0" w:space="0" w:color="auto"/>
        <w:bottom w:val="none" w:sz="0" w:space="0" w:color="auto"/>
        <w:right w:val="none" w:sz="0" w:space="0" w:color="auto"/>
      </w:divBdr>
    </w:div>
    <w:div w:id="814034229">
      <w:bodyDiv w:val="1"/>
      <w:marLeft w:val="0"/>
      <w:marRight w:val="0"/>
      <w:marTop w:val="0"/>
      <w:marBottom w:val="0"/>
      <w:divBdr>
        <w:top w:val="none" w:sz="0" w:space="0" w:color="auto"/>
        <w:left w:val="none" w:sz="0" w:space="0" w:color="auto"/>
        <w:bottom w:val="none" w:sz="0" w:space="0" w:color="auto"/>
        <w:right w:val="none" w:sz="0" w:space="0" w:color="auto"/>
      </w:divBdr>
    </w:div>
    <w:div w:id="817376924">
      <w:bodyDiv w:val="1"/>
      <w:marLeft w:val="0"/>
      <w:marRight w:val="0"/>
      <w:marTop w:val="0"/>
      <w:marBottom w:val="0"/>
      <w:divBdr>
        <w:top w:val="none" w:sz="0" w:space="0" w:color="auto"/>
        <w:left w:val="none" w:sz="0" w:space="0" w:color="auto"/>
        <w:bottom w:val="none" w:sz="0" w:space="0" w:color="auto"/>
        <w:right w:val="none" w:sz="0" w:space="0" w:color="auto"/>
      </w:divBdr>
    </w:div>
    <w:div w:id="818309038">
      <w:bodyDiv w:val="1"/>
      <w:marLeft w:val="0"/>
      <w:marRight w:val="0"/>
      <w:marTop w:val="0"/>
      <w:marBottom w:val="0"/>
      <w:divBdr>
        <w:top w:val="none" w:sz="0" w:space="0" w:color="auto"/>
        <w:left w:val="none" w:sz="0" w:space="0" w:color="auto"/>
        <w:bottom w:val="none" w:sz="0" w:space="0" w:color="auto"/>
        <w:right w:val="none" w:sz="0" w:space="0" w:color="auto"/>
      </w:divBdr>
    </w:div>
    <w:div w:id="820266637">
      <w:bodyDiv w:val="1"/>
      <w:marLeft w:val="0"/>
      <w:marRight w:val="0"/>
      <w:marTop w:val="0"/>
      <w:marBottom w:val="0"/>
      <w:divBdr>
        <w:top w:val="none" w:sz="0" w:space="0" w:color="auto"/>
        <w:left w:val="none" w:sz="0" w:space="0" w:color="auto"/>
        <w:bottom w:val="none" w:sz="0" w:space="0" w:color="auto"/>
        <w:right w:val="none" w:sz="0" w:space="0" w:color="auto"/>
      </w:divBdr>
    </w:div>
    <w:div w:id="830220132">
      <w:bodyDiv w:val="1"/>
      <w:marLeft w:val="0"/>
      <w:marRight w:val="0"/>
      <w:marTop w:val="0"/>
      <w:marBottom w:val="0"/>
      <w:divBdr>
        <w:top w:val="none" w:sz="0" w:space="0" w:color="auto"/>
        <w:left w:val="none" w:sz="0" w:space="0" w:color="auto"/>
        <w:bottom w:val="none" w:sz="0" w:space="0" w:color="auto"/>
        <w:right w:val="none" w:sz="0" w:space="0" w:color="auto"/>
      </w:divBdr>
    </w:div>
    <w:div w:id="838429694">
      <w:bodyDiv w:val="1"/>
      <w:marLeft w:val="0"/>
      <w:marRight w:val="0"/>
      <w:marTop w:val="0"/>
      <w:marBottom w:val="0"/>
      <w:divBdr>
        <w:top w:val="none" w:sz="0" w:space="0" w:color="auto"/>
        <w:left w:val="none" w:sz="0" w:space="0" w:color="auto"/>
        <w:bottom w:val="none" w:sz="0" w:space="0" w:color="auto"/>
        <w:right w:val="none" w:sz="0" w:space="0" w:color="auto"/>
      </w:divBdr>
    </w:div>
    <w:div w:id="841429835">
      <w:bodyDiv w:val="1"/>
      <w:marLeft w:val="0"/>
      <w:marRight w:val="0"/>
      <w:marTop w:val="0"/>
      <w:marBottom w:val="0"/>
      <w:divBdr>
        <w:top w:val="none" w:sz="0" w:space="0" w:color="auto"/>
        <w:left w:val="none" w:sz="0" w:space="0" w:color="auto"/>
        <w:bottom w:val="none" w:sz="0" w:space="0" w:color="auto"/>
        <w:right w:val="none" w:sz="0" w:space="0" w:color="auto"/>
      </w:divBdr>
    </w:div>
    <w:div w:id="846746335">
      <w:bodyDiv w:val="1"/>
      <w:marLeft w:val="0"/>
      <w:marRight w:val="0"/>
      <w:marTop w:val="0"/>
      <w:marBottom w:val="0"/>
      <w:divBdr>
        <w:top w:val="none" w:sz="0" w:space="0" w:color="auto"/>
        <w:left w:val="none" w:sz="0" w:space="0" w:color="auto"/>
        <w:bottom w:val="none" w:sz="0" w:space="0" w:color="auto"/>
        <w:right w:val="none" w:sz="0" w:space="0" w:color="auto"/>
      </w:divBdr>
    </w:div>
    <w:div w:id="850224435">
      <w:bodyDiv w:val="1"/>
      <w:marLeft w:val="0"/>
      <w:marRight w:val="0"/>
      <w:marTop w:val="0"/>
      <w:marBottom w:val="0"/>
      <w:divBdr>
        <w:top w:val="none" w:sz="0" w:space="0" w:color="auto"/>
        <w:left w:val="none" w:sz="0" w:space="0" w:color="auto"/>
        <w:bottom w:val="none" w:sz="0" w:space="0" w:color="auto"/>
        <w:right w:val="none" w:sz="0" w:space="0" w:color="auto"/>
      </w:divBdr>
    </w:div>
    <w:div w:id="860627509">
      <w:bodyDiv w:val="1"/>
      <w:marLeft w:val="0"/>
      <w:marRight w:val="0"/>
      <w:marTop w:val="0"/>
      <w:marBottom w:val="0"/>
      <w:divBdr>
        <w:top w:val="none" w:sz="0" w:space="0" w:color="auto"/>
        <w:left w:val="none" w:sz="0" w:space="0" w:color="auto"/>
        <w:bottom w:val="none" w:sz="0" w:space="0" w:color="auto"/>
        <w:right w:val="none" w:sz="0" w:space="0" w:color="auto"/>
      </w:divBdr>
    </w:div>
    <w:div w:id="870994396">
      <w:bodyDiv w:val="1"/>
      <w:marLeft w:val="0"/>
      <w:marRight w:val="0"/>
      <w:marTop w:val="0"/>
      <w:marBottom w:val="0"/>
      <w:divBdr>
        <w:top w:val="none" w:sz="0" w:space="0" w:color="auto"/>
        <w:left w:val="none" w:sz="0" w:space="0" w:color="auto"/>
        <w:bottom w:val="none" w:sz="0" w:space="0" w:color="auto"/>
        <w:right w:val="none" w:sz="0" w:space="0" w:color="auto"/>
      </w:divBdr>
    </w:div>
    <w:div w:id="887687017">
      <w:bodyDiv w:val="1"/>
      <w:marLeft w:val="0"/>
      <w:marRight w:val="0"/>
      <w:marTop w:val="0"/>
      <w:marBottom w:val="0"/>
      <w:divBdr>
        <w:top w:val="none" w:sz="0" w:space="0" w:color="auto"/>
        <w:left w:val="none" w:sz="0" w:space="0" w:color="auto"/>
        <w:bottom w:val="none" w:sz="0" w:space="0" w:color="auto"/>
        <w:right w:val="none" w:sz="0" w:space="0" w:color="auto"/>
      </w:divBdr>
    </w:div>
    <w:div w:id="890338263">
      <w:bodyDiv w:val="1"/>
      <w:marLeft w:val="0"/>
      <w:marRight w:val="0"/>
      <w:marTop w:val="0"/>
      <w:marBottom w:val="0"/>
      <w:divBdr>
        <w:top w:val="none" w:sz="0" w:space="0" w:color="auto"/>
        <w:left w:val="none" w:sz="0" w:space="0" w:color="auto"/>
        <w:bottom w:val="none" w:sz="0" w:space="0" w:color="auto"/>
        <w:right w:val="none" w:sz="0" w:space="0" w:color="auto"/>
      </w:divBdr>
    </w:div>
    <w:div w:id="905607031">
      <w:bodyDiv w:val="1"/>
      <w:marLeft w:val="0"/>
      <w:marRight w:val="0"/>
      <w:marTop w:val="0"/>
      <w:marBottom w:val="0"/>
      <w:divBdr>
        <w:top w:val="none" w:sz="0" w:space="0" w:color="auto"/>
        <w:left w:val="none" w:sz="0" w:space="0" w:color="auto"/>
        <w:bottom w:val="none" w:sz="0" w:space="0" w:color="auto"/>
        <w:right w:val="none" w:sz="0" w:space="0" w:color="auto"/>
      </w:divBdr>
    </w:div>
    <w:div w:id="906309347">
      <w:bodyDiv w:val="1"/>
      <w:marLeft w:val="0"/>
      <w:marRight w:val="0"/>
      <w:marTop w:val="0"/>
      <w:marBottom w:val="0"/>
      <w:divBdr>
        <w:top w:val="none" w:sz="0" w:space="0" w:color="auto"/>
        <w:left w:val="none" w:sz="0" w:space="0" w:color="auto"/>
        <w:bottom w:val="none" w:sz="0" w:space="0" w:color="auto"/>
        <w:right w:val="none" w:sz="0" w:space="0" w:color="auto"/>
      </w:divBdr>
    </w:div>
    <w:div w:id="914968894">
      <w:bodyDiv w:val="1"/>
      <w:marLeft w:val="0"/>
      <w:marRight w:val="0"/>
      <w:marTop w:val="0"/>
      <w:marBottom w:val="0"/>
      <w:divBdr>
        <w:top w:val="none" w:sz="0" w:space="0" w:color="auto"/>
        <w:left w:val="none" w:sz="0" w:space="0" w:color="auto"/>
        <w:bottom w:val="none" w:sz="0" w:space="0" w:color="auto"/>
        <w:right w:val="none" w:sz="0" w:space="0" w:color="auto"/>
      </w:divBdr>
    </w:div>
    <w:div w:id="925041872">
      <w:bodyDiv w:val="1"/>
      <w:marLeft w:val="0"/>
      <w:marRight w:val="0"/>
      <w:marTop w:val="0"/>
      <w:marBottom w:val="0"/>
      <w:divBdr>
        <w:top w:val="none" w:sz="0" w:space="0" w:color="auto"/>
        <w:left w:val="none" w:sz="0" w:space="0" w:color="auto"/>
        <w:bottom w:val="none" w:sz="0" w:space="0" w:color="auto"/>
        <w:right w:val="none" w:sz="0" w:space="0" w:color="auto"/>
      </w:divBdr>
    </w:div>
    <w:div w:id="930502844">
      <w:bodyDiv w:val="1"/>
      <w:marLeft w:val="0"/>
      <w:marRight w:val="0"/>
      <w:marTop w:val="0"/>
      <w:marBottom w:val="0"/>
      <w:divBdr>
        <w:top w:val="none" w:sz="0" w:space="0" w:color="auto"/>
        <w:left w:val="none" w:sz="0" w:space="0" w:color="auto"/>
        <w:bottom w:val="none" w:sz="0" w:space="0" w:color="auto"/>
        <w:right w:val="none" w:sz="0" w:space="0" w:color="auto"/>
      </w:divBdr>
    </w:div>
    <w:div w:id="934439255">
      <w:bodyDiv w:val="1"/>
      <w:marLeft w:val="0"/>
      <w:marRight w:val="0"/>
      <w:marTop w:val="0"/>
      <w:marBottom w:val="0"/>
      <w:divBdr>
        <w:top w:val="none" w:sz="0" w:space="0" w:color="auto"/>
        <w:left w:val="none" w:sz="0" w:space="0" w:color="auto"/>
        <w:bottom w:val="none" w:sz="0" w:space="0" w:color="auto"/>
        <w:right w:val="none" w:sz="0" w:space="0" w:color="auto"/>
      </w:divBdr>
    </w:div>
    <w:div w:id="945431056">
      <w:bodyDiv w:val="1"/>
      <w:marLeft w:val="0"/>
      <w:marRight w:val="0"/>
      <w:marTop w:val="0"/>
      <w:marBottom w:val="0"/>
      <w:divBdr>
        <w:top w:val="none" w:sz="0" w:space="0" w:color="auto"/>
        <w:left w:val="none" w:sz="0" w:space="0" w:color="auto"/>
        <w:bottom w:val="none" w:sz="0" w:space="0" w:color="auto"/>
        <w:right w:val="none" w:sz="0" w:space="0" w:color="auto"/>
      </w:divBdr>
    </w:div>
    <w:div w:id="955327495">
      <w:bodyDiv w:val="1"/>
      <w:marLeft w:val="0"/>
      <w:marRight w:val="0"/>
      <w:marTop w:val="0"/>
      <w:marBottom w:val="0"/>
      <w:divBdr>
        <w:top w:val="none" w:sz="0" w:space="0" w:color="auto"/>
        <w:left w:val="none" w:sz="0" w:space="0" w:color="auto"/>
        <w:bottom w:val="none" w:sz="0" w:space="0" w:color="auto"/>
        <w:right w:val="none" w:sz="0" w:space="0" w:color="auto"/>
      </w:divBdr>
    </w:div>
    <w:div w:id="959842554">
      <w:bodyDiv w:val="1"/>
      <w:marLeft w:val="0"/>
      <w:marRight w:val="0"/>
      <w:marTop w:val="0"/>
      <w:marBottom w:val="0"/>
      <w:divBdr>
        <w:top w:val="none" w:sz="0" w:space="0" w:color="auto"/>
        <w:left w:val="none" w:sz="0" w:space="0" w:color="auto"/>
        <w:bottom w:val="none" w:sz="0" w:space="0" w:color="auto"/>
        <w:right w:val="none" w:sz="0" w:space="0" w:color="auto"/>
      </w:divBdr>
    </w:div>
    <w:div w:id="983317827">
      <w:bodyDiv w:val="1"/>
      <w:marLeft w:val="0"/>
      <w:marRight w:val="0"/>
      <w:marTop w:val="0"/>
      <w:marBottom w:val="0"/>
      <w:divBdr>
        <w:top w:val="none" w:sz="0" w:space="0" w:color="auto"/>
        <w:left w:val="none" w:sz="0" w:space="0" w:color="auto"/>
        <w:bottom w:val="none" w:sz="0" w:space="0" w:color="auto"/>
        <w:right w:val="none" w:sz="0" w:space="0" w:color="auto"/>
      </w:divBdr>
    </w:div>
    <w:div w:id="984821185">
      <w:bodyDiv w:val="1"/>
      <w:marLeft w:val="0"/>
      <w:marRight w:val="0"/>
      <w:marTop w:val="0"/>
      <w:marBottom w:val="0"/>
      <w:divBdr>
        <w:top w:val="none" w:sz="0" w:space="0" w:color="auto"/>
        <w:left w:val="none" w:sz="0" w:space="0" w:color="auto"/>
        <w:bottom w:val="none" w:sz="0" w:space="0" w:color="auto"/>
        <w:right w:val="none" w:sz="0" w:space="0" w:color="auto"/>
      </w:divBdr>
    </w:div>
    <w:div w:id="985864329">
      <w:bodyDiv w:val="1"/>
      <w:marLeft w:val="0"/>
      <w:marRight w:val="0"/>
      <w:marTop w:val="0"/>
      <w:marBottom w:val="0"/>
      <w:divBdr>
        <w:top w:val="none" w:sz="0" w:space="0" w:color="auto"/>
        <w:left w:val="none" w:sz="0" w:space="0" w:color="auto"/>
        <w:bottom w:val="none" w:sz="0" w:space="0" w:color="auto"/>
        <w:right w:val="none" w:sz="0" w:space="0" w:color="auto"/>
      </w:divBdr>
    </w:div>
    <w:div w:id="986209627">
      <w:bodyDiv w:val="1"/>
      <w:marLeft w:val="0"/>
      <w:marRight w:val="0"/>
      <w:marTop w:val="0"/>
      <w:marBottom w:val="0"/>
      <w:divBdr>
        <w:top w:val="none" w:sz="0" w:space="0" w:color="auto"/>
        <w:left w:val="none" w:sz="0" w:space="0" w:color="auto"/>
        <w:bottom w:val="none" w:sz="0" w:space="0" w:color="auto"/>
        <w:right w:val="none" w:sz="0" w:space="0" w:color="auto"/>
      </w:divBdr>
    </w:div>
    <w:div w:id="992561377">
      <w:bodyDiv w:val="1"/>
      <w:marLeft w:val="0"/>
      <w:marRight w:val="0"/>
      <w:marTop w:val="0"/>
      <w:marBottom w:val="0"/>
      <w:divBdr>
        <w:top w:val="none" w:sz="0" w:space="0" w:color="auto"/>
        <w:left w:val="none" w:sz="0" w:space="0" w:color="auto"/>
        <w:bottom w:val="none" w:sz="0" w:space="0" w:color="auto"/>
        <w:right w:val="none" w:sz="0" w:space="0" w:color="auto"/>
      </w:divBdr>
    </w:div>
    <w:div w:id="1000306335">
      <w:bodyDiv w:val="1"/>
      <w:marLeft w:val="0"/>
      <w:marRight w:val="0"/>
      <w:marTop w:val="0"/>
      <w:marBottom w:val="0"/>
      <w:divBdr>
        <w:top w:val="none" w:sz="0" w:space="0" w:color="auto"/>
        <w:left w:val="none" w:sz="0" w:space="0" w:color="auto"/>
        <w:bottom w:val="none" w:sz="0" w:space="0" w:color="auto"/>
        <w:right w:val="none" w:sz="0" w:space="0" w:color="auto"/>
      </w:divBdr>
    </w:div>
    <w:div w:id="1025791465">
      <w:bodyDiv w:val="1"/>
      <w:marLeft w:val="0"/>
      <w:marRight w:val="0"/>
      <w:marTop w:val="0"/>
      <w:marBottom w:val="0"/>
      <w:divBdr>
        <w:top w:val="none" w:sz="0" w:space="0" w:color="auto"/>
        <w:left w:val="none" w:sz="0" w:space="0" w:color="auto"/>
        <w:bottom w:val="none" w:sz="0" w:space="0" w:color="auto"/>
        <w:right w:val="none" w:sz="0" w:space="0" w:color="auto"/>
      </w:divBdr>
    </w:div>
    <w:div w:id="1026903973">
      <w:bodyDiv w:val="1"/>
      <w:marLeft w:val="0"/>
      <w:marRight w:val="0"/>
      <w:marTop w:val="0"/>
      <w:marBottom w:val="0"/>
      <w:divBdr>
        <w:top w:val="none" w:sz="0" w:space="0" w:color="auto"/>
        <w:left w:val="none" w:sz="0" w:space="0" w:color="auto"/>
        <w:bottom w:val="none" w:sz="0" w:space="0" w:color="auto"/>
        <w:right w:val="none" w:sz="0" w:space="0" w:color="auto"/>
      </w:divBdr>
    </w:div>
    <w:div w:id="1028335466">
      <w:bodyDiv w:val="1"/>
      <w:marLeft w:val="0"/>
      <w:marRight w:val="0"/>
      <w:marTop w:val="0"/>
      <w:marBottom w:val="0"/>
      <w:divBdr>
        <w:top w:val="none" w:sz="0" w:space="0" w:color="auto"/>
        <w:left w:val="none" w:sz="0" w:space="0" w:color="auto"/>
        <w:bottom w:val="none" w:sz="0" w:space="0" w:color="auto"/>
        <w:right w:val="none" w:sz="0" w:space="0" w:color="auto"/>
      </w:divBdr>
    </w:div>
    <w:div w:id="1031759925">
      <w:bodyDiv w:val="1"/>
      <w:marLeft w:val="0"/>
      <w:marRight w:val="0"/>
      <w:marTop w:val="0"/>
      <w:marBottom w:val="0"/>
      <w:divBdr>
        <w:top w:val="none" w:sz="0" w:space="0" w:color="auto"/>
        <w:left w:val="none" w:sz="0" w:space="0" w:color="auto"/>
        <w:bottom w:val="none" w:sz="0" w:space="0" w:color="auto"/>
        <w:right w:val="none" w:sz="0" w:space="0" w:color="auto"/>
      </w:divBdr>
    </w:div>
    <w:div w:id="1038235082">
      <w:bodyDiv w:val="1"/>
      <w:marLeft w:val="0"/>
      <w:marRight w:val="0"/>
      <w:marTop w:val="0"/>
      <w:marBottom w:val="0"/>
      <w:divBdr>
        <w:top w:val="none" w:sz="0" w:space="0" w:color="auto"/>
        <w:left w:val="none" w:sz="0" w:space="0" w:color="auto"/>
        <w:bottom w:val="none" w:sz="0" w:space="0" w:color="auto"/>
        <w:right w:val="none" w:sz="0" w:space="0" w:color="auto"/>
      </w:divBdr>
    </w:div>
    <w:div w:id="1040861077">
      <w:bodyDiv w:val="1"/>
      <w:marLeft w:val="0"/>
      <w:marRight w:val="0"/>
      <w:marTop w:val="0"/>
      <w:marBottom w:val="0"/>
      <w:divBdr>
        <w:top w:val="none" w:sz="0" w:space="0" w:color="auto"/>
        <w:left w:val="none" w:sz="0" w:space="0" w:color="auto"/>
        <w:bottom w:val="none" w:sz="0" w:space="0" w:color="auto"/>
        <w:right w:val="none" w:sz="0" w:space="0" w:color="auto"/>
      </w:divBdr>
    </w:div>
    <w:div w:id="1045174310">
      <w:bodyDiv w:val="1"/>
      <w:marLeft w:val="0"/>
      <w:marRight w:val="0"/>
      <w:marTop w:val="0"/>
      <w:marBottom w:val="0"/>
      <w:divBdr>
        <w:top w:val="none" w:sz="0" w:space="0" w:color="auto"/>
        <w:left w:val="none" w:sz="0" w:space="0" w:color="auto"/>
        <w:bottom w:val="none" w:sz="0" w:space="0" w:color="auto"/>
        <w:right w:val="none" w:sz="0" w:space="0" w:color="auto"/>
      </w:divBdr>
    </w:div>
    <w:div w:id="1060711202">
      <w:bodyDiv w:val="1"/>
      <w:marLeft w:val="0"/>
      <w:marRight w:val="0"/>
      <w:marTop w:val="0"/>
      <w:marBottom w:val="0"/>
      <w:divBdr>
        <w:top w:val="none" w:sz="0" w:space="0" w:color="auto"/>
        <w:left w:val="none" w:sz="0" w:space="0" w:color="auto"/>
        <w:bottom w:val="none" w:sz="0" w:space="0" w:color="auto"/>
        <w:right w:val="none" w:sz="0" w:space="0" w:color="auto"/>
      </w:divBdr>
    </w:div>
    <w:div w:id="1067873843">
      <w:bodyDiv w:val="1"/>
      <w:marLeft w:val="0"/>
      <w:marRight w:val="0"/>
      <w:marTop w:val="0"/>
      <w:marBottom w:val="0"/>
      <w:divBdr>
        <w:top w:val="none" w:sz="0" w:space="0" w:color="auto"/>
        <w:left w:val="none" w:sz="0" w:space="0" w:color="auto"/>
        <w:bottom w:val="none" w:sz="0" w:space="0" w:color="auto"/>
        <w:right w:val="none" w:sz="0" w:space="0" w:color="auto"/>
      </w:divBdr>
    </w:div>
    <w:div w:id="1073893906">
      <w:bodyDiv w:val="1"/>
      <w:marLeft w:val="0"/>
      <w:marRight w:val="0"/>
      <w:marTop w:val="0"/>
      <w:marBottom w:val="0"/>
      <w:divBdr>
        <w:top w:val="none" w:sz="0" w:space="0" w:color="auto"/>
        <w:left w:val="none" w:sz="0" w:space="0" w:color="auto"/>
        <w:bottom w:val="none" w:sz="0" w:space="0" w:color="auto"/>
        <w:right w:val="none" w:sz="0" w:space="0" w:color="auto"/>
      </w:divBdr>
    </w:div>
    <w:div w:id="1075316866">
      <w:bodyDiv w:val="1"/>
      <w:marLeft w:val="0"/>
      <w:marRight w:val="0"/>
      <w:marTop w:val="0"/>
      <w:marBottom w:val="0"/>
      <w:divBdr>
        <w:top w:val="none" w:sz="0" w:space="0" w:color="auto"/>
        <w:left w:val="none" w:sz="0" w:space="0" w:color="auto"/>
        <w:bottom w:val="none" w:sz="0" w:space="0" w:color="auto"/>
        <w:right w:val="none" w:sz="0" w:space="0" w:color="auto"/>
      </w:divBdr>
    </w:div>
    <w:div w:id="1075317591">
      <w:bodyDiv w:val="1"/>
      <w:marLeft w:val="0"/>
      <w:marRight w:val="0"/>
      <w:marTop w:val="0"/>
      <w:marBottom w:val="0"/>
      <w:divBdr>
        <w:top w:val="none" w:sz="0" w:space="0" w:color="auto"/>
        <w:left w:val="none" w:sz="0" w:space="0" w:color="auto"/>
        <w:bottom w:val="none" w:sz="0" w:space="0" w:color="auto"/>
        <w:right w:val="none" w:sz="0" w:space="0" w:color="auto"/>
      </w:divBdr>
    </w:div>
    <w:div w:id="1079249633">
      <w:bodyDiv w:val="1"/>
      <w:marLeft w:val="0"/>
      <w:marRight w:val="0"/>
      <w:marTop w:val="0"/>
      <w:marBottom w:val="0"/>
      <w:divBdr>
        <w:top w:val="none" w:sz="0" w:space="0" w:color="auto"/>
        <w:left w:val="none" w:sz="0" w:space="0" w:color="auto"/>
        <w:bottom w:val="none" w:sz="0" w:space="0" w:color="auto"/>
        <w:right w:val="none" w:sz="0" w:space="0" w:color="auto"/>
      </w:divBdr>
    </w:div>
    <w:div w:id="1082292555">
      <w:bodyDiv w:val="1"/>
      <w:marLeft w:val="0"/>
      <w:marRight w:val="0"/>
      <w:marTop w:val="0"/>
      <w:marBottom w:val="0"/>
      <w:divBdr>
        <w:top w:val="none" w:sz="0" w:space="0" w:color="auto"/>
        <w:left w:val="none" w:sz="0" w:space="0" w:color="auto"/>
        <w:bottom w:val="none" w:sz="0" w:space="0" w:color="auto"/>
        <w:right w:val="none" w:sz="0" w:space="0" w:color="auto"/>
      </w:divBdr>
    </w:div>
    <w:div w:id="1082727079">
      <w:bodyDiv w:val="1"/>
      <w:marLeft w:val="0"/>
      <w:marRight w:val="0"/>
      <w:marTop w:val="0"/>
      <w:marBottom w:val="0"/>
      <w:divBdr>
        <w:top w:val="none" w:sz="0" w:space="0" w:color="auto"/>
        <w:left w:val="none" w:sz="0" w:space="0" w:color="auto"/>
        <w:bottom w:val="none" w:sz="0" w:space="0" w:color="auto"/>
        <w:right w:val="none" w:sz="0" w:space="0" w:color="auto"/>
      </w:divBdr>
    </w:div>
    <w:div w:id="1084761745">
      <w:bodyDiv w:val="1"/>
      <w:marLeft w:val="0"/>
      <w:marRight w:val="0"/>
      <w:marTop w:val="0"/>
      <w:marBottom w:val="0"/>
      <w:divBdr>
        <w:top w:val="none" w:sz="0" w:space="0" w:color="auto"/>
        <w:left w:val="none" w:sz="0" w:space="0" w:color="auto"/>
        <w:bottom w:val="none" w:sz="0" w:space="0" w:color="auto"/>
        <w:right w:val="none" w:sz="0" w:space="0" w:color="auto"/>
      </w:divBdr>
    </w:div>
    <w:div w:id="1087532115">
      <w:bodyDiv w:val="1"/>
      <w:marLeft w:val="0"/>
      <w:marRight w:val="0"/>
      <w:marTop w:val="0"/>
      <w:marBottom w:val="0"/>
      <w:divBdr>
        <w:top w:val="none" w:sz="0" w:space="0" w:color="auto"/>
        <w:left w:val="none" w:sz="0" w:space="0" w:color="auto"/>
        <w:bottom w:val="none" w:sz="0" w:space="0" w:color="auto"/>
        <w:right w:val="none" w:sz="0" w:space="0" w:color="auto"/>
      </w:divBdr>
    </w:div>
    <w:div w:id="1110709399">
      <w:bodyDiv w:val="1"/>
      <w:marLeft w:val="0"/>
      <w:marRight w:val="0"/>
      <w:marTop w:val="0"/>
      <w:marBottom w:val="0"/>
      <w:divBdr>
        <w:top w:val="none" w:sz="0" w:space="0" w:color="auto"/>
        <w:left w:val="none" w:sz="0" w:space="0" w:color="auto"/>
        <w:bottom w:val="none" w:sz="0" w:space="0" w:color="auto"/>
        <w:right w:val="none" w:sz="0" w:space="0" w:color="auto"/>
      </w:divBdr>
    </w:div>
    <w:div w:id="1123966716">
      <w:bodyDiv w:val="1"/>
      <w:marLeft w:val="0"/>
      <w:marRight w:val="0"/>
      <w:marTop w:val="0"/>
      <w:marBottom w:val="0"/>
      <w:divBdr>
        <w:top w:val="none" w:sz="0" w:space="0" w:color="auto"/>
        <w:left w:val="none" w:sz="0" w:space="0" w:color="auto"/>
        <w:bottom w:val="none" w:sz="0" w:space="0" w:color="auto"/>
        <w:right w:val="none" w:sz="0" w:space="0" w:color="auto"/>
      </w:divBdr>
    </w:div>
    <w:div w:id="1124345528">
      <w:bodyDiv w:val="1"/>
      <w:marLeft w:val="0"/>
      <w:marRight w:val="0"/>
      <w:marTop w:val="0"/>
      <w:marBottom w:val="0"/>
      <w:divBdr>
        <w:top w:val="none" w:sz="0" w:space="0" w:color="auto"/>
        <w:left w:val="none" w:sz="0" w:space="0" w:color="auto"/>
        <w:bottom w:val="none" w:sz="0" w:space="0" w:color="auto"/>
        <w:right w:val="none" w:sz="0" w:space="0" w:color="auto"/>
      </w:divBdr>
    </w:div>
    <w:div w:id="1129127041">
      <w:bodyDiv w:val="1"/>
      <w:marLeft w:val="0"/>
      <w:marRight w:val="0"/>
      <w:marTop w:val="0"/>
      <w:marBottom w:val="0"/>
      <w:divBdr>
        <w:top w:val="none" w:sz="0" w:space="0" w:color="auto"/>
        <w:left w:val="none" w:sz="0" w:space="0" w:color="auto"/>
        <w:bottom w:val="none" w:sz="0" w:space="0" w:color="auto"/>
        <w:right w:val="none" w:sz="0" w:space="0" w:color="auto"/>
      </w:divBdr>
    </w:div>
    <w:div w:id="1129469538">
      <w:bodyDiv w:val="1"/>
      <w:marLeft w:val="0"/>
      <w:marRight w:val="0"/>
      <w:marTop w:val="0"/>
      <w:marBottom w:val="0"/>
      <w:divBdr>
        <w:top w:val="none" w:sz="0" w:space="0" w:color="auto"/>
        <w:left w:val="none" w:sz="0" w:space="0" w:color="auto"/>
        <w:bottom w:val="none" w:sz="0" w:space="0" w:color="auto"/>
        <w:right w:val="none" w:sz="0" w:space="0" w:color="auto"/>
      </w:divBdr>
    </w:div>
    <w:div w:id="1143473592">
      <w:bodyDiv w:val="1"/>
      <w:marLeft w:val="0"/>
      <w:marRight w:val="0"/>
      <w:marTop w:val="0"/>
      <w:marBottom w:val="0"/>
      <w:divBdr>
        <w:top w:val="none" w:sz="0" w:space="0" w:color="auto"/>
        <w:left w:val="none" w:sz="0" w:space="0" w:color="auto"/>
        <w:bottom w:val="none" w:sz="0" w:space="0" w:color="auto"/>
        <w:right w:val="none" w:sz="0" w:space="0" w:color="auto"/>
      </w:divBdr>
    </w:div>
    <w:div w:id="1145050074">
      <w:bodyDiv w:val="1"/>
      <w:marLeft w:val="0"/>
      <w:marRight w:val="0"/>
      <w:marTop w:val="0"/>
      <w:marBottom w:val="0"/>
      <w:divBdr>
        <w:top w:val="none" w:sz="0" w:space="0" w:color="auto"/>
        <w:left w:val="none" w:sz="0" w:space="0" w:color="auto"/>
        <w:bottom w:val="none" w:sz="0" w:space="0" w:color="auto"/>
        <w:right w:val="none" w:sz="0" w:space="0" w:color="auto"/>
      </w:divBdr>
    </w:div>
    <w:div w:id="1152453630">
      <w:bodyDiv w:val="1"/>
      <w:marLeft w:val="0"/>
      <w:marRight w:val="0"/>
      <w:marTop w:val="0"/>
      <w:marBottom w:val="0"/>
      <w:divBdr>
        <w:top w:val="none" w:sz="0" w:space="0" w:color="auto"/>
        <w:left w:val="none" w:sz="0" w:space="0" w:color="auto"/>
        <w:bottom w:val="none" w:sz="0" w:space="0" w:color="auto"/>
        <w:right w:val="none" w:sz="0" w:space="0" w:color="auto"/>
      </w:divBdr>
    </w:div>
    <w:div w:id="1154878305">
      <w:bodyDiv w:val="1"/>
      <w:marLeft w:val="0"/>
      <w:marRight w:val="0"/>
      <w:marTop w:val="0"/>
      <w:marBottom w:val="0"/>
      <w:divBdr>
        <w:top w:val="none" w:sz="0" w:space="0" w:color="auto"/>
        <w:left w:val="none" w:sz="0" w:space="0" w:color="auto"/>
        <w:bottom w:val="none" w:sz="0" w:space="0" w:color="auto"/>
        <w:right w:val="none" w:sz="0" w:space="0" w:color="auto"/>
      </w:divBdr>
    </w:div>
    <w:div w:id="1156533024">
      <w:bodyDiv w:val="1"/>
      <w:marLeft w:val="0"/>
      <w:marRight w:val="0"/>
      <w:marTop w:val="0"/>
      <w:marBottom w:val="0"/>
      <w:divBdr>
        <w:top w:val="none" w:sz="0" w:space="0" w:color="auto"/>
        <w:left w:val="none" w:sz="0" w:space="0" w:color="auto"/>
        <w:bottom w:val="none" w:sz="0" w:space="0" w:color="auto"/>
        <w:right w:val="none" w:sz="0" w:space="0" w:color="auto"/>
      </w:divBdr>
    </w:div>
    <w:div w:id="1159420082">
      <w:bodyDiv w:val="1"/>
      <w:marLeft w:val="0"/>
      <w:marRight w:val="0"/>
      <w:marTop w:val="0"/>
      <w:marBottom w:val="0"/>
      <w:divBdr>
        <w:top w:val="none" w:sz="0" w:space="0" w:color="auto"/>
        <w:left w:val="none" w:sz="0" w:space="0" w:color="auto"/>
        <w:bottom w:val="none" w:sz="0" w:space="0" w:color="auto"/>
        <w:right w:val="none" w:sz="0" w:space="0" w:color="auto"/>
      </w:divBdr>
    </w:div>
    <w:div w:id="1162500788">
      <w:bodyDiv w:val="1"/>
      <w:marLeft w:val="0"/>
      <w:marRight w:val="0"/>
      <w:marTop w:val="0"/>
      <w:marBottom w:val="0"/>
      <w:divBdr>
        <w:top w:val="none" w:sz="0" w:space="0" w:color="auto"/>
        <w:left w:val="none" w:sz="0" w:space="0" w:color="auto"/>
        <w:bottom w:val="none" w:sz="0" w:space="0" w:color="auto"/>
        <w:right w:val="none" w:sz="0" w:space="0" w:color="auto"/>
      </w:divBdr>
    </w:div>
    <w:div w:id="1179155817">
      <w:bodyDiv w:val="1"/>
      <w:marLeft w:val="0"/>
      <w:marRight w:val="0"/>
      <w:marTop w:val="0"/>
      <w:marBottom w:val="0"/>
      <w:divBdr>
        <w:top w:val="none" w:sz="0" w:space="0" w:color="auto"/>
        <w:left w:val="none" w:sz="0" w:space="0" w:color="auto"/>
        <w:bottom w:val="none" w:sz="0" w:space="0" w:color="auto"/>
        <w:right w:val="none" w:sz="0" w:space="0" w:color="auto"/>
      </w:divBdr>
    </w:div>
    <w:div w:id="1180122288">
      <w:bodyDiv w:val="1"/>
      <w:marLeft w:val="0"/>
      <w:marRight w:val="0"/>
      <w:marTop w:val="0"/>
      <w:marBottom w:val="0"/>
      <w:divBdr>
        <w:top w:val="none" w:sz="0" w:space="0" w:color="auto"/>
        <w:left w:val="none" w:sz="0" w:space="0" w:color="auto"/>
        <w:bottom w:val="none" w:sz="0" w:space="0" w:color="auto"/>
        <w:right w:val="none" w:sz="0" w:space="0" w:color="auto"/>
      </w:divBdr>
    </w:div>
    <w:div w:id="1182628176">
      <w:bodyDiv w:val="1"/>
      <w:marLeft w:val="0"/>
      <w:marRight w:val="0"/>
      <w:marTop w:val="0"/>
      <w:marBottom w:val="0"/>
      <w:divBdr>
        <w:top w:val="none" w:sz="0" w:space="0" w:color="auto"/>
        <w:left w:val="none" w:sz="0" w:space="0" w:color="auto"/>
        <w:bottom w:val="none" w:sz="0" w:space="0" w:color="auto"/>
        <w:right w:val="none" w:sz="0" w:space="0" w:color="auto"/>
      </w:divBdr>
    </w:div>
    <w:div w:id="1191334914">
      <w:bodyDiv w:val="1"/>
      <w:marLeft w:val="0"/>
      <w:marRight w:val="0"/>
      <w:marTop w:val="0"/>
      <w:marBottom w:val="0"/>
      <w:divBdr>
        <w:top w:val="none" w:sz="0" w:space="0" w:color="auto"/>
        <w:left w:val="none" w:sz="0" w:space="0" w:color="auto"/>
        <w:bottom w:val="none" w:sz="0" w:space="0" w:color="auto"/>
        <w:right w:val="none" w:sz="0" w:space="0" w:color="auto"/>
      </w:divBdr>
    </w:div>
    <w:div w:id="1195079792">
      <w:bodyDiv w:val="1"/>
      <w:marLeft w:val="0"/>
      <w:marRight w:val="0"/>
      <w:marTop w:val="0"/>
      <w:marBottom w:val="0"/>
      <w:divBdr>
        <w:top w:val="none" w:sz="0" w:space="0" w:color="auto"/>
        <w:left w:val="none" w:sz="0" w:space="0" w:color="auto"/>
        <w:bottom w:val="none" w:sz="0" w:space="0" w:color="auto"/>
        <w:right w:val="none" w:sz="0" w:space="0" w:color="auto"/>
      </w:divBdr>
    </w:div>
    <w:div w:id="1198157217">
      <w:bodyDiv w:val="1"/>
      <w:marLeft w:val="0"/>
      <w:marRight w:val="0"/>
      <w:marTop w:val="0"/>
      <w:marBottom w:val="0"/>
      <w:divBdr>
        <w:top w:val="none" w:sz="0" w:space="0" w:color="auto"/>
        <w:left w:val="none" w:sz="0" w:space="0" w:color="auto"/>
        <w:bottom w:val="none" w:sz="0" w:space="0" w:color="auto"/>
        <w:right w:val="none" w:sz="0" w:space="0" w:color="auto"/>
      </w:divBdr>
    </w:div>
    <w:div w:id="1213080563">
      <w:bodyDiv w:val="1"/>
      <w:marLeft w:val="0"/>
      <w:marRight w:val="0"/>
      <w:marTop w:val="0"/>
      <w:marBottom w:val="0"/>
      <w:divBdr>
        <w:top w:val="none" w:sz="0" w:space="0" w:color="auto"/>
        <w:left w:val="none" w:sz="0" w:space="0" w:color="auto"/>
        <w:bottom w:val="none" w:sz="0" w:space="0" w:color="auto"/>
        <w:right w:val="none" w:sz="0" w:space="0" w:color="auto"/>
      </w:divBdr>
    </w:div>
    <w:div w:id="1234465001">
      <w:bodyDiv w:val="1"/>
      <w:marLeft w:val="0"/>
      <w:marRight w:val="0"/>
      <w:marTop w:val="0"/>
      <w:marBottom w:val="0"/>
      <w:divBdr>
        <w:top w:val="none" w:sz="0" w:space="0" w:color="auto"/>
        <w:left w:val="none" w:sz="0" w:space="0" w:color="auto"/>
        <w:bottom w:val="none" w:sz="0" w:space="0" w:color="auto"/>
        <w:right w:val="none" w:sz="0" w:space="0" w:color="auto"/>
      </w:divBdr>
    </w:div>
    <w:div w:id="1252354868">
      <w:bodyDiv w:val="1"/>
      <w:marLeft w:val="0"/>
      <w:marRight w:val="0"/>
      <w:marTop w:val="0"/>
      <w:marBottom w:val="0"/>
      <w:divBdr>
        <w:top w:val="none" w:sz="0" w:space="0" w:color="auto"/>
        <w:left w:val="none" w:sz="0" w:space="0" w:color="auto"/>
        <w:bottom w:val="none" w:sz="0" w:space="0" w:color="auto"/>
        <w:right w:val="none" w:sz="0" w:space="0" w:color="auto"/>
      </w:divBdr>
    </w:div>
    <w:div w:id="1258321557">
      <w:bodyDiv w:val="1"/>
      <w:marLeft w:val="0"/>
      <w:marRight w:val="0"/>
      <w:marTop w:val="0"/>
      <w:marBottom w:val="0"/>
      <w:divBdr>
        <w:top w:val="none" w:sz="0" w:space="0" w:color="auto"/>
        <w:left w:val="none" w:sz="0" w:space="0" w:color="auto"/>
        <w:bottom w:val="none" w:sz="0" w:space="0" w:color="auto"/>
        <w:right w:val="none" w:sz="0" w:space="0" w:color="auto"/>
      </w:divBdr>
    </w:div>
    <w:div w:id="1263145644">
      <w:bodyDiv w:val="1"/>
      <w:marLeft w:val="0"/>
      <w:marRight w:val="0"/>
      <w:marTop w:val="0"/>
      <w:marBottom w:val="0"/>
      <w:divBdr>
        <w:top w:val="none" w:sz="0" w:space="0" w:color="auto"/>
        <w:left w:val="none" w:sz="0" w:space="0" w:color="auto"/>
        <w:bottom w:val="none" w:sz="0" w:space="0" w:color="auto"/>
        <w:right w:val="none" w:sz="0" w:space="0" w:color="auto"/>
      </w:divBdr>
    </w:div>
    <w:div w:id="1264612357">
      <w:bodyDiv w:val="1"/>
      <w:marLeft w:val="0"/>
      <w:marRight w:val="0"/>
      <w:marTop w:val="0"/>
      <w:marBottom w:val="0"/>
      <w:divBdr>
        <w:top w:val="none" w:sz="0" w:space="0" w:color="auto"/>
        <w:left w:val="none" w:sz="0" w:space="0" w:color="auto"/>
        <w:bottom w:val="none" w:sz="0" w:space="0" w:color="auto"/>
        <w:right w:val="none" w:sz="0" w:space="0" w:color="auto"/>
      </w:divBdr>
    </w:div>
    <w:div w:id="1288927804">
      <w:bodyDiv w:val="1"/>
      <w:marLeft w:val="0"/>
      <w:marRight w:val="0"/>
      <w:marTop w:val="0"/>
      <w:marBottom w:val="0"/>
      <w:divBdr>
        <w:top w:val="none" w:sz="0" w:space="0" w:color="auto"/>
        <w:left w:val="none" w:sz="0" w:space="0" w:color="auto"/>
        <w:bottom w:val="none" w:sz="0" w:space="0" w:color="auto"/>
        <w:right w:val="none" w:sz="0" w:space="0" w:color="auto"/>
      </w:divBdr>
    </w:div>
    <w:div w:id="1288968587">
      <w:bodyDiv w:val="1"/>
      <w:marLeft w:val="0"/>
      <w:marRight w:val="0"/>
      <w:marTop w:val="0"/>
      <w:marBottom w:val="0"/>
      <w:divBdr>
        <w:top w:val="none" w:sz="0" w:space="0" w:color="auto"/>
        <w:left w:val="none" w:sz="0" w:space="0" w:color="auto"/>
        <w:bottom w:val="none" w:sz="0" w:space="0" w:color="auto"/>
        <w:right w:val="none" w:sz="0" w:space="0" w:color="auto"/>
      </w:divBdr>
    </w:div>
    <w:div w:id="1296715822">
      <w:bodyDiv w:val="1"/>
      <w:marLeft w:val="0"/>
      <w:marRight w:val="0"/>
      <w:marTop w:val="0"/>
      <w:marBottom w:val="0"/>
      <w:divBdr>
        <w:top w:val="none" w:sz="0" w:space="0" w:color="auto"/>
        <w:left w:val="none" w:sz="0" w:space="0" w:color="auto"/>
        <w:bottom w:val="none" w:sz="0" w:space="0" w:color="auto"/>
        <w:right w:val="none" w:sz="0" w:space="0" w:color="auto"/>
      </w:divBdr>
    </w:div>
    <w:div w:id="1298491731">
      <w:bodyDiv w:val="1"/>
      <w:marLeft w:val="0"/>
      <w:marRight w:val="0"/>
      <w:marTop w:val="0"/>
      <w:marBottom w:val="0"/>
      <w:divBdr>
        <w:top w:val="none" w:sz="0" w:space="0" w:color="auto"/>
        <w:left w:val="none" w:sz="0" w:space="0" w:color="auto"/>
        <w:bottom w:val="none" w:sz="0" w:space="0" w:color="auto"/>
        <w:right w:val="none" w:sz="0" w:space="0" w:color="auto"/>
      </w:divBdr>
    </w:div>
    <w:div w:id="1311712996">
      <w:bodyDiv w:val="1"/>
      <w:marLeft w:val="0"/>
      <w:marRight w:val="0"/>
      <w:marTop w:val="0"/>
      <w:marBottom w:val="0"/>
      <w:divBdr>
        <w:top w:val="none" w:sz="0" w:space="0" w:color="auto"/>
        <w:left w:val="none" w:sz="0" w:space="0" w:color="auto"/>
        <w:bottom w:val="none" w:sz="0" w:space="0" w:color="auto"/>
        <w:right w:val="none" w:sz="0" w:space="0" w:color="auto"/>
      </w:divBdr>
    </w:div>
    <w:div w:id="1312904268">
      <w:bodyDiv w:val="1"/>
      <w:marLeft w:val="0"/>
      <w:marRight w:val="0"/>
      <w:marTop w:val="0"/>
      <w:marBottom w:val="0"/>
      <w:divBdr>
        <w:top w:val="none" w:sz="0" w:space="0" w:color="auto"/>
        <w:left w:val="none" w:sz="0" w:space="0" w:color="auto"/>
        <w:bottom w:val="none" w:sz="0" w:space="0" w:color="auto"/>
        <w:right w:val="none" w:sz="0" w:space="0" w:color="auto"/>
      </w:divBdr>
    </w:div>
    <w:div w:id="1315836146">
      <w:bodyDiv w:val="1"/>
      <w:marLeft w:val="0"/>
      <w:marRight w:val="0"/>
      <w:marTop w:val="0"/>
      <w:marBottom w:val="0"/>
      <w:divBdr>
        <w:top w:val="none" w:sz="0" w:space="0" w:color="auto"/>
        <w:left w:val="none" w:sz="0" w:space="0" w:color="auto"/>
        <w:bottom w:val="none" w:sz="0" w:space="0" w:color="auto"/>
        <w:right w:val="none" w:sz="0" w:space="0" w:color="auto"/>
      </w:divBdr>
    </w:div>
    <w:div w:id="1317421711">
      <w:bodyDiv w:val="1"/>
      <w:marLeft w:val="0"/>
      <w:marRight w:val="0"/>
      <w:marTop w:val="0"/>
      <w:marBottom w:val="0"/>
      <w:divBdr>
        <w:top w:val="none" w:sz="0" w:space="0" w:color="auto"/>
        <w:left w:val="none" w:sz="0" w:space="0" w:color="auto"/>
        <w:bottom w:val="none" w:sz="0" w:space="0" w:color="auto"/>
        <w:right w:val="none" w:sz="0" w:space="0" w:color="auto"/>
      </w:divBdr>
    </w:div>
    <w:div w:id="1317799412">
      <w:bodyDiv w:val="1"/>
      <w:marLeft w:val="0"/>
      <w:marRight w:val="0"/>
      <w:marTop w:val="0"/>
      <w:marBottom w:val="0"/>
      <w:divBdr>
        <w:top w:val="none" w:sz="0" w:space="0" w:color="auto"/>
        <w:left w:val="none" w:sz="0" w:space="0" w:color="auto"/>
        <w:bottom w:val="none" w:sz="0" w:space="0" w:color="auto"/>
        <w:right w:val="none" w:sz="0" w:space="0" w:color="auto"/>
      </w:divBdr>
    </w:div>
    <w:div w:id="1321614286">
      <w:bodyDiv w:val="1"/>
      <w:marLeft w:val="0"/>
      <w:marRight w:val="0"/>
      <w:marTop w:val="0"/>
      <w:marBottom w:val="0"/>
      <w:divBdr>
        <w:top w:val="none" w:sz="0" w:space="0" w:color="auto"/>
        <w:left w:val="none" w:sz="0" w:space="0" w:color="auto"/>
        <w:bottom w:val="none" w:sz="0" w:space="0" w:color="auto"/>
        <w:right w:val="none" w:sz="0" w:space="0" w:color="auto"/>
      </w:divBdr>
    </w:div>
    <w:div w:id="1335109913">
      <w:bodyDiv w:val="1"/>
      <w:marLeft w:val="0"/>
      <w:marRight w:val="0"/>
      <w:marTop w:val="0"/>
      <w:marBottom w:val="0"/>
      <w:divBdr>
        <w:top w:val="none" w:sz="0" w:space="0" w:color="auto"/>
        <w:left w:val="none" w:sz="0" w:space="0" w:color="auto"/>
        <w:bottom w:val="none" w:sz="0" w:space="0" w:color="auto"/>
        <w:right w:val="none" w:sz="0" w:space="0" w:color="auto"/>
      </w:divBdr>
    </w:div>
    <w:div w:id="1351033677">
      <w:bodyDiv w:val="1"/>
      <w:marLeft w:val="0"/>
      <w:marRight w:val="0"/>
      <w:marTop w:val="0"/>
      <w:marBottom w:val="0"/>
      <w:divBdr>
        <w:top w:val="none" w:sz="0" w:space="0" w:color="auto"/>
        <w:left w:val="none" w:sz="0" w:space="0" w:color="auto"/>
        <w:bottom w:val="none" w:sz="0" w:space="0" w:color="auto"/>
        <w:right w:val="none" w:sz="0" w:space="0" w:color="auto"/>
      </w:divBdr>
    </w:div>
    <w:div w:id="1353263012">
      <w:bodyDiv w:val="1"/>
      <w:marLeft w:val="0"/>
      <w:marRight w:val="0"/>
      <w:marTop w:val="0"/>
      <w:marBottom w:val="0"/>
      <w:divBdr>
        <w:top w:val="none" w:sz="0" w:space="0" w:color="auto"/>
        <w:left w:val="none" w:sz="0" w:space="0" w:color="auto"/>
        <w:bottom w:val="none" w:sz="0" w:space="0" w:color="auto"/>
        <w:right w:val="none" w:sz="0" w:space="0" w:color="auto"/>
      </w:divBdr>
    </w:div>
    <w:div w:id="1357388779">
      <w:bodyDiv w:val="1"/>
      <w:marLeft w:val="0"/>
      <w:marRight w:val="0"/>
      <w:marTop w:val="0"/>
      <w:marBottom w:val="0"/>
      <w:divBdr>
        <w:top w:val="none" w:sz="0" w:space="0" w:color="auto"/>
        <w:left w:val="none" w:sz="0" w:space="0" w:color="auto"/>
        <w:bottom w:val="none" w:sz="0" w:space="0" w:color="auto"/>
        <w:right w:val="none" w:sz="0" w:space="0" w:color="auto"/>
      </w:divBdr>
    </w:div>
    <w:div w:id="1361929731">
      <w:bodyDiv w:val="1"/>
      <w:marLeft w:val="0"/>
      <w:marRight w:val="0"/>
      <w:marTop w:val="0"/>
      <w:marBottom w:val="0"/>
      <w:divBdr>
        <w:top w:val="none" w:sz="0" w:space="0" w:color="auto"/>
        <w:left w:val="none" w:sz="0" w:space="0" w:color="auto"/>
        <w:bottom w:val="none" w:sz="0" w:space="0" w:color="auto"/>
        <w:right w:val="none" w:sz="0" w:space="0" w:color="auto"/>
      </w:divBdr>
    </w:div>
    <w:div w:id="1369336319">
      <w:bodyDiv w:val="1"/>
      <w:marLeft w:val="0"/>
      <w:marRight w:val="0"/>
      <w:marTop w:val="0"/>
      <w:marBottom w:val="0"/>
      <w:divBdr>
        <w:top w:val="none" w:sz="0" w:space="0" w:color="auto"/>
        <w:left w:val="none" w:sz="0" w:space="0" w:color="auto"/>
        <w:bottom w:val="none" w:sz="0" w:space="0" w:color="auto"/>
        <w:right w:val="none" w:sz="0" w:space="0" w:color="auto"/>
      </w:divBdr>
    </w:div>
    <w:div w:id="1374622881">
      <w:bodyDiv w:val="1"/>
      <w:marLeft w:val="0"/>
      <w:marRight w:val="0"/>
      <w:marTop w:val="0"/>
      <w:marBottom w:val="0"/>
      <w:divBdr>
        <w:top w:val="none" w:sz="0" w:space="0" w:color="auto"/>
        <w:left w:val="none" w:sz="0" w:space="0" w:color="auto"/>
        <w:bottom w:val="none" w:sz="0" w:space="0" w:color="auto"/>
        <w:right w:val="none" w:sz="0" w:space="0" w:color="auto"/>
      </w:divBdr>
    </w:div>
    <w:div w:id="1379040248">
      <w:bodyDiv w:val="1"/>
      <w:marLeft w:val="0"/>
      <w:marRight w:val="0"/>
      <w:marTop w:val="0"/>
      <w:marBottom w:val="0"/>
      <w:divBdr>
        <w:top w:val="none" w:sz="0" w:space="0" w:color="auto"/>
        <w:left w:val="none" w:sz="0" w:space="0" w:color="auto"/>
        <w:bottom w:val="none" w:sz="0" w:space="0" w:color="auto"/>
        <w:right w:val="none" w:sz="0" w:space="0" w:color="auto"/>
      </w:divBdr>
    </w:div>
    <w:div w:id="1393700297">
      <w:bodyDiv w:val="1"/>
      <w:marLeft w:val="0"/>
      <w:marRight w:val="0"/>
      <w:marTop w:val="0"/>
      <w:marBottom w:val="0"/>
      <w:divBdr>
        <w:top w:val="none" w:sz="0" w:space="0" w:color="auto"/>
        <w:left w:val="none" w:sz="0" w:space="0" w:color="auto"/>
        <w:bottom w:val="none" w:sz="0" w:space="0" w:color="auto"/>
        <w:right w:val="none" w:sz="0" w:space="0" w:color="auto"/>
      </w:divBdr>
    </w:div>
    <w:div w:id="1407803664">
      <w:bodyDiv w:val="1"/>
      <w:marLeft w:val="0"/>
      <w:marRight w:val="0"/>
      <w:marTop w:val="0"/>
      <w:marBottom w:val="0"/>
      <w:divBdr>
        <w:top w:val="none" w:sz="0" w:space="0" w:color="auto"/>
        <w:left w:val="none" w:sz="0" w:space="0" w:color="auto"/>
        <w:bottom w:val="none" w:sz="0" w:space="0" w:color="auto"/>
        <w:right w:val="none" w:sz="0" w:space="0" w:color="auto"/>
      </w:divBdr>
    </w:div>
    <w:div w:id="1409040683">
      <w:bodyDiv w:val="1"/>
      <w:marLeft w:val="0"/>
      <w:marRight w:val="0"/>
      <w:marTop w:val="0"/>
      <w:marBottom w:val="0"/>
      <w:divBdr>
        <w:top w:val="none" w:sz="0" w:space="0" w:color="auto"/>
        <w:left w:val="none" w:sz="0" w:space="0" w:color="auto"/>
        <w:bottom w:val="none" w:sz="0" w:space="0" w:color="auto"/>
        <w:right w:val="none" w:sz="0" w:space="0" w:color="auto"/>
      </w:divBdr>
    </w:div>
    <w:div w:id="1415080729">
      <w:bodyDiv w:val="1"/>
      <w:marLeft w:val="0"/>
      <w:marRight w:val="0"/>
      <w:marTop w:val="0"/>
      <w:marBottom w:val="0"/>
      <w:divBdr>
        <w:top w:val="none" w:sz="0" w:space="0" w:color="auto"/>
        <w:left w:val="none" w:sz="0" w:space="0" w:color="auto"/>
        <w:bottom w:val="none" w:sz="0" w:space="0" w:color="auto"/>
        <w:right w:val="none" w:sz="0" w:space="0" w:color="auto"/>
      </w:divBdr>
    </w:div>
    <w:div w:id="1420835505">
      <w:bodyDiv w:val="1"/>
      <w:marLeft w:val="0"/>
      <w:marRight w:val="0"/>
      <w:marTop w:val="0"/>
      <w:marBottom w:val="0"/>
      <w:divBdr>
        <w:top w:val="none" w:sz="0" w:space="0" w:color="auto"/>
        <w:left w:val="none" w:sz="0" w:space="0" w:color="auto"/>
        <w:bottom w:val="none" w:sz="0" w:space="0" w:color="auto"/>
        <w:right w:val="none" w:sz="0" w:space="0" w:color="auto"/>
      </w:divBdr>
    </w:div>
    <w:div w:id="1435053705">
      <w:bodyDiv w:val="1"/>
      <w:marLeft w:val="0"/>
      <w:marRight w:val="0"/>
      <w:marTop w:val="0"/>
      <w:marBottom w:val="0"/>
      <w:divBdr>
        <w:top w:val="none" w:sz="0" w:space="0" w:color="auto"/>
        <w:left w:val="none" w:sz="0" w:space="0" w:color="auto"/>
        <w:bottom w:val="none" w:sz="0" w:space="0" w:color="auto"/>
        <w:right w:val="none" w:sz="0" w:space="0" w:color="auto"/>
      </w:divBdr>
    </w:div>
    <w:div w:id="1435517128">
      <w:bodyDiv w:val="1"/>
      <w:marLeft w:val="0"/>
      <w:marRight w:val="0"/>
      <w:marTop w:val="0"/>
      <w:marBottom w:val="0"/>
      <w:divBdr>
        <w:top w:val="none" w:sz="0" w:space="0" w:color="auto"/>
        <w:left w:val="none" w:sz="0" w:space="0" w:color="auto"/>
        <w:bottom w:val="none" w:sz="0" w:space="0" w:color="auto"/>
        <w:right w:val="none" w:sz="0" w:space="0" w:color="auto"/>
      </w:divBdr>
    </w:div>
    <w:div w:id="1436096402">
      <w:bodyDiv w:val="1"/>
      <w:marLeft w:val="0"/>
      <w:marRight w:val="0"/>
      <w:marTop w:val="0"/>
      <w:marBottom w:val="0"/>
      <w:divBdr>
        <w:top w:val="none" w:sz="0" w:space="0" w:color="auto"/>
        <w:left w:val="none" w:sz="0" w:space="0" w:color="auto"/>
        <w:bottom w:val="none" w:sz="0" w:space="0" w:color="auto"/>
        <w:right w:val="none" w:sz="0" w:space="0" w:color="auto"/>
      </w:divBdr>
    </w:div>
    <w:div w:id="1440680685">
      <w:bodyDiv w:val="1"/>
      <w:marLeft w:val="0"/>
      <w:marRight w:val="0"/>
      <w:marTop w:val="0"/>
      <w:marBottom w:val="0"/>
      <w:divBdr>
        <w:top w:val="none" w:sz="0" w:space="0" w:color="auto"/>
        <w:left w:val="none" w:sz="0" w:space="0" w:color="auto"/>
        <w:bottom w:val="none" w:sz="0" w:space="0" w:color="auto"/>
        <w:right w:val="none" w:sz="0" w:space="0" w:color="auto"/>
      </w:divBdr>
    </w:div>
    <w:div w:id="1445614479">
      <w:bodyDiv w:val="1"/>
      <w:marLeft w:val="0"/>
      <w:marRight w:val="0"/>
      <w:marTop w:val="0"/>
      <w:marBottom w:val="0"/>
      <w:divBdr>
        <w:top w:val="none" w:sz="0" w:space="0" w:color="auto"/>
        <w:left w:val="none" w:sz="0" w:space="0" w:color="auto"/>
        <w:bottom w:val="none" w:sz="0" w:space="0" w:color="auto"/>
        <w:right w:val="none" w:sz="0" w:space="0" w:color="auto"/>
      </w:divBdr>
    </w:div>
    <w:div w:id="1447576362">
      <w:bodyDiv w:val="1"/>
      <w:marLeft w:val="0"/>
      <w:marRight w:val="0"/>
      <w:marTop w:val="0"/>
      <w:marBottom w:val="0"/>
      <w:divBdr>
        <w:top w:val="none" w:sz="0" w:space="0" w:color="auto"/>
        <w:left w:val="none" w:sz="0" w:space="0" w:color="auto"/>
        <w:bottom w:val="none" w:sz="0" w:space="0" w:color="auto"/>
        <w:right w:val="none" w:sz="0" w:space="0" w:color="auto"/>
      </w:divBdr>
    </w:div>
    <w:div w:id="1457986005">
      <w:bodyDiv w:val="1"/>
      <w:marLeft w:val="0"/>
      <w:marRight w:val="0"/>
      <w:marTop w:val="0"/>
      <w:marBottom w:val="0"/>
      <w:divBdr>
        <w:top w:val="none" w:sz="0" w:space="0" w:color="auto"/>
        <w:left w:val="none" w:sz="0" w:space="0" w:color="auto"/>
        <w:bottom w:val="none" w:sz="0" w:space="0" w:color="auto"/>
        <w:right w:val="none" w:sz="0" w:space="0" w:color="auto"/>
      </w:divBdr>
    </w:div>
    <w:div w:id="1462769653">
      <w:bodyDiv w:val="1"/>
      <w:marLeft w:val="0"/>
      <w:marRight w:val="0"/>
      <w:marTop w:val="0"/>
      <w:marBottom w:val="0"/>
      <w:divBdr>
        <w:top w:val="none" w:sz="0" w:space="0" w:color="auto"/>
        <w:left w:val="none" w:sz="0" w:space="0" w:color="auto"/>
        <w:bottom w:val="none" w:sz="0" w:space="0" w:color="auto"/>
        <w:right w:val="none" w:sz="0" w:space="0" w:color="auto"/>
      </w:divBdr>
    </w:div>
    <w:div w:id="1465273770">
      <w:bodyDiv w:val="1"/>
      <w:marLeft w:val="0"/>
      <w:marRight w:val="0"/>
      <w:marTop w:val="0"/>
      <w:marBottom w:val="0"/>
      <w:divBdr>
        <w:top w:val="none" w:sz="0" w:space="0" w:color="auto"/>
        <w:left w:val="none" w:sz="0" w:space="0" w:color="auto"/>
        <w:bottom w:val="none" w:sz="0" w:space="0" w:color="auto"/>
        <w:right w:val="none" w:sz="0" w:space="0" w:color="auto"/>
      </w:divBdr>
    </w:div>
    <w:div w:id="1472553398">
      <w:bodyDiv w:val="1"/>
      <w:marLeft w:val="0"/>
      <w:marRight w:val="0"/>
      <w:marTop w:val="0"/>
      <w:marBottom w:val="0"/>
      <w:divBdr>
        <w:top w:val="none" w:sz="0" w:space="0" w:color="auto"/>
        <w:left w:val="none" w:sz="0" w:space="0" w:color="auto"/>
        <w:bottom w:val="none" w:sz="0" w:space="0" w:color="auto"/>
        <w:right w:val="none" w:sz="0" w:space="0" w:color="auto"/>
      </w:divBdr>
    </w:div>
    <w:div w:id="1478641298">
      <w:bodyDiv w:val="1"/>
      <w:marLeft w:val="0"/>
      <w:marRight w:val="0"/>
      <w:marTop w:val="0"/>
      <w:marBottom w:val="0"/>
      <w:divBdr>
        <w:top w:val="none" w:sz="0" w:space="0" w:color="auto"/>
        <w:left w:val="none" w:sz="0" w:space="0" w:color="auto"/>
        <w:bottom w:val="none" w:sz="0" w:space="0" w:color="auto"/>
        <w:right w:val="none" w:sz="0" w:space="0" w:color="auto"/>
      </w:divBdr>
    </w:div>
    <w:div w:id="1480416842">
      <w:bodyDiv w:val="1"/>
      <w:marLeft w:val="0"/>
      <w:marRight w:val="0"/>
      <w:marTop w:val="0"/>
      <w:marBottom w:val="0"/>
      <w:divBdr>
        <w:top w:val="none" w:sz="0" w:space="0" w:color="auto"/>
        <w:left w:val="none" w:sz="0" w:space="0" w:color="auto"/>
        <w:bottom w:val="none" w:sz="0" w:space="0" w:color="auto"/>
        <w:right w:val="none" w:sz="0" w:space="0" w:color="auto"/>
      </w:divBdr>
    </w:div>
    <w:div w:id="1494683964">
      <w:bodyDiv w:val="1"/>
      <w:marLeft w:val="0"/>
      <w:marRight w:val="0"/>
      <w:marTop w:val="0"/>
      <w:marBottom w:val="0"/>
      <w:divBdr>
        <w:top w:val="none" w:sz="0" w:space="0" w:color="auto"/>
        <w:left w:val="none" w:sz="0" w:space="0" w:color="auto"/>
        <w:bottom w:val="none" w:sz="0" w:space="0" w:color="auto"/>
        <w:right w:val="none" w:sz="0" w:space="0" w:color="auto"/>
      </w:divBdr>
    </w:div>
    <w:div w:id="1496455509">
      <w:bodyDiv w:val="1"/>
      <w:marLeft w:val="0"/>
      <w:marRight w:val="0"/>
      <w:marTop w:val="0"/>
      <w:marBottom w:val="0"/>
      <w:divBdr>
        <w:top w:val="none" w:sz="0" w:space="0" w:color="auto"/>
        <w:left w:val="none" w:sz="0" w:space="0" w:color="auto"/>
        <w:bottom w:val="none" w:sz="0" w:space="0" w:color="auto"/>
        <w:right w:val="none" w:sz="0" w:space="0" w:color="auto"/>
      </w:divBdr>
    </w:div>
    <w:div w:id="1501198355">
      <w:bodyDiv w:val="1"/>
      <w:marLeft w:val="0"/>
      <w:marRight w:val="0"/>
      <w:marTop w:val="0"/>
      <w:marBottom w:val="0"/>
      <w:divBdr>
        <w:top w:val="none" w:sz="0" w:space="0" w:color="auto"/>
        <w:left w:val="none" w:sz="0" w:space="0" w:color="auto"/>
        <w:bottom w:val="none" w:sz="0" w:space="0" w:color="auto"/>
        <w:right w:val="none" w:sz="0" w:space="0" w:color="auto"/>
      </w:divBdr>
    </w:div>
    <w:div w:id="1507092141">
      <w:bodyDiv w:val="1"/>
      <w:marLeft w:val="0"/>
      <w:marRight w:val="0"/>
      <w:marTop w:val="0"/>
      <w:marBottom w:val="0"/>
      <w:divBdr>
        <w:top w:val="none" w:sz="0" w:space="0" w:color="auto"/>
        <w:left w:val="none" w:sz="0" w:space="0" w:color="auto"/>
        <w:bottom w:val="none" w:sz="0" w:space="0" w:color="auto"/>
        <w:right w:val="none" w:sz="0" w:space="0" w:color="auto"/>
      </w:divBdr>
    </w:div>
    <w:div w:id="1508667927">
      <w:bodyDiv w:val="1"/>
      <w:marLeft w:val="0"/>
      <w:marRight w:val="0"/>
      <w:marTop w:val="0"/>
      <w:marBottom w:val="0"/>
      <w:divBdr>
        <w:top w:val="none" w:sz="0" w:space="0" w:color="auto"/>
        <w:left w:val="none" w:sz="0" w:space="0" w:color="auto"/>
        <w:bottom w:val="none" w:sz="0" w:space="0" w:color="auto"/>
        <w:right w:val="none" w:sz="0" w:space="0" w:color="auto"/>
      </w:divBdr>
    </w:div>
    <w:div w:id="1510749452">
      <w:bodyDiv w:val="1"/>
      <w:marLeft w:val="0"/>
      <w:marRight w:val="0"/>
      <w:marTop w:val="0"/>
      <w:marBottom w:val="0"/>
      <w:divBdr>
        <w:top w:val="none" w:sz="0" w:space="0" w:color="auto"/>
        <w:left w:val="none" w:sz="0" w:space="0" w:color="auto"/>
        <w:bottom w:val="none" w:sz="0" w:space="0" w:color="auto"/>
        <w:right w:val="none" w:sz="0" w:space="0" w:color="auto"/>
      </w:divBdr>
    </w:div>
    <w:div w:id="1511526466">
      <w:bodyDiv w:val="1"/>
      <w:marLeft w:val="0"/>
      <w:marRight w:val="0"/>
      <w:marTop w:val="0"/>
      <w:marBottom w:val="0"/>
      <w:divBdr>
        <w:top w:val="none" w:sz="0" w:space="0" w:color="auto"/>
        <w:left w:val="none" w:sz="0" w:space="0" w:color="auto"/>
        <w:bottom w:val="none" w:sz="0" w:space="0" w:color="auto"/>
        <w:right w:val="none" w:sz="0" w:space="0" w:color="auto"/>
      </w:divBdr>
    </w:div>
    <w:div w:id="1512447704">
      <w:bodyDiv w:val="1"/>
      <w:marLeft w:val="0"/>
      <w:marRight w:val="0"/>
      <w:marTop w:val="0"/>
      <w:marBottom w:val="0"/>
      <w:divBdr>
        <w:top w:val="none" w:sz="0" w:space="0" w:color="auto"/>
        <w:left w:val="none" w:sz="0" w:space="0" w:color="auto"/>
        <w:bottom w:val="none" w:sz="0" w:space="0" w:color="auto"/>
        <w:right w:val="none" w:sz="0" w:space="0" w:color="auto"/>
      </w:divBdr>
    </w:div>
    <w:div w:id="1515460151">
      <w:bodyDiv w:val="1"/>
      <w:marLeft w:val="0"/>
      <w:marRight w:val="0"/>
      <w:marTop w:val="0"/>
      <w:marBottom w:val="0"/>
      <w:divBdr>
        <w:top w:val="none" w:sz="0" w:space="0" w:color="auto"/>
        <w:left w:val="none" w:sz="0" w:space="0" w:color="auto"/>
        <w:bottom w:val="none" w:sz="0" w:space="0" w:color="auto"/>
        <w:right w:val="none" w:sz="0" w:space="0" w:color="auto"/>
      </w:divBdr>
    </w:div>
    <w:div w:id="1525091223">
      <w:bodyDiv w:val="1"/>
      <w:marLeft w:val="0"/>
      <w:marRight w:val="0"/>
      <w:marTop w:val="0"/>
      <w:marBottom w:val="0"/>
      <w:divBdr>
        <w:top w:val="none" w:sz="0" w:space="0" w:color="auto"/>
        <w:left w:val="none" w:sz="0" w:space="0" w:color="auto"/>
        <w:bottom w:val="none" w:sz="0" w:space="0" w:color="auto"/>
        <w:right w:val="none" w:sz="0" w:space="0" w:color="auto"/>
      </w:divBdr>
    </w:div>
    <w:div w:id="1533299031">
      <w:bodyDiv w:val="1"/>
      <w:marLeft w:val="0"/>
      <w:marRight w:val="0"/>
      <w:marTop w:val="0"/>
      <w:marBottom w:val="0"/>
      <w:divBdr>
        <w:top w:val="none" w:sz="0" w:space="0" w:color="auto"/>
        <w:left w:val="none" w:sz="0" w:space="0" w:color="auto"/>
        <w:bottom w:val="none" w:sz="0" w:space="0" w:color="auto"/>
        <w:right w:val="none" w:sz="0" w:space="0" w:color="auto"/>
      </w:divBdr>
    </w:div>
    <w:div w:id="1534610974">
      <w:bodyDiv w:val="1"/>
      <w:marLeft w:val="0"/>
      <w:marRight w:val="0"/>
      <w:marTop w:val="0"/>
      <w:marBottom w:val="0"/>
      <w:divBdr>
        <w:top w:val="none" w:sz="0" w:space="0" w:color="auto"/>
        <w:left w:val="none" w:sz="0" w:space="0" w:color="auto"/>
        <w:bottom w:val="none" w:sz="0" w:space="0" w:color="auto"/>
        <w:right w:val="none" w:sz="0" w:space="0" w:color="auto"/>
      </w:divBdr>
    </w:div>
    <w:div w:id="1540973113">
      <w:bodyDiv w:val="1"/>
      <w:marLeft w:val="0"/>
      <w:marRight w:val="0"/>
      <w:marTop w:val="0"/>
      <w:marBottom w:val="0"/>
      <w:divBdr>
        <w:top w:val="none" w:sz="0" w:space="0" w:color="auto"/>
        <w:left w:val="none" w:sz="0" w:space="0" w:color="auto"/>
        <w:bottom w:val="none" w:sz="0" w:space="0" w:color="auto"/>
        <w:right w:val="none" w:sz="0" w:space="0" w:color="auto"/>
      </w:divBdr>
    </w:div>
    <w:div w:id="1542747372">
      <w:bodyDiv w:val="1"/>
      <w:marLeft w:val="0"/>
      <w:marRight w:val="0"/>
      <w:marTop w:val="0"/>
      <w:marBottom w:val="0"/>
      <w:divBdr>
        <w:top w:val="none" w:sz="0" w:space="0" w:color="auto"/>
        <w:left w:val="none" w:sz="0" w:space="0" w:color="auto"/>
        <w:bottom w:val="none" w:sz="0" w:space="0" w:color="auto"/>
        <w:right w:val="none" w:sz="0" w:space="0" w:color="auto"/>
      </w:divBdr>
    </w:div>
    <w:div w:id="1556504365">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61362231">
      <w:bodyDiv w:val="1"/>
      <w:marLeft w:val="0"/>
      <w:marRight w:val="0"/>
      <w:marTop w:val="0"/>
      <w:marBottom w:val="0"/>
      <w:divBdr>
        <w:top w:val="none" w:sz="0" w:space="0" w:color="auto"/>
        <w:left w:val="none" w:sz="0" w:space="0" w:color="auto"/>
        <w:bottom w:val="none" w:sz="0" w:space="0" w:color="auto"/>
        <w:right w:val="none" w:sz="0" w:space="0" w:color="auto"/>
      </w:divBdr>
    </w:div>
    <w:div w:id="1565142469">
      <w:bodyDiv w:val="1"/>
      <w:marLeft w:val="0"/>
      <w:marRight w:val="0"/>
      <w:marTop w:val="0"/>
      <w:marBottom w:val="0"/>
      <w:divBdr>
        <w:top w:val="none" w:sz="0" w:space="0" w:color="auto"/>
        <w:left w:val="none" w:sz="0" w:space="0" w:color="auto"/>
        <w:bottom w:val="none" w:sz="0" w:space="0" w:color="auto"/>
        <w:right w:val="none" w:sz="0" w:space="0" w:color="auto"/>
      </w:divBdr>
    </w:div>
    <w:div w:id="1579829500">
      <w:bodyDiv w:val="1"/>
      <w:marLeft w:val="0"/>
      <w:marRight w:val="0"/>
      <w:marTop w:val="0"/>
      <w:marBottom w:val="0"/>
      <w:divBdr>
        <w:top w:val="none" w:sz="0" w:space="0" w:color="auto"/>
        <w:left w:val="none" w:sz="0" w:space="0" w:color="auto"/>
        <w:bottom w:val="none" w:sz="0" w:space="0" w:color="auto"/>
        <w:right w:val="none" w:sz="0" w:space="0" w:color="auto"/>
      </w:divBdr>
    </w:div>
    <w:div w:id="1581792044">
      <w:bodyDiv w:val="1"/>
      <w:marLeft w:val="0"/>
      <w:marRight w:val="0"/>
      <w:marTop w:val="0"/>
      <w:marBottom w:val="0"/>
      <w:divBdr>
        <w:top w:val="none" w:sz="0" w:space="0" w:color="auto"/>
        <w:left w:val="none" w:sz="0" w:space="0" w:color="auto"/>
        <w:bottom w:val="none" w:sz="0" w:space="0" w:color="auto"/>
        <w:right w:val="none" w:sz="0" w:space="0" w:color="auto"/>
      </w:divBdr>
    </w:div>
    <w:div w:id="1581939571">
      <w:bodyDiv w:val="1"/>
      <w:marLeft w:val="0"/>
      <w:marRight w:val="0"/>
      <w:marTop w:val="0"/>
      <w:marBottom w:val="0"/>
      <w:divBdr>
        <w:top w:val="none" w:sz="0" w:space="0" w:color="auto"/>
        <w:left w:val="none" w:sz="0" w:space="0" w:color="auto"/>
        <w:bottom w:val="none" w:sz="0" w:space="0" w:color="auto"/>
        <w:right w:val="none" w:sz="0" w:space="0" w:color="auto"/>
      </w:divBdr>
    </w:div>
    <w:div w:id="1587763152">
      <w:bodyDiv w:val="1"/>
      <w:marLeft w:val="0"/>
      <w:marRight w:val="0"/>
      <w:marTop w:val="0"/>
      <w:marBottom w:val="0"/>
      <w:divBdr>
        <w:top w:val="none" w:sz="0" w:space="0" w:color="auto"/>
        <w:left w:val="none" w:sz="0" w:space="0" w:color="auto"/>
        <w:bottom w:val="none" w:sz="0" w:space="0" w:color="auto"/>
        <w:right w:val="none" w:sz="0" w:space="0" w:color="auto"/>
      </w:divBdr>
    </w:div>
    <w:div w:id="1603948701">
      <w:bodyDiv w:val="1"/>
      <w:marLeft w:val="0"/>
      <w:marRight w:val="0"/>
      <w:marTop w:val="0"/>
      <w:marBottom w:val="0"/>
      <w:divBdr>
        <w:top w:val="none" w:sz="0" w:space="0" w:color="auto"/>
        <w:left w:val="none" w:sz="0" w:space="0" w:color="auto"/>
        <w:bottom w:val="none" w:sz="0" w:space="0" w:color="auto"/>
        <w:right w:val="none" w:sz="0" w:space="0" w:color="auto"/>
      </w:divBdr>
    </w:div>
    <w:div w:id="1615210065">
      <w:bodyDiv w:val="1"/>
      <w:marLeft w:val="0"/>
      <w:marRight w:val="0"/>
      <w:marTop w:val="0"/>
      <w:marBottom w:val="0"/>
      <w:divBdr>
        <w:top w:val="none" w:sz="0" w:space="0" w:color="auto"/>
        <w:left w:val="none" w:sz="0" w:space="0" w:color="auto"/>
        <w:bottom w:val="none" w:sz="0" w:space="0" w:color="auto"/>
        <w:right w:val="none" w:sz="0" w:space="0" w:color="auto"/>
      </w:divBdr>
    </w:div>
    <w:div w:id="1615475396">
      <w:bodyDiv w:val="1"/>
      <w:marLeft w:val="0"/>
      <w:marRight w:val="0"/>
      <w:marTop w:val="0"/>
      <w:marBottom w:val="0"/>
      <w:divBdr>
        <w:top w:val="none" w:sz="0" w:space="0" w:color="auto"/>
        <w:left w:val="none" w:sz="0" w:space="0" w:color="auto"/>
        <w:bottom w:val="none" w:sz="0" w:space="0" w:color="auto"/>
        <w:right w:val="none" w:sz="0" w:space="0" w:color="auto"/>
      </w:divBdr>
    </w:div>
    <w:div w:id="1624191400">
      <w:bodyDiv w:val="1"/>
      <w:marLeft w:val="0"/>
      <w:marRight w:val="0"/>
      <w:marTop w:val="0"/>
      <w:marBottom w:val="0"/>
      <w:divBdr>
        <w:top w:val="none" w:sz="0" w:space="0" w:color="auto"/>
        <w:left w:val="none" w:sz="0" w:space="0" w:color="auto"/>
        <w:bottom w:val="none" w:sz="0" w:space="0" w:color="auto"/>
        <w:right w:val="none" w:sz="0" w:space="0" w:color="auto"/>
      </w:divBdr>
    </w:div>
    <w:div w:id="1625499021">
      <w:bodyDiv w:val="1"/>
      <w:marLeft w:val="0"/>
      <w:marRight w:val="0"/>
      <w:marTop w:val="0"/>
      <w:marBottom w:val="0"/>
      <w:divBdr>
        <w:top w:val="none" w:sz="0" w:space="0" w:color="auto"/>
        <w:left w:val="none" w:sz="0" w:space="0" w:color="auto"/>
        <w:bottom w:val="none" w:sz="0" w:space="0" w:color="auto"/>
        <w:right w:val="none" w:sz="0" w:space="0" w:color="auto"/>
      </w:divBdr>
    </w:div>
    <w:div w:id="1628580852">
      <w:bodyDiv w:val="1"/>
      <w:marLeft w:val="0"/>
      <w:marRight w:val="0"/>
      <w:marTop w:val="0"/>
      <w:marBottom w:val="0"/>
      <w:divBdr>
        <w:top w:val="none" w:sz="0" w:space="0" w:color="auto"/>
        <w:left w:val="none" w:sz="0" w:space="0" w:color="auto"/>
        <w:bottom w:val="none" w:sz="0" w:space="0" w:color="auto"/>
        <w:right w:val="none" w:sz="0" w:space="0" w:color="auto"/>
      </w:divBdr>
    </w:div>
    <w:div w:id="1645549402">
      <w:bodyDiv w:val="1"/>
      <w:marLeft w:val="0"/>
      <w:marRight w:val="0"/>
      <w:marTop w:val="0"/>
      <w:marBottom w:val="0"/>
      <w:divBdr>
        <w:top w:val="none" w:sz="0" w:space="0" w:color="auto"/>
        <w:left w:val="none" w:sz="0" w:space="0" w:color="auto"/>
        <w:bottom w:val="none" w:sz="0" w:space="0" w:color="auto"/>
        <w:right w:val="none" w:sz="0" w:space="0" w:color="auto"/>
      </w:divBdr>
    </w:div>
    <w:div w:id="1649090044">
      <w:bodyDiv w:val="1"/>
      <w:marLeft w:val="0"/>
      <w:marRight w:val="0"/>
      <w:marTop w:val="0"/>
      <w:marBottom w:val="0"/>
      <w:divBdr>
        <w:top w:val="none" w:sz="0" w:space="0" w:color="auto"/>
        <w:left w:val="none" w:sz="0" w:space="0" w:color="auto"/>
        <w:bottom w:val="none" w:sz="0" w:space="0" w:color="auto"/>
        <w:right w:val="none" w:sz="0" w:space="0" w:color="auto"/>
      </w:divBdr>
    </w:div>
    <w:div w:id="1649435117">
      <w:bodyDiv w:val="1"/>
      <w:marLeft w:val="0"/>
      <w:marRight w:val="0"/>
      <w:marTop w:val="0"/>
      <w:marBottom w:val="0"/>
      <w:divBdr>
        <w:top w:val="none" w:sz="0" w:space="0" w:color="auto"/>
        <w:left w:val="none" w:sz="0" w:space="0" w:color="auto"/>
        <w:bottom w:val="none" w:sz="0" w:space="0" w:color="auto"/>
        <w:right w:val="none" w:sz="0" w:space="0" w:color="auto"/>
      </w:divBdr>
    </w:div>
    <w:div w:id="1653750395">
      <w:bodyDiv w:val="1"/>
      <w:marLeft w:val="0"/>
      <w:marRight w:val="0"/>
      <w:marTop w:val="0"/>
      <w:marBottom w:val="0"/>
      <w:divBdr>
        <w:top w:val="none" w:sz="0" w:space="0" w:color="auto"/>
        <w:left w:val="none" w:sz="0" w:space="0" w:color="auto"/>
        <w:bottom w:val="none" w:sz="0" w:space="0" w:color="auto"/>
        <w:right w:val="none" w:sz="0" w:space="0" w:color="auto"/>
      </w:divBdr>
    </w:div>
    <w:div w:id="1662386578">
      <w:bodyDiv w:val="1"/>
      <w:marLeft w:val="0"/>
      <w:marRight w:val="0"/>
      <w:marTop w:val="0"/>
      <w:marBottom w:val="0"/>
      <w:divBdr>
        <w:top w:val="none" w:sz="0" w:space="0" w:color="auto"/>
        <w:left w:val="none" w:sz="0" w:space="0" w:color="auto"/>
        <w:bottom w:val="none" w:sz="0" w:space="0" w:color="auto"/>
        <w:right w:val="none" w:sz="0" w:space="0" w:color="auto"/>
      </w:divBdr>
    </w:div>
    <w:div w:id="1662804970">
      <w:bodyDiv w:val="1"/>
      <w:marLeft w:val="0"/>
      <w:marRight w:val="0"/>
      <w:marTop w:val="0"/>
      <w:marBottom w:val="0"/>
      <w:divBdr>
        <w:top w:val="none" w:sz="0" w:space="0" w:color="auto"/>
        <w:left w:val="none" w:sz="0" w:space="0" w:color="auto"/>
        <w:bottom w:val="none" w:sz="0" w:space="0" w:color="auto"/>
        <w:right w:val="none" w:sz="0" w:space="0" w:color="auto"/>
      </w:divBdr>
    </w:div>
    <w:div w:id="1664695185">
      <w:bodyDiv w:val="1"/>
      <w:marLeft w:val="0"/>
      <w:marRight w:val="0"/>
      <w:marTop w:val="0"/>
      <w:marBottom w:val="0"/>
      <w:divBdr>
        <w:top w:val="none" w:sz="0" w:space="0" w:color="auto"/>
        <w:left w:val="none" w:sz="0" w:space="0" w:color="auto"/>
        <w:bottom w:val="none" w:sz="0" w:space="0" w:color="auto"/>
        <w:right w:val="none" w:sz="0" w:space="0" w:color="auto"/>
      </w:divBdr>
    </w:div>
    <w:div w:id="1676422842">
      <w:bodyDiv w:val="1"/>
      <w:marLeft w:val="0"/>
      <w:marRight w:val="0"/>
      <w:marTop w:val="0"/>
      <w:marBottom w:val="0"/>
      <w:divBdr>
        <w:top w:val="none" w:sz="0" w:space="0" w:color="auto"/>
        <w:left w:val="none" w:sz="0" w:space="0" w:color="auto"/>
        <w:bottom w:val="none" w:sz="0" w:space="0" w:color="auto"/>
        <w:right w:val="none" w:sz="0" w:space="0" w:color="auto"/>
      </w:divBdr>
    </w:div>
    <w:div w:id="1680768455">
      <w:bodyDiv w:val="1"/>
      <w:marLeft w:val="0"/>
      <w:marRight w:val="0"/>
      <w:marTop w:val="0"/>
      <w:marBottom w:val="0"/>
      <w:divBdr>
        <w:top w:val="none" w:sz="0" w:space="0" w:color="auto"/>
        <w:left w:val="none" w:sz="0" w:space="0" w:color="auto"/>
        <w:bottom w:val="none" w:sz="0" w:space="0" w:color="auto"/>
        <w:right w:val="none" w:sz="0" w:space="0" w:color="auto"/>
      </w:divBdr>
    </w:div>
    <w:div w:id="1684747397">
      <w:bodyDiv w:val="1"/>
      <w:marLeft w:val="0"/>
      <w:marRight w:val="0"/>
      <w:marTop w:val="0"/>
      <w:marBottom w:val="0"/>
      <w:divBdr>
        <w:top w:val="none" w:sz="0" w:space="0" w:color="auto"/>
        <w:left w:val="none" w:sz="0" w:space="0" w:color="auto"/>
        <w:bottom w:val="none" w:sz="0" w:space="0" w:color="auto"/>
        <w:right w:val="none" w:sz="0" w:space="0" w:color="auto"/>
      </w:divBdr>
    </w:div>
    <w:div w:id="1690712906">
      <w:bodyDiv w:val="1"/>
      <w:marLeft w:val="0"/>
      <w:marRight w:val="0"/>
      <w:marTop w:val="0"/>
      <w:marBottom w:val="0"/>
      <w:divBdr>
        <w:top w:val="none" w:sz="0" w:space="0" w:color="auto"/>
        <w:left w:val="none" w:sz="0" w:space="0" w:color="auto"/>
        <w:bottom w:val="none" w:sz="0" w:space="0" w:color="auto"/>
        <w:right w:val="none" w:sz="0" w:space="0" w:color="auto"/>
      </w:divBdr>
    </w:div>
    <w:div w:id="1691103177">
      <w:bodyDiv w:val="1"/>
      <w:marLeft w:val="0"/>
      <w:marRight w:val="0"/>
      <w:marTop w:val="0"/>
      <w:marBottom w:val="0"/>
      <w:divBdr>
        <w:top w:val="none" w:sz="0" w:space="0" w:color="auto"/>
        <w:left w:val="none" w:sz="0" w:space="0" w:color="auto"/>
        <w:bottom w:val="none" w:sz="0" w:space="0" w:color="auto"/>
        <w:right w:val="none" w:sz="0" w:space="0" w:color="auto"/>
      </w:divBdr>
    </w:div>
    <w:div w:id="1693796129">
      <w:bodyDiv w:val="1"/>
      <w:marLeft w:val="0"/>
      <w:marRight w:val="0"/>
      <w:marTop w:val="0"/>
      <w:marBottom w:val="0"/>
      <w:divBdr>
        <w:top w:val="none" w:sz="0" w:space="0" w:color="auto"/>
        <w:left w:val="none" w:sz="0" w:space="0" w:color="auto"/>
        <w:bottom w:val="none" w:sz="0" w:space="0" w:color="auto"/>
        <w:right w:val="none" w:sz="0" w:space="0" w:color="auto"/>
      </w:divBdr>
    </w:div>
    <w:div w:id="1698042600">
      <w:bodyDiv w:val="1"/>
      <w:marLeft w:val="0"/>
      <w:marRight w:val="0"/>
      <w:marTop w:val="0"/>
      <w:marBottom w:val="0"/>
      <w:divBdr>
        <w:top w:val="none" w:sz="0" w:space="0" w:color="auto"/>
        <w:left w:val="none" w:sz="0" w:space="0" w:color="auto"/>
        <w:bottom w:val="none" w:sz="0" w:space="0" w:color="auto"/>
        <w:right w:val="none" w:sz="0" w:space="0" w:color="auto"/>
      </w:divBdr>
    </w:div>
    <w:div w:id="1700664234">
      <w:bodyDiv w:val="1"/>
      <w:marLeft w:val="0"/>
      <w:marRight w:val="0"/>
      <w:marTop w:val="0"/>
      <w:marBottom w:val="0"/>
      <w:divBdr>
        <w:top w:val="none" w:sz="0" w:space="0" w:color="auto"/>
        <w:left w:val="none" w:sz="0" w:space="0" w:color="auto"/>
        <w:bottom w:val="none" w:sz="0" w:space="0" w:color="auto"/>
        <w:right w:val="none" w:sz="0" w:space="0" w:color="auto"/>
      </w:divBdr>
    </w:div>
    <w:div w:id="1728529450">
      <w:bodyDiv w:val="1"/>
      <w:marLeft w:val="0"/>
      <w:marRight w:val="0"/>
      <w:marTop w:val="0"/>
      <w:marBottom w:val="0"/>
      <w:divBdr>
        <w:top w:val="none" w:sz="0" w:space="0" w:color="auto"/>
        <w:left w:val="none" w:sz="0" w:space="0" w:color="auto"/>
        <w:bottom w:val="none" w:sz="0" w:space="0" w:color="auto"/>
        <w:right w:val="none" w:sz="0" w:space="0" w:color="auto"/>
      </w:divBdr>
    </w:div>
    <w:div w:id="1729104807">
      <w:bodyDiv w:val="1"/>
      <w:marLeft w:val="0"/>
      <w:marRight w:val="0"/>
      <w:marTop w:val="0"/>
      <w:marBottom w:val="0"/>
      <w:divBdr>
        <w:top w:val="none" w:sz="0" w:space="0" w:color="auto"/>
        <w:left w:val="none" w:sz="0" w:space="0" w:color="auto"/>
        <w:bottom w:val="none" w:sz="0" w:space="0" w:color="auto"/>
        <w:right w:val="none" w:sz="0" w:space="0" w:color="auto"/>
      </w:divBdr>
    </w:div>
    <w:div w:id="1731614421">
      <w:bodyDiv w:val="1"/>
      <w:marLeft w:val="0"/>
      <w:marRight w:val="0"/>
      <w:marTop w:val="0"/>
      <w:marBottom w:val="0"/>
      <w:divBdr>
        <w:top w:val="none" w:sz="0" w:space="0" w:color="auto"/>
        <w:left w:val="none" w:sz="0" w:space="0" w:color="auto"/>
        <w:bottom w:val="none" w:sz="0" w:space="0" w:color="auto"/>
        <w:right w:val="none" w:sz="0" w:space="0" w:color="auto"/>
      </w:divBdr>
    </w:div>
    <w:div w:id="1740440597">
      <w:bodyDiv w:val="1"/>
      <w:marLeft w:val="0"/>
      <w:marRight w:val="0"/>
      <w:marTop w:val="0"/>
      <w:marBottom w:val="0"/>
      <w:divBdr>
        <w:top w:val="none" w:sz="0" w:space="0" w:color="auto"/>
        <w:left w:val="none" w:sz="0" w:space="0" w:color="auto"/>
        <w:bottom w:val="none" w:sz="0" w:space="0" w:color="auto"/>
        <w:right w:val="none" w:sz="0" w:space="0" w:color="auto"/>
      </w:divBdr>
    </w:div>
    <w:div w:id="1747800940">
      <w:bodyDiv w:val="1"/>
      <w:marLeft w:val="0"/>
      <w:marRight w:val="0"/>
      <w:marTop w:val="0"/>
      <w:marBottom w:val="0"/>
      <w:divBdr>
        <w:top w:val="none" w:sz="0" w:space="0" w:color="auto"/>
        <w:left w:val="none" w:sz="0" w:space="0" w:color="auto"/>
        <w:bottom w:val="none" w:sz="0" w:space="0" w:color="auto"/>
        <w:right w:val="none" w:sz="0" w:space="0" w:color="auto"/>
      </w:divBdr>
    </w:div>
    <w:div w:id="1772820292">
      <w:bodyDiv w:val="1"/>
      <w:marLeft w:val="0"/>
      <w:marRight w:val="0"/>
      <w:marTop w:val="0"/>
      <w:marBottom w:val="0"/>
      <w:divBdr>
        <w:top w:val="none" w:sz="0" w:space="0" w:color="auto"/>
        <w:left w:val="none" w:sz="0" w:space="0" w:color="auto"/>
        <w:bottom w:val="none" w:sz="0" w:space="0" w:color="auto"/>
        <w:right w:val="none" w:sz="0" w:space="0" w:color="auto"/>
      </w:divBdr>
    </w:div>
    <w:div w:id="1779762840">
      <w:bodyDiv w:val="1"/>
      <w:marLeft w:val="0"/>
      <w:marRight w:val="0"/>
      <w:marTop w:val="0"/>
      <w:marBottom w:val="0"/>
      <w:divBdr>
        <w:top w:val="none" w:sz="0" w:space="0" w:color="auto"/>
        <w:left w:val="none" w:sz="0" w:space="0" w:color="auto"/>
        <w:bottom w:val="none" w:sz="0" w:space="0" w:color="auto"/>
        <w:right w:val="none" w:sz="0" w:space="0" w:color="auto"/>
      </w:divBdr>
    </w:div>
    <w:div w:id="1788158877">
      <w:bodyDiv w:val="1"/>
      <w:marLeft w:val="0"/>
      <w:marRight w:val="0"/>
      <w:marTop w:val="0"/>
      <w:marBottom w:val="0"/>
      <w:divBdr>
        <w:top w:val="none" w:sz="0" w:space="0" w:color="auto"/>
        <w:left w:val="none" w:sz="0" w:space="0" w:color="auto"/>
        <w:bottom w:val="none" w:sz="0" w:space="0" w:color="auto"/>
        <w:right w:val="none" w:sz="0" w:space="0" w:color="auto"/>
      </w:divBdr>
    </w:div>
    <w:div w:id="1790780698">
      <w:bodyDiv w:val="1"/>
      <w:marLeft w:val="0"/>
      <w:marRight w:val="0"/>
      <w:marTop w:val="0"/>
      <w:marBottom w:val="0"/>
      <w:divBdr>
        <w:top w:val="none" w:sz="0" w:space="0" w:color="auto"/>
        <w:left w:val="none" w:sz="0" w:space="0" w:color="auto"/>
        <w:bottom w:val="none" w:sz="0" w:space="0" w:color="auto"/>
        <w:right w:val="none" w:sz="0" w:space="0" w:color="auto"/>
      </w:divBdr>
    </w:div>
    <w:div w:id="1794133095">
      <w:bodyDiv w:val="1"/>
      <w:marLeft w:val="0"/>
      <w:marRight w:val="0"/>
      <w:marTop w:val="0"/>
      <w:marBottom w:val="0"/>
      <w:divBdr>
        <w:top w:val="none" w:sz="0" w:space="0" w:color="auto"/>
        <w:left w:val="none" w:sz="0" w:space="0" w:color="auto"/>
        <w:bottom w:val="none" w:sz="0" w:space="0" w:color="auto"/>
        <w:right w:val="none" w:sz="0" w:space="0" w:color="auto"/>
      </w:divBdr>
    </w:div>
    <w:div w:id="1809711377">
      <w:bodyDiv w:val="1"/>
      <w:marLeft w:val="0"/>
      <w:marRight w:val="0"/>
      <w:marTop w:val="0"/>
      <w:marBottom w:val="0"/>
      <w:divBdr>
        <w:top w:val="none" w:sz="0" w:space="0" w:color="auto"/>
        <w:left w:val="none" w:sz="0" w:space="0" w:color="auto"/>
        <w:bottom w:val="none" w:sz="0" w:space="0" w:color="auto"/>
        <w:right w:val="none" w:sz="0" w:space="0" w:color="auto"/>
      </w:divBdr>
    </w:div>
    <w:div w:id="1811091520">
      <w:bodyDiv w:val="1"/>
      <w:marLeft w:val="0"/>
      <w:marRight w:val="0"/>
      <w:marTop w:val="0"/>
      <w:marBottom w:val="0"/>
      <w:divBdr>
        <w:top w:val="none" w:sz="0" w:space="0" w:color="auto"/>
        <w:left w:val="none" w:sz="0" w:space="0" w:color="auto"/>
        <w:bottom w:val="none" w:sz="0" w:space="0" w:color="auto"/>
        <w:right w:val="none" w:sz="0" w:space="0" w:color="auto"/>
      </w:divBdr>
    </w:div>
    <w:div w:id="1818380250">
      <w:bodyDiv w:val="1"/>
      <w:marLeft w:val="0"/>
      <w:marRight w:val="0"/>
      <w:marTop w:val="0"/>
      <w:marBottom w:val="0"/>
      <w:divBdr>
        <w:top w:val="none" w:sz="0" w:space="0" w:color="auto"/>
        <w:left w:val="none" w:sz="0" w:space="0" w:color="auto"/>
        <w:bottom w:val="none" w:sz="0" w:space="0" w:color="auto"/>
        <w:right w:val="none" w:sz="0" w:space="0" w:color="auto"/>
      </w:divBdr>
    </w:div>
    <w:div w:id="1824466200">
      <w:bodyDiv w:val="1"/>
      <w:marLeft w:val="0"/>
      <w:marRight w:val="0"/>
      <w:marTop w:val="0"/>
      <w:marBottom w:val="0"/>
      <w:divBdr>
        <w:top w:val="none" w:sz="0" w:space="0" w:color="auto"/>
        <w:left w:val="none" w:sz="0" w:space="0" w:color="auto"/>
        <w:bottom w:val="none" w:sz="0" w:space="0" w:color="auto"/>
        <w:right w:val="none" w:sz="0" w:space="0" w:color="auto"/>
      </w:divBdr>
    </w:div>
    <w:div w:id="1825849426">
      <w:bodyDiv w:val="1"/>
      <w:marLeft w:val="0"/>
      <w:marRight w:val="0"/>
      <w:marTop w:val="0"/>
      <w:marBottom w:val="0"/>
      <w:divBdr>
        <w:top w:val="none" w:sz="0" w:space="0" w:color="auto"/>
        <w:left w:val="none" w:sz="0" w:space="0" w:color="auto"/>
        <w:bottom w:val="none" w:sz="0" w:space="0" w:color="auto"/>
        <w:right w:val="none" w:sz="0" w:space="0" w:color="auto"/>
      </w:divBdr>
    </w:div>
    <w:div w:id="1828738436">
      <w:bodyDiv w:val="1"/>
      <w:marLeft w:val="0"/>
      <w:marRight w:val="0"/>
      <w:marTop w:val="0"/>
      <w:marBottom w:val="0"/>
      <w:divBdr>
        <w:top w:val="none" w:sz="0" w:space="0" w:color="auto"/>
        <w:left w:val="none" w:sz="0" w:space="0" w:color="auto"/>
        <w:bottom w:val="none" w:sz="0" w:space="0" w:color="auto"/>
        <w:right w:val="none" w:sz="0" w:space="0" w:color="auto"/>
      </w:divBdr>
    </w:div>
    <w:div w:id="1834879601">
      <w:bodyDiv w:val="1"/>
      <w:marLeft w:val="0"/>
      <w:marRight w:val="0"/>
      <w:marTop w:val="0"/>
      <w:marBottom w:val="0"/>
      <w:divBdr>
        <w:top w:val="none" w:sz="0" w:space="0" w:color="auto"/>
        <w:left w:val="none" w:sz="0" w:space="0" w:color="auto"/>
        <w:bottom w:val="none" w:sz="0" w:space="0" w:color="auto"/>
        <w:right w:val="none" w:sz="0" w:space="0" w:color="auto"/>
      </w:divBdr>
    </w:div>
    <w:div w:id="1836219348">
      <w:bodyDiv w:val="1"/>
      <w:marLeft w:val="0"/>
      <w:marRight w:val="0"/>
      <w:marTop w:val="0"/>
      <w:marBottom w:val="0"/>
      <w:divBdr>
        <w:top w:val="none" w:sz="0" w:space="0" w:color="auto"/>
        <w:left w:val="none" w:sz="0" w:space="0" w:color="auto"/>
        <w:bottom w:val="none" w:sz="0" w:space="0" w:color="auto"/>
        <w:right w:val="none" w:sz="0" w:space="0" w:color="auto"/>
      </w:divBdr>
    </w:div>
    <w:div w:id="1849976377">
      <w:bodyDiv w:val="1"/>
      <w:marLeft w:val="0"/>
      <w:marRight w:val="0"/>
      <w:marTop w:val="0"/>
      <w:marBottom w:val="0"/>
      <w:divBdr>
        <w:top w:val="none" w:sz="0" w:space="0" w:color="auto"/>
        <w:left w:val="none" w:sz="0" w:space="0" w:color="auto"/>
        <w:bottom w:val="none" w:sz="0" w:space="0" w:color="auto"/>
        <w:right w:val="none" w:sz="0" w:space="0" w:color="auto"/>
      </w:divBdr>
    </w:div>
    <w:div w:id="185483118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63323511">
      <w:bodyDiv w:val="1"/>
      <w:marLeft w:val="0"/>
      <w:marRight w:val="0"/>
      <w:marTop w:val="0"/>
      <w:marBottom w:val="0"/>
      <w:divBdr>
        <w:top w:val="none" w:sz="0" w:space="0" w:color="auto"/>
        <w:left w:val="none" w:sz="0" w:space="0" w:color="auto"/>
        <w:bottom w:val="none" w:sz="0" w:space="0" w:color="auto"/>
        <w:right w:val="none" w:sz="0" w:space="0" w:color="auto"/>
      </w:divBdr>
    </w:div>
    <w:div w:id="1883902735">
      <w:bodyDiv w:val="1"/>
      <w:marLeft w:val="0"/>
      <w:marRight w:val="0"/>
      <w:marTop w:val="0"/>
      <w:marBottom w:val="0"/>
      <w:divBdr>
        <w:top w:val="none" w:sz="0" w:space="0" w:color="auto"/>
        <w:left w:val="none" w:sz="0" w:space="0" w:color="auto"/>
        <w:bottom w:val="none" w:sz="0" w:space="0" w:color="auto"/>
        <w:right w:val="none" w:sz="0" w:space="0" w:color="auto"/>
      </w:divBdr>
    </w:div>
    <w:div w:id="1889297136">
      <w:bodyDiv w:val="1"/>
      <w:marLeft w:val="0"/>
      <w:marRight w:val="0"/>
      <w:marTop w:val="0"/>
      <w:marBottom w:val="0"/>
      <w:divBdr>
        <w:top w:val="none" w:sz="0" w:space="0" w:color="auto"/>
        <w:left w:val="none" w:sz="0" w:space="0" w:color="auto"/>
        <w:bottom w:val="none" w:sz="0" w:space="0" w:color="auto"/>
        <w:right w:val="none" w:sz="0" w:space="0" w:color="auto"/>
      </w:divBdr>
    </w:div>
    <w:div w:id="1891186349">
      <w:bodyDiv w:val="1"/>
      <w:marLeft w:val="0"/>
      <w:marRight w:val="0"/>
      <w:marTop w:val="0"/>
      <w:marBottom w:val="0"/>
      <w:divBdr>
        <w:top w:val="none" w:sz="0" w:space="0" w:color="auto"/>
        <w:left w:val="none" w:sz="0" w:space="0" w:color="auto"/>
        <w:bottom w:val="none" w:sz="0" w:space="0" w:color="auto"/>
        <w:right w:val="none" w:sz="0" w:space="0" w:color="auto"/>
      </w:divBdr>
    </w:div>
    <w:div w:id="1905675634">
      <w:bodyDiv w:val="1"/>
      <w:marLeft w:val="0"/>
      <w:marRight w:val="0"/>
      <w:marTop w:val="0"/>
      <w:marBottom w:val="0"/>
      <w:divBdr>
        <w:top w:val="none" w:sz="0" w:space="0" w:color="auto"/>
        <w:left w:val="none" w:sz="0" w:space="0" w:color="auto"/>
        <w:bottom w:val="none" w:sz="0" w:space="0" w:color="auto"/>
        <w:right w:val="none" w:sz="0" w:space="0" w:color="auto"/>
      </w:divBdr>
    </w:div>
    <w:div w:id="1912301944">
      <w:bodyDiv w:val="1"/>
      <w:marLeft w:val="0"/>
      <w:marRight w:val="0"/>
      <w:marTop w:val="0"/>
      <w:marBottom w:val="0"/>
      <w:divBdr>
        <w:top w:val="none" w:sz="0" w:space="0" w:color="auto"/>
        <w:left w:val="none" w:sz="0" w:space="0" w:color="auto"/>
        <w:bottom w:val="none" w:sz="0" w:space="0" w:color="auto"/>
        <w:right w:val="none" w:sz="0" w:space="0" w:color="auto"/>
      </w:divBdr>
    </w:div>
    <w:div w:id="1913932155">
      <w:bodyDiv w:val="1"/>
      <w:marLeft w:val="0"/>
      <w:marRight w:val="0"/>
      <w:marTop w:val="0"/>
      <w:marBottom w:val="0"/>
      <w:divBdr>
        <w:top w:val="none" w:sz="0" w:space="0" w:color="auto"/>
        <w:left w:val="none" w:sz="0" w:space="0" w:color="auto"/>
        <w:bottom w:val="none" w:sz="0" w:space="0" w:color="auto"/>
        <w:right w:val="none" w:sz="0" w:space="0" w:color="auto"/>
      </w:divBdr>
    </w:div>
    <w:div w:id="1930693215">
      <w:bodyDiv w:val="1"/>
      <w:marLeft w:val="0"/>
      <w:marRight w:val="0"/>
      <w:marTop w:val="0"/>
      <w:marBottom w:val="0"/>
      <w:divBdr>
        <w:top w:val="none" w:sz="0" w:space="0" w:color="auto"/>
        <w:left w:val="none" w:sz="0" w:space="0" w:color="auto"/>
        <w:bottom w:val="none" w:sz="0" w:space="0" w:color="auto"/>
        <w:right w:val="none" w:sz="0" w:space="0" w:color="auto"/>
      </w:divBdr>
    </w:div>
    <w:div w:id="1938632771">
      <w:bodyDiv w:val="1"/>
      <w:marLeft w:val="0"/>
      <w:marRight w:val="0"/>
      <w:marTop w:val="0"/>
      <w:marBottom w:val="0"/>
      <w:divBdr>
        <w:top w:val="none" w:sz="0" w:space="0" w:color="auto"/>
        <w:left w:val="none" w:sz="0" w:space="0" w:color="auto"/>
        <w:bottom w:val="none" w:sz="0" w:space="0" w:color="auto"/>
        <w:right w:val="none" w:sz="0" w:space="0" w:color="auto"/>
      </w:divBdr>
    </w:div>
    <w:div w:id="1942449228">
      <w:bodyDiv w:val="1"/>
      <w:marLeft w:val="0"/>
      <w:marRight w:val="0"/>
      <w:marTop w:val="0"/>
      <w:marBottom w:val="0"/>
      <w:divBdr>
        <w:top w:val="none" w:sz="0" w:space="0" w:color="auto"/>
        <w:left w:val="none" w:sz="0" w:space="0" w:color="auto"/>
        <w:bottom w:val="none" w:sz="0" w:space="0" w:color="auto"/>
        <w:right w:val="none" w:sz="0" w:space="0" w:color="auto"/>
      </w:divBdr>
    </w:div>
    <w:div w:id="1950238461">
      <w:bodyDiv w:val="1"/>
      <w:marLeft w:val="0"/>
      <w:marRight w:val="0"/>
      <w:marTop w:val="0"/>
      <w:marBottom w:val="0"/>
      <w:divBdr>
        <w:top w:val="none" w:sz="0" w:space="0" w:color="auto"/>
        <w:left w:val="none" w:sz="0" w:space="0" w:color="auto"/>
        <w:bottom w:val="none" w:sz="0" w:space="0" w:color="auto"/>
        <w:right w:val="none" w:sz="0" w:space="0" w:color="auto"/>
      </w:divBdr>
    </w:div>
    <w:div w:id="1950310088">
      <w:bodyDiv w:val="1"/>
      <w:marLeft w:val="0"/>
      <w:marRight w:val="0"/>
      <w:marTop w:val="0"/>
      <w:marBottom w:val="0"/>
      <w:divBdr>
        <w:top w:val="none" w:sz="0" w:space="0" w:color="auto"/>
        <w:left w:val="none" w:sz="0" w:space="0" w:color="auto"/>
        <w:bottom w:val="none" w:sz="0" w:space="0" w:color="auto"/>
        <w:right w:val="none" w:sz="0" w:space="0" w:color="auto"/>
      </w:divBdr>
    </w:div>
    <w:div w:id="1962496288">
      <w:bodyDiv w:val="1"/>
      <w:marLeft w:val="0"/>
      <w:marRight w:val="0"/>
      <w:marTop w:val="0"/>
      <w:marBottom w:val="0"/>
      <w:divBdr>
        <w:top w:val="none" w:sz="0" w:space="0" w:color="auto"/>
        <w:left w:val="none" w:sz="0" w:space="0" w:color="auto"/>
        <w:bottom w:val="none" w:sz="0" w:space="0" w:color="auto"/>
        <w:right w:val="none" w:sz="0" w:space="0" w:color="auto"/>
      </w:divBdr>
    </w:div>
    <w:div w:id="1965041536">
      <w:bodyDiv w:val="1"/>
      <w:marLeft w:val="0"/>
      <w:marRight w:val="0"/>
      <w:marTop w:val="0"/>
      <w:marBottom w:val="0"/>
      <w:divBdr>
        <w:top w:val="none" w:sz="0" w:space="0" w:color="auto"/>
        <w:left w:val="none" w:sz="0" w:space="0" w:color="auto"/>
        <w:bottom w:val="none" w:sz="0" w:space="0" w:color="auto"/>
        <w:right w:val="none" w:sz="0" w:space="0" w:color="auto"/>
      </w:divBdr>
    </w:div>
    <w:div w:id="1975796187">
      <w:bodyDiv w:val="1"/>
      <w:marLeft w:val="0"/>
      <w:marRight w:val="0"/>
      <w:marTop w:val="0"/>
      <w:marBottom w:val="0"/>
      <w:divBdr>
        <w:top w:val="none" w:sz="0" w:space="0" w:color="auto"/>
        <w:left w:val="none" w:sz="0" w:space="0" w:color="auto"/>
        <w:bottom w:val="none" w:sz="0" w:space="0" w:color="auto"/>
        <w:right w:val="none" w:sz="0" w:space="0" w:color="auto"/>
      </w:divBdr>
    </w:div>
    <w:div w:id="1976791271">
      <w:bodyDiv w:val="1"/>
      <w:marLeft w:val="0"/>
      <w:marRight w:val="0"/>
      <w:marTop w:val="0"/>
      <w:marBottom w:val="0"/>
      <w:divBdr>
        <w:top w:val="none" w:sz="0" w:space="0" w:color="auto"/>
        <w:left w:val="none" w:sz="0" w:space="0" w:color="auto"/>
        <w:bottom w:val="none" w:sz="0" w:space="0" w:color="auto"/>
        <w:right w:val="none" w:sz="0" w:space="0" w:color="auto"/>
      </w:divBdr>
    </w:div>
    <w:div w:id="1977683493">
      <w:bodyDiv w:val="1"/>
      <w:marLeft w:val="0"/>
      <w:marRight w:val="0"/>
      <w:marTop w:val="0"/>
      <w:marBottom w:val="0"/>
      <w:divBdr>
        <w:top w:val="none" w:sz="0" w:space="0" w:color="auto"/>
        <w:left w:val="none" w:sz="0" w:space="0" w:color="auto"/>
        <w:bottom w:val="none" w:sz="0" w:space="0" w:color="auto"/>
        <w:right w:val="none" w:sz="0" w:space="0" w:color="auto"/>
      </w:divBdr>
    </w:div>
    <w:div w:id="1982490708">
      <w:bodyDiv w:val="1"/>
      <w:marLeft w:val="0"/>
      <w:marRight w:val="0"/>
      <w:marTop w:val="0"/>
      <w:marBottom w:val="0"/>
      <w:divBdr>
        <w:top w:val="none" w:sz="0" w:space="0" w:color="auto"/>
        <w:left w:val="none" w:sz="0" w:space="0" w:color="auto"/>
        <w:bottom w:val="none" w:sz="0" w:space="0" w:color="auto"/>
        <w:right w:val="none" w:sz="0" w:space="0" w:color="auto"/>
      </w:divBdr>
    </w:div>
    <w:div w:id="1985772786">
      <w:bodyDiv w:val="1"/>
      <w:marLeft w:val="0"/>
      <w:marRight w:val="0"/>
      <w:marTop w:val="0"/>
      <w:marBottom w:val="0"/>
      <w:divBdr>
        <w:top w:val="none" w:sz="0" w:space="0" w:color="auto"/>
        <w:left w:val="none" w:sz="0" w:space="0" w:color="auto"/>
        <w:bottom w:val="none" w:sz="0" w:space="0" w:color="auto"/>
        <w:right w:val="none" w:sz="0" w:space="0" w:color="auto"/>
      </w:divBdr>
    </w:div>
    <w:div w:id="2009749632">
      <w:bodyDiv w:val="1"/>
      <w:marLeft w:val="0"/>
      <w:marRight w:val="0"/>
      <w:marTop w:val="0"/>
      <w:marBottom w:val="0"/>
      <w:divBdr>
        <w:top w:val="none" w:sz="0" w:space="0" w:color="auto"/>
        <w:left w:val="none" w:sz="0" w:space="0" w:color="auto"/>
        <w:bottom w:val="none" w:sz="0" w:space="0" w:color="auto"/>
        <w:right w:val="none" w:sz="0" w:space="0" w:color="auto"/>
      </w:divBdr>
    </w:div>
    <w:div w:id="2013410603">
      <w:bodyDiv w:val="1"/>
      <w:marLeft w:val="0"/>
      <w:marRight w:val="0"/>
      <w:marTop w:val="0"/>
      <w:marBottom w:val="0"/>
      <w:divBdr>
        <w:top w:val="none" w:sz="0" w:space="0" w:color="auto"/>
        <w:left w:val="none" w:sz="0" w:space="0" w:color="auto"/>
        <w:bottom w:val="none" w:sz="0" w:space="0" w:color="auto"/>
        <w:right w:val="none" w:sz="0" w:space="0" w:color="auto"/>
      </w:divBdr>
    </w:div>
    <w:div w:id="2024699198">
      <w:bodyDiv w:val="1"/>
      <w:marLeft w:val="0"/>
      <w:marRight w:val="0"/>
      <w:marTop w:val="0"/>
      <w:marBottom w:val="0"/>
      <w:divBdr>
        <w:top w:val="none" w:sz="0" w:space="0" w:color="auto"/>
        <w:left w:val="none" w:sz="0" w:space="0" w:color="auto"/>
        <w:bottom w:val="none" w:sz="0" w:space="0" w:color="auto"/>
        <w:right w:val="none" w:sz="0" w:space="0" w:color="auto"/>
      </w:divBdr>
    </w:div>
    <w:div w:id="2026055676">
      <w:bodyDiv w:val="1"/>
      <w:marLeft w:val="0"/>
      <w:marRight w:val="0"/>
      <w:marTop w:val="0"/>
      <w:marBottom w:val="0"/>
      <w:divBdr>
        <w:top w:val="none" w:sz="0" w:space="0" w:color="auto"/>
        <w:left w:val="none" w:sz="0" w:space="0" w:color="auto"/>
        <w:bottom w:val="none" w:sz="0" w:space="0" w:color="auto"/>
        <w:right w:val="none" w:sz="0" w:space="0" w:color="auto"/>
      </w:divBdr>
    </w:div>
    <w:div w:id="2026130371">
      <w:bodyDiv w:val="1"/>
      <w:marLeft w:val="0"/>
      <w:marRight w:val="0"/>
      <w:marTop w:val="0"/>
      <w:marBottom w:val="0"/>
      <w:divBdr>
        <w:top w:val="none" w:sz="0" w:space="0" w:color="auto"/>
        <w:left w:val="none" w:sz="0" w:space="0" w:color="auto"/>
        <w:bottom w:val="none" w:sz="0" w:space="0" w:color="auto"/>
        <w:right w:val="none" w:sz="0" w:space="0" w:color="auto"/>
      </w:divBdr>
    </w:div>
    <w:div w:id="2027248239">
      <w:bodyDiv w:val="1"/>
      <w:marLeft w:val="0"/>
      <w:marRight w:val="0"/>
      <w:marTop w:val="0"/>
      <w:marBottom w:val="0"/>
      <w:divBdr>
        <w:top w:val="none" w:sz="0" w:space="0" w:color="auto"/>
        <w:left w:val="none" w:sz="0" w:space="0" w:color="auto"/>
        <w:bottom w:val="none" w:sz="0" w:space="0" w:color="auto"/>
        <w:right w:val="none" w:sz="0" w:space="0" w:color="auto"/>
      </w:divBdr>
    </w:div>
    <w:div w:id="2035959098">
      <w:bodyDiv w:val="1"/>
      <w:marLeft w:val="0"/>
      <w:marRight w:val="0"/>
      <w:marTop w:val="0"/>
      <w:marBottom w:val="0"/>
      <w:divBdr>
        <w:top w:val="none" w:sz="0" w:space="0" w:color="auto"/>
        <w:left w:val="none" w:sz="0" w:space="0" w:color="auto"/>
        <w:bottom w:val="none" w:sz="0" w:space="0" w:color="auto"/>
        <w:right w:val="none" w:sz="0" w:space="0" w:color="auto"/>
      </w:divBdr>
    </w:div>
    <w:div w:id="2057267408">
      <w:bodyDiv w:val="1"/>
      <w:marLeft w:val="0"/>
      <w:marRight w:val="0"/>
      <w:marTop w:val="0"/>
      <w:marBottom w:val="0"/>
      <w:divBdr>
        <w:top w:val="none" w:sz="0" w:space="0" w:color="auto"/>
        <w:left w:val="none" w:sz="0" w:space="0" w:color="auto"/>
        <w:bottom w:val="none" w:sz="0" w:space="0" w:color="auto"/>
        <w:right w:val="none" w:sz="0" w:space="0" w:color="auto"/>
      </w:divBdr>
    </w:div>
    <w:div w:id="2063676297">
      <w:bodyDiv w:val="1"/>
      <w:marLeft w:val="0"/>
      <w:marRight w:val="0"/>
      <w:marTop w:val="0"/>
      <w:marBottom w:val="0"/>
      <w:divBdr>
        <w:top w:val="none" w:sz="0" w:space="0" w:color="auto"/>
        <w:left w:val="none" w:sz="0" w:space="0" w:color="auto"/>
        <w:bottom w:val="none" w:sz="0" w:space="0" w:color="auto"/>
        <w:right w:val="none" w:sz="0" w:space="0" w:color="auto"/>
      </w:divBdr>
    </w:div>
    <w:div w:id="2075810882">
      <w:bodyDiv w:val="1"/>
      <w:marLeft w:val="0"/>
      <w:marRight w:val="0"/>
      <w:marTop w:val="0"/>
      <w:marBottom w:val="0"/>
      <w:divBdr>
        <w:top w:val="none" w:sz="0" w:space="0" w:color="auto"/>
        <w:left w:val="none" w:sz="0" w:space="0" w:color="auto"/>
        <w:bottom w:val="none" w:sz="0" w:space="0" w:color="auto"/>
        <w:right w:val="none" w:sz="0" w:space="0" w:color="auto"/>
      </w:divBdr>
    </w:div>
    <w:div w:id="2089498573">
      <w:bodyDiv w:val="1"/>
      <w:marLeft w:val="0"/>
      <w:marRight w:val="0"/>
      <w:marTop w:val="0"/>
      <w:marBottom w:val="0"/>
      <w:divBdr>
        <w:top w:val="none" w:sz="0" w:space="0" w:color="auto"/>
        <w:left w:val="none" w:sz="0" w:space="0" w:color="auto"/>
        <w:bottom w:val="none" w:sz="0" w:space="0" w:color="auto"/>
        <w:right w:val="none" w:sz="0" w:space="0" w:color="auto"/>
      </w:divBdr>
    </w:div>
    <w:div w:id="2095278095">
      <w:bodyDiv w:val="1"/>
      <w:marLeft w:val="0"/>
      <w:marRight w:val="0"/>
      <w:marTop w:val="0"/>
      <w:marBottom w:val="0"/>
      <w:divBdr>
        <w:top w:val="none" w:sz="0" w:space="0" w:color="auto"/>
        <w:left w:val="none" w:sz="0" w:space="0" w:color="auto"/>
        <w:bottom w:val="none" w:sz="0" w:space="0" w:color="auto"/>
        <w:right w:val="none" w:sz="0" w:space="0" w:color="auto"/>
      </w:divBdr>
    </w:div>
    <w:div w:id="2118014038">
      <w:bodyDiv w:val="1"/>
      <w:marLeft w:val="0"/>
      <w:marRight w:val="0"/>
      <w:marTop w:val="0"/>
      <w:marBottom w:val="0"/>
      <w:divBdr>
        <w:top w:val="none" w:sz="0" w:space="0" w:color="auto"/>
        <w:left w:val="none" w:sz="0" w:space="0" w:color="auto"/>
        <w:bottom w:val="none" w:sz="0" w:space="0" w:color="auto"/>
        <w:right w:val="none" w:sz="0" w:space="0" w:color="auto"/>
      </w:divBdr>
    </w:div>
    <w:div w:id="2121143736">
      <w:bodyDiv w:val="1"/>
      <w:marLeft w:val="0"/>
      <w:marRight w:val="0"/>
      <w:marTop w:val="0"/>
      <w:marBottom w:val="0"/>
      <w:divBdr>
        <w:top w:val="none" w:sz="0" w:space="0" w:color="auto"/>
        <w:left w:val="none" w:sz="0" w:space="0" w:color="auto"/>
        <w:bottom w:val="none" w:sz="0" w:space="0" w:color="auto"/>
        <w:right w:val="none" w:sz="0" w:space="0" w:color="auto"/>
      </w:divBdr>
    </w:div>
    <w:div w:id="213772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18329</Words>
  <Characters>104477</Characters>
  <Application>Microsoft Office Word</Application>
  <DocSecurity>0</DocSecurity>
  <Lines>870</Lines>
  <Paragraphs>245</Paragraphs>
  <ScaleCrop>false</ScaleCrop>
  <Company/>
  <LinksUpToDate>false</LinksUpToDate>
  <CharactersWithSpaces>122561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3</cp:revision>
  <dcterms:created xsi:type="dcterms:W3CDTF">2023-08-29T07:14:00Z</dcterms:created>
  <dcterms:modified xsi:type="dcterms:W3CDTF">2023-08-29T07:30:00Z</dcterms:modified>
</cp:coreProperties>
</file>